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style1.xml" ContentType="application/vnd.ms-office.chartstyle+xml"/>
  <Override PartName="/word/charts/style2.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4"/>
        <w:tblW w:w="4950" w:type="pct"/>
        <w:tblCellSpacing w:w="15" w:type="dxa"/>
        <w:tblInd w:w="0" w:type="dxa"/>
        <w:tblLayout w:type="autofit"/>
        <w:tblCellMar>
          <w:top w:w="0" w:type="dxa"/>
          <w:left w:w="108" w:type="dxa"/>
          <w:bottom w:w="0" w:type="dxa"/>
          <w:right w:w="108" w:type="dxa"/>
        </w:tblCellMar>
      </w:tblPr>
      <w:tblGrid>
        <w:gridCol w:w="7399"/>
        <w:gridCol w:w="1762"/>
      </w:tblGrid>
      <w:tr w14:paraId="112D29C0">
        <w:tblPrEx>
          <w:tblCellMar>
            <w:top w:w="0" w:type="dxa"/>
            <w:left w:w="108" w:type="dxa"/>
            <w:bottom w:w="0" w:type="dxa"/>
            <w:right w:w="108" w:type="dxa"/>
          </w:tblCellMar>
        </w:tblPrEx>
        <w:trPr>
          <w:trHeight w:val="348" w:hRule="atLeast"/>
          <w:tblCellSpacing w:w="15" w:type="dxa"/>
        </w:trPr>
        <w:tc>
          <w:tcPr>
            <w:tcW w:w="4014" w:type="pct"/>
            <w:tcMar>
              <w:top w:w="15" w:type="dxa"/>
              <w:left w:w="15" w:type="dxa"/>
              <w:bottom w:w="15" w:type="dxa"/>
              <w:right w:w="15" w:type="dxa"/>
            </w:tcMar>
            <w:vAlign w:val="center"/>
          </w:tcPr>
          <w:p w14:paraId="3D08AEF8">
            <w:pPr>
              <w:rPr>
                <w:highlight w:val="none"/>
              </w:rPr>
            </w:pPr>
            <w:r>
              <w:rPr>
                <w:rFonts w:hint="eastAsia" w:ascii="楷体" w:hAnsi="楷体" w:eastAsia="楷体"/>
                <w:sz w:val="32"/>
                <w:szCs w:val="32"/>
                <w:highlight w:val="none"/>
              </w:rPr>
              <w:t>备案号：</w:t>
            </w:r>
          </w:p>
        </w:tc>
        <w:tc>
          <w:tcPr>
            <w:tcW w:w="937" w:type="pct"/>
            <w:vMerge w:val="restart"/>
          </w:tcPr>
          <w:p w14:paraId="1694D5E4">
            <w:pPr>
              <w:rPr>
                <w:rFonts w:hint="eastAsia" w:ascii="楷体" w:hAnsi="楷体" w:eastAsia="楷体"/>
                <w:sz w:val="32"/>
                <w:szCs w:val="32"/>
                <w:highlight w:val="none"/>
              </w:rPr>
            </w:pPr>
          </w:p>
        </w:tc>
      </w:tr>
      <w:tr w14:paraId="0F042425">
        <w:tblPrEx>
          <w:tblCellMar>
            <w:top w:w="0" w:type="dxa"/>
            <w:left w:w="108" w:type="dxa"/>
            <w:bottom w:w="0" w:type="dxa"/>
            <w:right w:w="108" w:type="dxa"/>
          </w:tblCellMar>
        </w:tblPrEx>
        <w:trPr>
          <w:trHeight w:val="337" w:hRule="atLeast"/>
          <w:tblCellSpacing w:w="15" w:type="dxa"/>
        </w:trPr>
        <w:tc>
          <w:tcPr>
            <w:tcW w:w="4014" w:type="pct"/>
            <w:tcMar>
              <w:top w:w="15" w:type="dxa"/>
              <w:left w:w="15" w:type="dxa"/>
              <w:bottom w:w="15" w:type="dxa"/>
              <w:right w:w="15" w:type="dxa"/>
            </w:tcMar>
            <w:vAlign w:val="center"/>
          </w:tcPr>
          <w:p w14:paraId="0CA7736F">
            <w:pPr>
              <w:rPr>
                <w:rFonts w:hint="eastAsia"/>
                <w:highlight w:val="none"/>
              </w:rPr>
            </w:pPr>
            <w:r>
              <w:rPr>
                <w:rFonts w:hint="eastAsia" w:ascii="楷体" w:hAnsi="楷体" w:eastAsia="楷体"/>
                <w:sz w:val="32"/>
                <w:szCs w:val="32"/>
                <w:highlight w:val="none"/>
              </w:rPr>
              <w:t>查询码：</w:t>
            </w:r>
          </w:p>
        </w:tc>
        <w:tc>
          <w:tcPr>
            <w:tcW w:w="937" w:type="pct"/>
            <w:vMerge w:val="continue"/>
          </w:tcPr>
          <w:p w14:paraId="79FB24CD">
            <w:pPr>
              <w:rPr>
                <w:rFonts w:hint="eastAsia" w:ascii="楷体" w:hAnsi="楷体" w:eastAsia="楷体"/>
                <w:sz w:val="32"/>
                <w:szCs w:val="32"/>
                <w:highlight w:val="none"/>
              </w:rPr>
            </w:pPr>
          </w:p>
        </w:tc>
      </w:tr>
    </w:tbl>
    <w:p w14:paraId="3F7488A2">
      <w:pPr>
        <w:spacing w:line="300" w:lineRule="auto"/>
        <w:rPr>
          <w:rFonts w:ascii="Arial" w:hAnsi="Arial" w:cs="Arial"/>
          <w:b/>
          <w:sz w:val="44"/>
          <w:highlight w:val="none"/>
        </w:rPr>
      </w:pPr>
    </w:p>
    <w:p w14:paraId="5BEF5FE6">
      <w:pPr>
        <w:spacing w:line="300" w:lineRule="auto"/>
        <w:rPr>
          <w:rFonts w:ascii="Arial" w:hAnsi="Arial" w:cs="Arial"/>
          <w:b/>
          <w:sz w:val="44"/>
          <w:highlight w:val="none"/>
        </w:rPr>
      </w:pPr>
    </w:p>
    <w:p w14:paraId="093EDFB6">
      <w:pPr>
        <w:spacing w:line="300" w:lineRule="auto"/>
        <w:rPr>
          <w:rFonts w:ascii="Arial" w:hAnsi="Arial" w:cs="Arial"/>
          <w:b/>
          <w:sz w:val="44"/>
          <w:highlight w:val="none"/>
        </w:rPr>
      </w:pPr>
    </w:p>
    <w:p w14:paraId="4C1904D6">
      <w:pPr>
        <w:spacing w:line="300" w:lineRule="auto"/>
        <w:rPr>
          <w:rFonts w:ascii="Arial" w:hAnsi="Arial" w:cs="Arial"/>
          <w:b/>
          <w:sz w:val="44"/>
          <w:highlight w:val="none"/>
        </w:rPr>
      </w:pPr>
    </w:p>
    <w:p w14:paraId="76DB56A9">
      <w:pPr>
        <w:spacing w:line="300" w:lineRule="auto"/>
        <w:jc w:val="center"/>
        <w:rPr>
          <w:rFonts w:ascii="Arial" w:hAnsi="Arial" w:cs="Arial"/>
          <w:b/>
          <w:sz w:val="44"/>
          <w:highlight w:val="none"/>
        </w:rPr>
      </w:pPr>
      <w:r>
        <w:rPr>
          <w:rFonts w:ascii="Arial" w:hAnsi="Arial" w:cs="Arial"/>
          <w:b/>
          <w:sz w:val="44"/>
          <w:highlight w:val="none"/>
        </w:rPr>
        <w:t>土</w:t>
      </w:r>
      <w:r>
        <w:rPr>
          <w:rFonts w:ascii="Arial" w:hAnsi="Arial" w:eastAsia="仿宋_GB2312" w:cs="Arial"/>
          <w:b/>
          <w:sz w:val="44"/>
          <w:highlight w:val="none"/>
        </w:rPr>
        <w:t xml:space="preserve"> </w:t>
      </w:r>
      <w:r>
        <w:rPr>
          <w:rFonts w:ascii="Arial" w:hAnsi="Arial" w:cs="Arial"/>
          <w:b/>
          <w:sz w:val="44"/>
          <w:highlight w:val="none"/>
        </w:rPr>
        <w:t>地</w:t>
      </w:r>
      <w:r>
        <w:rPr>
          <w:rFonts w:ascii="Arial" w:hAnsi="Arial" w:eastAsia="仿宋_GB2312" w:cs="Arial"/>
          <w:b/>
          <w:sz w:val="44"/>
          <w:highlight w:val="none"/>
        </w:rPr>
        <w:t xml:space="preserve"> </w:t>
      </w:r>
      <w:r>
        <w:rPr>
          <w:rFonts w:ascii="Arial" w:hAnsi="Arial" w:cs="Arial"/>
          <w:b/>
          <w:sz w:val="44"/>
          <w:highlight w:val="none"/>
        </w:rPr>
        <w:t>估</w:t>
      </w:r>
      <w:r>
        <w:rPr>
          <w:rFonts w:ascii="Arial" w:hAnsi="Arial" w:eastAsia="仿宋_GB2312" w:cs="Arial"/>
          <w:b/>
          <w:sz w:val="44"/>
          <w:highlight w:val="none"/>
        </w:rPr>
        <w:t xml:space="preserve"> </w:t>
      </w:r>
      <w:r>
        <w:rPr>
          <w:rFonts w:ascii="Arial" w:hAnsi="Arial" w:cs="Arial"/>
          <w:b/>
          <w:sz w:val="44"/>
          <w:highlight w:val="none"/>
        </w:rPr>
        <w:t>价</w:t>
      </w:r>
      <w:r>
        <w:rPr>
          <w:rFonts w:ascii="Arial" w:hAnsi="Arial" w:eastAsia="仿宋_GB2312" w:cs="Arial"/>
          <w:b/>
          <w:sz w:val="44"/>
          <w:highlight w:val="none"/>
        </w:rPr>
        <w:t xml:space="preserve"> </w:t>
      </w:r>
      <w:r>
        <w:rPr>
          <w:rFonts w:ascii="Arial" w:hAnsi="Arial" w:cs="Arial"/>
          <w:b/>
          <w:sz w:val="44"/>
          <w:highlight w:val="none"/>
        </w:rPr>
        <w:t>报</w:t>
      </w:r>
      <w:r>
        <w:rPr>
          <w:rFonts w:ascii="Arial" w:hAnsi="Arial" w:eastAsia="仿宋_GB2312" w:cs="Arial"/>
          <w:b/>
          <w:sz w:val="44"/>
          <w:highlight w:val="none"/>
        </w:rPr>
        <w:t xml:space="preserve"> </w:t>
      </w:r>
      <w:r>
        <w:rPr>
          <w:rFonts w:ascii="Arial" w:hAnsi="Arial" w:cs="Arial"/>
          <w:b/>
          <w:sz w:val="44"/>
          <w:highlight w:val="none"/>
        </w:rPr>
        <w:t>告</w:t>
      </w:r>
    </w:p>
    <w:p w14:paraId="57989830">
      <w:pPr>
        <w:spacing w:line="300" w:lineRule="auto"/>
        <w:jc w:val="center"/>
        <w:rPr>
          <w:rFonts w:ascii="Arial" w:hAnsi="Arial" w:eastAsia="昆仑仿宋" w:cs="Arial"/>
          <w:b/>
          <w:sz w:val="44"/>
          <w:highlight w:val="none"/>
        </w:rPr>
      </w:pPr>
    </w:p>
    <w:p w14:paraId="141360F3">
      <w:pPr>
        <w:spacing w:line="300" w:lineRule="auto"/>
        <w:jc w:val="center"/>
        <w:rPr>
          <w:rFonts w:ascii="Arial" w:hAnsi="Arial" w:eastAsia="昆仑仿宋" w:cs="Arial"/>
          <w:b/>
          <w:sz w:val="44"/>
          <w:highlight w:val="none"/>
        </w:rPr>
      </w:pPr>
    </w:p>
    <w:p w14:paraId="467B1940">
      <w:pPr>
        <w:spacing w:line="300" w:lineRule="auto"/>
        <w:rPr>
          <w:rFonts w:ascii="Arial" w:hAnsi="Arial" w:eastAsia="楷体_GB2312" w:cs="Arial"/>
          <w:b/>
          <w:sz w:val="32"/>
          <w:highlight w:val="none"/>
        </w:rPr>
      </w:pPr>
    </w:p>
    <w:p w14:paraId="6EC110CF">
      <w:pPr>
        <w:overflowPunct w:val="0"/>
        <w:spacing w:line="300" w:lineRule="auto"/>
        <w:ind w:left="2201" w:hanging="2201" w:hangingChars="685"/>
        <w:jc w:val="both"/>
        <w:rPr>
          <w:rFonts w:ascii="Arial" w:hAnsi="Arial" w:eastAsia="楷体_GB2312" w:cs="Arial"/>
          <w:b/>
          <w:i/>
          <w:sz w:val="28"/>
          <w:szCs w:val="28"/>
          <w:highlight w:val="none"/>
        </w:rPr>
      </w:pPr>
      <w:r>
        <w:rPr>
          <w:rFonts w:ascii="Arial" w:hAnsi="Arial" w:eastAsia="楷体_GB2312" w:cs="Arial"/>
          <w:b/>
          <w:sz w:val="32"/>
          <w:highlight w:val="none"/>
        </w:rPr>
        <w:t>项</w:t>
      </w:r>
      <w:r>
        <w:rPr>
          <w:rFonts w:ascii="Arial" w:hAnsi="Arial" w:eastAsia="仿宋_GB2312" w:cs="Arial"/>
          <w:b/>
          <w:sz w:val="32"/>
          <w:highlight w:val="none"/>
        </w:rPr>
        <w:t xml:space="preserve">  </w:t>
      </w:r>
      <w:r>
        <w:rPr>
          <w:rFonts w:ascii="Arial" w:hAnsi="Arial" w:eastAsia="楷体_GB2312" w:cs="Arial"/>
          <w:b/>
          <w:sz w:val="32"/>
          <w:highlight w:val="none"/>
        </w:rPr>
        <w:t>目</w:t>
      </w:r>
      <w:r>
        <w:rPr>
          <w:rFonts w:ascii="Arial" w:hAnsi="Arial" w:eastAsia="仿宋_GB2312" w:cs="Arial"/>
          <w:b/>
          <w:sz w:val="32"/>
          <w:highlight w:val="none"/>
        </w:rPr>
        <w:t xml:space="preserve"> </w:t>
      </w:r>
      <w:r>
        <w:rPr>
          <w:rFonts w:ascii="Arial" w:hAnsi="Arial" w:eastAsia="楷体_GB2312" w:cs="Arial"/>
          <w:b/>
          <w:sz w:val="32"/>
          <w:highlight w:val="none"/>
        </w:rPr>
        <w:t>名</w:t>
      </w:r>
      <w:r>
        <w:rPr>
          <w:rFonts w:ascii="Arial" w:hAnsi="Arial" w:eastAsia="仿宋_GB2312" w:cs="Arial"/>
          <w:b/>
          <w:sz w:val="32"/>
          <w:highlight w:val="none"/>
        </w:rPr>
        <w:t xml:space="preserve"> </w:t>
      </w:r>
      <w:r>
        <w:rPr>
          <w:rFonts w:ascii="Arial" w:hAnsi="Arial" w:eastAsia="楷体_GB2312" w:cs="Arial"/>
          <w:b/>
          <w:sz w:val="32"/>
          <w:highlight w:val="none"/>
        </w:rPr>
        <w:t>称：</w:t>
      </w:r>
      <w:bookmarkStart w:id="0" w:name="_Hlk138693155"/>
      <w:r>
        <w:rPr>
          <w:rFonts w:hint="eastAsia" w:ascii="Arial" w:hAnsi="Arial" w:eastAsia="楷体_GB2312" w:cs="Arial"/>
          <w:b/>
          <w:sz w:val="32"/>
          <w:highlight w:val="none"/>
        </w:rPr>
        <w:t>北京市顺义区高丽营镇夏县营村棚户区改造土地开发项目01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008、01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016、01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026</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1、01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020地块R2二类居住用地、A334托幼用地</w:t>
      </w:r>
      <w:r>
        <w:rPr>
          <w:rFonts w:ascii="Arial" w:hAnsi="Arial" w:eastAsia="楷体_GB2312" w:cs="Arial"/>
          <w:b/>
          <w:sz w:val="32"/>
          <w:highlight w:val="none"/>
        </w:rPr>
        <w:t>国有建设用地使用权出让价格评估</w:t>
      </w:r>
      <w:bookmarkEnd w:id="0"/>
      <w:r>
        <w:rPr>
          <w:rFonts w:hint="eastAsia" w:ascii="楷体" w:hAnsi="楷体" w:eastAsia="楷体" w:cs="Arial"/>
          <w:b/>
          <w:sz w:val="32"/>
          <w:highlight w:val="none"/>
        </w:rPr>
        <w:t>（北京市</w:t>
      </w:r>
      <w:r>
        <w:rPr>
          <w:rFonts w:hint="eastAsia" w:ascii="楷体" w:hAnsi="楷体" w:eastAsia="楷体" w:cs="Arial"/>
          <w:b/>
          <w:sz w:val="32"/>
          <w:highlight w:val="none"/>
          <w:lang w:val="en-US" w:eastAsia="zh-CN"/>
        </w:rPr>
        <w:t>顺义区</w:t>
      </w:r>
      <w:r>
        <w:rPr>
          <w:rFonts w:hint="eastAsia" w:ascii="楷体" w:hAnsi="楷体" w:eastAsia="楷体" w:cs="Arial"/>
          <w:b/>
          <w:sz w:val="32"/>
          <w:highlight w:val="none"/>
        </w:rPr>
        <w:t>）</w:t>
      </w:r>
    </w:p>
    <w:p w14:paraId="28AE1449">
      <w:pPr>
        <w:spacing w:line="300" w:lineRule="auto"/>
        <w:jc w:val="both"/>
        <w:rPr>
          <w:rFonts w:ascii="Arial" w:hAnsi="Arial" w:eastAsia="楷体_GB2312" w:cs="Arial"/>
          <w:b/>
          <w:sz w:val="28"/>
          <w:szCs w:val="28"/>
          <w:highlight w:val="none"/>
        </w:rPr>
      </w:pPr>
    </w:p>
    <w:p w14:paraId="394CF2C9">
      <w:pPr>
        <w:spacing w:line="300" w:lineRule="auto"/>
        <w:jc w:val="both"/>
        <w:rPr>
          <w:rFonts w:ascii="Arial" w:hAnsi="Arial" w:eastAsia="楷体_GB2312" w:cs="Arial"/>
          <w:b/>
          <w:sz w:val="32"/>
          <w:highlight w:val="none"/>
        </w:rPr>
      </w:pPr>
      <w:r>
        <w:rPr>
          <w:rFonts w:ascii="Arial" w:hAnsi="Arial" w:eastAsia="楷体_GB2312" w:cs="Arial"/>
          <w:b/>
          <w:sz w:val="32"/>
          <w:highlight w:val="none"/>
        </w:rPr>
        <w:t>受托估价单位：北京康正宏基房地产评估有限公司</w:t>
      </w:r>
    </w:p>
    <w:p w14:paraId="580AE0AF">
      <w:pPr>
        <w:spacing w:line="300" w:lineRule="auto"/>
        <w:jc w:val="both"/>
        <w:rPr>
          <w:rFonts w:ascii="Arial" w:hAnsi="Arial" w:eastAsia="楷体_GB2312" w:cs="Arial"/>
          <w:b/>
          <w:sz w:val="32"/>
          <w:highlight w:val="none"/>
        </w:rPr>
      </w:pPr>
    </w:p>
    <w:p w14:paraId="53E2FDFC">
      <w:pPr>
        <w:spacing w:line="300" w:lineRule="auto"/>
        <w:jc w:val="both"/>
        <w:rPr>
          <w:rFonts w:hint="eastAsia" w:ascii="Arial" w:hAnsi="Arial" w:eastAsia="楷体_GB2312" w:cs="Arial"/>
          <w:b/>
          <w:sz w:val="32"/>
          <w:highlight w:val="none"/>
        </w:rPr>
      </w:pPr>
      <w:r>
        <w:rPr>
          <w:rFonts w:ascii="Arial" w:hAnsi="Arial" w:eastAsia="楷体_GB2312" w:cs="Arial"/>
          <w:b/>
          <w:sz w:val="32"/>
          <w:highlight w:val="none"/>
        </w:rPr>
        <w:t>土地估价报告编号：北京康正202</w:t>
      </w:r>
      <w:r>
        <w:rPr>
          <w:rFonts w:hint="eastAsia" w:ascii="Arial" w:hAnsi="Arial" w:eastAsia="楷体_GB2312" w:cs="Arial"/>
          <w:b/>
          <w:sz w:val="32"/>
          <w:highlight w:val="none"/>
          <w:lang w:val="en-US" w:eastAsia="zh-CN"/>
        </w:rPr>
        <w:t>6</w:t>
      </w:r>
      <w:r>
        <w:rPr>
          <w:rFonts w:ascii="Arial" w:hAnsi="Arial" w:eastAsia="楷体_GB2312" w:cs="Arial"/>
          <w:b/>
          <w:sz w:val="32"/>
          <w:highlight w:val="none"/>
        </w:rPr>
        <w:t>（估）字第000</w:t>
      </w:r>
      <w:r>
        <w:rPr>
          <w:rFonts w:hint="eastAsia" w:ascii="Arial" w:hAnsi="Arial" w:eastAsia="楷体_GB2312" w:cs="Arial"/>
          <w:b/>
          <w:sz w:val="32"/>
          <w:highlight w:val="none"/>
          <w:lang w:val="en-US" w:eastAsia="zh-CN"/>
        </w:rPr>
        <w:t>1</w:t>
      </w:r>
      <w:r>
        <w:rPr>
          <w:rFonts w:ascii="Arial" w:hAnsi="Arial" w:eastAsia="楷体_GB2312" w:cs="Arial"/>
          <w:b/>
          <w:sz w:val="32"/>
          <w:highlight w:val="none"/>
        </w:rPr>
        <w:t>号</w:t>
      </w:r>
      <w:r>
        <w:rPr>
          <w:rFonts w:hint="eastAsia" w:ascii="Arial" w:hAnsi="Arial" w:eastAsia="楷体_GB2312" w:cs="Arial"/>
          <w:b/>
          <w:sz w:val="32"/>
          <w:highlight w:val="none"/>
        </w:rPr>
        <w:t xml:space="preserve">      </w:t>
      </w:r>
    </w:p>
    <w:p w14:paraId="345A8758">
      <w:pPr>
        <w:spacing w:line="300" w:lineRule="auto"/>
        <w:jc w:val="both"/>
        <w:rPr>
          <w:rFonts w:ascii="Arial" w:hAnsi="Arial" w:eastAsia="楷体_GB2312" w:cs="Arial"/>
          <w:b/>
          <w:sz w:val="32"/>
          <w:highlight w:val="none"/>
        </w:rPr>
      </w:pPr>
      <w:r>
        <w:rPr>
          <w:rFonts w:hint="eastAsia" w:ascii="Arial" w:hAnsi="Arial" w:eastAsia="楷体_GB2312" w:cs="Arial"/>
          <w:b/>
          <w:sz w:val="32"/>
          <w:highlight w:val="none"/>
        </w:rPr>
        <w:t xml:space="preserve">             </w:t>
      </w:r>
    </w:p>
    <w:p w14:paraId="100718C8">
      <w:pPr>
        <w:spacing w:line="300" w:lineRule="auto"/>
        <w:jc w:val="both"/>
        <w:rPr>
          <w:rFonts w:hint="default" w:ascii="Arial" w:hAnsi="Arial" w:eastAsia="楷体_GB2312" w:cs="Arial"/>
          <w:b/>
          <w:sz w:val="32"/>
          <w:highlight w:val="none"/>
          <w:lang w:val="en-US" w:eastAsia="zh-CN"/>
        </w:rPr>
      </w:pPr>
      <w:r>
        <w:rPr>
          <w:rFonts w:hint="eastAsia" w:ascii="Arial" w:hAnsi="Arial" w:eastAsia="楷体_GB2312" w:cs="Arial"/>
          <w:b/>
          <w:sz w:val="32"/>
          <w:highlight w:val="none"/>
          <w:lang w:val="en-US" w:eastAsia="zh-CN"/>
        </w:rPr>
        <w:t>电子备案编号：</w:t>
      </w:r>
    </w:p>
    <w:p w14:paraId="7B4E7403">
      <w:pPr>
        <w:spacing w:line="300" w:lineRule="auto"/>
        <w:jc w:val="both"/>
        <w:rPr>
          <w:rFonts w:ascii="Arial" w:hAnsi="Arial" w:eastAsia="楷体_GB2312" w:cs="Arial"/>
          <w:b/>
          <w:sz w:val="32"/>
          <w:highlight w:val="none"/>
        </w:rPr>
      </w:pPr>
    </w:p>
    <w:p w14:paraId="0BC5A29C">
      <w:pPr>
        <w:spacing w:line="300" w:lineRule="auto"/>
        <w:jc w:val="both"/>
        <w:rPr>
          <w:rFonts w:ascii="Arial" w:hAnsi="Arial" w:eastAsia="仿宋_GB2312" w:cs="Arial"/>
          <w:b/>
          <w:sz w:val="44"/>
          <w:highlight w:val="none"/>
        </w:rPr>
        <w:sectPr>
          <w:headerReference r:id="rId7" w:type="first"/>
          <w:footerReference r:id="rId10" w:type="first"/>
          <w:headerReference r:id="rId5" w:type="default"/>
          <w:footerReference r:id="rId8" w:type="default"/>
          <w:headerReference r:id="rId6" w:type="even"/>
          <w:footerReference r:id="rId9" w:type="even"/>
          <w:type w:val="nextColumn"/>
          <w:pgSz w:w="11907" w:h="16840"/>
          <w:pgMar w:top="1418" w:right="1418" w:bottom="1134" w:left="1418" w:header="851" w:footer="1134" w:gutter="0"/>
          <w:pgNumType w:fmt="decimal" w:start="0"/>
          <w:cols w:space="720" w:num="1"/>
          <w:titlePg/>
        </w:sectPr>
      </w:pPr>
      <w:r>
        <w:rPr>
          <w:rFonts w:ascii="Arial" w:hAnsi="Arial" w:eastAsia="楷体_GB2312" w:cs="Arial"/>
          <w:b/>
          <w:sz w:val="32"/>
          <w:highlight w:val="none"/>
        </w:rPr>
        <w:t>提交估价报告日期：202</w:t>
      </w:r>
      <w:r>
        <w:rPr>
          <w:rFonts w:hint="eastAsia" w:ascii="Arial" w:hAnsi="Arial" w:eastAsia="楷体_GB2312" w:cs="Arial"/>
          <w:b/>
          <w:sz w:val="32"/>
          <w:highlight w:val="none"/>
          <w:lang w:val="en-US" w:eastAsia="zh-CN"/>
        </w:rPr>
        <w:t>6</w:t>
      </w:r>
      <w:r>
        <w:rPr>
          <w:rFonts w:ascii="Arial" w:hAnsi="Arial" w:eastAsia="楷体_GB2312" w:cs="Arial"/>
          <w:b/>
          <w:sz w:val="32"/>
          <w:highlight w:val="none"/>
        </w:rPr>
        <w:t>年</w:t>
      </w:r>
      <w:r>
        <w:rPr>
          <w:rFonts w:hint="eastAsia" w:ascii="Arial" w:hAnsi="Arial" w:eastAsia="楷体_GB2312" w:cs="Arial"/>
          <w:b/>
          <w:sz w:val="32"/>
          <w:highlight w:val="none"/>
          <w:lang w:val="en-US" w:eastAsia="zh-CN"/>
        </w:rPr>
        <w:t>3</w:t>
      </w:r>
      <w:r>
        <w:rPr>
          <w:rFonts w:ascii="Arial" w:hAnsi="Arial" w:eastAsia="楷体_GB2312" w:cs="Arial"/>
          <w:b/>
          <w:sz w:val="32"/>
          <w:highlight w:val="none"/>
        </w:rPr>
        <w:t>月</w:t>
      </w:r>
      <w:r>
        <w:rPr>
          <w:rFonts w:hint="eastAsia" w:ascii="Arial" w:hAnsi="Arial" w:eastAsia="楷体_GB2312" w:cs="Arial"/>
          <w:b/>
          <w:sz w:val="32"/>
          <w:highlight w:val="none"/>
          <w:lang w:val="en-US" w:eastAsia="zh-CN"/>
        </w:rPr>
        <w:t>31</w:t>
      </w:r>
      <w:r>
        <w:rPr>
          <w:rFonts w:ascii="Arial" w:hAnsi="Arial" w:eastAsia="楷体_GB2312" w:cs="Arial"/>
          <w:b/>
          <w:sz w:val="32"/>
          <w:highlight w:val="none"/>
        </w:rPr>
        <w:t>日</w:t>
      </w:r>
    </w:p>
    <w:p w14:paraId="37FBF68A">
      <w:pPr>
        <w:pStyle w:val="22"/>
        <w:spacing w:line="300" w:lineRule="auto"/>
        <w:rPr>
          <w:rFonts w:ascii="Arial" w:cs="Arial"/>
          <w:b/>
          <w:sz w:val="40"/>
          <w:szCs w:val="40"/>
          <w:highlight w:val="none"/>
        </w:rPr>
      </w:pPr>
      <w:bookmarkStart w:id="1" w:name="_Toc132016554"/>
      <w:bookmarkStart w:id="2" w:name="_Toc132016601"/>
      <w:r>
        <w:rPr>
          <w:rFonts w:ascii="Arial" w:cs="Arial"/>
          <w:b/>
          <w:sz w:val="40"/>
          <w:szCs w:val="40"/>
          <w:highlight w:val="none"/>
        </w:rPr>
        <w:t>目录</w:t>
      </w:r>
      <w:bookmarkEnd w:id="1"/>
      <w:bookmarkEnd w:id="2"/>
    </w:p>
    <w:p w14:paraId="46D54D77"/>
    <w:p w14:paraId="582DEAFE">
      <w:pPr>
        <w:pStyle w:val="22"/>
        <w:rPr>
          <w:rFonts w:hint="default" w:ascii="Arial" w:hAnsi="Arial" w:eastAsia="等线" w:cs="Arial"/>
          <w:b/>
          <w:bCs/>
          <w:kern w:val="2"/>
          <w:sz w:val="28"/>
          <w:szCs w:val="28"/>
          <w:highlight w:val="none"/>
        </w:rPr>
      </w:pPr>
      <w:r>
        <w:rPr>
          <w:rFonts w:hint="default" w:ascii="Arial" w:hAnsi="Arial" w:eastAsia="仿宋" w:cs="Arial"/>
          <w:b/>
          <w:bCs/>
          <w:sz w:val="28"/>
          <w:szCs w:val="28"/>
          <w:highlight w:val="none"/>
        </w:rPr>
        <w:fldChar w:fldCharType="begin"/>
      </w:r>
      <w:r>
        <w:rPr>
          <w:rFonts w:hint="default" w:ascii="Arial" w:hAnsi="Arial" w:eastAsia="仿宋" w:cs="Arial"/>
          <w:b/>
          <w:bCs/>
          <w:sz w:val="28"/>
          <w:szCs w:val="28"/>
          <w:highlight w:val="none"/>
        </w:rPr>
        <w:instrText xml:space="preserve"> TOC \o "1-2" \h \z \u </w:instrText>
      </w:r>
      <w:r>
        <w:rPr>
          <w:rFonts w:hint="default" w:ascii="Arial" w:hAnsi="Arial" w:eastAsia="仿宋" w:cs="Arial"/>
          <w:b/>
          <w:bCs/>
          <w:sz w:val="28"/>
          <w:szCs w:val="28"/>
          <w:highlight w:val="none"/>
        </w:rPr>
        <w:fldChar w:fldCharType="separate"/>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"_Toc138062989" </w:instrText>
      </w:r>
      <w:r>
        <w:rPr>
          <w:rFonts w:hint="default" w:ascii="Arial" w:hAnsi="Arial" w:cs="Arial"/>
          <w:b/>
          <w:bCs/>
          <w:sz w:val="28"/>
          <w:szCs w:val="28"/>
          <w:highlight w:val="none"/>
        </w:rPr>
        <w:fldChar w:fldCharType="separate"/>
      </w:r>
      <w:r>
        <w:rPr>
          <w:rStyle w:val="40"/>
          <w:rFonts w:hint="default" w:ascii="Arial" w:hAnsi="Arial" w:cs="Arial"/>
          <w:b/>
          <w:bCs/>
          <w:sz w:val="28"/>
          <w:szCs w:val="28"/>
          <w:highlight w:val="none"/>
        </w:rPr>
        <w:t>第一部分  摘  要</w:t>
      </w:r>
      <w:r>
        <w:rPr>
          <w:rFonts w:hint="default" w:ascii="Arial" w:hAnsi="Arial" w:cs="Arial"/>
          <w:b/>
          <w:bCs/>
          <w:sz w:val="28"/>
          <w:szCs w:val="28"/>
          <w:highlight w:val="none"/>
        </w:rPr>
        <w:tab/>
      </w:r>
      <w:r>
        <w:rPr>
          <w:rFonts w:hint="default" w:ascii="Arial" w:hAnsi="Arial" w:cs="Arial"/>
          <w:b/>
          <w:bCs/>
          <w:sz w:val="28"/>
          <w:szCs w:val="28"/>
          <w:highlight w:val="none"/>
          <w:lang w:val="en-US" w:eastAsia="zh-CN"/>
        </w:rPr>
        <w:t xml:space="preserve">  </w:t>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_Toc138062989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749CEA76">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"_Toc138062990"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一、估价项目名称</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_Toc138062990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42DBA90D">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"_Toc138062991"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二、委托估价方</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_Toc138062991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7FF13F0C">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"_Toc138062992"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三、估价目的</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_Toc138062992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50C9BB4">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"_Toc138062993"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四、估价期日</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_Toc138062993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FBE3B68">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"_Toc138062994"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五、估价日期</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_Toc138062994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FF9D7A7">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"_Toc138062995"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六、地价定义</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_Toc138062995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1ED2F777">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"_Toc138062996"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七、估价结果</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_Toc138062996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6</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1E6C42E2">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"_Toc138062997" </w:instrText>
      </w:r>
      <w:r>
        <w:rPr>
          <w:rFonts w:hint="default" w:ascii="Arial" w:hAnsi="Arial" w:cs="Arial"/>
          <w:b/>
          <w:bCs/>
          <w:sz w:val="28"/>
          <w:szCs w:val="28"/>
          <w:highlight w:val="none"/>
        </w:rPr>
        <w:fldChar w:fldCharType="separate"/>
      </w:r>
      <w:r>
        <w:rPr>
          <w:rStyle w:val="40"/>
          <w:rFonts w:hint="default" w:ascii="Arial" w:hAnsi="Arial" w:cs="Arial"/>
          <w:b/>
          <w:bCs/>
          <w:sz w:val="28"/>
          <w:szCs w:val="28"/>
          <w:highlight w:val="none"/>
        </w:rPr>
        <w:t>八</w:t>
      </w:r>
      <w:r>
        <w:rPr>
          <w:rStyle w:val="40"/>
          <w:rFonts w:hint="default" w:ascii="Arial" w:hAnsi="Arial" w:eastAsia="仿宋_GB2312" w:cs="Arial"/>
          <w:b/>
          <w:bCs/>
          <w:sz w:val="28"/>
          <w:szCs w:val="28"/>
          <w:highlight w:val="none"/>
        </w:rPr>
        <w:t>、土地估价专业评估师签字</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_Toc138062997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10</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3A4EA9D9">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"_Toc138062998"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九、土地估价机构</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_Toc138062998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10</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76D6CA30">
      <w:pPr>
        <w:pStyle w:val="22"/>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"_Toc138063000" </w:instrText>
      </w:r>
      <w:r>
        <w:rPr>
          <w:rFonts w:hint="default" w:ascii="Arial" w:hAnsi="Arial" w:cs="Arial"/>
          <w:b/>
          <w:bCs/>
          <w:sz w:val="28"/>
          <w:szCs w:val="28"/>
          <w:highlight w:val="none"/>
        </w:rPr>
        <w:fldChar w:fldCharType="separate"/>
      </w:r>
      <w:r>
        <w:rPr>
          <w:rStyle w:val="40"/>
          <w:rFonts w:hint="default" w:ascii="Arial" w:hAnsi="Arial" w:cs="Arial"/>
          <w:b/>
          <w:bCs/>
          <w:sz w:val="28"/>
          <w:szCs w:val="28"/>
          <w:highlight w:val="none"/>
        </w:rPr>
        <w:t>第二部分  估价对象界定</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_Toc138063000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13</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91783E8">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"_Toc138063001"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一、委托估价方</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_Toc138063001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13</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062C277D">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"_Toc138063002"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二、估价对象</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_Toc138063002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13</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6F38F78">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"_Toc138063003"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三、估价对象概况</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_Toc138063003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15</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8D3DD1D">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"_Toc138063004"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四、影响地价的因素说明</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_Toc138063004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18</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2D6784D">
      <w:pPr>
        <w:pStyle w:val="22"/>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"_Toc138063006" </w:instrText>
      </w:r>
      <w:r>
        <w:rPr>
          <w:rFonts w:hint="default" w:ascii="Arial" w:hAnsi="Arial" w:cs="Arial"/>
          <w:b/>
          <w:bCs/>
          <w:sz w:val="28"/>
          <w:szCs w:val="28"/>
          <w:highlight w:val="none"/>
        </w:rPr>
        <w:fldChar w:fldCharType="separate"/>
      </w:r>
      <w:r>
        <w:rPr>
          <w:rStyle w:val="40"/>
          <w:rFonts w:hint="default" w:ascii="Arial" w:hAnsi="Arial" w:cs="Arial"/>
          <w:b/>
          <w:bCs/>
          <w:sz w:val="28"/>
          <w:szCs w:val="28"/>
          <w:highlight w:val="none"/>
        </w:rPr>
        <w:t>第三部分  土地估价结果及其使用</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_Toc138063006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50</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58D208D9">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"_Toc138063007"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一、估价依据</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_Toc138063007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50</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0CAA55BC">
      <w:pPr>
        <w:pStyle w:val="27"/>
        <w:rPr>
          <w:rFonts w:hint="default" w:ascii="Arial" w:hAnsi="Arial" w:eastAsia="等线"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"_Toc138063008" </w:instrText>
      </w:r>
      <w:r>
        <w:rPr>
          <w:rFonts w:hint="default" w:ascii="Arial" w:hAnsi="Arial" w:cs="Arial"/>
          <w:b/>
          <w:bCs/>
          <w:sz w:val="28"/>
          <w:szCs w:val="28"/>
          <w:highlight w:val="none"/>
        </w:rPr>
        <w:fldChar w:fldCharType="separate"/>
      </w:r>
      <w:r>
        <w:rPr>
          <w:rStyle w:val="40"/>
          <w:rFonts w:hint="default" w:ascii="Arial" w:hAnsi="Arial" w:eastAsia="仿宋_GB2312" w:cs="Arial"/>
          <w:b/>
          <w:bCs/>
          <w:sz w:val="28"/>
          <w:szCs w:val="28"/>
          <w:highlight w:val="none"/>
        </w:rPr>
        <w:t>二、土地估价</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_Toc138063008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56</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7DA7CC29">
      <w:pPr>
        <w:pStyle w:val="22"/>
        <w:rPr>
          <w:rFonts w:ascii="Arial" w:cs="Arial"/>
          <w:sz w:val="44"/>
          <w:highlight w:val="none"/>
        </w:rPr>
        <w:sectPr>
          <w:headerReference r:id="rId12" w:type="first"/>
          <w:footerReference r:id="rId15" w:type="first"/>
          <w:headerReference r:id="rId11" w:type="default"/>
          <w:footerReference r:id="rId13" w:type="default"/>
          <w:footerReference r:id="rId14" w:type="even"/>
          <w:pgSz w:w="11907" w:h="16840"/>
          <w:pgMar w:top="1418" w:right="1418" w:bottom="1134" w:left="1418" w:header="851" w:footer="1134" w:gutter="0"/>
          <w:pgNumType w:fmt="decimal" w:start="1"/>
          <w:cols w:space="720" w:num="1"/>
          <w:titlePg/>
        </w:sect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"_Toc138063009" </w:instrText>
      </w:r>
      <w:r>
        <w:rPr>
          <w:rFonts w:hint="default" w:ascii="Arial" w:hAnsi="Arial" w:cs="Arial"/>
          <w:b/>
          <w:bCs/>
          <w:sz w:val="28"/>
          <w:szCs w:val="28"/>
          <w:highlight w:val="none"/>
        </w:rPr>
        <w:fldChar w:fldCharType="separate"/>
      </w:r>
      <w:r>
        <w:rPr>
          <w:rStyle w:val="40"/>
          <w:rFonts w:hint="default" w:ascii="Arial" w:hAnsi="Arial" w:cs="Arial"/>
          <w:b/>
          <w:bCs/>
          <w:sz w:val="28"/>
          <w:szCs w:val="28"/>
          <w:highlight w:val="none"/>
        </w:rPr>
        <w:t>第四部分  附  件</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_Toc138063009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75</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r>
        <w:rPr>
          <w:rFonts w:hint="default" w:ascii="Arial" w:hAnsi="Arial" w:eastAsia="仿宋" w:cs="Arial"/>
          <w:b/>
          <w:bCs/>
          <w:sz w:val="28"/>
          <w:szCs w:val="28"/>
          <w:highlight w:val="none"/>
        </w:rPr>
        <w:fldChar w:fldCharType="end"/>
      </w:r>
    </w:p>
    <w:p w14:paraId="295029F2">
      <w:pPr>
        <w:spacing w:line="300" w:lineRule="auto"/>
        <w:jc w:val="center"/>
        <w:rPr>
          <w:rFonts w:ascii="Arial" w:hAnsi="Arial" w:cs="Arial"/>
          <w:b/>
          <w:sz w:val="32"/>
          <w:highlight w:val="none"/>
        </w:rPr>
      </w:pPr>
      <w:r>
        <w:rPr>
          <w:rFonts w:ascii="Arial" w:hAnsi="Arial" w:cs="Arial"/>
          <w:b/>
          <w:sz w:val="32"/>
          <w:highlight w:val="none"/>
        </w:rPr>
        <w:t>土</w:t>
      </w:r>
      <w:r>
        <w:rPr>
          <w:rFonts w:ascii="Arial" w:hAnsi="Arial" w:eastAsia="仿宋_GB2312" w:cs="Arial"/>
          <w:b/>
          <w:sz w:val="32"/>
          <w:highlight w:val="none"/>
        </w:rPr>
        <w:t xml:space="preserve"> </w:t>
      </w:r>
      <w:r>
        <w:rPr>
          <w:rFonts w:ascii="Arial" w:hAnsi="Arial" w:cs="Arial"/>
          <w:b/>
          <w:sz w:val="32"/>
          <w:highlight w:val="none"/>
        </w:rPr>
        <w:t>地</w:t>
      </w:r>
      <w:r>
        <w:rPr>
          <w:rFonts w:ascii="Arial" w:hAnsi="Arial" w:eastAsia="仿宋_GB2312" w:cs="Arial"/>
          <w:b/>
          <w:sz w:val="32"/>
          <w:highlight w:val="none"/>
        </w:rPr>
        <w:t xml:space="preserve"> </w:t>
      </w:r>
      <w:r>
        <w:rPr>
          <w:rFonts w:ascii="Arial" w:hAnsi="Arial" w:cs="Arial"/>
          <w:b/>
          <w:sz w:val="32"/>
          <w:highlight w:val="none"/>
        </w:rPr>
        <w:t>估</w:t>
      </w:r>
      <w:r>
        <w:rPr>
          <w:rFonts w:ascii="Arial" w:hAnsi="Arial" w:eastAsia="仿宋_GB2312" w:cs="Arial"/>
          <w:b/>
          <w:sz w:val="32"/>
          <w:highlight w:val="none"/>
        </w:rPr>
        <w:t xml:space="preserve"> </w:t>
      </w:r>
      <w:r>
        <w:rPr>
          <w:rFonts w:ascii="Arial" w:hAnsi="Arial" w:cs="Arial"/>
          <w:b/>
          <w:sz w:val="32"/>
          <w:highlight w:val="none"/>
        </w:rPr>
        <w:t>价</w:t>
      </w:r>
      <w:r>
        <w:rPr>
          <w:rFonts w:ascii="Arial" w:hAnsi="Arial" w:eastAsia="仿宋_GB2312" w:cs="Arial"/>
          <w:b/>
          <w:sz w:val="32"/>
          <w:highlight w:val="none"/>
        </w:rPr>
        <w:t xml:space="preserve"> </w:t>
      </w:r>
      <w:r>
        <w:rPr>
          <w:rFonts w:ascii="Arial" w:hAnsi="Arial" w:cs="Arial"/>
          <w:b/>
          <w:sz w:val="32"/>
          <w:highlight w:val="none"/>
        </w:rPr>
        <w:t>报</w:t>
      </w:r>
      <w:r>
        <w:rPr>
          <w:rFonts w:ascii="Arial" w:hAnsi="Arial" w:eastAsia="仿宋_GB2312" w:cs="Arial"/>
          <w:b/>
          <w:sz w:val="32"/>
          <w:highlight w:val="none"/>
        </w:rPr>
        <w:t xml:space="preserve"> </w:t>
      </w:r>
      <w:r>
        <w:rPr>
          <w:rFonts w:ascii="Arial" w:hAnsi="Arial" w:cs="Arial"/>
          <w:b/>
          <w:sz w:val="32"/>
          <w:highlight w:val="none"/>
        </w:rPr>
        <w:t>告</w:t>
      </w:r>
    </w:p>
    <w:p w14:paraId="0365F5DF">
      <w:pPr>
        <w:spacing w:line="300" w:lineRule="auto"/>
        <w:rPr>
          <w:rFonts w:ascii="Arial" w:hAnsi="Arial" w:eastAsia="楷体_GB2312" w:cs="Arial"/>
          <w:b/>
          <w:sz w:val="32"/>
          <w:highlight w:val="none"/>
        </w:rPr>
      </w:pPr>
    </w:p>
    <w:p w14:paraId="79960E07">
      <w:pPr>
        <w:tabs>
          <w:tab w:val="center" w:pos="4332"/>
          <w:tab w:val="right" w:pos="8664"/>
        </w:tabs>
        <w:spacing w:line="300" w:lineRule="auto"/>
        <w:outlineLvl w:val="0"/>
        <w:rPr>
          <w:rFonts w:ascii="Arial" w:hAnsi="Arial" w:cs="Arial"/>
          <w:sz w:val="32"/>
          <w:highlight w:val="none"/>
        </w:rPr>
      </w:pPr>
      <w:bookmarkStart w:id="3" w:name="_Toc418750878"/>
      <w:bookmarkStart w:id="4" w:name="_Toc416783516"/>
      <w:r>
        <w:rPr>
          <w:rFonts w:ascii="Arial" w:hAnsi="Arial" w:cs="Arial"/>
          <w:b/>
          <w:sz w:val="32"/>
          <w:highlight w:val="none"/>
        </w:rPr>
        <w:tab/>
      </w:r>
      <w:bookmarkStart w:id="5" w:name="_Toc132016719"/>
      <w:bookmarkStart w:id="6" w:name="_Toc469066300"/>
      <w:bookmarkStart w:id="7" w:name="_Toc138062989"/>
      <w:bookmarkStart w:id="8" w:name="_Toc531701548"/>
      <w:bookmarkStart w:id="9" w:name="_Toc520261123"/>
      <w:bookmarkStart w:id="10" w:name="_Toc425250300"/>
      <w:r>
        <w:rPr>
          <w:rFonts w:ascii="Arial" w:hAnsi="Arial" w:cs="Arial"/>
          <w:b/>
          <w:sz w:val="32"/>
          <w:highlight w:val="none"/>
        </w:rPr>
        <w:t>第一部分</w:t>
      </w:r>
      <w:r>
        <w:rPr>
          <w:rFonts w:ascii="Arial" w:hAnsi="Arial" w:eastAsia="仿宋_GB2312" w:cs="Arial"/>
          <w:b/>
          <w:sz w:val="32"/>
          <w:highlight w:val="none"/>
        </w:rPr>
        <w:t xml:space="preserve">  </w:t>
      </w:r>
      <w:r>
        <w:rPr>
          <w:rFonts w:ascii="Arial" w:hAnsi="Arial" w:cs="Arial"/>
          <w:b/>
          <w:sz w:val="32"/>
          <w:highlight w:val="none"/>
        </w:rPr>
        <w:t>摘</w:t>
      </w:r>
      <w:r>
        <w:rPr>
          <w:rFonts w:ascii="Arial" w:hAnsi="Arial" w:eastAsia="仿宋_GB2312" w:cs="Arial"/>
          <w:b/>
          <w:sz w:val="32"/>
          <w:highlight w:val="none"/>
        </w:rPr>
        <w:t xml:space="preserve">  </w:t>
      </w:r>
      <w:r>
        <w:rPr>
          <w:rFonts w:ascii="Arial" w:hAnsi="Arial" w:cs="Arial"/>
          <w:b/>
          <w:sz w:val="32"/>
          <w:highlight w:val="none"/>
        </w:rPr>
        <w:t>要</w:t>
      </w:r>
      <w:bookmarkEnd w:id="3"/>
      <w:bookmarkEnd w:id="4"/>
      <w:bookmarkEnd w:id="5"/>
      <w:bookmarkEnd w:id="6"/>
      <w:bookmarkEnd w:id="7"/>
      <w:bookmarkEnd w:id="8"/>
      <w:bookmarkEnd w:id="9"/>
      <w:bookmarkEnd w:id="10"/>
      <w:r>
        <w:rPr>
          <w:rFonts w:ascii="Arial" w:hAnsi="Arial" w:cs="Arial"/>
          <w:b/>
          <w:sz w:val="32"/>
          <w:highlight w:val="none"/>
        </w:rPr>
        <w:tab/>
      </w:r>
    </w:p>
    <w:p w14:paraId="0CA50E38">
      <w:pPr>
        <w:spacing w:line="300" w:lineRule="auto"/>
        <w:rPr>
          <w:rFonts w:ascii="Arial" w:hAnsi="Arial" w:eastAsia="仿宋_GB2312" w:cs="Arial"/>
          <w:sz w:val="28"/>
          <w:highlight w:val="none"/>
        </w:rPr>
      </w:pPr>
    </w:p>
    <w:p w14:paraId="331F2E92">
      <w:pPr>
        <w:spacing w:line="300" w:lineRule="auto"/>
        <w:jc w:val="both"/>
        <w:outlineLvl w:val="1"/>
        <w:rPr>
          <w:rFonts w:ascii="Arial" w:hAnsi="Arial" w:eastAsia="仿宋_GB2312" w:cs="Arial"/>
          <w:b/>
          <w:bCs/>
          <w:sz w:val="28"/>
          <w:highlight w:val="none"/>
        </w:rPr>
      </w:pPr>
      <w:bookmarkStart w:id="11" w:name="_Toc138062990"/>
      <w:r>
        <w:rPr>
          <w:rFonts w:ascii="Arial" w:hAnsi="Arial" w:eastAsia="仿宋_GB2312" w:cs="Arial"/>
          <w:b/>
          <w:bCs/>
          <w:sz w:val="28"/>
          <w:highlight w:val="none"/>
        </w:rPr>
        <w:t>一、估价项目名称</w:t>
      </w:r>
      <w:bookmarkEnd w:id="11"/>
    </w:p>
    <w:p w14:paraId="1691B3AB">
      <w:pPr>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北京市顺义区高丽营镇夏县营村棚户区改造土地开发项目01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008、01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016、01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026</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1、01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020地块R2二类居住用地、A334托幼用地</w:t>
      </w:r>
      <w:r>
        <w:rPr>
          <w:rFonts w:ascii="Arial" w:hAnsi="Arial" w:eastAsia="仿宋_GB2312" w:cs="Arial"/>
          <w:sz w:val="28"/>
          <w:highlight w:val="none"/>
        </w:rPr>
        <w:t>国有建设用地使用权出让价格评估</w:t>
      </w:r>
    </w:p>
    <w:p w14:paraId="643D70C2">
      <w:pPr>
        <w:spacing w:line="300" w:lineRule="auto"/>
        <w:ind w:firstLine="560" w:firstLineChars="200"/>
        <w:jc w:val="both"/>
        <w:rPr>
          <w:rFonts w:ascii="Arial" w:hAnsi="Arial" w:eastAsia="仿宋_GB2312" w:cs="Arial"/>
          <w:sz w:val="28"/>
          <w:highlight w:val="none"/>
        </w:rPr>
      </w:pPr>
    </w:p>
    <w:p w14:paraId="6EA652BA">
      <w:pPr>
        <w:spacing w:line="300" w:lineRule="auto"/>
        <w:jc w:val="both"/>
        <w:outlineLvl w:val="1"/>
        <w:rPr>
          <w:rFonts w:ascii="Arial" w:hAnsi="Arial" w:eastAsia="仿宋_GB2312" w:cs="Arial"/>
          <w:b/>
          <w:bCs/>
          <w:sz w:val="28"/>
          <w:highlight w:val="none"/>
        </w:rPr>
      </w:pPr>
      <w:bookmarkStart w:id="12" w:name="_Toc138062991"/>
      <w:bookmarkStart w:id="13" w:name="_Toc132016721"/>
      <w:bookmarkStart w:id="14" w:name="_Toc469066302"/>
      <w:bookmarkStart w:id="15" w:name="_Toc416783518"/>
      <w:bookmarkStart w:id="16" w:name="_Toc520261125"/>
      <w:bookmarkStart w:id="17" w:name="_Toc425250302"/>
      <w:bookmarkStart w:id="18" w:name="_Toc515458359"/>
      <w:bookmarkStart w:id="19" w:name="_Toc531701550"/>
      <w:bookmarkStart w:id="20" w:name="_Toc418750880"/>
      <w:bookmarkStart w:id="21" w:name="_Toc515261586"/>
      <w:r>
        <w:rPr>
          <w:rFonts w:ascii="Arial" w:hAnsi="Arial" w:eastAsia="仿宋_GB2312" w:cs="Arial"/>
          <w:b/>
          <w:bCs/>
          <w:sz w:val="28"/>
          <w:highlight w:val="none"/>
        </w:rPr>
        <w:t>二、委托估价方</w:t>
      </w:r>
      <w:bookmarkEnd w:id="12"/>
      <w:bookmarkEnd w:id="13"/>
      <w:bookmarkEnd w:id="14"/>
      <w:bookmarkEnd w:id="15"/>
      <w:bookmarkEnd w:id="16"/>
      <w:bookmarkEnd w:id="17"/>
      <w:bookmarkEnd w:id="18"/>
      <w:bookmarkEnd w:id="19"/>
      <w:bookmarkEnd w:id="20"/>
      <w:bookmarkEnd w:id="21"/>
    </w:p>
    <w:p w14:paraId="52446F01">
      <w:pPr>
        <w:spacing w:line="300" w:lineRule="auto"/>
        <w:ind w:firstLine="560" w:firstLineChars="200"/>
        <w:jc w:val="both"/>
        <w:rPr>
          <w:rFonts w:hint="eastAsia" w:ascii="Arial" w:hAnsi="Arial" w:eastAsia="仿宋" w:cs="Arial"/>
          <w:bCs/>
          <w:sz w:val="28"/>
          <w:szCs w:val="28"/>
          <w:highlight w:val="none"/>
          <w:lang w:eastAsia="zh-CN"/>
        </w:rPr>
      </w:pPr>
      <w:r>
        <w:rPr>
          <w:rFonts w:hint="eastAsia" w:ascii="Arial" w:hAnsi="Arial" w:eastAsia="仿宋" w:cs="Arial"/>
          <w:bCs/>
          <w:sz w:val="28"/>
          <w:szCs w:val="28"/>
          <w:highlight w:val="none"/>
        </w:rPr>
        <w:t>单位名称</w:t>
      </w:r>
      <w:r>
        <w:rPr>
          <w:rFonts w:hint="eastAsia" w:ascii="Arial" w:hAnsi="Arial" w:eastAsia="仿宋" w:cs="Arial"/>
          <w:bCs/>
          <w:sz w:val="28"/>
          <w:szCs w:val="28"/>
          <w:highlight w:val="none"/>
          <w:lang w:eastAsia="zh-CN"/>
        </w:rPr>
        <w:t>：北京市规划和自然资源委员会</w:t>
      </w:r>
    </w:p>
    <w:p w14:paraId="3B11C9DB">
      <w:pPr>
        <w:spacing w:line="300" w:lineRule="auto"/>
        <w:ind w:firstLine="560" w:firstLineChars="200"/>
        <w:jc w:val="both"/>
        <w:rPr>
          <w:rFonts w:hint="eastAsia" w:ascii="Arial" w:hAnsi="Arial" w:eastAsia="仿宋" w:cs="Arial"/>
          <w:bCs/>
          <w:sz w:val="28"/>
          <w:szCs w:val="28"/>
          <w:highlight w:val="none"/>
        </w:rPr>
      </w:pPr>
      <w:r>
        <w:rPr>
          <w:rFonts w:hint="eastAsia" w:ascii="Arial" w:hAnsi="Arial" w:eastAsia="仿宋" w:cs="Arial"/>
          <w:bCs/>
          <w:sz w:val="28"/>
          <w:szCs w:val="28"/>
          <w:highlight w:val="none"/>
        </w:rPr>
        <w:t>地址</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北京市通州区承安街1号院</w:t>
      </w:r>
    </w:p>
    <w:p w14:paraId="0B8E26C9">
      <w:pPr>
        <w:spacing w:line="300" w:lineRule="auto"/>
        <w:ind w:firstLine="560" w:firstLineChars="200"/>
        <w:jc w:val="both"/>
        <w:rPr>
          <w:rFonts w:hint="default" w:ascii="Arial" w:hAnsi="Arial" w:eastAsia="仿宋" w:cs="Arial"/>
          <w:bCs/>
          <w:sz w:val="28"/>
          <w:szCs w:val="28"/>
          <w:highlight w:val="none"/>
          <w:lang w:val="en-US" w:eastAsia="zh-CN"/>
        </w:rPr>
      </w:pPr>
      <w:r>
        <w:rPr>
          <w:rFonts w:hint="eastAsia" w:ascii="Arial" w:hAnsi="Arial" w:eastAsia="仿宋" w:cs="Arial"/>
          <w:bCs/>
          <w:sz w:val="28"/>
          <w:szCs w:val="28"/>
          <w:highlight w:val="none"/>
        </w:rPr>
        <w:t>联系人</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lang w:val="en-US" w:eastAsia="zh-CN"/>
        </w:rPr>
        <w:t>李德润</w:t>
      </w:r>
    </w:p>
    <w:p w14:paraId="619A358E">
      <w:pPr>
        <w:spacing w:line="300" w:lineRule="auto"/>
        <w:ind w:firstLine="560" w:firstLineChars="200"/>
        <w:jc w:val="both"/>
        <w:rPr>
          <w:rFonts w:hint="eastAsia" w:ascii="Arial" w:hAnsi="Arial" w:eastAsia="仿宋" w:cs="Arial"/>
          <w:bCs/>
          <w:sz w:val="28"/>
          <w:szCs w:val="28"/>
          <w:highlight w:val="none"/>
        </w:rPr>
      </w:pPr>
      <w:r>
        <w:rPr>
          <w:rFonts w:hint="eastAsia" w:ascii="Arial" w:hAnsi="Arial" w:eastAsia="仿宋" w:cs="Arial"/>
          <w:bCs/>
          <w:sz w:val="28"/>
          <w:szCs w:val="28"/>
          <w:highlight w:val="none"/>
        </w:rPr>
        <w:t>联系电话</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010</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55595171</w:t>
      </w:r>
    </w:p>
    <w:p w14:paraId="73F15660">
      <w:pPr>
        <w:spacing w:line="300" w:lineRule="auto"/>
        <w:ind w:firstLine="560" w:firstLineChars="200"/>
        <w:jc w:val="both"/>
        <w:rPr>
          <w:rFonts w:hint="eastAsia" w:ascii="Arial" w:hAnsi="Arial" w:eastAsia="仿宋" w:cs="Arial"/>
          <w:bCs/>
          <w:sz w:val="28"/>
          <w:szCs w:val="28"/>
          <w:highlight w:val="none"/>
        </w:rPr>
      </w:pPr>
    </w:p>
    <w:p w14:paraId="7405833E">
      <w:pPr>
        <w:spacing w:line="300" w:lineRule="auto"/>
        <w:jc w:val="both"/>
        <w:outlineLvl w:val="1"/>
        <w:rPr>
          <w:rFonts w:ascii="Arial" w:hAnsi="Arial" w:eastAsia="仿宋_GB2312" w:cs="Arial"/>
          <w:b/>
          <w:bCs/>
          <w:sz w:val="28"/>
          <w:highlight w:val="none"/>
        </w:rPr>
      </w:pPr>
      <w:bookmarkStart w:id="22" w:name="_Toc138062992"/>
      <w:bookmarkStart w:id="23" w:name="_Toc416783519"/>
      <w:bookmarkStart w:id="24" w:name="_Toc515458360"/>
      <w:bookmarkStart w:id="25" w:name="_Toc520261126"/>
      <w:bookmarkStart w:id="26" w:name="_Toc425250303"/>
      <w:bookmarkStart w:id="27" w:name="_Toc531701551"/>
      <w:bookmarkStart w:id="28" w:name="_Toc515261587"/>
      <w:bookmarkStart w:id="29" w:name="_Toc132016722"/>
      <w:bookmarkStart w:id="30" w:name="_Toc418750881"/>
      <w:bookmarkStart w:id="31" w:name="_Toc469066303"/>
      <w:r>
        <w:rPr>
          <w:rFonts w:ascii="Arial" w:hAnsi="Arial" w:eastAsia="仿宋_GB2312" w:cs="Arial"/>
          <w:b/>
          <w:bCs/>
          <w:sz w:val="28"/>
          <w:highlight w:val="none"/>
        </w:rPr>
        <w:t>三、估价目的</w:t>
      </w:r>
      <w:bookmarkEnd w:id="22"/>
      <w:bookmarkEnd w:id="23"/>
      <w:bookmarkEnd w:id="24"/>
      <w:bookmarkEnd w:id="25"/>
      <w:bookmarkEnd w:id="26"/>
      <w:bookmarkEnd w:id="27"/>
      <w:bookmarkEnd w:id="28"/>
      <w:bookmarkEnd w:id="29"/>
      <w:bookmarkEnd w:id="30"/>
      <w:bookmarkEnd w:id="31"/>
    </w:p>
    <w:p w14:paraId="1288C8A1">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w:t>
      </w:r>
      <w:r>
        <w:rPr>
          <w:rFonts w:hint="eastAsia" w:ascii="Arial" w:hAnsi="Arial" w:eastAsia="仿宋" w:cs="Arial"/>
          <w:sz w:val="28"/>
          <w:szCs w:val="28"/>
          <w:highlight w:val="none"/>
          <w:lang w:val="en-US" w:eastAsia="zh-CN"/>
        </w:rPr>
        <w:t>为</w:t>
      </w:r>
      <w:r>
        <w:rPr>
          <w:rFonts w:hint="eastAsia" w:ascii="Arial" w:hAnsi="Arial" w:eastAsia="仿宋_GB2312" w:cs="Arial"/>
          <w:sz w:val="28"/>
          <w:highlight w:val="none"/>
        </w:rPr>
        <w:t>北京市顺义区高丽营镇夏县营村棚户区改造土地开发项目01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008、01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016、01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026</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1、01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020地块R2二类居住用地、A334托幼用地</w:t>
      </w:r>
      <w:r>
        <w:rPr>
          <w:rFonts w:ascii="Arial" w:hAnsi="Arial" w:eastAsia="仿宋" w:cs="Arial"/>
          <w:sz w:val="28"/>
          <w:szCs w:val="28"/>
          <w:highlight w:val="none"/>
        </w:rPr>
        <w:t>位于</w:t>
      </w:r>
      <w:r>
        <w:rPr>
          <w:rFonts w:ascii="Arial" w:hAnsi="Arial" w:eastAsia="仿宋" w:cs="Arial"/>
          <w:sz w:val="28"/>
          <w:highlight w:val="none"/>
        </w:rPr>
        <w:t>顺义</w:t>
      </w:r>
      <w:r>
        <w:rPr>
          <w:rFonts w:ascii="Arial" w:hAnsi="Arial" w:eastAsia="仿宋" w:cs="Arial"/>
          <w:sz w:val="28"/>
          <w:szCs w:val="28"/>
          <w:highlight w:val="none"/>
        </w:rPr>
        <w:t>区</w:t>
      </w:r>
      <w:r>
        <w:rPr>
          <w:rFonts w:ascii="Arial" w:hAnsi="Arial" w:eastAsia="仿宋" w:cs="Arial"/>
          <w:sz w:val="28"/>
          <w:highlight w:val="none"/>
        </w:rPr>
        <w:t>高丽营</w:t>
      </w:r>
      <w:r>
        <w:rPr>
          <w:rFonts w:ascii="Arial" w:hAnsi="Arial" w:eastAsia="仿宋" w:cs="Arial"/>
          <w:sz w:val="28"/>
          <w:szCs w:val="28"/>
          <w:highlight w:val="none"/>
        </w:rPr>
        <w:t>镇夏县营村，</w:t>
      </w:r>
      <w:r>
        <w:rPr>
          <w:rFonts w:hint="eastAsia" w:ascii="Arial" w:hAnsi="Arial" w:eastAsia="仿宋" w:cs="Arial"/>
          <w:sz w:val="28"/>
          <w:szCs w:val="28"/>
          <w:highlight w:val="none"/>
          <w:lang w:eastAsia="zh-CN"/>
        </w:rPr>
        <w:t>东至火寺路，西至喜行路，南至丽喜花园，北至鑫鼎街</w:t>
      </w:r>
      <w:r>
        <w:rPr>
          <w:rFonts w:ascii="Arial" w:hAnsi="Arial" w:eastAsia="仿宋" w:cs="Arial"/>
          <w:sz w:val="28"/>
          <w:szCs w:val="28"/>
          <w:highlight w:val="none"/>
        </w:rPr>
        <w:t>。该宗地已取得</w:t>
      </w:r>
      <w:r>
        <w:rPr>
          <w:rFonts w:ascii="Arial" w:hAnsi="Arial" w:eastAsia="仿宋" w:cs="Arial"/>
          <w:sz w:val="28"/>
          <w:highlight w:val="none"/>
        </w:rPr>
        <w:t>《北京市人民政府关于顺义区二〇二〇年度批次建设用地的批复》（京政地字【2020】121号）</w:t>
      </w:r>
      <w:r>
        <w:rPr>
          <w:rFonts w:ascii="Arial" w:hAnsi="Arial" w:eastAsia="仿宋" w:cs="Arial"/>
          <w:sz w:val="28"/>
          <w:szCs w:val="28"/>
          <w:highlight w:val="none"/>
        </w:rPr>
        <w:t>，同意</w:t>
      </w:r>
      <w:r>
        <w:rPr>
          <w:rFonts w:ascii="Arial" w:hAnsi="Arial" w:eastAsia="仿宋" w:cs="Arial"/>
          <w:sz w:val="28"/>
          <w:highlight w:val="none"/>
        </w:rPr>
        <w:t>北京中交城市开发有限公司</w:t>
      </w:r>
      <w:r>
        <w:rPr>
          <w:rFonts w:ascii="Arial" w:hAnsi="Arial" w:eastAsia="仿宋" w:cs="Arial"/>
          <w:sz w:val="28"/>
          <w:szCs w:val="28"/>
          <w:highlight w:val="none"/>
        </w:rPr>
        <w:t>实施</w:t>
      </w:r>
      <w:r>
        <w:rPr>
          <w:rFonts w:ascii="Arial" w:hAnsi="Arial" w:eastAsia="仿宋" w:cs="Arial"/>
          <w:sz w:val="28"/>
          <w:highlight w:val="none"/>
        </w:rPr>
        <w:t>顺义</w:t>
      </w:r>
      <w:r>
        <w:rPr>
          <w:rFonts w:ascii="Arial" w:hAnsi="Arial" w:eastAsia="仿宋" w:cs="Arial"/>
          <w:sz w:val="28"/>
          <w:szCs w:val="28"/>
          <w:highlight w:val="none"/>
        </w:rPr>
        <w:t>区高丽营镇夏县营村棚户区</w:t>
      </w:r>
      <w:r>
        <w:rPr>
          <w:rFonts w:ascii="Arial" w:hAnsi="Arial" w:eastAsia="仿宋" w:cs="Arial"/>
          <w:sz w:val="28"/>
          <w:highlight w:val="none"/>
        </w:rPr>
        <w:t>改造土地开发项目</w:t>
      </w:r>
      <w:r>
        <w:rPr>
          <w:rFonts w:ascii="Arial" w:hAnsi="Arial" w:eastAsia="仿宋" w:cs="Arial"/>
          <w:sz w:val="28"/>
          <w:szCs w:val="28"/>
          <w:highlight w:val="none"/>
        </w:rPr>
        <w:t>，其中经营性建设用地入市公开交易。根据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,估价对象规划建设用地性质为</w:t>
      </w:r>
      <w:r>
        <w:rPr>
          <w:rFonts w:ascii="Arial" w:hAnsi="Arial" w:eastAsia="仿宋" w:cs="Arial"/>
          <w:sz w:val="28"/>
          <w:highlight w:val="none"/>
        </w:rPr>
        <w:t>R2二类居住用地及A334托幼</w:t>
      </w:r>
      <w:r>
        <w:rPr>
          <w:rFonts w:ascii="Arial" w:hAnsi="Arial" w:eastAsia="仿宋" w:cs="Arial"/>
          <w:sz w:val="28"/>
          <w:szCs w:val="28"/>
          <w:highlight w:val="none"/>
        </w:rPr>
        <w:t>用地，拟按照规划用途对估价对象实施挂牌供应。</w:t>
      </w:r>
    </w:p>
    <w:p w14:paraId="2F95888B">
      <w:pPr>
        <w:adjustRightInd/>
        <w:spacing w:line="300" w:lineRule="auto"/>
        <w:ind w:firstLine="560" w:firstLineChars="200"/>
        <w:jc w:val="both"/>
        <w:rPr>
          <w:rFonts w:ascii="Arial" w:hAnsi="Arial" w:eastAsia="仿宋_GB2312" w:cs="Arial"/>
          <w:sz w:val="28"/>
          <w:highlight w:val="none"/>
        </w:rPr>
      </w:pPr>
      <w:r>
        <w:rPr>
          <w:rFonts w:ascii="Arial" w:hAnsi="Arial" w:eastAsia="仿宋" w:cs="Arial"/>
          <w:sz w:val="28"/>
          <w:highlight w:val="none"/>
        </w:rPr>
        <w:t>根据《招标拍卖挂牌出让国有建设用地使用权规定》（国土资源部令第39号）及《国土资源部办公厅关于发布&lt;国有建设用地使用权出让地价评估技术规范&gt;的通知》（国土资厅发（2018）4号）的有关规定，受</w:t>
      </w:r>
      <w:r>
        <w:rPr>
          <w:rFonts w:hint="eastAsia" w:ascii="Arial" w:hAnsi="Arial" w:eastAsia="仿宋" w:cs="Arial"/>
          <w:bCs/>
          <w:sz w:val="28"/>
          <w:szCs w:val="28"/>
          <w:highlight w:val="none"/>
          <w:lang w:eastAsia="zh-CN"/>
        </w:rPr>
        <w:t>北京市规划和自然资源委员会</w:t>
      </w:r>
      <w:r>
        <w:rPr>
          <w:rFonts w:ascii="Arial" w:hAnsi="Arial" w:eastAsia="仿宋" w:cs="Arial"/>
          <w:sz w:val="28"/>
          <w:highlight w:val="none"/>
        </w:rPr>
        <w:t>委托评估该</w:t>
      </w:r>
      <w:r>
        <w:rPr>
          <w:rFonts w:hint="eastAsia" w:ascii="Arial" w:hAnsi="Arial" w:eastAsia="仿宋" w:cs="Arial"/>
          <w:sz w:val="28"/>
          <w:highlight w:val="none"/>
          <w:lang w:val="en-US" w:eastAsia="zh-CN"/>
        </w:rPr>
        <w:t>项目</w:t>
      </w:r>
      <w:r>
        <w:rPr>
          <w:rFonts w:ascii="Arial" w:hAnsi="Arial" w:eastAsia="仿宋" w:cs="Arial"/>
          <w:sz w:val="28"/>
          <w:highlight w:val="none"/>
        </w:rPr>
        <w:t>（北京市顺义区高丽营镇夏县营村棚户区改造土地开发项目01</w:t>
      </w:r>
      <w:r>
        <w:rPr>
          <w:rFonts w:hint="eastAsia" w:ascii="Arial" w:hAnsi="Arial" w:eastAsia="仿宋" w:cs="Arial"/>
          <w:sz w:val="28"/>
          <w:highlight w:val="none"/>
          <w:lang w:eastAsia="zh-CN"/>
        </w:rPr>
        <w:t>－</w:t>
      </w:r>
      <w:r>
        <w:rPr>
          <w:rFonts w:ascii="Arial" w:hAnsi="Arial" w:eastAsia="仿宋" w:cs="Arial"/>
          <w:sz w:val="28"/>
          <w:highlight w:val="none"/>
        </w:rPr>
        <w:t>008、01</w:t>
      </w:r>
      <w:r>
        <w:rPr>
          <w:rFonts w:hint="eastAsia" w:ascii="Arial" w:hAnsi="Arial" w:eastAsia="仿宋" w:cs="Arial"/>
          <w:sz w:val="28"/>
          <w:highlight w:val="none"/>
          <w:lang w:eastAsia="zh-CN"/>
        </w:rPr>
        <w:t>－</w:t>
      </w:r>
      <w:r>
        <w:rPr>
          <w:rFonts w:ascii="Arial" w:hAnsi="Arial" w:eastAsia="仿宋" w:cs="Arial"/>
          <w:sz w:val="28"/>
          <w:highlight w:val="none"/>
        </w:rPr>
        <w:t>016、01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1、01</w:t>
      </w:r>
      <w:r>
        <w:rPr>
          <w:rFonts w:hint="eastAsia" w:ascii="Arial" w:hAnsi="Arial" w:eastAsia="仿宋" w:cs="Arial"/>
          <w:sz w:val="28"/>
          <w:highlight w:val="none"/>
          <w:lang w:eastAsia="zh-CN"/>
        </w:rPr>
        <w:t>－</w:t>
      </w:r>
      <w:r>
        <w:rPr>
          <w:rFonts w:ascii="Arial" w:hAnsi="Arial" w:eastAsia="仿宋" w:cs="Arial"/>
          <w:sz w:val="28"/>
          <w:highlight w:val="none"/>
        </w:rPr>
        <w:t>020地块R2二类居住用地、A334托幼用地）国有建设用地使用权价格，为出让方通过集体决策确定</w:t>
      </w:r>
      <w:r>
        <w:rPr>
          <w:rFonts w:ascii="Arial" w:hAnsi="Arial" w:eastAsia="仿宋_GB2312" w:cs="Arial"/>
          <w:sz w:val="28"/>
          <w:highlight w:val="none"/>
        </w:rPr>
        <w:t>土地出让底价提供参考依据。</w:t>
      </w:r>
    </w:p>
    <w:p w14:paraId="015B49B7">
      <w:pPr>
        <w:adjustRightInd/>
        <w:spacing w:line="300" w:lineRule="auto"/>
        <w:ind w:firstLine="560" w:firstLineChars="200"/>
        <w:jc w:val="both"/>
        <w:rPr>
          <w:rFonts w:ascii="Arial" w:hAnsi="Arial" w:eastAsia="仿宋_GB2312" w:cs="Arial"/>
          <w:sz w:val="28"/>
          <w:highlight w:val="none"/>
        </w:rPr>
      </w:pPr>
    </w:p>
    <w:p w14:paraId="204504F7">
      <w:pPr>
        <w:spacing w:line="300" w:lineRule="auto"/>
        <w:jc w:val="both"/>
        <w:outlineLvl w:val="1"/>
        <w:rPr>
          <w:rFonts w:hint="eastAsia" w:ascii="Arial" w:hAnsi="Arial" w:eastAsia="仿宋_GB2312" w:cs="Arial"/>
          <w:sz w:val="28"/>
          <w:highlight w:val="none"/>
          <w:lang w:eastAsia="zh-CN"/>
        </w:rPr>
      </w:pPr>
      <w:bookmarkStart w:id="32" w:name="_Toc515458361"/>
      <w:bookmarkStart w:id="33" w:name="_Toc515261588"/>
      <w:bookmarkStart w:id="34" w:name="_Toc469066304"/>
      <w:bookmarkStart w:id="35" w:name="_Toc425250304"/>
      <w:bookmarkStart w:id="36" w:name="_Toc418750882"/>
      <w:bookmarkStart w:id="37" w:name="_Toc138062993"/>
      <w:bookmarkStart w:id="38" w:name="_Toc520261127"/>
      <w:bookmarkStart w:id="39" w:name="_Toc132016723"/>
      <w:bookmarkStart w:id="40" w:name="_Toc416783520"/>
      <w:bookmarkStart w:id="41" w:name="_Toc531701552"/>
      <w:r>
        <w:rPr>
          <w:rFonts w:ascii="Arial" w:hAnsi="Arial" w:eastAsia="仿宋_GB2312" w:cs="Arial"/>
          <w:b/>
          <w:bCs/>
          <w:sz w:val="28"/>
          <w:highlight w:val="none"/>
        </w:rPr>
        <w:t>四、估价期日</w:t>
      </w:r>
      <w:bookmarkEnd w:id="32"/>
      <w:bookmarkEnd w:id="33"/>
      <w:bookmarkEnd w:id="34"/>
      <w:bookmarkEnd w:id="35"/>
      <w:bookmarkEnd w:id="36"/>
      <w:bookmarkEnd w:id="37"/>
      <w:bookmarkEnd w:id="38"/>
      <w:bookmarkEnd w:id="39"/>
      <w:bookmarkEnd w:id="40"/>
      <w:bookmarkEnd w:id="41"/>
    </w:p>
    <w:p w14:paraId="7473F88A">
      <w:pPr>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lang w:eastAsia="zh-CN"/>
        </w:rPr>
        <w:t>2026年3月26日</w:t>
      </w:r>
      <w:r>
        <w:rPr>
          <w:rFonts w:ascii="Arial" w:hAnsi="Arial" w:eastAsia="仿宋_GB2312" w:cs="Arial"/>
          <w:sz w:val="28"/>
          <w:highlight w:val="none"/>
        </w:rPr>
        <w:t>（</w:t>
      </w:r>
      <w:r>
        <w:rPr>
          <w:rFonts w:ascii="Arial" w:hAnsi="Arial" w:eastAsia="仿宋_GB2312" w:cs="Arial"/>
          <w:sz w:val="28"/>
          <w:szCs w:val="28"/>
          <w:highlight w:val="none"/>
        </w:rPr>
        <w:t>根据《国有建设用地使用权出让地价评估委托书》确定</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为估价师实地查勘日</w:t>
      </w:r>
      <w:r>
        <w:rPr>
          <w:rFonts w:ascii="Arial" w:hAnsi="Arial" w:eastAsia="仿宋_GB2312" w:cs="Arial"/>
          <w:sz w:val="28"/>
          <w:highlight w:val="none"/>
        </w:rPr>
        <w:t>）</w:t>
      </w:r>
    </w:p>
    <w:p w14:paraId="5C10EB86">
      <w:pPr>
        <w:spacing w:line="300" w:lineRule="auto"/>
        <w:ind w:firstLine="560" w:firstLineChars="200"/>
        <w:jc w:val="both"/>
        <w:rPr>
          <w:rFonts w:ascii="Arial" w:hAnsi="Arial" w:eastAsia="仿宋_GB2312" w:cs="Arial"/>
          <w:sz w:val="28"/>
          <w:highlight w:val="none"/>
        </w:rPr>
      </w:pPr>
    </w:p>
    <w:p w14:paraId="2012BFAB">
      <w:pPr>
        <w:tabs>
          <w:tab w:val="left" w:pos="6957"/>
        </w:tabs>
        <w:spacing w:line="300" w:lineRule="auto"/>
        <w:jc w:val="both"/>
        <w:outlineLvl w:val="1"/>
        <w:rPr>
          <w:rFonts w:ascii="Arial" w:hAnsi="Arial" w:eastAsia="仿宋_GB2312" w:cs="Arial"/>
          <w:b/>
          <w:bCs/>
          <w:sz w:val="28"/>
          <w:highlight w:val="none"/>
        </w:rPr>
      </w:pPr>
      <w:bookmarkStart w:id="42" w:name="_Toc425250305"/>
      <w:bookmarkStart w:id="43" w:name="_Toc418750883"/>
      <w:bookmarkStart w:id="44" w:name="_Toc469066305"/>
      <w:bookmarkStart w:id="45" w:name="_Toc515458362"/>
      <w:bookmarkStart w:id="46" w:name="_Toc138062994"/>
      <w:bookmarkStart w:id="47" w:name="_Toc531701553"/>
      <w:bookmarkStart w:id="48" w:name="_Toc132016724"/>
      <w:bookmarkStart w:id="49" w:name="_Toc515261589"/>
      <w:bookmarkStart w:id="50" w:name="_Toc520261128"/>
      <w:bookmarkStart w:id="51" w:name="_Toc416783521"/>
      <w:r>
        <w:rPr>
          <w:rFonts w:ascii="Arial" w:hAnsi="Arial" w:eastAsia="仿宋_GB2312" w:cs="Arial"/>
          <w:b/>
          <w:bCs/>
          <w:sz w:val="28"/>
          <w:highlight w:val="none"/>
        </w:rPr>
        <w:t>五、估价日期</w:t>
      </w:r>
      <w:bookmarkEnd w:id="42"/>
      <w:bookmarkEnd w:id="43"/>
      <w:bookmarkEnd w:id="44"/>
      <w:bookmarkEnd w:id="45"/>
      <w:bookmarkEnd w:id="46"/>
      <w:bookmarkEnd w:id="47"/>
      <w:bookmarkEnd w:id="48"/>
      <w:bookmarkEnd w:id="49"/>
      <w:bookmarkEnd w:id="50"/>
      <w:bookmarkEnd w:id="51"/>
      <w:r>
        <w:rPr>
          <w:rFonts w:ascii="Arial" w:hAnsi="Arial" w:eastAsia="仿宋_GB2312" w:cs="Arial"/>
          <w:b/>
          <w:bCs/>
          <w:sz w:val="28"/>
          <w:highlight w:val="none"/>
        </w:rPr>
        <w:tab/>
      </w:r>
    </w:p>
    <w:p w14:paraId="32B4B3DF">
      <w:pPr>
        <w:spacing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eastAsia="zh-CN"/>
        </w:rPr>
        <w:t>2026年3月26日至2026年3月</w:t>
      </w:r>
      <w:r>
        <w:rPr>
          <w:rFonts w:hint="eastAsia" w:ascii="Arial" w:hAnsi="Arial" w:eastAsia="仿宋_GB2312" w:cs="Arial"/>
          <w:sz w:val="28"/>
          <w:highlight w:val="none"/>
          <w:lang w:val="en-US" w:eastAsia="zh-CN"/>
        </w:rPr>
        <w:t>31</w:t>
      </w:r>
      <w:r>
        <w:rPr>
          <w:rFonts w:hint="eastAsia" w:ascii="Arial" w:hAnsi="Arial" w:eastAsia="仿宋_GB2312" w:cs="Arial"/>
          <w:sz w:val="28"/>
          <w:highlight w:val="none"/>
          <w:lang w:eastAsia="zh-CN"/>
        </w:rPr>
        <w:t>日</w:t>
      </w:r>
    </w:p>
    <w:p w14:paraId="71A969D7">
      <w:pPr>
        <w:spacing w:line="300" w:lineRule="auto"/>
        <w:ind w:firstLine="560" w:firstLineChars="200"/>
        <w:jc w:val="both"/>
        <w:rPr>
          <w:rFonts w:hint="eastAsia" w:ascii="Arial" w:hAnsi="Arial" w:eastAsia="仿宋_GB2312" w:cs="Arial"/>
          <w:sz w:val="28"/>
          <w:highlight w:val="none"/>
          <w:lang w:eastAsia="zh-CN"/>
        </w:rPr>
      </w:pPr>
    </w:p>
    <w:p w14:paraId="59653D04">
      <w:pPr>
        <w:tabs>
          <w:tab w:val="left" w:pos="6957"/>
        </w:tabs>
        <w:spacing w:line="300" w:lineRule="auto"/>
        <w:jc w:val="both"/>
        <w:outlineLvl w:val="1"/>
        <w:rPr>
          <w:rFonts w:ascii="Arial" w:hAnsi="Arial" w:eastAsia="仿宋_GB2312" w:cs="Arial"/>
          <w:b/>
          <w:bCs/>
          <w:sz w:val="28"/>
          <w:highlight w:val="none"/>
        </w:rPr>
      </w:pPr>
      <w:bookmarkStart w:id="52" w:name="_Toc520261129"/>
      <w:bookmarkStart w:id="53" w:name="_Toc138062995"/>
      <w:bookmarkStart w:id="54" w:name="_Toc132016725"/>
      <w:bookmarkStart w:id="55" w:name="_Toc531701554"/>
      <w:r>
        <w:rPr>
          <w:rFonts w:ascii="Arial" w:hAnsi="Arial" w:eastAsia="仿宋_GB2312" w:cs="Arial"/>
          <w:b/>
          <w:bCs/>
          <w:sz w:val="28"/>
          <w:highlight w:val="none"/>
        </w:rPr>
        <w:t>六、地价定义</w:t>
      </w:r>
      <w:bookmarkEnd w:id="52"/>
      <w:bookmarkEnd w:id="53"/>
      <w:bookmarkEnd w:id="54"/>
      <w:bookmarkEnd w:id="55"/>
    </w:p>
    <w:p w14:paraId="1BE2957A">
      <w:pPr>
        <w:adjustRightInd/>
        <w:spacing w:line="300" w:lineRule="auto"/>
        <w:ind w:firstLine="560" w:firstLineChars="200"/>
        <w:rPr>
          <w:rFonts w:ascii="Arial" w:hAnsi="Arial" w:eastAsia="仿宋" w:cs="Arial"/>
          <w:sz w:val="28"/>
          <w:highlight w:val="none"/>
        </w:rPr>
      </w:pPr>
      <w:r>
        <w:rPr>
          <w:rFonts w:ascii="Arial" w:hAnsi="Arial" w:eastAsia="仿宋" w:cs="Arial"/>
          <w:sz w:val="28"/>
          <w:highlight w:val="none"/>
        </w:rPr>
        <w:t>土地估价专业评估师根据地价评估的技术规程、方法和项目的具体要求，参照正常市场价格水平，评估拟出让宗地国有建设用地使用权价格。</w:t>
      </w:r>
    </w:p>
    <w:p w14:paraId="6811FEB5">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熟地价是在公开市场条件下形成的客观合理价格，即估价对象在设定土地用途、</w:t>
      </w:r>
      <w:r>
        <w:rPr>
          <w:rFonts w:hint="eastAsia" w:ascii="Arial" w:hAnsi="Arial" w:eastAsia="仿宋" w:cs="Arial"/>
          <w:sz w:val="28"/>
          <w:highlight w:val="none"/>
          <w:lang w:eastAsia="zh-CN"/>
        </w:rPr>
        <w:t>土地使用权类型</w:t>
      </w:r>
      <w:r>
        <w:rPr>
          <w:rFonts w:ascii="Arial" w:hAnsi="Arial" w:eastAsia="仿宋" w:cs="Arial"/>
          <w:sz w:val="28"/>
          <w:highlight w:val="none"/>
        </w:rPr>
        <w:t>、开发程度、使用年期及规划利用条件下，于估价期日的出让国有建设用地使用权价格。</w:t>
      </w:r>
    </w:p>
    <w:p w14:paraId="6CEB8659">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根据《城镇土地估价规程》（GB/T 18508</w:t>
      </w:r>
      <w:r>
        <w:rPr>
          <w:rFonts w:hint="eastAsia" w:ascii="Arial" w:hAnsi="Arial" w:eastAsia="仿宋" w:cs="Arial"/>
          <w:sz w:val="28"/>
          <w:highlight w:val="none"/>
          <w:lang w:eastAsia="zh-CN"/>
        </w:rPr>
        <w:t>－</w:t>
      </w:r>
      <w:r>
        <w:rPr>
          <w:rFonts w:ascii="Arial" w:hAnsi="Arial" w:eastAsia="仿宋" w:cs="Arial"/>
          <w:sz w:val="28"/>
          <w:highlight w:val="none"/>
        </w:rPr>
        <w:t>2014）</w:t>
      </w:r>
      <w:r>
        <w:rPr>
          <w:rFonts w:hint="eastAsia" w:ascii="Arial" w:hAnsi="Arial" w:eastAsia="仿宋" w:cs="Arial"/>
          <w:sz w:val="28"/>
          <w:highlight w:val="none"/>
          <w:lang w:eastAsia="zh-CN"/>
        </w:rPr>
        <w:t>、</w:t>
      </w:r>
      <w:r>
        <w:rPr>
          <w:rFonts w:ascii="Arial" w:hAnsi="Arial" w:eastAsia="仿宋" w:cs="Arial"/>
          <w:sz w:val="28"/>
          <w:highlight w:val="none"/>
        </w:rPr>
        <w:t>《国土资源部办公厅关于发布&lt;国有建设用地使用权出让地价评估技术规范&gt;的通知》（国土资厅发（2018）4号），对有关事项做出以下设定：</w:t>
      </w:r>
    </w:p>
    <w:p w14:paraId="228DF1F4">
      <w:pPr>
        <w:pStyle w:val="90"/>
        <w:numPr>
          <w:ilvl w:val="0"/>
          <w:numId w:val="5"/>
        </w:numPr>
        <w:adjustRightInd/>
        <w:spacing w:line="300" w:lineRule="auto"/>
        <w:ind w:left="0" w:firstLine="560"/>
        <w:jc w:val="both"/>
        <w:textAlignment w:val="auto"/>
        <w:rPr>
          <w:rFonts w:ascii="Arial" w:hAnsi="Arial" w:eastAsia="仿宋" w:cs="Arial"/>
          <w:sz w:val="28"/>
          <w:highlight w:val="none"/>
        </w:rPr>
      </w:pPr>
      <w:r>
        <w:rPr>
          <w:rFonts w:ascii="Arial" w:hAnsi="Arial" w:eastAsia="仿宋" w:cs="Arial"/>
          <w:sz w:val="28"/>
          <w:highlight w:val="none"/>
        </w:rPr>
        <w:t>土地用途设定：</w:t>
      </w:r>
    </w:p>
    <w:p w14:paraId="22A9A08E">
      <w:pPr>
        <w:adjustRightInd/>
        <w:spacing w:line="300" w:lineRule="auto"/>
        <w:ind w:firstLine="560" w:firstLineChars="200"/>
        <w:jc w:val="both"/>
        <w:rPr>
          <w:rFonts w:hint="eastAsia" w:ascii="Arial" w:hAnsi="Arial" w:eastAsia="仿宋" w:cs="Arial"/>
          <w:sz w:val="28"/>
          <w:highlight w:val="none"/>
          <w:lang w:eastAsia="zh-CN"/>
        </w:rPr>
      </w:pPr>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w:t>
      </w:r>
      <w:r>
        <w:rPr>
          <w:rFonts w:ascii="Arial" w:hAnsi="Arial" w:eastAsia="仿宋" w:cs="Arial"/>
          <w:sz w:val="28"/>
          <w:highlight w:val="none"/>
        </w:rPr>
        <w:t>估价对象规划用途为R2二类居住用地及A334托幼用地，其中A334托幼用地不出让。</w:t>
      </w:r>
      <w:r>
        <w:rPr>
          <w:rFonts w:ascii="Arial" w:hAnsi="Arial" w:eastAsia="仿宋" w:cs="Arial"/>
          <w:sz w:val="28"/>
          <w:szCs w:val="28"/>
          <w:highlight w:val="none"/>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办通知》（自然资办（2020）51号）、《土地利用现状分类》（GB/T21010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2017）、《北京市人民政府关于更新出让国有建设用地使用权基准地价的通知》（京政发（2022）12号），按照</w:t>
      </w:r>
      <w:r>
        <w:rPr>
          <w:rFonts w:hint="eastAsia" w:ascii="Arial" w:hAnsi="Arial" w:eastAsia="仿宋" w:cs="Arial"/>
          <w:sz w:val="28"/>
          <w:szCs w:val="28"/>
          <w:highlight w:val="none"/>
          <w:lang w:eastAsia="zh-CN"/>
        </w:rPr>
        <w:t>《北京市国有建设用地使用权出让地价评估技术导则》（2026年2月10日实施）</w:t>
      </w:r>
      <w:r>
        <w:rPr>
          <w:rFonts w:hint="eastAsia" w:ascii="Arial" w:hAnsi="Arial" w:eastAsia="仿宋" w:cs="Arial"/>
          <w:sz w:val="28"/>
          <w:szCs w:val="28"/>
          <w:highlight w:val="none"/>
          <w:lang w:val="en-US" w:eastAsia="zh-CN"/>
        </w:rPr>
        <w:t>相关</w:t>
      </w:r>
      <w:r>
        <w:rPr>
          <w:rFonts w:ascii="Arial" w:hAnsi="Arial" w:eastAsia="仿宋" w:cs="Arial"/>
          <w:sz w:val="28"/>
          <w:szCs w:val="28"/>
          <w:highlight w:val="none"/>
        </w:rPr>
        <w:t>规定</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sz w:val="28"/>
          <w:highlight w:val="none"/>
        </w:rPr>
        <w:t>。</w:t>
      </w:r>
      <w:r>
        <w:rPr>
          <w:rFonts w:hint="eastAsia" w:ascii="Arial" w:hAnsi="Arial" w:eastAsia="仿宋" w:cs="Arial"/>
          <w:sz w:val="28"/>
          <w:highlight w:val="none"/>
          <w:lang w:eastAsia="zh-CN"/>
        </w:rPr>
        <w:t>”</w:t>
      </w:r>
    </w:p>
    <w:p w14:paraId="15ABBA45">
      <w:pPr>
        <w:adjustRightInd/>
        <w:spacing w:line="300" w:lineRule="auto"/>
        <w:ind w:firstLine="560" w:firstLineChars="200"/>
        <w:jc w:val="both"/>
        <w:rPr>
          <w:rFonts w:ascii="Arial" w:hAnsi="Arial" w:eastAsia="仿宋" w:cs="Arial"/>
          <w:sz w:val="28"/>
          <w:highlight w:val="none"/>
        </w:rPr>
      </w:pPr>
      <w:r>
        <w:rPr>
          <w:rFonts w:hint="eastAsia" w:ascii="Arial" w:hAnsi="Arial" w:eastAsia="仿宋" w:cs="Arial"/>
          <w:sz w:val="28"/>
          <w:highlight w:val="none"/>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w:t>
      </w:r>
      <w:r>
        <w:rPr>
          <w:rFonts w:hint="eastAsia" w:ascii="Arial" w:hAnsi="Arial" w:eastAsia="仿宋" w:cs="Arial"/>
          <w:sz w:val="28"/>
          <w:highlight w:val="none"/>
          <w:lang w:eastAsia="zh-CN"/>
        </w:rPr>
        <w:t>楼面地价</w:t>
      </w:r>
      <w:r>
        <w:rPr>
          <w:rFonts w:hint="eastAsia" w:ascii="Arial" w:hAnsi="Arial" w:eastAsia="仿宋" w:cs="Arial"/>
          <w:sz w:val="28"/>
          <w:highlight w:val="none"/>
        </w:rPr>
        <w:t>。</w:t>
      </w:r>
    </w:p>
    <w:p w14:paraId="0BB28C6E">
      <w:pPr>
        <w:pStyle w:val="90"/>
        <w:numPr>
          <w:ilvl w:val="0"/>
          <w:numId w:val="5"/>
        </w:numPr>
        <w:adjustRightInd/>
        <w:spacing w:line="300" w:lineRule="auto"/>
        <w:ind w:left="0" w:firstLine="560"/>
        <w:jc w:val="both"/>
        <w:textAlignment w:val="auto"/>
        <w:rPr>
          <w:rFonts w:ascii="Arial" w:hAnsi="Arial" w:eastAsia="仿宋" w:cs="Arial"/>
          <w:sz w:val="28"/>
          <w:highlight w:val="none"/>
        </w:rPr>
      </w:pPr>
      <w:r>
        <w:rPr>
          <w:rFonts w:hint="eastAsia" w:ascii="Arial" w:hAnsi="Arial" w:eastAsia="仿宋" w:cs="Arial"/>
          <w:sz w:val="28"/>
          <w:highlight w:val="none"/>
          <w:lang w:eastAsia="zh-CN"/>
        </w:rPr>
        <w:t>土地使用权类型</w:t>
      </w:r>
      <w:r>
        <w:rPr>
          <w:rFonts w:ascii="Arial" w:hAnsi="Arial" w:eastAsia="仿宋" w:cs="Arial"/>
          <w:sz w:val="28"/>
          <w:highlight w:val="none"/>
        </w:rPr>
        <w:t>：</w:t>
      </w:r>
    </w:p>
    <w:p w14:paraId="5BC211E1">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根据《北京市人民政府关于顺义区二〇二〇年度批次建设用地的批复》（京政地字【2020】121号）、</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，于估价期日估价对象为建设用地，故本次评估设定</w:t>
      </w:r>
      <w:r>
        <w:rPr>
          <w:rFonts w:hint="eastAsia" w:ascii="Arial" w:hAnsi="Arial" w:eastAsia="仿宋" w:cs="Arial"/>
          <w:sz w:val="28"/>
          <w:highlight w:val="none"/>
          <w:lang w:eastAsia="zh-CN"/>
        </w:rPr>
        <w:t>土地使用权类型</w:t>
      </w:r>
      <w:r>
        <w:rPr>
          <w:rFonts w:ascii="Arial" w:hAnsi="Arial" w:eastAsia="仿宋" w:cs="Arial"/>
          <w:sz w:val="28"/>
          <w:highlight w:val="none"/>
        </w:rPr>
        <w:t xml:space="preserve">为出让国有建设用地使用权。 </w:t>
      </w:r>
    </w:p>
    <w:p w14:paraId="3F34CE3D">
      <w:pPr>
        <w:pStyle w:val="90"/>
        <w:numPr>
          <w:ilvl w:val="0"/>
          <w:numId w:val="5"/>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土地开发程度设定：</w:t>
      </w:r>
    </w:p>
    <w:p w14:paraId="67D8CA68">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根据委托估价方介绍及土地估价专业评估师实地查勘，本次评估估价对象实际土地开发程度为红线外市政基础设施达</w:t>
      </w:r>
      <w:r>
        <w:rPr>
          <w:rFonts w:hint="eastAsia" w:ascii="Arial" w:hAnsi="Arial" w:eastAsia="仿宋" w:cs="Arial"/>
          <w:sz w:val="28"/>
          <w:szCs w:val="28"/>
          <w:highlight w:val="none"/>
          <w:lang w:eastAsia="zh-CN"/>
        </w:rPr>
        <w:t>“七通”（通路、通上水（自来水、中水）、通下水（雨水、污水）、通电（管沟、电缆）、通讯、通燃气、通热力）</w:t>
      </w:r>
      <w:r>
        <w:rPr>
          <w:rFonts w:ascii="Arial" w:hAnsi="Arial" w:eastAsia="仿宋" w:cs="Arial"/>
          <w:sz w:val="28"/>
          <w:highlight w:val="none"/>
        </w:rPr>
        <w:t>、宗地红线内场地</w:t>
      </w:r>
      <w:r>
        <w:rPr>
          <w:rFonts w:hint="eastAsia" w:ascii="Arial" w:hAnsi="Arial" w:eastAsia="仿宋" w:cs="Arial"/>
          <w:sz w:val="28"/>
          <w:szCs w:val="28"/>
          <w:highlight w:val="none"/>
          <w:lang w:eastAsia="zh-CN"/>
        </w:rPr>
        <w:t>平整。根据《北京市顺义区人民政府关于顺义区高丽营镇夏县营村棚户区改造土地开发项目01－008、01－016、01－026－1、01－020地块提请地价审核有关事宜的函》记载，估</w:t>
      </w:r>
      <w:r>
        <w:rPr>
          <w:rFonts w:ascii="Arial" w:hAnsi="Arial" w:eastAsia="仿宋" w:cs="Arial"/>
          <w:sz w:val="28"/>
          <w:highlight w:val="none"/>
        </w:rPr>
        <w:t>价对象供地条件为宗地外</w:t>
      </w:r>
      <w:r>
        <w:rPr>
          <w:rFonts w:hint="eastAsia" w:ascii="Arial" w:hAnsi="Arial" w:eastAsia="仿宋" w:cs="Arial"/>
          <w:sz w:val="28"/>
          <w:szCs w:val="28"/>
          <w:highlight w:val="none"/>
          <w:lang w:eastAsia="zh-CN"/>
        </w:rPr>
        <w:t>“七通”（通路、通上水（自来水、中水）、通下水（雨水、污水）、通电、通讯、通燃气、通热力）</w:t>
      </w:r>
      <w:r>
        <w:rPr>
          <w:rFonts w:ascii="Arial" w:hAnsi="Arial" w:eastAsia="仿宋" w:cs="Arial"/>
          <w:sz w:val="28"/>
          <w:highlight w:val="none"/>
        </w:rPr>
        <w:t>、宗地红线内场地平整。本次评估设定土地开发程度即为实际开发程度红线外市政基础设施达</w:t>
      </w:r>
      <w:r>
        <w:rPr>
          <w:rFonts w:hint="eastAsia" w:ascii="Arial" w:hAnsi="Arial" w:eastAsia="仿宋" w:cs="Arial"/>
          <w:sz w:val="28"/>
          <w:szCs w:val="28"/>
          <w:highlight w:val="none"/>
          <w:lang w:eastAsia="zh-CN"/>
        </w:rPr>
        <w:t>“七通”</w:t>
      </w:r>
      <w:r>
        <w:rPr>
          <w:rFonts w:ascii="Arial" w:hAnsi="Arial" w:eastAsia="仿宋" w:cs="Arial"/>
          <w:sz w:val="28"/>
          <w:highlight w:val="none"/>
        </w:rPr>
        <w:t>、宗地红线内场地平整。</w:t>
      </w:r>
    </w:p>
    <w:p w14:paraId="02D9E63B">
      <w:pPr>
        <w:pStyle w:val="90"/>
        <w:numPr>
          <w:ilvl w:val="0"/>
          <w:numId w:val="5"/>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土地使用权年限设定：</w:t>
      </w:r>
    </w:p>
    <w:p w14:paraId="7C620EDE">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估价对象于估价期日为拟出让国有建设用地使用权。考虑到本次估价目的，根据《中华人民共和国城镇国有土地使用权出让和转让暂行条例》（国务院令第55号）、</w:t>
      </w:r>
      <w:r>
        <w:rPr>
          <w:rFonts w:ascii="Arial" w:hAnsi="Arial" w:eastAsia="仿宋" w:cs="Arial"/>
          <w:sz w:val="28"/>
          <w:highlight w:val="none"/>
        </w:rPr>
        <w:t>《北京市人民政府关于更新出让国有建设用地使用权基准地价的通知》（京政发（2022）12号）</w:t>
      </w:r>
      <w:r>
        <w:rPr>
          <w:rFonts w:ascii="Arial" w:hAnsi="Arial" w:eastAsia="仿宋" w:cs="Arial"/>
          <w:sz w:val="28"/>
          <w:szCs w:val="28"/>
          <w:highlight w:val="none"/>
        </w:rPr>
        <w:t>的有关规定，本次评估设定土地使用年限为法定最高使用年限</w:t>
      </w:r>
      <w:r>
        <w:rPr>
          <w:rFonts w:hint="eastAsia" w:ascii="Arial" w:hAnsi="Arial" w:eastAsia="仿宋" w:cs="Arial"/>
          <w:sz w:val="28"/>
          <w:szCs w:val="28"/>
          <w:highlight w:val="none"/>
          <w:lang w:eastAsia="zh-CN"/>
        </w:rPr>
        <w:t>，即城镇住宅用地70年、其他商业服务业用地40年、</w:t>
      </w:r>
      <w:r>
        <w:rPr>
          <w:rFonts w:ascii="Arial" w:hAnsi="Arial" w:eastAsia="仿宋" w:cs="Arial"/>
          <w:sz w:val="28"/>
          <w:highlight w:val="none"/>
        </w:rPr>
        <w:t>公共</w:t>
      </w:r>
      <w:r>
        <w:rPr>
          <w:rFonts w:hint="eastAsia" w:ascii="Arial" w:hAnsi="Arial" w:eastAsia="仿宋" w:cs="Arial"/>
          <w:sz w:val="28"/>
          <w:highlight w:val="none"/>
          <w:lang w:val="en-US" w:eastAsia="zh-CN"/>
        </w:rPr>
        <w:t>管理与公共</w:t>
      </w:r>
      <w:r>
        <w:rPr>
          <w:rFonts w:ascii="Arial" w:hAnsi="Arial" w:eastAsia="仿宋" w:cs="Arial"/>
          <w:sz w:val="28"/>
          <w:highlight w:val="none"/>
        </w:rPr>
        <w:t>服务</w:t>
      </w:r>
      <w:r>
        <w:rPr>
          <w:rFonts w:hint="eastAsia" w:ascii="Arial" w:hAnsi="Arial" w:eastAsia="仿宋" w:cs="Arial"/>
          <w:sz w:val="28"/>
          <w:highlight w:val="none"/>
          <w:lang w:val="en-US" w:eastAsia="zh-CN"/>
        </w:rPr>
        <w:t>用地</w:t>
      </w:r>
      <w:r>
        <w:rPr>
          <w:rFonts w:ascii="Arial" w:hAnsi="Arial" w:eastAsia="仿宋" w:cs="Arial"/>
          <w:sz w:val="28"/>
          <w:szCs w:val="28"/>
          <w:highlight w:val="none"/>
        </w:rPr>
        <w:t xml:space="preserve">50年。 </w:t>
      </w:r>
    </w:p>
    <w:p w14:paraId="58E145A6">
      <w:pPr>
        <w:pStyle w:val="90"/>
        <w:numPr>
          <w:ilvl w:val="0"/>
          <w:numId w:val="5"/>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规划利用条件设定：</w:t>
      </w:r>
    </w:p>
    <w:p w14:paraId="5539CA8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根据</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 xml:space="preserve">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020地块（A334托幼用地，不出让）建设用地规模为4199.98平方米，地上建筑规模为3359.98平方米，容积率为0.8。根据《</w:t>
      </w:r>
      <w:r>
        <w:rPr>
          <w:rFonts w:hint="eastAsia" w:ascii="Arial" w:hAnsi="Arial" w:eastAsia="仿宋" w:cs="Arial"/>
          <w:sz w:val="28"/>
          <w:highlight w:val="none"/>
          <w:lang w:val="en-US" w:eastAsia="zh-CN"/>
        </w:rPr>
        <w:t>北京市国有建设用地使用权出让地价评估技术导则</w:t>
      </w:r>
      <w:r>
        <w:rPr>
          <w:rFonts w:ascii="Arial" w:hAnsi="Arial" w:eastAsia="仿宋" w:cs="Arial"/>
          <w:sz w:val="28"/>
          <w:highlight w:val="none"/>
        </w:rPr>
        <w:t>》（</w:t>
      </w:r>
      <w:r>
        <w:rPr>
          <w:rFonts w:hint="eastAsia" w:ascii="Arial" w:hAnsi="Arial" w:eastAsia="仿宋" w:cs="Arial"/>
          <w:sz w:val="28"/>
          <w:highlight w:val="none"/>
          <w:lang w:val="en-US" w:eastAsia="zh-CN"/>
        </w:rPr>
        <w:t>2026年2月10日实施</w:t>
      </w:r>
      <w:r>
        <w:rPr>
          <w:rFonts w:ascii="Arial" w:hAnsi="Arial" w:eastAsia="仿宋" w:cs="Arial"/>
          <w:sz w:val="28"/>
          <w:highlight w:val="none"/>
        </w:rPr>
        <w:t>）中的相关规定，本次评估01</w:t>
      </w:r>
      <w:r>
        <w:rPr>
          <w:rFonts w:hint="eastAsia" w:ascii="Arial" w:hAnsi="Arial" w:eastAsia="仿宋" w:cs="Arial"/>
          <w:sz w:val="28"/>
          <w:highlight w:val="none"/>
          <w:lang w:eastAsia="zh-CN"/>
        </w:rPr>
        <w:t>－</w:t>
      </w:r>
      <w:r>
        <w:rPr>
          <w:rFonts w:ascii="Arial" w:hAnsi="Arial" w:eastAsia="仿宋" w:cs="Arial"/>
          <w:sz w:val="28"/>
          <w:highlight w:val="none"/>
        </w:rPr>
        <w:t>008、01</w:t>
      </w:r>
      <w:r>
        <w:rPr>
          <w:rFonts w:hint="eastAsia" w:ascii="Arial" w:hAnsi="Arial" w:eastAsia="仿宋" w:cs="Arial"/>
          <w:sz w:val="28"/>
          <w:highlight w:val="none"/>
          <w:lang w:eastAsia="zh-CN"/>
        </w:rPr>
        <w:t>－</w:t>
      </w:r>
      <w:r>
        <w:rPr>
          <w:rFonts w:ascii="Arial" w:hAnsi="Arial" w:eastAsia="仿宋" w:cs="Arial"/>
          <w:sz w:val="28"/>
          <w:highlight w:val="none"/>
        </w:rPr>
        <w:t>016、01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1地块（R2二类居住用地）容积率为1.2。</w:t>
      </w:r>
    </w:p>
    <w:p w14:paraId="251C1D26">
      <w:pPr>
        <w:pStyle w:val="90"/>
        <w:numPr>
          <w:ilvl w:val="0"/>
          <w:numId w:val="5"/>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地价内涵：</w:t>
      </w:r>
    </w:p>
    <w:p w14:paraId="2F584FF4">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本报告所评估的熟地价为：在公开市场条件下，估价对象宗地在估价期日</w:t>
      </w:r>
      <w:r>
        <w:rPr>
          <w:rFonts w:hint="eastAsia" w:ascii="Arial" w:hAnsi="Arial" w:eastAsia="仿宋" w:cs="Arial"/>
          <w:sz w:val="28"/>
          <w:highlight w:val="none"/>
          <w:lang w:eastAsia="zh-CN"/>
        </w:rPr>
        <w:t>2026年3月26日</w:t>
      </w:r>
      <w:r>
        <w:rPr>
          <w:rFonts w:ascii="Arial" w:hAnsi="Arial" w:eastAsia="仿宋" w:cs="Arial"/>
          <w:sz w:val="28"/>
          <w:highlight w:val="none"/>
        </w:rPr>
        <w:t>，在北京市基准地价住宅类九级IX</w:t>
      </w:r>
      <w:r>
        <w:rPr>
          <w:rFonts w:hint="eastAsia" w:ascii="Arial" w:hAnsi="Arial" w:eastAsia="仿宋" w:cs="Arial"/>
          <w:sz w:val="28"/>
          <w:highlight w:val="none"/>
          <w:lang w:eastAsia="zh-CN"/>
        </w:rPr>
        <w:t>－</w:t>
      </w:r>
      <w:r>
        <w:rPr>
          <w:rFonts w:ascii="Arial" w:hAnsi="Arial" w:eastAsia="仿宋" w:cs="Arial"/>
          <w:sz w:val="28"/>
          <w:highlight w:val="none"/>
        </w:rPr>
        <w:t>顺5区片、商服类九级IX</w:t>
      </w:r>
      <w:r>
        <w:rPr>
          <w:rFonts w:hint="eastAsia" w:ascii="Arial" w:hAnsi="Arial" w:eastAsia="仿宋" w:cs="Arial"/>
          <w:sz w:val="28"/>
          <w:highlight w:val="none"/>
          <w:lang w:eastAsia="zh-CN"/>
        </w:rPr>
        <w:t>－</w:t>
      </w:r>
      <w:r>
        <w:rPr>
          <w:rFonts w:ascii="Arial" w:hAnsi="Arial" w:eastAsia="仿宋" w:cs="Arial"/>
          <w:sz w:val="28"/>
          <w:highlight w:val="none"/>
        </w:rPr>
        <w:t>顺5区片、公共服务类九级IX</w:t>
      </w:r>
      <w:r>
        <w:rPr>
          <w:rFonts w:hint="eastAsia" w:ascii="Arial" w:hAnsi="Arial" w:eastAsia="仿宋" w:cs="Arial"/>
          <w:sz w:val="28"/>
          <w:highlight w:val="none"/>
          <w:lang w:eastAsia="zh-CN"/>
        </w:rPr>
        <w:t>－</w:t>
      </w:r>
      <w:r>
        <w:rPr>
          <w:rFonts w:ascii="Arial" w:hAnsi="Arial" w:eastAsia="仿宋" w:cs="Arial"/>
          <w:sz w:val="28"/>
          <w:highlight w:val="none"/>
        </w:rPr>
        <w:t>顺5区片，宗地实际开发程度为宗地外</w:t>
      </w:r>
      <w:r>
        <w:rPr>
          <w:rFonts w:hint="eastAsia" w:ascii="Arial" w:hAnsi="Arial" w:eastAsia="仿宋" w:cs="Arial"/>
          <w:sz w:val="28"/>
          <w:highlight w:val="none"/>
          <w:lang w:eastAsia="zh-CN"/>
        </w:rPr>
        <w:t>“七通”（通路、通上水（自来水、中水）、通下水（雨水、污水）、通电（管沟、电缆）、通讯、通燃气、通热力）</w:t>
      </w:r>
      <w:r>
        <w:rPr>
          <w:rFonts w:ascii="Arial" w:hAnsi="Arial" w:eastAsia="仿宋" w:cs="Arial"/>
          <w:sz w:val="28"/>
          <w:highlight w:val="none"/>
        </w:rPr>
        <w:t>，宗地红线内场地平整；根据</w:t>
      </w:r>
      <w:r>
        <w:rPr>
          <w:rFonts w:hint="eastAsia" w:ascii="Arial" w:hAnsi="Arial" w:eastAsia="仿宋_GB2312" w:cs="Arial"/>
          <w:sz w:val="28"/>
          <w:szCs w:val="28"/>
          <w:highlight w:val="none"/>
        </w:rPr>
        <w:t>《北京市顺义区人民政府关于顺义区高丽营镇夏县营村棚户区改造土地开发项目01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008、01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016、01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026</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1、01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020地块提请地价审核有关事宜的函》</w:t>
      </w:r>
      <w:r>
        <w:rPr>
          <w:rFonts w:ascii="Arial" w:hAnsi="Arial" w:eastAsia="仿宋" w:cs="Arial"/>
          <w:sz w:val="28"/>
          <w:highlight w:val="none"/>
        </w:rPr>
        <w:t>，评估设定土地开发程度为宗地外</w:t>
      </w:r>
      <w:r>
        <w:rPr>
          <w:rFonts w:hint="eastAsia" w:ascii="Arial" w:hAnsi="Arial" w:eastAsia="仿宋" w:cs="Arial"/>
          <w:sz w:val="28"/>
          <w:highlight w:val="none"/>
          <w:lang w:eastAsia="zh-CN"/>
        </w:rPr>
        <w:t>“七通”（通路、通上水（自来水、中水）、通下水（雨水、污水）、通电、通讯、通燃气、通热力）</w:t>
      </w:r>
      <w:r>
        <w:rPr>
          <w:rFonts w:ascii="Arial" w:hAnsi="Arial" w:eastAsia="仿宋" w:cs="Arial"/>
          <w:sz w:val="28"/>
          <w:highlight w:val="none"/>
        </w:rPr>
        <w:t>，宗地红线内场地平整，规划用地性质为R2二类居住用地，评估设定用途为</w:t>
      </w:r>
      <w:r>
        <w:rPr>
          <w:rFonts w:hint="eastAsia" w:ascii="Arial" w:hAnsi="Arial" w:eastAsia="仿宋" w:cs="Arial"/>
          <w:sz w:val="28"/>
          <w:highlight w:val="none"/>
          <w:lang w:eastAsia="zh-CN"/>
        </w:rPr>
        <w:t>城镇住宅用地、其他商业服务业用地及公共管理与公共服务用地</w:t>
      </w:r>
      <w:r>
        <w:rPr>
          <w:rFonts w:ascii="Arial" w:hAnsi="Arial" w:eastAsia="仿宋" w:cs="Arial"/>
          <w:sz w:val="28"/>
          <w:highlight w:val="none"/>
        </w:rPr>
        <w:t>，</w:t>
      </w:r>
      <w:r>
        <w:rPr>
          <w:rFonts w:ascii="Arial" w:hAnsi="Arial" w:eastAsia="仿宋" w:cs="Arial"/>
          <w:sz w:val="28"/>
          <w:szCs w:val="28"/>
          <w:highlight w:val="none"/>
        </w:rPr>
        <w:t>评估设定土地使用年限为法定最高使用年限</w:t>
      </w:r>
      <w:r>
        <w:rPr>
          <w:rFonts w:hint="eastAsia" w:ascii="Arial" w:hAnsi="Arial" w:eastAsia="仿宋" w:cs="Arial"/>
          <w:sz w:val="28"/>
          <w:szCs w:val="28"/>
          <w:highlight w:val="none"/>
          <w:lang w:eastAsia="zh-CN"/>
        </w:rPr>
        <w:t>，即城镇住宅用地70年、其他商业服务业用地40年、</w:t>
      </w:r>
      <w:r>
        <w:rPr>
          <w:rFonts w:ascii="Arial" w:hAnsi="Arial" w:eastAsia="仿宋" w:cs="Arial"/>
          <w:sz w:val="28"/>
          <w:highlight w:val="none"/>
        </w:rPr>
        <w:t>公共</w:t>
      </w:r>
      <w:r>
        <w:rPr>
          <w:rFonts w:hint="eastAsia" w:ascii="Arial" w:hAnsi="Arial" w:eastAsia="仿宋" w:cs="Arial"/>
          <w:sz w:val="28"/>
          <w:highlight w:val="none"/>
          <w:lang w:val="en-US" w:eastAsia="zh-CN"/>
        </w:rPr>
        <w:t>管理与公共</w:t>
      </w:r>
      <w:r>
        <w:rPr>
          <w:rFonts w:ascii="Arial" w:hAnsi="Arial" w:eastAsia="仿宋" w:cs="Arial"/>
          <w:sz w:val="28"/>
          <w:highlight w:val="none"/>
        </w:rPr>
        <w:t>服务</w:t>
      </w:r>
      <w:r>
        <w:rPr>
          <w:rFonts w:hint="eastAsia" w:ascii="Arial" w:hAnsi="Arial" w:eastAsia="仿宋" w:cs="Arial"/>
          <w:sz w:val="28"/>
          <w:highlight w:val="none"/>
          <w:lang w:val="en-US" w:eastAsia="zh-CN"/>
        </w:rPr>
        <w:t>用地</w:t>
      </w:r>
      <w:r>
        <w:rPr>
          <w:rFonts w:ascii="Arial" w:hAnsi="Arial" w:eastAsia="仿宋" w:cs="Arial"/>
          <w:sz w:val="28"/>
          <w:szCs w:val="28"/>
          <w:highlight w:val="none"/>
        </w:rPr>
        <w:t>50年</w:t>
      </w:r>
      <w:r>
        <w:rPr>
          <w:rFonts w:ascii="Arial" w:hAnsi="Arial" w:eastAsia="仿宋" w:cs="Arial"/>
          <w:sz w:val="28"/>
          <w:highlight w:val="none"/>
        </w:rPr>
        <w:t>，土地面积为</w:t>
      </w:r>
      <w:r>
        <w:rPr>
          <w:rFonts w:hint="eastAsia" w:ascii="Arial" w:hAnsi="Arial" w:eastAsia="仿宋" w:cs="Arial"/>
          <w:sz w:val="28"/>
          <w:highlight w:val="none"/>
          <w:lang w:eastAsia="zh-CN"/>
        </w:rPr>
        <w:t>56790.45</w:t>
      </w:r>
      <w:r>
        <w:rPr>
          <w:rFonts w:ascii="Arial" w:hAnsi="Arial" w:eastAsia="仿宋" w:cs="Arial"/>
          <w:sz w:val="28"/>
          <w:highlight w:val="none"/>
        </w:rPr>
        <w:t>平方米，01</w:t>
      </w:r>
      <w:r>
        <w:rPr>
          <w:rFonts w:hint="eastAsia" w:ascii="Arial" w:hAnsi="Arial" w:eastAsia="仿宋" w:cs="Arial"/>
          <w:sz w:val="28"/>
          <w:highlight w:val="none"/>
          <w:lang w:eastAsia="zh-CN"/>
        </w:rPr>
        <w:t>－</w:t>
      </w:r>
      <w:r>
        <w:rPr>
          <w:rFonts w:ascii="Arial" w:hAnsi="Arial" w:eastAsia="仿宋" w:cs="Arial"/>
          <w:sz w:val="28"/>
          <w:highlight w:val="none"/>
        </w:rPr>
        <w:t>008、01</w:t>
      </w:r>
      <w:r>
        <w:rPr>
          <w:rFonts w:hint="eastAsia" w:ascii="Arial" w:hAnsi="Arial" w:eastAsia="仿宋" w:cs="Arial"/>
          <w:sz w:val="28"/>
          <w:highlight w:val="none"/>
          <w:lang w:eastAsia="zh-CN"/>
        </w:rPr>
        <w:t>－</w:t>
      </w:r>
      <w:r>
        <w:rPr>
          <w:rFonts w:ascii="Arial" w:hAnsi="Arial" w:eastAsia="仿宋" w:cs="Arial"/>
          <w:sz w:val="28"/>
          <w:highlight w:val="none"/>
        </w:rPr>
        <w:t>016、01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1地块（R2二类居住用地）容积率为1.2；</w:t>
      </w:r>
      <w:r>
        <w:rPr>
          <w:rFonts w:hint="eastAsia" w:ascii="Arial" w:hAnsi="Arial" w:eastAsia="仿宋" w:cs="Arial"/>
          <w:sz w:val="28"/>
          <w:highlight w:val="none"/>
          <w:lang w:val="en-US" w:eastAsia="zh-CN"/>
        </w:rPr>
        <w:t>无他项权利限制，</w:t>
      </w:r>
      <w:r>
        <w:rPr>
          <w:rFonts w:ascii="Arial" w:hAnsi="Arial" w:eastAsia="仿宋" w:cs="Arial"/>
          <w:sz w:val="28"/>
          <w:highlight w:val="none"/>
        </w:rPr>
        <w:t>在规划利用条件下的出让国有建设用地使用权价格。</w:t>
      </w:r>
    </w:p>
    <w:p w14:paraId="0969F0C9">
      <w:pPr>
        <w:adjustRightInd/>
        <w:spacing w:line="300" w:lineRule="auto"/>
        <w:ind w:firstLine="560" w:firstLineChars="200"/>
        <w:jc w:val="both"/>
        <w:rPr>
          <w:rFonts w:ascii="Arial" w:hAnsi="Arial" w:eastAsia="仿宋" w:cs="Arial"/>
          <w:sz w:val="28"/>
          <w:highlight w:val="none"/>
        </w:rPr>
      </w:pPr>
    </w:p>
    <w:p w14:paraId="5AF7546E">
      <w:pPr>
        <w:rPr>
          <w:rFonts w:ascii="Arial" w:hAnsi="Arial" w:eastAsia="仿宋_GB2312" w:cs="Arial"/>
          <w:b/>
          <w:bCs/>
          <w:sz w:val="28"/>
          <w:highlight w:val="none"/>
        </w:rPr>
      </w:pPr>
      <w:bookmarkStart w:id="56" w:name="_Toc520261130"/>
      <w:bookmarkStart w:id="57" w:name="_Toc531701555"/>
      <w:bookmarkStart w:id="58" w:name="_Toc138062996"/>
      <w:bookmarkStart w:id="59" w:name="_Toc132016726"/>
      <w:bookmarkStart w:id="60" w:name="_Toc515458363"/>
      <w:r>
        <w:rPr>
          <w:rFonts w:ascii="Arial" w:hAnsi="Arial" w:eastAsia="仿宋_GB2312" w:cs="Arial"/>
          <w:b/>
          <w:bCs/>
          <w:sz w:val="28"/>
          <w:highlight w:val="none"/>
        </w:rPr>
        <w:br w:type="page"/>
      </w:r>
    </w:p>
    <w:p w14:paraId="6A001B01">
      <w:pPr>
        <w:tabs>
          <w:tab w:val="left" w:pos="6957"/>
        </w:tabs>
        <w:spacing w:line="300" w:lineRule="auto"/>
        <w:jc w:val="both"/>
        <w:outlineLvl w:val="1"/>
        <w:rPr>
          <w:rFonts w:ascii="Arial" w:hAnsi="Arial" w:eastAsia="仿宋_GB2312" w:cs="Arial"/>
          <w:b/>
          <w:bCs/>
          <w:sz w:val="28"/>
          <w:highlight w:val="none"/>
        </w:rPr>
      </w:pPr>
      <w:r>
        <w:rPr>
          <w:rFonts w:ascii="Arial" w:hAnsi="Arial" w:eastAsia="仿宋_GB2312" w:cs="Arial"/>
          <w:b/>
          <w:bCs/>
          <w:sz w:val="28"/>
          <w:highlight w:val="none"/>
        </w:rPr>
        <w:t>七、估价结果</w:t>
      </w:r>
      <w:bookmarkEnd w:id="56"/>
      <w:bookmarkEnd w:id="57"/>
      <w:bookmarkEnd w:id="58"/>
      <w:bookmarkEnd w:id="59"/>
      <w:bookmarkEnd w:id="60"/>
    </w:p>
    <w:p w14:paraId="3AFC3EF2">
      <w:pPr>
        <w:spacing w:line="300" w:lineRule="auto"/>
        <w:ind w:firstLine="562" w:firstLineChars="200"/>
        <w:jc w:val="both"/>
        <w:rPr>
          <w:rFonts w:ascii="Arial" w:hAnsi="Arial" w:eastAsia="仿宋_GB2312" w:cs="Arial"/>
          <w:kern w:val="2"/>
          <w:sz w:val="28"/>
          <w:highlight w:val="none"/>
        </w:rPr>
      </w:pPr>
      <w:bookmarkStart w:id="61" w:name="_Toc418750886"/>
      <w:bookmarkStart w:id="62" w:name="_Toc416783524"/>
      <w:bookmarkStart w:id="63" w:name="_Toc469066308"/>
      <w:bookmarkStart w:id="64" w:name="_Toc531701556"/>
      <w:bookmarkStart w:id="65" w:name="_Toc520261131"/>
      <w:bookmarkStart w:id="66" w:name="_Toc425250308"/>
      <w:r>
        <w:rPr>
          <w:rFonts w:ascii="黑体" w:hAnsi="黑体" w:eastAsia="黑体" w:cs="Arial"/>
          <w:b/>
          <w:sz w:val="28"/>
          <w:highlight w:val="none"/>
        </w:rPr>
        <w:t>估价对象位于北京市基准地价住宅</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lang w:eastAsia="zh-CN"/>
        </w:rPr>
        <w:t>其他商业服务业用地</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rPr>
        <w:t>公共服务九级（IX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范围内</w:t>
      </w:r>
      <w:r>
        <w:rPr>
          <w:rFonts w:ascii="Arial" w:hAnsi="Arial" w:eastAsia="黑体" w:cs="Arial"/>
          <w:b/>
          <w:sz w:val="28"/>
          <w:highlight w:val="none"/>
        </w:rPr>
        <w:t>。</w:t>
      </w:r>
      <w:r>
        <w:rPr>
          <w:rFonts w:ascii="Arial" w:hAnsi="Arial" w:eastAsia="仿宋_GB2312" w:cs="Arial"/>
          <w:kern w:val="2"/>
          <w:sz w:val="28"/>
          <w:highlight w:val="none"/>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sz w:val="28"/>
          <w:highlight w:val="none"/>
        </w:rPr>
        <w:t>土地</w:t>
      </w:r>
      <w:r>
        <w:rPr>
          <w:rFonts w:ascii="Arial" w:hAnsi="Arial" w:eastAsia="仿宋_GB2312" w:cs="Arial"/>
          <w:kern w:val="2"/>
          <w:sz w:val="28"/>
          <w:highlight w:val="none"/>
        </w:rPr>
        <w:t>价格的因素，确定</w:t>
      </w:r>
      <w:r>
        <w:rPr>
          <w:rFonts w:ascii="Arial" w:hAnsi="Arial" w:eastAsia="仿宋_GB2312" w:cs="Arial"/>
          <w:sz w:val="28"/>
          <w:highlight w:val="none"/>
        </w:rPr>
        <w:t>估价对象于估价期日</w:t>
      </w:r>
      <w:r>
        <w:rPr>
          <w:rFonts w:hint="eastAsia" w:ascii="Arial" w:hAnsi="Arial" w:eastAsia="仿宋_GB2312" w:cs="Arial"/>
          <w:sz w:val="28"/>
          <w:highlight w:val="none"/>
          <w:lang w:val="en-US" w:eastAsia="zh-CN"/>
        </w:rPr>
        <w:t>2026年3月26日</w:t>
      </w:r>
      <w:r>
        <w:rPr>
          <w:rFonts w:ascii="Arial" w:hAnsi="Arial" w:eastAsia="仿宋_GB2312" w:cs="Arial"/>
          <w:sz w:val="28"/>
          <w:highlight w:val="none"/>
        </w:rPr>
        <w:t>的</w:t>
      </w:r>
      <w:r>
        <w:rPr>
          <w:rFonts w:hint="eastAsia" w:ascii="Arial" w:hAnsi="Arial" w:eastAsia="仿宋_GB2312" w:cs="Arial"/>
          <w:kern w:val="2"/>
          <w:sz w:val="28"/>
          <w:highlight w:val="none"/>
          <w:lang w:eastAsia="zh-CN"/>
        </w:rPr>
        <w:t>楼面地价</w:t>
      </w:r>
      <w:r>
        <w:rPr>
          <w:rFonts w:ascii="Arial" w:hAnsi="Arial" w:eastAsia="仿宋_GB2312" w:cs="Arial"/>
          <w:kern w:val="2"/>
          <w:sz w:val="28"/>
          <w:highlight w:val="none"/>
        </w:rPr>
        <w:t>为：</w:t>
      </w:r>
    </w:p>
    <w:p w14:paraId="55125290">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规划总建设用地面积：</w:t>
      </w:r>
      <w:r>
        <w:rPr>
          <w:rFonts w:hint="eastAsia" w:ascii="Arial" w:hAnsi="Arial" w:eastAsia="仿宋_GB2312" w:cs="Arial"/>
          <w:b w:val="0"/>
          <w:bCs w:val="0"/>
          <w:kern w:val="2"/>
          <w:sz w:val="28"/>
          <w:highlight w:val="none"/>
          <w:lang w:val="en-US" w:eastAsia="zh-CN"/>
        </w:rPr>
        <w:t>60990.43平方米</w:t>
      </w:r>
    </w:p>
    <w:p w14:paraId="27D438DE">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规划总建筑面积：</w:t>
      </w:r>
      <w:r>
        <w:rPr>
          <w:rFonts w:hint="eastAsia" w:ascii="Arial" w:hAnsi="Arial" w:eastAsia="仿宋_GB2312" w:cs="Arial"/>
          <w:b w:val="0"/>
          <w:bCs w:val="0"/>
          <w:kern w:val="2"/>
          <w:sz w:val="28"/>
          <w:highlight w:val="none"/>
          <w:lang w:val="en-US" w:eastAsia="zh-CN"/>
        </w:rPr>
        <w:t>71508.52平方米</w:t>
      </w:r>
    </w:p>
    <w:p w14:paraId="74F84FD7">
      <w:pPr>
        <w:snapToGrid w:val="0"/>
        <w:spacing w:before="120" w:beforeLines="50" w:line="288" w:lineRule="auto"/>
        <w:ind w:firstLine="840" w:firstLineChars="300"/>
        <w:rPr>
          <w:rFonts w:hint="eastAsia" w:ascii="Arial" w:hAnsi="Arial" w:eastAsia="仿宋_GB2312" w:cs="Arial"/>
          <w:b/>
          <w:kern w:val="2"/>
          <w:sz w:val="28"/>
          <w:highlight w:val="none"/>
          <w:lang w:val="en-US" w:eastAsia="zh-CN"/>
        </w:rPr>
      </w:pPr>
      <w:r>
        <w:rPr>
          <w:rFonts w:hint="eastAsia" w:ascii="Arial" w:hAnsi="Arial" w:eastAsia="仿宋_GB2312" w:cs="Arial"/>
          <w:b w:val="0"/>
          <w:bCs w:val="0"/>
          <w:kern w:val="2"/>
          <w:sz w:val="28"/>
          <w:highlight w:val="none"/>
          <w:lang w:val="en-US" w:eastAsia="zh-CN"/>
        </w:rPr>
        <w:t>其中，经营性建筑面积：68148.54平方米</w:t>
      </w:r>
    </w:p>
    <w:p w14:paraId="0F19889D">
      <w:pPr>
        <w:snapToGrid w:val="0"/>
        <w:spacing w:line="288" w:lineRule="auto"/>
        <w:ind w:firstLine="562" w:firstLineChars="200"/>
        <w:rPr>
          <w:rFonts w:ascii="Arial" w:hAnsi="Arial" w:eastAsia="仿宋_GB2312" w:cs="Arial"/>
          <w:b/>
          <w:kern w:val="2"/>
          <w:sz w:val="28"/>
          <w:highlight w:val="none"/>
        </w:rPr>
      </w:pPr>
      <w:r>
        <w:rPr>
          <w:rFonts w:ascii="Arial" w:hAnsi="Arial" w:eastAsia="仿宋_GB2312" w:cs="Arial"/>
          <w:b/>
          <w:kern w:val="2"/>
          <w:sz w:val="28"/>
          <w:highlight w:val="none"/>
        </w:rPr>
        <w:t>熟地</w:t>
      </w:r>
      <w:r>
        <w:rPr>
          <w:rFonts w:hint="eastAsia" w:ascii="Arial" w:hAnsi="Arial" w:eastAsia="仿宋_GB2312" w:cs="Arial"/>
          <w:b/>
          <w:kern w:val="2"/>
          <w:sz w:val="28"/>
          <w:highlight w:val="none"/>
          <w:lang w:val="en-US" w:eastAsia="zh-CN"/>
        </w:rPr>
        <w:t>总</w:t>
      </w:r>
      <w:r>
        <w:rPr>
          <w:rFonts w:ascii="Arial" w:hAnsi="Arial" w:eastAsia="仿宋_GB2312" w:cs="Arial"/>
          <w:b/>
          <w:kern w:val="2"/>
          <w:sz w:val="28"/>
          <w:highlight w:val="none"/>
        </w:rPr>
        <w:t>价：</w:t>
      </w:r>
    </w:p>
    <w:p w14:paraId="69B6596F">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716449D5">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698A652E">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038D9309">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城镇住宅用地：</w:t>
      </w:r>
    </w:p>
    <w:p w14:paraId="3E73903A">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65771F4F">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0C351C03">
      <w:pPr>
        <w:snapToGrid w:val="0"/>
        <w:spacing w:before="120" w:beforeLines="50" w:line="288" w:lineRule="auto"/>
        <w:ind w:firstLine="840" w:firstLineChars="300"/>
        <w:rPr>
          <w:rFonts w:hint="eastAsia" w:ascii="Arial" w:hAnsi="Arial" w:eastAsia="仿宋_GB2312" w:cs="Arial"/>
          <w:b w:val="0"/>
          <w:bCs w:val="0"/>
          <w:kern w:val="2"/>
          <w:sz w:val="28"/>
          <w:highlight w:val="none"/>
          <w:lang w:val="en-US" w:eastAsia="zh-CN"/>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7F029ABF">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其他商业服务业用地</w:t>
      </w:r>
    </w:p>
    <w:p w14:paraId="250E0276">
      <w:pPr>
        <w:snapToGrid w:val="0"/>
        <w:spacing w:before="120" w:beforeLines="50" w:line="288" w:lineRule="auto"/>
        <w:ind w:firstLine="840" w:firstLineChars="300"/>
        <w:rPr>
          <w:rFonts w:hint="default"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楼面地价：5295</w:t>
      </w:r>
      <w:r>
        <w:rPr>
          <w:rFonts w:hint="eastAsia" w:ascii="Arial" w:hAnsi="Arial" w:eastAsia="仿宋_GB2312" w:cs="Arial"/>
          <w:b w:val="0"/>
          <w:bCs w:val="0"/>
          <w:kern w:val="2"/>
          <w:sz w:val="28"/>
          <w:highlight w:val="none"/>
          <w:lang w:val="en-US" w:eastAsia="zh-CN"/>
        </w:rPr>
        <w:t>元/平方米</w:t>
      </w:r>
    </w:p>
    <w:p w14:paraId="023F83C7">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公共管理与公共服务用地</w:t>
      </w:r>
    </w:p>
    <w:p w14:paraId="66B1AB1F">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楼面地价：3249</w:t>
      </w:r>
      <w:r>
        <w:rPr>
          <w:rFonts w:hint="eastAsia" w:ascii="Arial" w:hAnsi="Arial" w:eastAsia="仿宋_GB2312" w:cs="Arial"/>
          <w:b w:val="0"/>
          <w:bCs w:val="0"/>
          <w:kern w:val="2"/>
          <w:sz w:val="28"/>
          <w:highlight w:val="none"/>
          <w:lang w:val="en-US" w:eastAsia="zh-CN"/>
        </w:rPr>
        <w:t>元/平方米</w:t>
      </w:r>
    </w:p>
    <w:p w14:paraId="48F5041F">
      <w:pPr>
        <w:snapToGrid w:val="0"/>
        <w:spacing w:before="120" w:beforeLines="50" w:line="288" w:lineRule="auto"/>
        <w:ind w:firstLine="560" w:firstLineChars="200"/>
        <w:rPr>
          <w:rFonts w:ascii="Arial" w:hAnsi="Arial" w:eastAsia="仿宋_GB2312" w:cs="Arial"/>
          <w:kern w:val="2"/>
          <w:sz w:val="28"/>
          <w:highlight w:val="none"/>
        </w:rPr>
      </w:pPr>
      <w:r>
        <w:rPr>
          <w:rFonts w:ascii="Arial" w:hAnsi="Arial" w:eastAsia="仿宋_GB2312" w:cs="Arial"/>
          <w:kern w:val="2"/>
          <w:sz w:val="28"/>
          <w:highlight w:val="none"/>
        </w:rPr>
        <w:t>详见《估价结果汇总表》</w:t>
      </w:r>
    </w:p>
    <w:p w14:paraId="4BD314B9">
      <w:pPr>
        <w:snapToGrid w:val="0"/>
        <w:spacing w:before="120" w:beforeLines="50" w:line="300" w:lineRule="auto"/>
        <w:ind w:firstLine="562" w:firstLineChars="200"/>
        <w:rPr>
          <w:rFonts w:ascii="Arial" w:hAnsi="Arial" w:eastAsia="仿宋_GB2312" w:cs="Arial"/>
          <w:b/>
          <w:kern w:val="2"/>
          <w:sz w:val="28"/>
          <w:highlight w:val="none"/>
        </w:rPr>
      </w:pPr>
      <w:r>
        <w:rPr>
          <w:rFonts w:hint="eastAsia" w:ascii="Arial" w:hAnsi="Arial" w:eastAsia="仿宋_GB2312" w:cs="Arial"/>
          <w:b/>
          <w:kern w:val="2"/>
          <w:sz w:val="28"/>
          <w:highlight w:val="none"/>
        </w:rPr>
        <w:t>根据北京市顺义区人民政府</w:t>
      </w:r>
      <w:r>
        <w:rPr>
          <w:rFonts w:hint="eastAsia" w:ascii="Arial" w:hAnsi="Arial" w:eastAsia="仿宋_GB2312" w:cs="Arial"/>
          <w:b/>
          <w:kern w:val="2"/>
          <w:sz w:val="28"/>
          <w:highlight w:val="none"/>
          <w:lang w:eastAsia="zh-CN"/>
        </w:rPr>
        <w:t>《北京市顺义区人民政府关于顺义区高丽营镇夏县营村棚户区改造土地开发项目01－008、01－016、01－026－1、01－020地块提请地价审核有关事宜的函》</w:t>
      </w:r>
      <w:r>
        <w:rPr>
          <w:rFonts w:hint="eastAsia" w:ascii="Arial" w:hAnsi="Arial" w:eastAsia="仿宋_GB2312" w:cs="Arial"/>
          <w:b/>
          <w:kern w:val="2"/>
          <w:sz w:val="28"/>
          <w:highlight w:val="none"/>
        </w:rPr>
        <w:t>，本项目不存在回迁、回购等实物补偿内容。</w:t>
      </w:r>
    </w:p>
    <w:p w14:paraId="6DA01384">
      <w:pPr>
        <w:snapToGrid w:val="0"/>
        <w:spacing w:before="120" w:beforeLines="50" w:line="288" w:lineRule="auto"/>
        <w:ind w:firstLine="560" w:firstLineChars="200"/>
        <w:jc w:val="both"/>
        <w:rPr>
          <w:rFonts w:hint="eastAsia" w:ascii="Arial" w:hAnsi="Arial" w:eastAsia="仿宋_GB2312" w:cs="Arial"/>
          <w:sz w:val="28"/>
          <w:szCs w:val="28"/>
          <w:highlight w:val="none"/>
          <w:lang w:val="en-US" w:eastAsia="zh-CN"/>
        </w:rPr>
      </w:pPr>
      <w:r>
        <w:rPr>
          <w:rFonts w:hint="eastAsia" w:ascii="Arial" w:hAnsi="Arial" w:eastAsia="仿宋_GB2312" w:cs="Arial"/>
          <w:sz w:val="28"/>
          <w:szCs w:val="28"/>
          <w:highlight w:val="none"/>
          <w:lang w:val="en-US" w:eastAsia="zh-CN"/>
        </w:rPr>
        <w:t>根据</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78003DD6">
      <w:pPr>
        <w:snapToGrid w:val="0"/>
        <w:spacing w:before="120" w:beforeLines="50" w:line="288" w:lineRule="auto"/>
        <w:ind w:firstLine="560" w:firstLineChars="200"/>
        <w:jc w:val="both"/>
        <w:rPr>
          <w:rFonts w:hint="eastAsia" w:ascii="Arial" w:hAnsi="Arial" w:eastAsia="仿宋" w:cs="Arial"/>
          <w:sz w:val="28"/>
          <w:highlight w:val="none"/>
          <w:lang w:eastAsia="zh-CN"/>
        </w:rPr>
      </w:pPr>
      <w:r>
        <w:rPr>
          <w:rFonts w:hint="eastAsia" w:ascii="Arial" w:hAnsi="Arial" w:eastAsia="仿宋_GB2312" w:cs="Arial"/>
          <w:kern w:val="2"/>
          <w:sz w:val="28"/>
          <w:highlight w:val="none"/>
          <w:lang w:val="en-US" w:eastAsia="zh-CN"/>
        </w:rPr>
        <w:t>根据《北京市国有建设用地使用权出让地价评估技术导则》（2026年2月10日实施）</w:t>
      </w:r>
      <w:r>
        <w:rPr>
          <w:rFonts w:hint="eastAsia" w:ascii="Arial" w:hAnsi="Arial" w:eastAsia="仿宋" w:cs="Arial"/>
          <w:sz w:val="28"/>
          <w:szCs w:val="28"/>
          <w:highlight w:val="none"/>
          <w:lang w:val="en-US" w:eastAsia="zh-CN"/>
        </w:rPr>
        <w:t>相关</w:t>
      </w:r>
      <w:r>
        <w:rPr>
          <w:rFonts w:ascii="Arial" w:hAnsi="Arial" w:eastAsia="仿宋" w:cs="Arial"/>
          <w:sz w:val="28"/>
          <w:szCs w:val="28"/>
          <w:highlight w:val="none"/>
        </w:rPr>
        <w:t>规定</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sz w:val="28"/>
          <w:highlight w:val="none"/>
        </w:rPr>
        <w:t>。</w:t>
      </w:r>
      <w:r>
        <w:rPr>
          <w:rFonts w:hint="eastAsia" w:ascii="Arial" w:hAnsi="Arial" w:eastAsia="仿宋_GB2312" w:cs="Arial"/>
          <w:kern w:val="2"/>
          <w:sz w:val="28"/>
          <w:highlight w:val="none"/>
          <w:lang w:val="en-US" w:eastAsia="zh-CN"/>
        </w:rPr>
        <w:t>其他商服、公共服务用途统一地价水平确定其配套服务设施部分的熟地单价，按就高原则确定价格水平，后续也不涉及其他</w:t>
      </w:r>
      <w:r>
        <w:rPr>
          <w:rFonts w:hint="eastAsia" w:ascii="Arial" w:hAnsi="Arial" w:eastAsia="仿宋_GB2312" w:cs="Arial"/>
          <w:kern w:val="2"/>
          <w:sz w:val="28"/>
          <w:highlight w:val="none"/>
        </w:rPr>
        <w:t>商服及公共服务用途之间地价款调整问题。</w:t>
      </w:r>
      <w:r>
        <w:rPr>
          <w:rFonts w:hint="eastAsia" w:ascii="Arial" w:hAnsi="Arial" w:eastAsia="仿宋" w:cs="Arial"/>
          <w:sz w:val="28"/>
          <w:highlight w:val="none"/>
          <w:lang w:eastAsia="zh-CN"/>
        </w:rPr>
        <w:t>”</w:t>
      </w:r>
    </w:p>
    <w:p w14:paraId="64C6E581">
      <w:pPr>
        <w:snapToGrid w:val="0"/>
        <w:spacing w:before="120" w:beforeLines="50" w:line="288" w:lineRule="auto"/>
        <w:ind w:firstLine="560" w:firstLineChars="200"/>
        <w:jc w:val="both"/>
        <w:rPr>
          <w:rFonts w:hint="eastAsia"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根据本次估价目的和出让评估要求，本次评估估价对象熟地总价时按城镇住宅用地测算结果作为最终估价结果，其他商业服务业用地、公共管理与公共服务用地仅测算列示楼面地价。具体估价结果如下表所示：</w:t>
      </w:r>
    </w:p>
    <w:tbl>
      <w:tblPr>
        <w:tblStyle w:val="34"/>
        <w:tblW w:w="9072" w:type="dxa"/>
        <w:jc w:val="center"/>
        <w:tblLayout w:type="fixed"/>
        <w:tblCellMar>
          <w:top w:w="0" w:type="dxa"/>
          <w:left w:w="108" w:type="dxa"/>
          <w:bottom w:w="0" w:type="dxa"/>
          <w:right w:w="108" w:type="dxa"/>
        </w:tblCellMar>
      </w:tblPr>
      <w:tblGrid>
        <w:gridCol w:w="3649"/>
        <w:gridCol w:w="1728"/>
        <w:gridCol w:w="1932"/>
        <w:gridCol w:w="1763"/>
      </w:tblGrid>
      <w:tr w14:paraId="4CA816D1">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60C3A544">
            <w:pPr>
              <w:widowControl/>
              <w:adjustRightInd/>
              <w:spacing w:line="300" w:lineRule="auto"/>
              <w:jc w:val="center"/>
              <w:textAlignment w:val="auto"/>
              <w:rPr>
                <w:rFonts w:ascii="Arial" w:hAnsi="Arial" w:eastAsia="黑体" w:cs="Arial"/>
                <w:sz w:val="28"/>
                <w:szCs w:val="28"/>
                <w:highlight w:val="none"/>
              </w:rPr>
            </w:pPr>
            <w:r>
              <w:rPr>
                <w:rFonts w:hint="eastAsia" w:ascii="Arial" w:hAnsi="Arial" w:eastAsia="仿宋_GB2312" w:cs="Arial"/>
                <w:b/>
                <w:bCs/>
                <w:sz w:val="28"/>
                <w:highlight w:val="none"/>
              </w:rPr>
              <w:t>北京市顺义区高丽营镇夏县营村棚户区改造土地开发项目01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008、01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016、01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026</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1、01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020地块R2二类居住用地、A334托幼用地国有建设用地使用权</w:t>
            </w:r>
            <w:r>
              <w:rPr>
                <w:rFonts w:ascii="Arial" w:hAnsi="Arial" w:eastAsia="仿宋_GB2312" w:cs="Arial"/>
                <w:b/>
                <w:bCs/>
                <w:sz w:val="28"/>
                <w:highlight w:val="none"/>
              </w:rPr>
              <w:t>估价结果汇总表</w:t>
            </w:r>
          </w:p>
        </w:tc>
      </w:tr>
      <w:tr w14:paraId="667B0AA1">
        <w:tblPrEx>
          <w:tblCellMar>
            <w:top w:w="0" w:type="dxa"/>
            <w:left w:w="108" w:type="dxa"/>
            <w:bottom w:w="0" w:type="dxa"/>
            <w:right w:w="108" w:type="dxa"/>
          </w:tblCellMar>
        </w:tblPrEx>
        <w:trPr>
          <w:trHeight w:val="67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67802617">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地价类型</w:t>
            </w:r>
            <w:r>
              <w:rPr>
                <w:rFonts w:ascii="Arial" w:hAnsi="Arial" w:eastAsia="仿宋_GB2312" w:cs="Arial"/>
                <w:szCs w:val="24"/>
                <w:highlight w:val="none"/>
              </w:rPr>
              <w:t>　</w:t>
            </w:r>
          </w:p>
        </w:tc>
        <w:tc>
          <w:tcPr>
            <w:tcW w:w="1728" w:type="dxa"/>
            <w:tcBorders>
              <w:top w:val="nil"/>
              <w:left w:val="nil"/>
              <w:bottom w:val="single" w:color="auto" w:sz="4" w:space="0"/>
              <w:right w:val="single" w:color="auto" w:sz="4" w:space="0"/>
            </w:tcBorders>
            <w:shd w:val="clear" w:color="auto" w:fill="auto"/>
            <w:vAlign w:val="center"/>
          </w:tcPr>
          <w:p w14:paraId="3A423C36">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eastAsia="zh-CN"/>
              </w:rPr>
              <w:t>楼面地价</w:t>
            </w:r>
            <w:r>
              <w:rPr>
                <w:rFonts w:ascii="Arial" w:hAnsi="Arial" w:eastAsia="仿宋_GB2312" w:cs="Arial"/>
                <w:szCs w:val="24"/>
                <w:highlight w:val="none"/>
              </w:rPr>
              <w:br w:type="textWrapping"/>
            </w:r>
            <w:r>
              <w:rPr>
                <w:rFonts w:ascii="Arial" w:hAnsi="Arial" w:eastAsia="仿宋_GB2312" w:cs="Arial"/>
                <w:szCs w:val="24"/>
                <w:highlight w:val="none"/>
              </w:rPr>
              <w:t>（元/平方米）</w:t>
            </w:r>
          </w:p>
        </w:tc>
        <w:tc>
          <w:tcPr>
            <w:tcW w:w="1932" w:type="dxa"/>
            <w:tcBorders>
              <w:top w:val="nil"/>
              <w:left w:val="nil"/>
              <w:bottom w:val="single" w:color="auto" w:sz="4" w:space="0"/>
              <w:right w:val="single" w:color="auto" w:sz="4" w:space="0"/>
            </w:tcBorders>
            <w:shd w:val="clear" w:color="auto" w:fill="auto"/>
            <w:vAlign w:val="center"/>
          </w:tcPr>
          <w:p w14:paraId="1A0CC720">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经营性</w:t>
            </w:r>
            <w:r>
              <w:rPr>
                <w:rFonts w:ascii="Arial" w:hAnsi="Arial" w:eastAsia="仿宋_GB2312" w:cs="Arial"/>
                <w:szCs w:val="24"/>
                <w:highlight w:val="none"/>
              </w:rPr>
              <w:t>建筑规模</w:t>
            </w:r>
            <w:r>
              <w:rPr>
                <w:rFonts w:ascii="Arial" w:hAnsi="Arial" w:eastAsia="仿宋_GB2312" w:cs="Arial"/>
                <w:szCs w:val="24"/>
                <w:highlight w:val="none"/>
              </w:rPr>
              <w:br w:type="textWrapping"/>
            </w:r>
            <w:r>
              <w:rPr>
                <w:rFonts w:ascii="Arial" w:hAnsi="Arial" w:eastAsia="仿宋_GB2312" w:cs="Arial"/>
                <w:szCs w:val="24"/>
                <w:highlight w:val="none"/>
              </w:rPr>
              <w:t>（平方米）</w:t>
            </w:r>
          </w:p>
        </w:tc>
        <w:tc>
          <w:tcPr>
            <w:tcW w:w="1763" w:type="dxa"/>
            <w:tcBorders>
              <w:top w:val="nil"/>
              <w:left w:val="nil"/>
              <w:bottom w:val="single" w:color="auto" w:sz="4" w:space="0"/>
              <w:right w:val="single" w:color="auto" w:sz="4" w:space="0"/>
            </w:tcBorders>
            <w:shd w:val="clear" w:color="auto" w:fill="auto"/>
            <w:vAlign w:val="center"/>
          </w:tcPr>
          <w:p w14:paraId="773FD27D">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熟地</w:t>
            </w:r>
            <w:r>
              <w:rPr>
                <w:rFonts w:ascii="Arial" w:hAnsi="Arial" w:eastAsia="仿宋_GB2312" w:cs="Arial"/>
                <w:szCs w:val="24"/>
                <w:highlight w:val="none"/>
              </w:rPr>
              <w:t>总价</w:t>
            </w:r>
            <w:r>
              <w:rPr>
                <w:rFonts w:ascii="Arial" w:hAnsi="Arial" w:eastAsia="仿宋_GB2312" w:cs="Arial"/>
                <w:szCs w:val="24"/>
                <w:highlight w:val="none"/>
              </w:rPr>
              <w:br w:type="textWrapping"/>
            </w:r>
            <w:r>
              <w:rPr>
                <w:rFonts w:ascii="Arial" w:hAnsi="Arial" w:eastAsia="仿宋_GB2312" w:cs="Arial"/>
                <w:szCs w:val="24"/>
                <w:highlight w:val="none"/>
              </w:rPr>
              <w:t>（万元）</w:t>
            </w:r>
          </w:p>
        </w:tc>
      </w:tr>
      <w:tr w14:paraId="431AA4D2">
        <w:tblPrEx>
          <w:tblCellMar>
            <w:top w:w="0" w:type="dxa"/>
            <w:left w:w="108" w:type="dxa"/>
            <w:bottom w:w="0" w:type="dxa"/>
            <w:right w:w="108" w:type="dxa"/>
          </w:tblCellMar>
        </w:tblPrEx>
        <w:trPr>
          <w:trHeight w:val="56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1953C132">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城镇住宅用地熟地价</w:t>
            </w:r>
          </w:p>
        </w:tc>
        <w:tc>
          <w:tcPr>
            <w:tcW w:w="1728" w:type="dxa"/>
            <w:tcBorders>
              <w:top w:val="nil"/>
              <w:left w:val="nil"/>
              <w:bottom w:val="single" w:color="auto" w:sz="4" w:space="0"/>
              <w:right w:val="single" w:color="auto" w:sz="4" w:space="0"/>
            </w:tcBorders>
            <w:shd w:val="clear" w:color="auto" w:fill="auto"/>
            <w:vAlign w:val="center"/>
          </w:tcPr>
          <w:p w14:paraId="3D27548F">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10942</w:t>
            </w:r>
          </w:p>
        </w:tc>
        <w:tc>
          <w:tcPr>
            <w:tcW w:w="1932" w:type="dxa"/>
            <w:tcBorders>
              <w:top w:val="nil"/>
              <w:left w:val="nil"/>
              <w:bottom w:val="single" w:color="auto" w:sz="4" w:space="0"/>
              <w:right w:val="single" w:color="auto" w:sz="4" w:space="0"/>
            </w:tcBorders>
            <w:shd w:val="clear" w:color="auto" w:fill="auto"/>
            <w:vAlign w:val="center"/>
          </w:tcPr>
          <w:p w14:paraId="28E3D109">
            <w:pPr>
              <w:spacing w:line="300" w:lineRule="auto"/>
              <w:jc w:val="center"/>
              <w:rPr>
                <w:rFonts w:ascii="黑体" w:hAnsi="黑体" w:eastAsia="黑体"/>
                <w:highlight w:val="none"/>
              </w:rPr>
            </w:pPr>
            <w:r>
              <w:rPr>
                <w:rFonts w:ascii="黑体" w:hAnsi="黑体" w:eastAsia="黑体"/>
                <w:highlight w:val="none"/>
              </w:rPr>
              <w:t>68148.54</w:t>
            </w:r>
          </w:p>
        </w:tc>
        <w:tc>
          <w:tcPr>
            <w:tcW w:w="1763" w:type="dxa"/>
            <w:tcBorders>
              <w:top w:val="nil"/>
              <w:left w:val="nil"/>
              <w:bottom w:val="single" w:color="auto" w:sz="4" w:space="0"/>
              <w:right w:val="single" w:color="auto" w:sz="4" w:space="0"/>
            </w:tcBorders>
            <w:shd w:val="clear" w:color="auto" w:fill="auto"/>
            <w:vAlign w:val="center"/>
          </w:tcPr>
          <w:p w14:paraId="46D70D00">
            <w:pPr>
              <w:spacing w:line="300" w:lineRule="auto"/>
              <w:jc w:val="center"/>
              <w:rPr>
                <w:rFonts w:ascii="黑体" w:hAnsi="黑体" w:eastAsia="黑体" w:cs="宋体"/>
                <w:szCs w:val="24"/>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r w14:paraId="3412ED7C">
        <w:tblPrEx>
          <w:tblCellMar>
            <w:top w:w="0" w:type="dxa"/>
            <w:left w:w="108" w:type="dxa"/>
            <w:bottom w:w="0" w:type="dxa"/>
            <w:right w:w="108" w:type="dxa"/>
          </w:tblCellMar>
        </w:tblPrEx>
        <w:trPr>
          <w:trHeight w:val="52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7031F4BD">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其他商业服务业用地用途熟地价</w:t>
            </w:r>
          </w:p>
        </w:tc>
        <w:tc>
          <w:tcPr>
            <w:tcW w:w="1728" w:type="dxa"/>
            <w:tcBorders>
              <w:top w:val="nil"/>
              <w:left w:val="nil"/>
              <w:bottom w:val="single" w:color="auto" w:sz="4" w:space="0"/>
              <w:right w:val="single" w:color="auto" w:sz="4" w:space="0"/>
            </w:tcBorders>
            <w:shd w:val="clear" w:color="auto" w:fill="auto"/>
            <w:vAlign w:val="center"/>
          </w:tcPr>
          <w:p w14:paraId="4786D871">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5295</w:t>
            </w:r>
          </w:p>
        </w:tc>
        <w:tc>
          <w:tcPr>
            <w:tcW w:w="1932" w:type="dxa"/>
            <w:tcBorders>
              <w:top w:val="nil"/>
              <w:left w:val="nil"/>
              <w:bottom w:val="single" w:color="auto" w:sz="4" w:space="0"/>
              <w:right w:val="single" w:color="auto" w:sz="4" w:space="0"/>
            </w:tcBorders>
            <w:shd w:val="clear" w:color="auto" w:fill="auto"/>
            <w:vAlign w:val="center"/>
          </w:tcPr>
          <w:p w14:paraId="1B2A428A">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763" w:type="dxa"/>
            <w:tcBorders>
              <w:top w:val="nil"/>
              <w:left w:val="nil"/>
              <w:bottom w:val="single" w:color="auto" w:sz="4" w:space="0"/>
              <w:right w:val="single" w:color="auto" w:sz="4" w:space="0"/>
            </w:tcBorders>
            <w:shd w:val="clear" w:color="auto" w:fill="auto"/>
            <w:vAlign w:val="center"/>
          </w:tcPr>
          <w:p w14:paraId="3F4779A8">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07C6B86C">
        <w:tblPrEx>
          <w:tblCellMar>
            <w:top w:w="0" w:type="dxa"/>
            <w:left w:w="108" w:type="dxa"/>
            <w:bottom w:w="0" w:type="dxa"/>
            <w:right w:w="108" w:type="dxa"/>
          </w:tblCellMar>
        </w:tblPrEx>
        <w:trPr>
          <w:trHeight w:val="525" w:hRule="atLeast"/>
          <w:jc w:val="center"/>
        </w:trPr>
        <w:tc>
          <w:tcPr>
            <w:tcW w:w="3649" w:type="dxa"/>
            <w:tcBorders>
              <w:top w:val="nil"/>
              <w:left w:val="single" w:color="auto" w:sz="4" w:space="0"/>
              <w:bottom w:val="nil"/>
              <w:right w:val="single" w:color="auto" w:sz="4" w:space="0"/>
            </w:tcBorders>
            <w:shd w:val="clear" w:color="auto" w:fill="auto"/>
            <w:vAlign w:val="center"/>
          </w:tcPr>
          <w:p w14:paraId="552D8483">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rPr>
              <w:t>公共</w:t>
            </w:r>
            <w:r>
              <w:rPr>
                <w:rFonts w:hint="eastAsia" w:ascii="Arial" w:hAnsi="Arial" w:eastAsia="仿宋_GB2312" w:cs="Arial"/>
                <w:szCs w:val="24"/>
                <w:highlight w:val="none"/>
                <w:lang w:val="en-US" w:eastAsia="zh-CN"/>
              </w:rPr>
              <w:t>服务用途熟地价</w:t>
            </w:r>
          </w:p>
        </w:tc>
        <w:tc>
          <w:tcPr>
            <w:tcW w:w="1728" w:type="dxa"/>
            <w:tcBorders>
              <w:top w:val="nil"/>
              <w:left w:val="nil"/>
              <w:bottom w:val="nil"/>
              <w:right w:val="single" w:color="auto" w:sz="4" w:space="0"/>
            </w:tcBorders>
            <w:shd w:val="clear" w:color="auto" w:fill="auto"/>
            <w:vAlign w:val="center"/>
          </w:tcPr>
          <w:p w14:paraId="4E4186F5">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3249</w:t>
            </w:r>
          </w:p>
        </w:tc>
        <w:tc>
          <w:tcPr>
            <w:tcW w:w="1932" w:type="dxa"/>
            <w:tcBorders>
              <w:top w:val="nil"/>
              <w:left w:val="nil"/>
              <w:bottom w:val="nil"/>
              <w:right w:val="single" w:color="auto" w:sz="4" w:space="0"/>
            </w:tcBorders>
            <w:shd w:val="clear" w:color="auto" w:fill="auto"/>
            <w:vAlign w:val="center"/>
          </w:tcPr>
          <w:p w14:paraId="42E33806">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763" w:type="dxa"/>
            <w:tcBorders>
              <w:top w:val="nil"/>
              <w:left w:val="nil"/>
              <w:bottom w:val="nil"/>
              <w:right w:val="single" w:color="auto" w:sz="4" w:space="0"/>
            </w:tcBorders>
            <w:shd w:val="clear" w:color="auto" w:fill="auto"/>
            <w:vAlign w:val="center"/>
          </w:tcPr>
          <w:p w14:paraId="21E921E9">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301D14F9">
        <w:tblPrEx>
          <w:tblCellMar>
            <w:top w:w="0" w:type="dxa"/>
            <w:left w:w="108" w:type="dxa"/>
            <w:bottom w:w="0" w:type="dxa"/>
            <w:right w:w="108" w:type="dxa"/>
          </w:tblCellMar>
        </w:tblPrEx>
        <w:trPr>
          <w:trHeight w:val="525" w:hRule="atLeast"/>
          <w:jc w:val="center"/>
        </w:trPr>
        <w:tc>
          <w:tcPr>
            <w:tcW w:w="3649" w:type="dxa"/>
            <w:tcBorders>
              <w:top w:val="nil"/>
              <w:left w:val="single" w:color="auto" w:sz="4" w:space="0"/>
              <w:bottom w:val="single" w:color="auto" w:sz="4" w:space="0"/>
              <w:right w:val="single" w:color="auto" w:sz="4" w:space="0"/>
            </w:tcBorders>
            <w:shd w:val="clear" w:color="auto" w:fill="auto"/>
            <w:vAlign w:val="center"/>
          </w:tcPr>
          <w:p w14:paraId="7204104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小计</w:t>
            </w:r>
          </w:p>
        </w:tc>
        <w:tc>
          <w:tcPr>
            <w:tcW w:w="1728" w:type="dxa"/>
            <w:tcBorders>
              <w:top w:val="nil"/>
              <w:left w:val="nil"/>
              <w:bottom w:val="single" w:color="auto" w:sz="4" w:space="0"/>
              <w:right w:val="single" w:color="auto" w:sz="4" w:space="0"/>
            </w:tcBorders>
            <w:shd w:val="clear" w:color="auto" w:fill="auto"/>
            <w:vAlign w:val="center"/>
          </w:tcPr>
          <w:p w14:paraId="5A00C86A">
            <w:pPr>
              <w:spacing w:line="300" w:lineRule="auto"/>
              <w:jc w:val="center"/>
              <w:rPr>
                <w:rFonts w:hint="eastAsia" w:ascii="黑体" w:hAnsi="黑体" w:eastAsia="黑体"/>
                <w:highlight w:val="none"/>
                <w:lang w:val="en-US" w:eastAsia="zh-CN"/>
              </w:rPr>
            </w:pPr>
            <w:r>
              <w:rPr>
                <w:rFonts w:hint="eastAsia" w:ascii="黑体" w:hAnsi="黑体" w:eastAsia="黑体"/>
                <w:highlight w:val="none"/>
                <w:lang w:val="en-US" w:eastAsia="zh-CN"/>
              </w:rPr>
              <w:t>－</w:t>
            </w:r>
          </w:p>
        </w:tc>
        <w:tc>
          <w:tcPr>
            <w:tcW w:w="1932" w:type="dxa"/>
            <w:tcBorders>
              <w:top w:val="nil"/>
              <w:left w:val="nil"/>
              <w:bottom w:val="single" w:color="auto" w:sz="4" w:space="0"/>
              <w:right w:val="single" w:color="auto" w:sz="4" w:space="0"/>
            </w:tcBorders>
            <w:shd w:val="clear" w:color="auto" w:fill="auto"/>
            <w:vAlign w:val="center"/>
          </w:tcPr>
          <w:p w14:paraId="0EFADB67">
            <w:pPr>
              <w:spacing w:line="300" w:lineRule="auto"/>
              <w:jc w:val="center"/>
              <w:rPr>
                <w:rFonts w:hint="default" w:ascii="黑体" w:hAnsi="黑体" w:eastAsia="黑体"/>
                <w:highlight w:val="none"/>
                <w:lang w:val="en-US" w:eastAsia="zh-CN"/>
              </w:rPr>
            </w:pPr>
            <w:r>
              <w:rPr>
                <w:rFonts w:hint="eastAsia" w:ascii="黑体" w:hAnsi="黑体" w:eastAsia="黑体"/>
                <w:highlight w:val="none"/>
                <w:lang w:val="en-US" w:eastAsia="zh-CN"/>
              </w:rPr>
              <w:t>68148.54</w:t>
            </w:r>
          </w:p>
        </w:tc>
        <w:tc>
          <w:tcPr>
            <w:tcW w:w="1763" w:type="dxa"/>
            <w:tcBorders>
              <w:top w:val="nil"/>
              <w:left w:val="nil"/>
              <w:bottom w:val="single" w:color="auto" w:sz="4" w:space="0"/>
              <w:right w:val="single" w:color="auto" w:sz="4" w:space="0"/>
            </w:tcBorders>
            <w:shd w:val="clear" w:color="auto" w:fill="auto"/>
            <w:vAlign w:val="center"/>
          </w:tcPr>
          <w:p w14:paraId="7239C846">
            <w:pPr>
              <w:spacing w:line="300" w:lineRule="auto"/>
              <w:jc w:val="center"/>
              <w:rPr>
                <w:rFonts w:ascii="黑体" w:hAnsi="黑体" w:eastAsia="黑体"/>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bl>
    <w:p w14:paraId="00FAAFB3">
      <w:pPr>
        <w:keepNext w:val="0"/>
        <w:keepLines w:val="0"/>
        <w:pageBreakBefore w:val="0"/>
        <w:widowControl w:val="0"/>
        <w:kinsoku/>
        <w:wordWrap/>
        <w:overflowPunct/>
        <w:topLinePunct w:val="0"/>
        <w:autoSpaceDE/>
        <w:autoSpaceDN/>
        <w:bidi w:val="0"/>
        <w:adjustRightInd w:val="0"/>
        <w:snapToGrid w:val="0"/>
        <w:spacing w:before="327" w:beforeLines="100" w:line="288" w:lineRule="auto"/>
        <w:textAlignment w:val="baseline"/>
        <w:rPr>
          <w:rFonts w:hint="default"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出让底价建议：</w:t>
      </w:r>
    </w:p>
    <w:p w14:paraId="22AB0A4B">
      <w:pPr>
        <w:snapToGrid w:val="0"/>
        <w:spacing w:before="120" w:beforeLines="50" w:line="288" w:lineRule="auto"/>
        <w:ind w:firstLine="560" w:firstLineChars="200"/>
        <w:jc w:val="both"/>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67839238">
      <w:pPr>
        <w:snapToGrid w:val="0"/>
        <w:spacing w:before="120" w:beforeLines="50" w:line="288" w:lineRule="auto"/>
        <w:ind w:firstLine="560" w:firstLineChars="200"/>
        <w:jc w:val="both"/>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根据《北京市国有建设用地使用权出让地价评估技术导则》（2026年2月10日实施）：“土地未公布协议出让最低价标准的，按拟出让土地所在级别基准地价的70%测算对比”；同时《协议出让国有土地使用权规定》（中华人民共和国国土资源部21号令，2003年8月1日实施）规定，“有基准地价的地区，协议出让最低价不得低于出让地块所在级别基准地价的70%”。北京市已公布基准地价，未公布协议出让最低价标准，因此，本次估价将熟地价与级别基准地价的70%进行对比分析。</w:t>
      </w:r>
    </w:p>
    <w:p w14:paraId="1EB16792">
      <w:pPr>
        <w:snapToGrid w:val="0"/>
        <w:spacing w:before="120" w:beforeLines="50" w:line="288" w:lineRule="auto"/>
        <w:ind w:firstLine="562" w:firstLineChars="200"/>
        <w:jc w:val="both"/>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估价对象所在地区属于北京市基准地价住宅、商业、公共服务类三级地价区，具体计算公式如下:</w:t>
      </w:r>
    </w:p>
    <w:p w14:paraId="07841206">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楼面地价（级别基准地价的70%）＝适用的基准地价×用途修正系数×期日修正系数×年期修正系数×容积率修正系数×70%</w:t>
      </w:r>
    </w:p>
    <w:p w14:paraId="18924AE1">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各用途估价结果详见下表:</w:t>
      </w:r>
    </w:p>
    <w:tbl>
      <w:tblPr>
        <w:tblStyle w:val="34"/>
        <w:tblW w:w="0" w:type="auto"/>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6"/>
        <w:gridCol w:w="2220"/>
        <w:gridCol w:w="2050"/>
        <w:gridCol w:w="1964"/>
        <w:gridCol w:w="2106"/>
      </w:tblGrid>
      <w:tr w14:paraId="369F84C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9BBF6C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93FEF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64A77D">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住宅</w:t>
            </w:r>
          </w:p>
          <w:p w14:paraId="7DBF4A3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B3C71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商业</w:t>
            </w:r>
          </w:p>
          <w:p w14:paraId="1B085FA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F3F6F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公共服务</w:t>
            </w:r>
          </w:p>
          <w:p w14:paraId="566D92B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r>
      <w:tr w14:paraId="36B664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A33272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F6CF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1C2CE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0639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5B4CF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3170</w:t>
            </w:r>
          </w:p>
        </w:tc>
      </w:tr>
      <w:tr w14:paraId="78BFB2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AA2D14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9ED41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16DF6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A6077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62CBE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r>
      <w:tr w14:paraId="46661B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8A89C1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9A736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C662E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32D1D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E3628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495A68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5CE718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A158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AEF60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5430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5668F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70B8145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3F044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64E58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5D960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15FDE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287C1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51E3D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4206EA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390AB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57F9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93477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C45D1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0.9388</w:t>
            </w:r>
          </w:p>
        </w:tc>
      </w:tr>
      <w:tr w14:paraId="6A9DF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07632A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15849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97830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89A90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EBCD2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50F62DA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EC4C2A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F7EE7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0EB5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A8DC5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23B92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1.0678</w:t>
            </w:r>
          </w:p>
        </w:tc>
      </w:tr>
      <w:tr w14:paraId="70DF8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5069F0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7312F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986E5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45355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5B08C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3225</w:t>
            </w:r>
          </w:p>
        </w:tc>
      </w:tr>
      <w:tr w14:paraId="44FDC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ED8F94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4C94E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CF9E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634C6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82854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2258</w:t>
            </w:r>
          </w:p>
        </w:tc>
      </w:tr>
      <w:tr w14:paraId="39758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1BD295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E92AC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A4ABE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3CDE8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64C50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3249</w:t>
            </w:r>
          </w:p>
        </w:tc>
      </w:tr>
    </w:tbl>
    <w:p w14:paraId="7733F804">
      <w:pPr>
        <w:snapToGrid w:val="0"/>
        <w:spacing w:before="120" w:beforeLines="50" w:line="288" w:lineRule="auto"/>
        <w:ind w:firstLine="560" w:firstLineChars="200"/>
        <w:jc w:val="both"/>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经测算，本次估价求取估价对象各用途熟地价均高于协议出让最低价标准（经修正后（除因素修正外）级别基准地价的70%），因此建议该宗地以评估熟地价作为入市底价，即74568.1325万元，建议出让楼面地价为10942元/平方米（折合经营性建筑面积）。</w:t>
      </w:r>
    </w:p>
    <w:p w14:paraId="71A58B97">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建议出让底价：74568.1325万元</w:t>
      </w:r>
    </w:p>
    <w:p w14:paraId="4563FC91">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大写金额：柒亿肆仟伍佰陆拾捌万壹仟叁佰贰拾伍元整</w:t>
      </w:r>
    </w:p>
    <w:p w14:paraId="4A74ECC5">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折合经营性建筑面积楼面地价：10942元/平方米</w:t>
      </w:r>
    </w:p>
    <w:p w14:paraId="72C8C947">
      <w:pPr>
        <w:snapToGrid w:val="0"/>
        <w:spacing w:before="120" w:beforeLines="50" w:line="288" w:lineRule="auto"/>
        <w:ind w:firstLine="560" w:firstLineChars="200"/>
        <w:rPr>
          <w:rStyle w:val="37"/>
          <w:rFonts w:ascii="Arial" w:hAnsi="Arial" w:cs="Arial"/>
          <w:highlight w:val="none"/>
        </w:rPr>
      </w:pPr>
      <w:r>
        <w:rPr>
          <w:rFonts w:hint="eastAsia" w:ascii="Arial" w:hAnsi="Arial" w:eastAsia="仿宋" w:cs="Arial"/>
          <w:sz w:val="28"/>
          <w:highlight w:val="none"/>
          <w:lang w:val="en-US" w:eastAsia="zh-CN"/>
        </w:rPr>
        <w:t>估价对象的具体情况及详细估价结果见估价结果一览表。</w:t>
      </w:r>
      <w:r>
        <w:rPr>
          <w:rFonts w:hint="eastAsia" w:ascii="Arial" w:hAnsi="Arial" w:eastAsia="仿宋" w:cs="Arial"/>
          <w:sz w:val="28"/>
          <w:highlight w:val="none"/>
          <w:lang w:val="en-US" w:eastAsia="zh-CN"/>
        </w:rPr>
        <w:br w:type="page"/>
      </w:r>
      <w:bookmarkStart w:id="67" w:name="_Toc138062997"/>
      <w:bookmarkStart w:id="68" w:name="_Toc132016727"/>
      <w:r>
        <w:rPr>
          <w:rStyle w:val="37"/>
          <w:rFonts w:ascii="Arial" w:hAnsi="Arial" w:cs="Arial"/>
          <w:highlight w:val="none"/>
        </w:rPr>
        <w:t>八</w:t>
      </w:r>
      <w:r>
        <w:rPr>
          <w:rFonts w:ascii="Arial" w:hAnsi="Arial" w:eastAsia="仿宋_GB2312" w:cs="Arial"/>
          <w:b/>
          <w:bCs/>
          <w:sz w:val="28"/>
          <w:highlight w:val="none"/>
        </w:rPr>
        <w:t>、</w:t>
      </w:r>
      <w:r>
        <w:rPr>
          <w:rFonts w:hint="eastAsia" w:ascii="Arial" w:hAnsi="Arial" w:eastAsia="仿宋_GB2312" w:cs="Arial"/>
          <w:b/>
          <w:bCs/>
          <w:sz w:val="28"/>
          <w:highlight w:val="none"/>
        </w:rPr>
        <w:t>土地估价</w:t>
      </w:r>
      <w:r>
        <w:rPr>
          <w:rFonts w:ascii="Arial" w:hAnsi="Arial" w:eastAsia="仿宋_GB2312" w:cs="Arial"/>
          <w:b/>
          <w:bCs/>
          <w:sz w:val="28"/>
          <w:highlight w:val="none"/>
        </w:rPr>
        <w:t>专业评估师签字</w:t>
      </w:r>
      <w:bookmarkEnd w:id="61"/>
      <w:bookmarkEnd w:id="62"/>
      <w:bookmarkEnd w:id="63"/>
      <w:bookmarkEnd w:id="64"/>
      <w:bookmarkEnd w:id="65"/>
      <w:bookmarkEnd w:id="66"/>
      <w:bookmarkEnd w:id="67"/>
      <w:bookmarkEnd w:id="68"/>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85" w:type="dxa"/>
          <w:bottom w:w="28" w:type="dxa"/>
          <w:right w:w="85" w:type="dxa"/>
        </w:tblCellMar>
      </w:tblPr>
      <w:tblGrid>
        <w:gridCol w:w="2540"/>
        <w:gridCol w:w="3931"/>
        <w:gridCol w:w="2601"/>
      </w:tblGrid>
      <w:tr w14:paraId="44DB7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70" w:hRule="atLeast"/>
          <w:jc w:val="center"/>
        </w:trPr>
        <w:tc>
          <w:tcPr>
            <w:tcW w:w="9299" w:type="dxa"/>
            <w:gridSpan w:val="3"/>
            <w:shd w:val="clear" w:color="auto" w:fill="auto"/>
            <w:vAlign w:val="center"/>
          </w:tcPr>
          <w:p w14:paraId="1BDE93DE">
            <w:pPr>
              <w:widowControl/>
              <w:adjustRightInd/>
              <w:spacing w:line="300" w:lineRule="auto"/>
              <w:jc w:val="both"/>
              <w:textAlignment w:val="auto"/>
              <w:rPr>
                <w:rFonts w:ascii="Arial" w:hAnsi="Arial" w:eastAsia="仿宋_GB2312" w:cs="Arial"/>
                <w:b/>
                <w:bCs/>
                <w:sz w:val="28"/>
                <w:szCs w:val="28"/>
                <w:highlight w:val="none"/>
              </w:rPr>
            </w:pPr>
            <w:r>
              <w:rPr>
                <w:rFonts w:ascii="Arial" w:hAnsi="Arial" w:eastAsia="仿宋_GB2312" w:cs="Arial"/>
                <w:b/>
                <w:bCs/>
                <w:sz w:val="28"/>
                <w:szCs w:val="28"/>
                <w:highlight w:val="none"/>
              </w:rPr>
              <w:t>土地</w:t>
            </w:r>
            <w:r>
              <w:rPr>
                <w:rFonts w:hint="eastAsia" w:ascii="Arial" w:hAnsi="Arial" w:eastAsia="仿宋_GB2312" w:cs="Arial"/>
                <w:b/>
                <w:bCs/>
                <w:sz w:val="28"/>
                <w:highlight w:val="none"/>
              </w:rPr>
              <w:t>估价</w:t>
            </w:r>
            <w:r>
              <w:rPr>
                <w:rFonts w:ascii="Arial" w:hAnsi="Arial" w:eastAsia="仿宋_GB2312" w:cs="Arial"/>
                <w:b/>
                <w:bCs/>
                <w:sz w:val="28"/>
                <w:highlight w:val="none"/>
              </w:rPr>
              <w:t>专业评估</w:t>
            </w:r>
            <w:r>
              <w:rPr>
                <w:rFonts w:hint="eastAsia" w:ascii="Arial" w:hAnsi="Arial" w:eastAsia="仿宋_GB2312" w:cs="Arial"/>
                <w:b/>
                <w:bCs/>
                <w:sz w:val="28"/>
                <w:highlight w:val="none"/>
              </w:rPr>
              <w:t>师</w:t>
            </w:r>
          </w:p>
        </w:tc>
      </w:tr>
      <w:tr w14:paraId="10E6D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370" w:hRule="atLeast"/>
          <w:jc w:val="center"/>
        </w:trPr>
        <w:tc>
          <w:tcPr>
            <w:tcW w:w="2603" w:type="dxa"/>
            <w:shd w:val="clear" w:color="auto" w:fill="auto"/>
            <w:vAlign w:val="center"/>
          </w:tcPr>
          <w:p w14:paraId="321EBACB">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姓名</w:t>
            </w:r>
          </w:p>
        </w:tc>
        <w:tc>
          <w:tcPr>
            <w:tcW w:w="4031" w:type="dxa"/>
            <w:shd w:val="clear" w:color="auto" w:fill="auto"/>
            <w:vAlign w:val="center"/>
          </w:tcPr>
          <w:p w14:paraId="5FF0D14A">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资格证号</w:t>
            </w:r>
          </w:p>
        </w:tc>
        <w:tc>
          <w:tcPr>
            <w:tcW w:w="2665" w:type="dxa"/>
            <w:shd w:val="clear" w:color="auto" w:fill="auto"/>
            <w:vAlign w:val="center"/>
          </w:tcPr>
          <w:p w14:paraId="3499F207">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签名</w:t>
            </w:r>
          </w:p>
        </w:tc>
      </w:tr>
      <w:tr w14:paraId="5FA0F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01E65080">
            <w:pPr>
              <w:widowControl/>
              <w:adjustRightInd/>
              <w:spacing w:line="300" w:lineRule="auto"/>
              <w:jc w:val="both"/>
              <w:textAlignment w:val="auto"/>
              <w:rPr>
                <w:rFonts w:hint="eastAsia" w:ascii="Arial" w:hAnsi="Arial" w:eastAsia="仿宋_GB2312" w:cs="Arial"/>
                <w:sz w:val="28"/>
                <w:szCs w:val="28"/>
                <w:highlight w:val="none"/>
                <w:lang w:val="en-US" w:eastAsia="zh-CN"/>
              </w:rPr>
            </w:pPr>
            <w:r>
              <w:rPr>
                <w:rFonts w:hint="eastAsia" w:ascii="Arial" w:hAnsi="Arial" w:eastAsia="仿宋_GB2312" w:cs="Arial"/>
                <w:sz w:val="28"/>
                <w:szCs w:val="28"/>
                <w:highlight w:val="none"/>
                <w:lang w:val="en-US" w:eastAsia="zh-CN"/>
              </w:rPr>
              <w:t>黄  英</w:t>
            </w:r>
          </w:p>
        </w:tc>
        <w:tc>
          <w:tcPr>
            <w:tcW w:w="4031" w:type="dxa"/>
            <w:shd w:val="clear" w:color="auto" w:fill="auto"/>
            <w:vAlign w:val="center"/>
          </w:tcPr>
          <w:p w14:paraId="7BAAFF29">
            <w:pPr>
              <w:widowControl/>
              <w:adjustRightInd/>
              <w:spacing w:line="300" w:lineRule="auto"/>
              <w:jc w:val="both"/>
              <w:textAlignment w:val="auto"/>
              <w:rPr>
                <w:rFonts w:ascii="Arial" w:hAnsi="Arial" w:eastAsia="仿宋_GB2312" w:cs="Arial"/>
                <w:sz w:val="28"/>
                <w:szCs w:val="28"/>
                <w:highlight w:val="none"/>
              </w:rPr>
            </w:pPr>
            <w:r>
              <w:rPr>
                <w:rFonts w:hint="eastAsia" w:ascii="Arial" w:hAnsi="Arial" w:eastAsia="仿宋_GB2312" w:cs="Arial"/>
                <w:sz w:val="28"/>
                <w:szCs w:val="28"/>
                <w:highlight w:val="none"/>
              </w:rPr>
              <w:t>30520231111000000028</w:t>
            </w:r>
          </w:p>
        </w:tc>
        <w:tc>
          <w:tcPr>
            <w:tcW w:w="2665" w:type="dxa"/>
            <w:shd w:val="clear" w:color="auto" w:fill="auto"/>
            <w:vAlign w:val="center"/>
          </w:tcPr>
          <w:p w14:paraId="6A0BBEBB">
            <w:pPr>
              <w:widowControl/>
              <w:adjustRightInd/>
              <w:spacing w:line="300" w:lineRule="auto"/>
              <w:jc w:val="both"/>
              <w:textAlignment w:val="auto"/>
              <w:rPr>
                <w:rFonts w:ascii="Arial" w:hAnsi="Arial" w:eastAsia="仿宋_GB2312" w:cs="Arial"/>
                <w:sz w:val="28"/>
                <w:szCs w:val="28"/>
                <w:highlight w:val="none"/>
              </w:rPr>
            </w:pPr>
          </w:p>
        </w:tc>
      </w:tr>
      <w:tr w14:paraId="2AC90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3E89C156">
            <w:pPr>
              <w:widowControl/>
              <w:adjustRightInd/>
              <w:spacing w:line="300" w:lineRule="auto"/>
              <w:jc w:val="both"/>
              <w:textAlignment w:val="auto"/>
              <w:rPr>
                <w:rFonts w:ascii="Arial" w:hAnsi="Arial" w:eastAsia="仿宋_GB2312" w:cs="Arial"/>
                <w:sz w:val="28"/>
                <w:szCs w:val="28"/>
                <w:highlight w:val="none"/>
              </w:rPr>
            </w:pPr>
            <w:r>
              <w:rPr>
                <w:rFonts w:hint="eastAsia" w:ascii="Arial" w:hAnsi="Arial" w:eastAsia="仿宋_GB2312" w:cs="Arial"/>
                <w:sz w:val="28"/>
                <w:szCs w:val="28"/>
                <w:highlight w:val="none"/>
              </w:rPr>
              <w:t>叶  凌</w:t>
            </w:r>
          </w:p>
        </w:tc>
        <w:tc>
          <w:tcPr>
            <w:tcW w:w="4031" w:type="dxa"/>
            <w:shd w:val="clear" w:color="auto" w:fill="auto"/>
            <w:vAlign w:val="center"/>
          </w:tcPr>
          <w:p w14:paraId="45CAE911">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94010078</w:t>
            </w:r>
          </w:p>
        </w:tc>
        <w:tc>
          <w:tcPr>
            <w:tcW w:w="2665" w:type="dxa"/>
            <w:shd w:val="clear" w:color="auto" w:fill="auto"/>
            <w:vAlign w:val="center"/>
          </w:tcPr>
          <w:p w14:paraId="145C0F70">
            <w:pPr>
              <w:widowControl/>
              <w:adjustRightInd/>
              <w:spacing w:line="300" w:lineRule="auto"/>
              <w:jc w:val="both"/>
              <w:textAlignment w:val="auto"/>
              <w:rPr>
                <w:rFonts w:ascii="Arial" w:hAnsi="Arial" w:eastAsia="仿宋_GB2312" w:cs="Arial"/>
                <w:sz w:val="28"/>
                <w:szCs w:val="28"/>
                <w:highlight w:val="none"/>
              </w:rPr>
            </w:pPr>
          </w:p>
        </w:tc>
      </w:tr>
      <w:tr w14:paraId="7EF56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7C718E8F">
            <w:pPr>
              <w:widowControl/>
              <w:adjustRightInd/>
              <w:spacing w:line="300" w:lineRule="auto"/>
              <w:jc w:val="both"/>
              <w:textAlignment w:val="auto"/>
              <w:rPr>
                <w:rFonts w:ascii="Arial" w:hAnsi="Arial" w:eastAsia="仿宋_GB2312" w:cs="Arial"/>
                <w:sz w:val="28"/>
                <w:szCs w:val="28"/>
                <w:highlight w:val="none"/>
              </w:rPr>
            </w:pPr>
            <w:r>
              <w:rPr>
                <w:rFonts w:hint="eastAsia" w:ascii="Arial" w:hAnsi="Arial" w:eastAsia="仿宋_GB2312" w:cs="Arial"/>
                <w:sz w:val="28"/>
                <w:szCs w:val="28"/>
                <w:highlight w:val="none"/>
              </w:rPr>
              <w:t>魏伯欣</w:t>
            </w:r>
          </w:p>
        </w:tc>
        <w:tc>
          <w:tcPr>
            <w:tcW w:w="4031" w:type="dxa"/>
            <w:shd w:val="clear" w:color="auto" w:fill="auto"/>
            <w:vAlign w:val="center"/>
          </w:tcPr>
          <w:p w14:paraId="2B770EA5">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2000110133</w:t>
            </w:r>
          </w:p>
        </w:tc>
        <w:tc>
          <w:tcPr>
            <w:tcW w:w="2665" w:type="dxa"/>
            <w:shd w:val="clear" w:color="auto" w:fill="auto"/>
            <w:vAlign w:val="center"/>
          </w:tcPr>
          <w:p w14:paraId="11798BD0">
            <w:pPr>
              <w:widowControl/>
              <w:adjustRightInd/>
              <w:spacing w:line="300" w:lineRule="auto"/>
              <w:jc w:val="both"/>
              <w:textAlignment w:val="auto"/>
              <w:rPr>
                <w:rFonts w:ascii="Arial" w:hAnsi="Arial" w:eastAsia="仿宋_GB2312" w:cs="Arial"/>
                <w:sz w:val="28"/>
                <w:szCs w:val="28"/>
                <w:highlight w:val="none"/>
              </w:rPr>
            </w:pPr>
          </w:p>
        </w:tc>
      </w:tr>
      <w:tr w14:paraId="62CC7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94" w:hRule="atLeast"/>
          <w:jc w:val="center"/>
        </w:trPr>
        <w:tc>
          <w:tcPr>
            <w:tcW w:w="9299" w:type="dxa"/>
            <w:gridSpan w:val="3"/>
            <w:shd w:val="clear" w:color="auto" w:fill="auto"/>
            <w:vAlign w:val="center"/>
          </w:tcPr>
          <w:p w14:paraId="26E60EA4">
            <w:pPr>
              <w:widowControl/>
              <w:adjustRightInd/>
              <w:spacing w:line="300" w:lineRule="auto"/>
              <w:jc w:val="both"/>
              <w:textAlignment w:val="auto"/>
              <w:rPr>
                <w:rFonts w:ascii="Arial" w:hAnsi="Arial" w:eastAsia="仿宋_GB2312" w:cs="Arial"/>
                <w:b/>
                <w:bCs/>
                <w:sz w:val="28"/>
                <w:szCs w:val="28"/>
                <w:highlight w:val="none"/>
              </w:rPr>
            </w:pPr>
            <w:r>
              <w:rPr>
                <w:rFonts w:ascii="Arial" w:hAnsi="Arial" w:eastAsia="仿宋_GB2312" w:cs="Arial"/>
                <w:b/>
                <w:bCs/>
                <w:sz w:val="28"/>
                <w:szCs w:val="28"/>
                <w:highlight w:val="none"/>
              </w:rPr>
              <w:t>其他</w:t>
            </w:r>
            <w:r>
              <w:rPr>
                <w:rFonts w:hint="eastAsia" w:ascii="Arial" w:hAnsi="Arial" w:eastAsia="仿宋_GB2312" w:cs="Arial"/>
                <w:b/>
                <w:bCs/>
                <w:sz w:val="28"/>
                <w:szCs w:val="28"/>
                <w:highlight w:val="none"/>
              </w:rPr>
              <w:t>评估</w:t>
            </w:r>
            <w:r>
              <w:rPr>
                <w:rFonts w:ascii="Arial" w:hAnsi="Arial" w:eastAsia="仿宋_GB2312" w:cs="Arial"/>
                <w:b/>
                <w:bCs/>
                <w:sz w:val="28"/>
                <w:szCs w:val="28"/>
                <w:highlight w:val="none"/>
              </w:rPr>
              <w:t xml:space="preserve">专业人员 </w:t>
            </w:r>
          </w:p>
        </w:tc>
      </w:tr>
      <w:tr w14:paraId="7E727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9" w:hRule="atLeast"/>
          <w:jc w:val="center"/>
        </w:trPr>
        <w:tc>
          <w:tcPr>
            <w:tcW w:w="2603" w:type="dxa"/>
            <w:shd w:val="clear" w:color="auto" w:fill="auto"/>
            <w:vAlign w:val="center"/>
          </w:tcPr>
          <w:p w14:paraId="59A9BF40">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姓名</w:t>
            </w:r>
          </w:p>
        </w:tc>
        <w:tc>
          <w:tcPr>
            <w:tcW w:w="4031" w:type="dxa"/>
            <w:shd w:val="clear" w:color="auto" w:fill="auto"/>
            <w:vAlign w:val="center"/>
          </w:tcPr>
          <w:p w14:paraId="601AE279">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相关资格或职称</w:t>
            </w:r>
          </w:p>
        </w:tc>
        <w:tc>
          <w:tcPr>
            <w:tcW w:w="2665" w:type="dxa"/>
            <w:shd w:val="clear" w:color="auto" w:fill="auto"/>
            <w:vAlign w:val="center"/>
          </w:tcPr>
          <w:p w14:paraId="026F2F33">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签名</w:t>
            </w:r>
          </w:p>
        </w:tc>
      </w:tr>
      <w:tr w14:paraId="5AFEF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08967EFD">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w:t>
            </w:r>
          </w:p>
        </w:tc>
        <w:tc>
          <w:tcPr>
            <w:tcW w:w="4031" w:type="dxa"/>
            <w:shd w:val="clear" w:color="auto" w:fill="auto"/>
            <w:vAlign w:val="center"/>
          </w:tcPr>
          <w:p w14:paraId="10925467">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w:t>
            </w:r>
          </w:p>
        </w:tc>
        <w:tc>
          <w:tcPr>
            <w:tcW w:w="2665" w:type="dxa"/>
            <w:shd w:val="clear" w:color="auto" w:fill="auto"/>
            <w:vAlign w:val="center"/>
          </w:tcPr>
          <w:p w14:paraId="58BCB880">
            <w:pPr>
              <w:widowControl/>
              <w:adjustRightInd/>
              <w:spacing w:line="300" w:lineRule="auto"/>
              <w:jc w:val="both"/>
              <w:textAlignment w:val="auto"/>
              <w:rPr>
                <w:rFonts w:ascii="Arial" w:hAnsi="Arial" w:eastAsia="仿宋_GB2312" w:cs="Arial"/>
                <w:sz w:val="28"/>
                <w:szCs w:val="28"/>
                <w:highlight w:val="none"/>
              </w:rPr>
            </w:pPr>
          </w:p>
        </w:tc>
      </w:tr>
    </w:tbl>
    <w:p w14:paraId="01A8DBFC">
      <w:pPr>
        <w:spacing w:line="300" w:lineRule="auto"/>
        <w:rPr>
          <w:rFonts w:ascii="Arial" w:hAnsi="Arial" w:eastAsia="仿宋_GB2312" w:cs="Arial"/>
          <w:sz w:val="28"/>
          <w:highlight w:val="none"/>
        </w:rPr>
      </w:pPr>
    </w:p>
    <w:p w14:paraId="460C05B9">
      <w:pPr>
        <w:spacing w:line="300" w:lineRule="auto"/>
        <w:outlineLvl w:val="1"/>
        <w:rPr>
          <w:rFonts w:ascii="Arial" w:hAnsi="Arial" w:eastAsia="仿宋_GB2312" w:cs="Arial"/>
          <w:i/>
          <w:sz w:val="28"/>
          <w:highlight w:val="none"/>
        </w:rPr>
      </w:pPr>
      <w:bookmarkStart w:id="69" w:name="_Toc418750889"/>
      <w:bookmarkStart w:id="70" w:name="_Toc425250311"/>
      <w:bookmarkStart w:id="71" w:name="_Toc515458364"/>
      <w:bookmarkStart w:id="72" w:name="_Toc138062998"/>
      <w:bookmarkStart w:id="73" w:name="_Toc531701557"/>
      <w:bookmarkStart w:id="74" w:name="_Toc469066309"/>
      <w:bookmarkStart w:id="75" w:name="_Toc416783526"/>
      <w:bookmarkStart w:id="76" w:name="_Toc132016728"/>
      <w:bookmarkStart w:id="77" w:name="_Toc520261132"/>
      <w:r>
        <w:rPr>
          <w:rFonts w:ascii="Arial" w:hAnsi="Arial" w:eastAsia="仿宋_GB2312" w:cs="Arial"/>
          <w:b/>
          <w:sz w:val="28"/>
          <w:highlight w:val="none"/>
        </w:rPr>
        <w:t>九、土地估价机构</w:t>
      </w:r>
      <w:bookmarkEnd w:id="69"/>
      <w:bookmarkEnd w:id="70"/>
      <w:bookmarkEnd w:id="71"/>
      <w:bookmarkEnd w:id="72"/>
      <w:bookmarkEnd w:id="73"/>
      <w:bookmarkEnd w:id="74"/>
      <w:bookmarkEnd w:id="75"/>
      <w:bookmarkEnd w:id="76"/>
      <w:bookmarkEnd w:id="77"/>
    </w:p>
    <w:p w14:paraId="5644665E">
      <w:pPr>
        <w:spacing w:line="300" w:lineRule="auto"/>
        <w:rPr>
          <w:rFonts w:ascii="Arial" w:hAnsi="Arial" w:eastAsia="仿宋_GB2312" w:cs="Arial"/>
          <w:sz w:val="28"/>
          <w:highlight w:val="none"/>
        </w:rPr>
      </w:pPr>
      <w:r>
        <w:rPr>
          <w:rFonts w:ascii="Arial" w:hAnsi="Arial" w:eastAsia="仿宋_GB2312" w:cs="Arial"/>
          <w:sz w:val="28"/>
          <w:highlight w:val="none"/>
        </w:rPr>
        <w:t xml:space="preserve"> </w:t>
      </w:r>
    </w:p>
    <w:p w14:paraId="1918197D">
      <w:pPr>
        <w:spacing w:line="300" w:lineRule="auto"/>
        <w:rPr>
          <w:rFonts w:ascii="Arial" w:hAnsi="Arial" w:eastAsia="仿宋_GB2312" w:cs="Arial"/>
          <w:sz w:val="28"/>
          <w:highlight w:val="none"/>
        </w:rPr>
      </w:pPr>
      <w:r>
        <w:rPr>
          <w:rFonts w:ascii="Arial" w:hAnsi="Arial" w:eastAsia="仿宋_GB2312" w:cs="Arial"/>
          <w:sz w:val="28"/>
          <w:highlight w:val="none"/>
        </w:rPr>
        <w:t xml:space="preserve">                              </w:t>
      </w:r>
    </w:p>
    <w:tbl>
      <w:tblPr>
        <w:tblStyle w:val="34"/>
        <w:tblW w:w="0" w:type="auto"/>
        <w:jc w:val="right"/>
        <w:tblLayout w:type="fixed"/>
        <w:tblCellMar>
          <w:top w:w="28" w:type="dxa"/>
          <w:left w:w="85" w:type="dxa"/>
          <w:bottom w:w="28" w:type="dxa"/>
          <w:right w:w="85" w:type="dxa"/>
        </w:tblCellMar>
      </w:tblPr>
      <w:tblGrid>
        <w:gridCol w:w="4445"/>
      </w:tblGrid>
      <w:tr w14:paraId="47E38F64">
        <w:trPr>
          <w:jc w:val="right"/>
        </w:trPr>
        <w:tc>
          <w:tcPr>
            <w:tcW w:w="4445" w:type="dxa"/>
            <w:shd w:val="clear" w:color="auto" w:fill="auto"/>
          </w:tcPr>
          <w:p w14:paraId="4C96951E">
            <w:pPr>
              <w:spacing w:line="300" w:lineRule="auto"/>
              <w:rPr>
                <w:rFonts w:ascii="Arial" w:hAnsi="Arial" w:eastAsia="仿宋_GB2312" w:cs="Arial"/>
                <w:sz w:val="28"/>
                <w:szCs w:val="21"/>
                <w:highlight w:val="none"/>
              </w:rPr>
            </w:pPr>
            <w:r>
              <w:rPr>
                <w:rFonts w:ascii="Arial" w:hAnsi="Arial" w:eastAsia="仿宋_GB2312" w:cs="Arial"/>
                <w:sz w:val="28"/>
                <w:szCs w:val="21"/>
                <w:highlight w:val="none"/>
              </w:rPr>
              <w:t>北京康正宏基房地产评估有限公司</w:t>
            </w:r>
          </w:p>
        </w:tc>
      </w:tr>
      <w:tr w14:paraId="3AD035AC">
        <w:tblPrEx>
          <w:tblCellMar>
            <w:top w:w="28" w:type="dxa"/>
            <w:left w:w="85" w:type="dxa"/>
            <w:bottom w:w="28" w:type="dxa"/>
            <w:right w:w="85" w:type="dxa"/>
          </w:tblCellMar>
        </w:tblPrEx>
        <w:trPr>
          <w:trHeight w:val="1431" w:hRule="atLeast"/>
          <w:jc w:val="right"/>
        </w:trPr>
        <w:tc>
          <w:tcPr>
            <w:tcW w:w="4445" w:type="dxa"/>
            <w:shd w:val="clear" w:color="auto" w:fill="auto"/>
          </w:tcPr>
          <w:p w14:paraId="0000D3F6">
            <w:pPr>
              <w:spacing w:line="300" w:lineRule="auto"/>
              <w:rPr>
                <w:rFonts w:ascii="Arial" w:hAnsi="Arial" w:eastAsia="仿宋_GB2312" w:cs="Arial"/>
                <w:sz w:val="28"/>
                <w:szCs w:val="21"/>
                <w:highlight w:val="none"/>
              </w:rPr>
            </w:pPr>
            <w:r>
              <w:rPr>
                <w:rFonts w:ascii="Arial" w:hAnsi="Arial" w:eastAsia="仿宋_GB2312" w:cs="Arial"/>
                <w:sz w:val="28"/>
                <w:szCs w:val="21"/>
                <w:highlight w:val="none"/>
              </w:rPr>
              <w:t>法定代表人：</w:t>
            </w:r>
          </w:p>
        </w:tc>
      </w:tr>
      <w:tr w14:paraId="20B8EC6D">
        <w:tblPrEx>
          <w:tblCellMar>
            <w:top w:w="28" w:type="dxa"/>
            <w:left w:w="85" w:type="dxa"/>
            <w:bottom w:w="28" w:type="dxa"/>
            <w:right w:w="85" w:type="dxa"/>
          </w:tblCellMar>
        </w:tblPrEx>
        <w:trPr>
          <w:cantSplit/>
          <w:jc w:val="right"/>
        </w:trPr>
        <w:tc>
          <w:tcPr>
            <w:tcW w:w="4445" w:type="dxa"/>
            <w:shd w:val="clear" w:color="auto" w:fill="auto"/>
          </w:tcPr>
          <w:p w14:paraId="60A7CEE4">
            <w:pPr>
              <w:spacing w:line="300" w:lineRule="auto"/>
              <w:jc w:val="right"/>
              <w:rPr>
                <w:rFonts w:ascii="Arial" w:hAnsi="Arial" w:eastAsia="仿宋_GB2312" w:cs="Arial"/>
                <w:sz w:val="28"/>
                <w:szCs w:val="21"/>
                <w:highlight w:val="none"/>
              </w:rPr>
            </w:pPr>
            <w:r>
              <w:rPr>
                <w:rFonts w:hint="eastAsia" w:ascii="Arial" w:hAnsi="Arial" w:eastAsia="仿宋_GB2312" w:cs="Arial"/>
                <w:sz w:val="28"/>
                <w:szCs w:val="21"/>
                <w:highlight w:val="none"/>
              </w:rPr>
              <w:t>二</w:t>
            </w:r>
            <w:r>
              <w:rPr>
                <w:rFonts w:hint="eastAsia" w:ascii="微软雅黑" w:hAnsi="微软雅黑" w:eastAsia="微软雅黑" w:cs="微软雅黑"/>
                <w:sz w:val="28"/>
                <w:szCs w:val="21"/>
                <w:highlight w:val="none"/>
              </w:rPr>
              <w:t>〇</w:t>
            </w:r>
            <w:r>
              <w:rPr>
                <w:rFonts w:hint="eastAsia" w:ascii="仿宋_GB2312" w:hAnsi="仿宋_GB2312" w:eastAsia="仿宋_GB2312" w:cs="仿宋_GB2312"/>
                <w:sz w:val="28"/>
                <w:szCs w:val="21"/>
                <w:highlight w:val="none"/>
              </w:rPr>
              <w:t>二</w:t>
            </w:r>
            <w:r>
              <w:rPr>
                <w:rFonts w:hint="eastAsia" w:ascii="仿宋_GB2312" w:hAnsi="仿宋_GB2312" w:eastAsia="仿宋_GB2312" w:cs="仿宋_GB2312"/>
                <w:sz w:val="28"/>
                <w:szCs w:val="21"/>
                <w:highlight w:val="none"/>
                <w:lang w:val="en-US" w:eastAsia="zh-CN"/>
              </w:rPr>
              <w:t>六</w:t>
            </w:r>
            <w:r>
              <w:rPr>
                <w:rFonts w:hint="eastAsia" w:ascii="仿宋_GB2312" w:hAnsi="仿宋_GB2312" w:eastAsia="仿宋_GB2312" w:cs="仿宋_GB2312"/>
                <w:sz w:val="28"/>
                <w:szCs w:val="21"/>
                <w:highlight w:val="none"/>
              </w:rPr>
              <w:t>年</w:t>
            </w:r>
            <w:r>
              <w:rPr>
                <w:rFonts w:hint="eastAsia" w:ascii="仿宋_GB2312" w:hAnsi="仿宋_GB2312" w:eastAsia="仿宋_GB2312" w:cs="仿宋_GB2312"/>
                <w:sz w:val="28"/>
                <w:szCs w:val="21"/>
                <w:highlight w:val="none"/>
                <w:lang w:val="en-US" w:eastAsia="zh-CN"/>
              </w:rPr>
              <w:t>三</w:t>
            </w:r>
            <w:r>
              <w:rPr>
                <w:rFonts w:hint="eastAsia" w:ascii="仿宋_GB2312" w:hAnsi="仿宋_GB2312" w:eastAsia="仿宋_GB2312" w:cs="仿宋_GB2312"/>
                <w:sz w:val="28"/>
                <w:szCs w:val="21"/>
                <w:highlight w:val="none"/>
              </w:rPr>
              <w:t>月</w:t>
            </w:r>
            <w:r>
              <w:rPr>
                <w:rFonts w:hint="eastAsia" w:ascii="仿宋_GB2312" w:hAnsi="仿宋_GB2312" w:eastAsia="仿宋_GB2312" w:cs="仿宋_GB2312"/>
                <w:sz w:val="28"/>
                <w:szCs w:val="21"/>
                <w:highlight w:val="none"/>
                <w:lang w:val="en-US" w:eastAsia="zh-CN"/>
              </w:rPr>
              <w:t>三</w:t>
            </w:r>
            <w:r>
              <w:rPr>
                <w:rFonts w:hint="eastAsia" w:ascii="仿宋_GB2312" w:hAnsi="仿宋_GB2312" w:eastAsia="仿宋_GB2312" w:cs="仿宋_GB2312"/>
                <w:sz w:val="28"/>
                <w:szCs w:val="21"/>
                <w:highlight w:val="none"/>
              </w:rPr>
              <w:t>十</w:t>
            </w:r>
            <w:r>
              <w:rPr>
                <w:rFonts w:hint="eastAsia" w:ascii="仿宋_GB2312" w:hAnsi="仿宋_GB2312" w:eastAsia="仿宋_GB2312" w:cs="仿宋_GB2312"/>
                <w:sz w:val="28"/>
                <w:szCs w:val="21"/>
                <w:highlight w:val="none"/>
                <w:lang w:val="en-US" w:eastAsia="zh-CN"/>
              </w:rPr>
              <w:t>一</w:t>
            </w:r>
            <w:r>
              <w:rPr>
                <w:rFonts w:hint="eastAsia" w:ascii="仿宋_GB2312" w:hAnsi="仿宋_GB2312" w:eastAsia="仿宋_GB2312" w:cs="仿宋_GB2312"/>
                <w:sz w:val="28"/>
                <w:szCs w:val="21"/>
                <w:highlight w:val="none"/>
              </w:rPr>
              <w:t>日</w:t>
            </w:r>
          </w:p>
        </w:tc>
      </w:tr>
    </w:tbl>
    <w:p w14:paraId="7152E524">
      <w:pPr>
        <w:spacing w:line="300" w:lineRule="auto"/>
        <w:rPr>
          <w:rFonts w:ascii="Arial" w:hAnsi="Arial" w:eastAsia="仿宋_GB2312" w:cs="Arial"/>
          <w:sz w:val="28"/>
          <w:highlight w:val="none"/>
        </w:rPr>
      </w:pPr>
    </w:p>
    <w:p w14:paraId="142D843A">
      <w:pPr>
        <w:spacing w:line="300" w:lineRule="auto"/>
        <w:ind w:firstLine="4480" w:firstLineChars="1600"/>
        <w:jc w:val="right"/>
        <w:rPr>
          <w:rFonts w:ascii="Arial" w:hAnsi="Arial" w:eastAsia="仿宋_GB2312" w:cs="Arial"/>
          <w:sz w:val="28"/>
          <w:highlight w:val="none"/>
        </w:rPr>
      </w:pPr>
    </w:p>
    <w:p w14:paraId="31365926">
      <w:pPr>
        <w:spacing w:line="300" w:lineRule="auto"/>
        <w:ind w:firstLine="4480" w:firstLineChars="1600"/>
        <w:rPr>
          <w:rFonts w:ascii="Arial" w:hAnsi="Arial" w:eastAsia="仿宋_GB2312" w:cs="Arial"/>
          <w:sz w:val="28"/>
          <w:highlight w:val="none"/>
        </w:rPr>
        <w:sectPr>
          <w:footerReference r:id="rId16" w:type="first"/>
          <w:type w:val="nextColumn"/>
          <w:pgSz w:w="11907" w:h="16840"/>
          <w:pgMar w:top="1418" w:right="1418" w:bottom="1134" w:left="1418" w:header="794" w:footer="907" w:gutter="0"/>
          <w:pgNumType w:fmt="decimal" w:start="1"/>
          <w:cols w:space="720" w:num="1"/>
          <w:titlePg/>
          <w:docGrid w:linePitch="326" w:charSpace="0"/>
        </w:sectPr>
      </w:pPr>
    </w:p>
    <w:p w14:paraId="0D06C380">
      <w:pPr>
        <w:spacing w:line="300" w:lineRule="auto"/>
        <w:outlineLvl w:val="1"/>
        <w:rPr>
          <w:rFonts w:ascii="Arial" w:hAnsi="Arial" w:eastAsia="仿宋_GB2312" w:cs="Arial"/>
          <w:b/>
          <w:sz w:val="28"/>
          <w:highlight w:val="none"/>
        </w:rPr>
      </w:pPr>
      <w:bookmarkStart w:id="78" w:name="_Toc531701558"/>
      <w:bookmarkStart w:id="79" w:name="_Toc520261133"/>
      <w:bookmarkStart w:id="80" w:name="_Toc515458365"/>
      <w:bookmarkStart w:id="81" w:name="_Toc132016729"/>
      <w:bookmarkStart w:id="82" w:name="_Toc138062999"/>
      <w:r>
        <w:rPr>
          <w:rFonts w:ascii="Arial" w:hAnsi="Arial" w:eastAsia="仿宋_GB2312" w:cs="Arial"/>
          <w:b/>
          <w:bCs/>
          <w:sz w:val="28"/>
          <w:highlight w:val="none"/>
        </w:rPr>
        <w:t>附</w:t>
      </w:r>
      <w:bookmarkEnd w:id="78"/>
      <w:r>
        <w:rPr>
          <w:rFonts w:ascii="Arial" w:hAnsi="Arial" w:eastAsia="仿宋_GB2312" w:cs="Arial"/>
          <w:b/>
          <w:sz w:val="28"/>
          <w:highlight w:val="none"/>
        </w:rPr>
        <w:t xml:space="preserve">                                       </w:t>
      </w:r>
      <w:bookmarkEnd w:id="79"/>
      <w:bookmarkEnd w:id="80"/>
      <w:bookmarkStart w:id="83" w:name="_Toc531701559"/>
      <w:r>
        <w:rPr>
          <w:rFonts w:ascii="Arial" w:hAnsi="Arial" w:eastAsia="仿宋_GB2312" w:cs="Arial"/>
          <w:b/>
          <w:sz w:val="28"/>
          <w:highlight w:val="none"/>
        </w:rPr>
        <w:t>估价结果一览表</w:t>
      </w:r>
      <w:bookmarkEnd w:id="81"/>
      <w:bookmarkEnd w:id="82"/>
      <w:bookmarkEnd w:id="83"/>
    </w:p>
    <w:p w14:paraId="5786BDEB">
      <w:pPr>
        <w:spacing w:line="300" w:lineRule="auto"/>
        <w:rPr>
          <w:rFonts w:ascii="Arial" w:hAnsi="Arial" w:eastAsia="仿宋_GB2312" w:cs="Arial"/>
          <w:bCs/>
          <w:sz w:val="18"/>
          <w:szCs w:val="18"/>
          <w:highlight w:val="none"/>
        </w:rPr>
      </w:pPr>
      <w:r>
        <w:rPr>
          <w:rFonts w:ascii="Arial" w:hAnsi="Arial" w:eastAsia="仿宋_GB2312" w:cs="Arial"/>
          <w:bCs/>
          <w:sz w:val="18"/>
          <w:szCs w:val="18"/>
          <w:highlight w:val="none"/>
        </w:rPr>
        <w:t>估价机构：</w:t>
      </w:r>
      <w:r>
        <w:rPr>
          <w:rFonts w:ascii="Arial" w:hAnsi="Arial" w:eastAsia="仿宋_GB2312" w:cs="Arial"/>
          <w:sz w:val="18"/>
          <w:szCs w:val="18"/>
          <w:highlight w:val="none"/>
        </w:rPr>
        <w:t xml:space="preserve">北京康正宏基房地产评估有限公司 </w:t>
      </w:r>
      <w:r>
        <w:rPr>
          <w:rFonts w:ascii="Arial" w:hAnsi="Arial" w:eastAsia="仿宋_GB2312" w:cs="Arial"/>
          <w:bCs/>
          <w:sz w:val="18"/>
          <w:szCs w:val="18"/>
          <w:highlight w:val="none"/>
        </w:rPr>
        <w:t>估价报告编号：</w:t>
      </w:r>
      <w:r>
        <w:rPr>
          <w:rFonts w:hint="eastAsia" w:ascii="Arial" w:hAnsi="Arial" w:eastAsia="仿宋_GB2312" w:cs="Arial"/>
          <w:bCs/>
          <w:sz w:val="18"/>
          <w:szCs w:val="18"/>
          <w:highlight w:val="none"/>
          <w:lang w:eastAsia="zh-CN"/>
        </w:rPr>
        <w:t>北京康正2026（估）字第0001号</w:t>
      </w:r>
      <w:r>
        <w:rPr>
          <w:rFonts w:ascii="Arial" w:hAnsi="Arial" w:eastAsia="仿宋_GB2312" w:cs="Arial"/>
          <w:bCs/>
          <w:sz w:val="18"/>
          <w:szCs w:val="18"/>
          <w:highlight w:val="none"/>
        </w:rPr>
        <w:t xml:space="preserve"> 估价期日：</w:t>
      </w:r>
      <w:r>
        <w:rPr>
          <w:rFonts w:hint="eastAsia" w:ascii="Arial" w:hAnsi="Arial" w:eastAsia="仿宋_GB2312" w:cs="Arial"/>
          <w:bCs/>
          <w:sz w:val="18"/>
          <w:szCs w:val="18"/>
          <w:highlight w:val="none"/>
          <w:lang w:eastAsia="zh-CN"/>
        </w:rPr>
        <w:t>2026年3月26日</w:t>
      </w:r>
      <w:r>
        <w:rPr>
          <w:rFonts w:ascii="Arial" w:hAnsi="Arial" w:eastAsia="仿宋_GB2312" w:cs="Arial"/>
          <w:bCs/>
          <w:sz w:val="18"/>
          <w:szCs w:val="18"/>
          <w:highlight w:val="none"/>
        </w:rPr>
        <w:t xml:space="preserve"> 估价期日的国有建设用地使用权性质：拟出让</w:t>
      </w:r>
    </w:p>
    <w:tbl>
      <w:tblPr>
        <w:tblStyle w:val="34"/>
        <w:tblW w:w="14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951"/>
        <w:gridCol w:w="1268"/>
        <w:gridCol w:w="647"/>
        <w:gridCol w:w="767"/>
        <w:gridCol w:w="767"/>
        <w:gridCol w:w="717"/>
        <w:gridCol w:w="1165"/>
        <w:gridCol w:w="1236"/>
        <w:gridCol w:w="1032"/>
        <w:gridCol w:w="912"/>
        <w:gridCol w:w="996"/>
        <w:gridCol w:w="960"/>
        <w:gridCol w:w="1500"/>
        <w:gridCol w:w="1082"/>
      </w:tblGrid>
      <w:tr w14:paraId="65C8C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6730D7F4">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估价期日土地使用者</w:t>
            </w:r>
          </w:p>
        </w:tc>
        <w:tc>
          <w:tcPr>
            <w:tcW w:w="1268" w:type="dxa"/>
            <w:vAlign w:val="center"/>
          </w:tcPr>
          <w:p w14:paraId="57D9A7F2">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宗地名称</w:t>
            </w:r>
          </w:p>
        </w:tc>
        <w:tc>
          <w:tcPr>
            <w:tcW w:w="647" w:type="dxa"/>
            <w:vAlign w:val="center"/>
          </w:tcPr>
          <w:p w14:paraId="540CD5DD">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宗地位置</w:t>
            </w:r>
          </w:p>
        </w:tc>
        <w:tc>
          <w:tcPr>
            <w:tcW w:w="767" w:type="dxa"/>
            <w:vAlign w:val="center"/>
          </w:tcPr>
          <w:p w14:paraId="0B756F28">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估价期日的规划用途</w:t>
            </w:r>
          </w:p>
        </w:tc>
        <w:tc>
          <w:tcPr>
            <w:tcW w:w="767" w:type="dxa"/>
            <w:vAlign w:val="center"/>
          </w:tcPr>
          <w:p w14:paraId="33360C47">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估价设定的用途</w:t>
            </w:r>
          </w:p>
        </w:tc>
        <w:tc>
          <w:tcPr>
            <w:tcW w:w="717" w:type="dxa"/>
            <w:vAlign w:val="center"/>
          </w:tcPr>
          <w:p w14:paraId="3B81C2DB">
            <w:pPr>
              <w:adjustRightInd/>
              <w:spacing w:line="240" w:lineRule="exact"/>
              <w:rPr>
                <w:rFonts w:ascii="Arial" w:hAnsi="Arial" w:eastAsia="仿宋_GB2312" w:cs="Arial"/>
                <w:bCs/>
                <w:sz w:val="18"/>
                <w:szCs w:val="18"/>
                <w:highlight w:val="none"/>
              </w:rPr>
            </w:pPr>
            <w:r>
              <w:rPr>
                <w:rFonts w:ascii="Arial" w:hAnsi="Arial" w:eastAsia="仿宋_GB2312" w:cs="Arial"/>
                <w:bCs/>
                <w:sz w:val="18"/>
                <w:szCs w:val="18"/>
                <w:highlight w:val="none"/>
              </w:rPr>
              <w:t>地上容积率</w:t>
            </w:r>
          </w:p>
        </w:tc>
        <w:tc>
          <w:tcPr>
            <w:tcW w:w="1165" w:type="dxa"/>
            <w:vAlign w:val="center"/>
          </w:tcPr>
          <w:p w14:paraId="7C1D14D6">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估价期日的实际土地开发程度</w:t>
            </w:r>
          </w:p>
        </w:tc>
        <w:tc>
          <w:tcPr>
            <w:tcW w:w="1236" w:type="dxa"/>
            <w:vAlign w:val="center"/>
          </w:tcPr>
          <w:p w14:paraId="5DB4AF7D">
            <w:pPr>
              <w:adjustRightInd/>
              <w:spacing w:line="240" w:lineRule="exact"/>
              <w:jc w:val="center"/>
              <w:rPr>
                <w:rFonts w:ascii="Times New Roman" w:hAnsi="Times New Roman" w:eastAsia="宋体" w:cs="Times New Roman"/>
                <w:sz w:val="24"/>
                <w:highlight w:val="none"/>
                <w:lang w:val="en-US" w:eastAsia="zh-CN" w:bidi="ar-SA"/>
              </w:rPr>
            </w:pPr>
            <w:r>
              <w:rPr>
                <w:rFonts w:ascii="Arial" w:hAnsi="Arial" w:eastAsia="仿宋_GB2312" w:cs="Arial"/>
                <w:bCs/>
                <w:sz w:val="18"/>
                <w:szCs w:val="18"/>
                <w:highlight w:val="none"/>
              </w:rPr>
              <w:t>估价设定的土地开发程度</w:t>
            </w:r>
          </w:p>
        </w:tc>
        <w:tc>
          <w:tcPr>
            <w:tcW w:w="1032" w:type="dxa"/>
            <w:vAlign w:val="center"/>
          </w:tcPr>
          <w:p w14:paraId="7FA3CE32">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土地使用权年限（年）</w:t>
            </w:r>
          </w:p>
        </w:tc>
        <w:tc>
          <w:tcPr>
            <w:tcW w:w="912" w:type="dxa"/>
            <w:vAlign w:val="center"/>
          </w:tcPr>
          <w:p w14:paraId="4A2A49A7">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出让建设用地面积（</w:t>
            </w:r>
            <w:r>
              <w:rPr>
                <w:rFonts w:ascii="Arial" w:hAnsi="Arial" w:cs="Arial"/>
                <w:bCs/>
                <w:sz w:val="18"/>
                <w:szCs w:val="18"/>
                <w:highlight w:val="none"/>
              </w:rPr>
              <w:t>㎡</w:t>
            </w:r>
            <w:r>
              <w:rPr>
                <w:rFonts w:ascii="Arial" w:hAnsi="Arial" w:eastAsia="仿宋_GB2312" w:cs="Arial"/>
                <w:bCs/>
                <w:sz w:val="18"/>
                <w:szCs w:val="18"/>
                <w:highlight w:val="none"/>
              </w:rPr>
              <w:t>）</w:t>
            </w:r>
          </w:p>
        </w:tc>
        <w:tc>
          <w:tcPr>
            <w:tcW w:w="996" w:type="dxa"/>
            <w:vAlign w:val="center"/>
          </w:tcPr>
          <w:p w14:paraId="53587564">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出让建筑规模（</w:t>
            </w:r>
            <w:r>
              <w:rPr>
                <w:rFonts w:ascii="Arial" w:hAnsi="Arial" w:cs="Arial"/>
                <w:bCs/>
                <w:sz w:val="18"/>
                <w:szCs w:val="18"/>
                <w:highlight w:val="none"/>
              </w:rPr>
              <w:t>㎡</w:t>
            </w:r>
            <w:r>
              <w:rPr>
                <w:rFonts w:ascii="Arial" w:hAnsi="Arial" w:eastAsia="仿宋_GB2312" w:cs="Arial"/>
                <w:bCs/>
                <w:sz w:val="18"/>
                <w:szCs w:val="18"/>
                <w:highlight w:val="none"/>
              </w:rPr>
              <w:t>）</w:t>
            </w:r>
          </w:p>
        </w:tc>
        <w:tc>
          <w:tcPr>
            <w:tcW w:w="960" w:type="dxa"/>
            <w:vAlign w:val="center"/>
          </w:tcPr>
          <w:p w14:paraId="039C627C">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熟地价</w:t>
            </w:r>
            <w:r>
              <w:rPr>
                <w:rFonts w:hint="eastAsia" w:ascii="Arial" w:hAnsi="Arial" w:eastAsia="仿宋_GB2312" w:cs="Arial"/>
                <w:bCs/>
                <w:sz w:val="18"/>
                <w:szCs w:val="18"/>
                <w:highlight w:val="none"/>
                <w:lang w:eastAsia="zh-CN"/>
              </w:rPr>
              <w:t>楼面地价</w:t>
            </w:r>
            <w:r>
              <w:rPr>
                <w:rFonts w:ascii="Arial" w:hAnsi="Arial" w:eastAsia="仿宋_GB2312" w:cs="Arial"/>
                <w:bCs/>
                <w:sz w:val="18"/>
                <w:szCs w:val="18"/>
                <w:highlight w:val="none"/>
              </w:rPr>
              <w:t>（元/</w:t>
            </w:r>
            <w:r>
              <w:rPr>
                <w:rFonts w:ascii="Arial" w:hAnsi="Arial" w:cs="Arial"/>
                <w:bCs/>
                <w:sz w:val="18"/>
                <w:szCs w:val="18"/>
                <w:highlight w:val="none"/>
              </w:rPr>
              <w:t>㎡</w:t>
            </w:r>
            <w:r>
              <w:rPr>
                <w:rFonts w:ascii="Arial" w:hAnsi="Arial" w:eastAsia="仿宋_GB2312" w:cs="Arial"/>
                <w:bCs/>
                <w:sz w:val="18"/>
                <w:szCs w:val="18"/>
                <w:highlight w:val="none"/>
              </w:rPr>
              <w:t>）</w:t>
            </w:r>
          </w:p>
        </w:tc>
        <w:tc>
          <w:tcPr>
            <w:tcW w:w="1500" w:type="dxa"/>
            <w:vAlign w:val="center"/>
          </w:tcPr>
          <w:p w14:paraId="217AEAC4">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熟地总价（万元）</w:t>
            </w:r>
          </w:p>
        </w:tc>
        <w:tc>
          <w:tcPr>
            <w:tcW w:w="1082" w:type="dxa"/>
            <w:vAlign w:val="center"/>
          </w:tcPr>
          <w:p w14:paraId="5AC8D60E">
            <w:pPr>
              <w:adjustRightInd/>
              <w:spacing w:line="240" w:lineRule="exact"/>
              <w:jc w:val="center"/>
              <w:rPr>
                <w:rFonts w:ascii="Arial" w:hAnsi="Arial" w:eastAsia="仿宋_GB2312" w:cs="Arial"/>
                <w:bCs/>
                <w:sz w:val="15"/>
                <w:szCs w:val="15"/>
                <w:highlight w:val="none"/>
              </w:rPr>
            </w:pPr>
            <w:r>
              <w:rPr>
                <w:rFonts w:hint="eastAsia" w:ascii="Arial" w:hAnsi="Arial" w:eastAsia="仿宋_GB2312" w:cs="Arial"/>
                <w:bCs/>
                <w:sz w:val="18"/>
                <w:szCs w:val="18"/>
                <w:highlight w:val="none"/>
                <w:lang w:val="en-US" w:eastAsia="zh-CN"/>
              </w:rPr>
              <w:t>建议出让底价</w:t>
            </w:r>
            <w:r>
              <w:rPr>
                <w:rFonts w:ascii="Arial" w:hAnsi="Arial" w:eastAsia="仿宋_GB2312" w:cs="Arial"/>
                <w:bCs/>
                <w:sz w:val="18"/>
                <w:szCs w:val="18"/>
                <w:highlight w:val="none"/>
              </w:rPr>
              <w:t>（万元）</w:t>
            </w:r>
          </w:p>
        </w:tc>
      </w:tr>
      <w:tr w14:paraId="47A9F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restart"/>
            <w:vAlign w:val="center"/>
          </w:tcPr>
          <w:p w14:paraId="63A7B2AF">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待入市用地，待入市成功确定受让人后方能签订《国有土地使用权出让合同》及办理《不动产权证</w:t>
            </w:r>
            <w:r>
              <w:rPr>
                <w:rFonts w:hint="eastAsia" w:ascii="Arial" w:hAnsi="Arial" w:eastAsia="仿宋_GB2312" w:cs="Arial"/>
                <w:sz w:val="18"/>
                <w:szCs w:val="18"/>
                <w:highlight w:val="none"/>
                <w:lang w:val="en-US" w:eastAsia="zh-CN"/>
              </w:rPr>
              <w:t>书</w:t>
            </w:r>
            <w:r>
              <w:rPr>
                <w:rFonts w:hint="eastAsia" w:ascii="Arial" w:hAnsi="Arial" w:eastAsia="仿宋_GB2312" w:cs="Arial"/>
                <w:sz w:val="18"/>
                <w:szCs w:val="18"/>
                <w:highlight w:val="none"/>
              </w:rPr>
              <w:t>》</w:t>
            </w:r>
          </w:p>
        </w:tc>
        <w:tc>
          <w:tcPr>
            <w:tcW w:w="1268" w:type="dxa"/>
            <w:vMerge w:val="restart"/>
            <w:vAlign w:val="center"/>
          </w:tcPr>
          <w:p w14:paraId="337ED2C5">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顺义区高丽营镇夏县营村棚户区改造土地开发项目01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008、01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016、01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026</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1、01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020地块R2二类居住用地、A334托幼用地国有建设用地使用权</w:t>
            </w:r>
          </w:p>
        </w:tc>
        <w:tc>
          <w:tcPr>
            <w:tcW w:w="647" w:type="dxa"/>
            <w:vMerge w:val="restart"/>
            <w:vAlign w:val="center"/>
          </w:tcPr>
          <w:p w14:paraId="23689853">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顺义区高丽营镇夏县营村</w:t>
            </w:r>
          </w:p>
        </w:tc>
        <w:tc>
          <w:tcPr>
            <w:tcW w:w="767" w:type="dxa"/>
            <w:vMerge w:val="restart"/>
            <w:vAlign w:val="center"/>
          </w:tcPr>
          <w:p w14:paraId="7EA869F0">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R2二类居住用地</w:t>
            </w:r>
            <w:r>
              <w:rPr>
                <w:rFonts w:hint="eastAsia" w:ascii="Arial" w:hAnsi="Arial" w:eastAsia="仿宋_GB2312" w:cs="Arial"/>
                <w:sz w:val="18"/>
                <w:szCs w:val="18"/>
                <w:highlight w:val="none"/>
              </w:rPr>
              <w:t>、A334托幼用地</w:t>
            </w:r>
          </w:p>
        </w:tc>
        <w:tc>
          <w:tcPr>
            <w:tcW w:w="767" w:type="dxa"/>
            <w:vAlign w:val="center"/>
          </w:tcPr>
          <w:p w14:paraId="1DF50876">
            <w:pPr>
              <w:adjustRightInd/>
              <w:spacing w:line="240" w:lineRule="exact"/>
              <w:jc w:val="center"/>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城镇</w:t>
            </w:r>
            <w:r>
              <w:rPr>
                <w:rFonts w:ascii="Arial" w:hAnsi="Arial" w:eastAsia="仿宋_GB2312" w:cs="Arial"/>
                <w:sz w:val="18"/>
                <w:szCs w:val="18"/>
                <w:highlight w:val="none"/>
              </w:rPr>
              <w:t>住宅</w:t>
            </w:r>
            <w:r>
              <w:rPr>
                <w:rFonts w:hint="eastAsia" w:ascii="Arial" w:hAnsi="Arial" w:eastAsia="仿宋_GB2312" w:cs="Arial"/>
                <w:sz w:val="18"/>
                <w:szCs w:val="18"/>
                <w:highlight w:val="none"/>
                <w:lang w:val="en-US" w:eastAsia="zh-CN"/>
              </w:rPr>
              <w:t>用地</w:t>
            </w:r>
          </w:p>
        </w:tc>
        <w:tc>
          <w:tcPr>
            <w:tcW w:w="717" w:type="dxa"/>
            <w:vMerge w:val="restart"/>
            <w:vAlign w:val="center"/>
          </w:tcPr>
          <w:p w14:paraId="5C525C79">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1.2</w:t>
            </w:r>
          </w:p>
        </w:tc>
        <w:tc>
          <w:tcPr>
            <w:tcW w:w="1165" w:type="dxa"/>
            <w:vMerge w:val="restart"/>
            <w:vAlign w:val="center"/>
          </w:tcPr>
          <w:p w14:paraId="5EB28458">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土地开发程度红线外市政基础设施达</w:t>
            </w:r>
            <w:r>
              <w:rPr>
                <w:rFonts w:hint="eastAsia" w:ascii="Arial" w:hAnsi="Arial" w:eastAsia="仿宋_GB2312" w:cs="Arial"/>
                <w:sz w:val="18"/>
                <w:szCs w:val="18"/>
                <w:highlight w:val="none"/>
                <w:lang w:eastAsia="zh-CN"/>
              </w:rPr>
              <w:t>“七通”（通路、通上水（自来水、中水）、通下水（雨水、污水）、通电（管沟、电缆）、通讯、通燃气、通热力）</w:t>
            </w:r>
            <w:r>
              <w:rPr>
                <w:rFonts w:hint="eastAsia" w:ascii="Arial" w:hAnsi="Arial" w:eastAsia="仿宋_GB2312" w:cs="Arial"/>
                <w:sz w:val="18"/>
                <w:szCs w:val="18"/>
                <w:highlight w:val="none"/>
              </w:rPr>
              <w:t>、宗地红线内场地平整</w:t>
            </w:r>
          </w:p>
        </w:tc>
        <w:tc>
          <w:tcPr>
            <w:tcW w:w="1236" w:type="dxa"/>
            <w:vMerge w:val="restart"/>
            <w:vAlign w:val="center"/>
          </w:tcPr>
          <w:p w14:paraId="018BFD83">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土地开发程度红线外市政基础设施达</w:t>
            </w:r>
            <w:r>
              <w:rPr>
                <w:rFonts w:hint="eastAsia" w:ascii="Arial" w:hAnsi="Arial" w:eastAsia="仿宋_GB2312" w:cs="Arial"/>
                <w:sz w:val="18"/>
                <w:szCs w:val="18"/>
                <w:highlight w:val="none"/>
                <w:lang w:eastAsia="zh-CN"/>
              </w:rPr>
              <w:t>“七通”（通路、通上水（自来水、中水）、通下水（雨水、污水）、通电（管沟、电缆）、通讯、通燃气、通热力）</w:t>
            </w:r>
            <w:r>
              <w:rPr>
                <w:rFonts w:hint="eastAsia" w:ascii="Arial" w:hAnsi="Arial" w:eastAsia="仿宋_GB2312" w:cs="Arial"/>
                <w:sz w:val="18"/>
                <w:szCs w:val="18"/>
                <w:highlight w:val="none"/>
              </w:rPr>
              <w:t>、宗地红线内场地平整</w:t>
            </w:r>
          </w:p>
        </w:tc>
        <w:tc>
          <w:tcPr>
            <w:tcW w:w="1032" w:type="dxa"/>
            <w:vAlign w:val="center"/>
          </w:tcPr>
          <w:p w14:paraId="72894063">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70</w:t>
            </w:r>
          </w:p>
        </w:tc>
        <w:tc>
          <w:tcPr>
            <w:tcW w:w="912" w:type="dxa"/>
            <w:vMerge w:val="restart"/>
            <w:vAlign w:val="center"/>
          </w:tcPr>
          <w:p w14:paraId="1677FFD8">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56790.45</w:t>
            </w:r>
          </w:p>
        </w:tc>
        <w:tc>
          <w:tcPr>
            <w:tcW w:w="996" w:type="dxa"/>
            <w:vAlign w:val="center"/>
          </w:tcPr>
          <w:p w14:paraId="149EB373">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68148.54</w:t>
            </w:r>
          </w:p>
        </w:tc>
        <w:tc>
          <w:tcPr>
            <w:tcW w:w="960" w:type="dxa"/>
            <w:vAlign w:val="center"/>
          </w:tcPr>
          <w:p w14:paraId="2756FC2D">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10942</w:t>
            </w:r>
          </w:p>
        </w:tc>
        <w:tc>
          <w:tcPr>
            <w:tcW w:w="1500" w:type="dxa"/>
            <w:vAlign w:val="center"/>
          </w:tcPr>
          <w:p w14:paraId="4F150311">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lang w:val="en-US" w:eastAsia="zh-CN"/>
              </w:rPr>
              <w:t>74568.1325</w:t>
            </w:r>
            <w:r>
              <w:rPr>
                <w:rFonts w:ascii="Arial" w:hAnsi="Arial" w:eastAsia="仿宋_GB2312" w:cs="Arial"/>
                <w:sz w:val="18"/>
                <w:szCs w:val="18"/>
                <w:highlight w:val="none"/>
              </w:rPr>
              <w:t xml:space="preserve"> </w:t>
            </w:r>
          </w:p>
        </w:tc>
        <w:tc>
          <w:tcPr>
            <w:tcW w:w="1082" w:type="dxa"/>
            <w:vMerge w:val="restart"/>
            <w:tcBorders>
              <w:left w:val="single" w:color="auto" w:sz="4" w:space="0"/>
            </w:tcBorders>
            <w:vAlign w:val="center"/>
          </w:tcPr>
          <w:p w14:paraId="136292E4">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建议该宗地入市底价为</w:t>
            </w:r>
            <w:r>
              <w:rPr>
                <w:rFonts w:hint="eastAsia" w:ascii="Arial" w:hAnsi="Arial" w:eastAsia="仿宋_GB2312" w:cs="Arial"/>
                <w:sz w:val="18"/>
                <w:szCs w:val="18"/>
                <w:highlight w:val="none"/>
                <w:lang w:eastAsia="zh-CN"/>
              </w:rPr>
              <w:t>：74568.1325</w:t>
            </w:r>
            <w:r>
              <w:rPr>
                <w:rFonts w:hint="eastAsia" w:ascii="Arial" w:hAnsi="Arial" w:eastAsia="仿宋_GB2312" w:cs="Arial"/>
                <w:sz w:val="18"/>
                <w:szCs w:val="18"/>
                <w:highlight w:val="none"/>
              </w:rPr>
              <w:t xml:space="preserve"> 万元</w:t>
            </w:r>
          </w:p>
        </w:tc>
      </w:tr>
      <w:tr w14:paraId="425C3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5E7530A9">
            <w:pPr>
              <w:adjustRightInd/>
              <w:spacing w:line="240" w:lineRule="exact"/>
              <w:jc w:val="center"/>
              <w:rPr>
                <w:rFonts w:ascii="Arial" w:hAnsi="Arial" w:eastAsia="仿宋_GB2312" w:cs="Arial"/>
                <w:sz w:val="18"/>
                <w:szCs w:val="18"/>
                <w:highlight w:val="none"/>
              </w:rPr>
            </w:pPr>
          </w:p>
        </w:tc>
        <w:tc>
          <w:tcPr>
            <w:tcW w:w="1268" w:type="dxa"/>
            <w:vMerge w:val="continue"/>
            <w:vAlign w:val="center"/>
          </w:tcPr>
          <w:p w14:paraId="50D89AAF">
            <w:pPr>
              <w:adjustRightInd/>
              <w:spacing w:line="240" w:lineRule="exact"/>
              <w:jc w:val="center"/>
              <w:rPr>
                <w:rFonts w:ascii="Arial" w:hAnsi="Arial" w:eastAsia="仿宋_GB2312" w:cs="Arial"/>
                <w:sz w:val="18"/>
                <w:szCs w:val="18"/>
                <w:highlight w:val="none"/>
              </w:rPr>
            </w:pPr>
          </w:p>
        </w:tc>
        <w:tc>
          <w:tcPr>
            <w:tcW w:w="647" w:type="dxa"/>
            <w:vMerge w:val="continue"/>
            <w:vAlign w:val="center"/>
          </w:tcPr>
          <w:p w14:paraId="20B31CDE">
            <w:pPr>
              <w:adjustRightInd/>
              <w:spacing w:line="240" w:lineRule="exact"/>
              <w:jc w:val="center"/>
              <w:rPr>
                <w:rFonts w:ascii="Arial" w:hAnsi="Arial" w:eastAsia="仿宋_GB2312" w:cs="Arial"/>
                <w:sz w:val="18"/>
                <w:szCs w:val="18"/>
                <w:highlight w:val="none"/>
              </w:rPr>
            </w:pPr>
          </w:p>
        </w:tc>
        <w:tc>
          <w:tcPr>
            <w:tcW w:w="767" w:type="dxa"/>
            <w:vMerge w:val="continue"/>
            <w:vAlign w:val="center"/>
          </w:tcPr>
          <w:p w14:paraId="12673CB4">
            <w:pPr>
              <w:adjustRightInd/>
              <w:spacing w:line="240" w:lineRule="exact"/>
              <w:jc w:val="center"/>
              <w:rPr>
                <w:rFonts w:ascii="Arial" w:hAnsi="Arial" w:eastAsia="仿宋_GB2312" w:cs="Arial"/>
                <w:sz w:val="18"/>
                <w:szCs w:val="18"/>
                <w:highlight w:val="none"/>
              </w:rPr>
            </w:pPr>
          </w:p>
        </w:tc>
        <w:tc>
          <w:tcPr>
            <w:tcW w:w="767" w:type="dxa"/>
            <w:vAlign w:val="center"/>
          </w:tcPr>
          <w:p w14:paraId="4C933623">
            <w:pPr>
              <w:adjustRightInd/>
              <w:spacing w:line="240" w:lineRule="exact"/>
              <w:jc w:val="center"/>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rPr>
              <w:t>其他</w:t>
            </w:r>
            <w:r>
              <w:rPr>
                <w:rFonts w:hint="eastAsia" w:ascii="Arial" w:hAnsi="Arial" w:eastAsia="仿宋_GB2312" w:cs="Arial"/>
                <w:sz w:val="18"/>
                <w:szCs w:val="18"/>
                <w:highlight w:val="none"/>
                <w:lang w:val="en-US" w:eastAsia="zh-CN"/>
              </w:rPr>
              <w:t>商业服务业用地</w:t>
            </w:r>
          </w:p>
        </w:tc>
        <w:tc>
          <w:tcPr>
            <w:tcW w:w="717" w:type="dxa"/>
            <w:vMerge w:val="continue"/>
            <w:vAlign w:val="center"/>
          </w:tcPr>
          <w:p w14:paraId="4690B2BC">
            <w:pPr>
              <w:adjustRightInd/>
              <w:spacing w:line="240" w:lineRule="exact"/>
              <w:jc w:val="center"/>
              <w:rPr>
                <w:rFonts w:ascii="Arial" w:hAnsi="Arial" w:eastAsia="仿宋_GB2312" w:cs="Arial"/>
                <w:sz w:val="18"/>
                <w:szCs w:val="18"/>
                <w:highlight w:val="none"/>
              </w:rPr>
            </w:pPr>
          </w:p>
        </w:tc>
        <w:tc>
          <w:tcPr>
            <w:tcW w:w="1165" w:type="dxa"/>
            <w:vMerge w:val="continue"/>
            <w:vAlign w:val="center"/>
          </w:tcPr>
          <w:p w14:paraId="38259DDB">
            <w:pPr>
              <w:adjustRightInd/>
              <w:spacing w:line="240" w:lineRule="exact"/>
              <w:jc w:val="center"/>
              <w:rPr>
                <w:rFonts w:ascii="Arial" w:hAnsi="Arial" w:eastAsia="仿宋_GB2312" w:cs="Arial"/>
                <w:sz w:val="18"/>
                <w:szCs w:val="18"/>
                <w:highlight w:val="none"/>
              </w:rPr>
            </w:pPr>
          </w:p>
        </w:tc>
        <w:tc>
          <w:tcPr>
            <w:tcW w:w="1236" w:type="dxa"/>
            <w:vMerge w:val="continue"/>
            <w:vAlign w:val="center"/>
          </w:tcPr>
          <w:p w14:paraId="16259FF2">
            <w:pPr>
              <w:adjustRightInd/>
              <w:spacing w:line="240" w:lineRule="exact"/>
              <w:jc w:val="center"/>
              <w:rPr>
                <w:rFonts w:ascii="Arial" w:hAnsi="Arial" w:eastAsia="仿宋_GB2312" w:cs="Arial"/>
                <w:sz w:val="18"/>
                <w:szCs w:val="18"/>
                <w:highlight w:val="none"/>
              </w:rPr>
            </w:pPr>
          </w:p>
        </w:tc>
        <w:tc>
          <w:tcPr>
            <w:tcW w:w="1032" w:type="dxa"/>
            <w:vAlign w:val="center"/>
          </w:tcPr>
          <w:p w14:paraId="3C75C208">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40</w:t>
            </w:r>
          </w:p>
        </w:tc>
        <w:tc>
          <w:tcPr>
            <w:tcW w:w="912" w:type="dxa"/>
            <w:vMerge w:val="continue"/>
            <w:vAlign w:val="center"/>
          </w:tcPr>
          <w:p w14:paraId="0CA192D0">
            <w:pPr>
              <w:adjustRightInd/>
              <w:spacing w:line="240" w:lineRule="exact"/>
              <w:jc w:val="center"/>
              <w:rPr>
                <w:rFonts w:ascii="Arial" w:hAnsi="Arial" w:eastAsia="仿宋_GB2312" w:cs="Arial"/>
                <w:sz w:val="18"/>
                <w:szCs w:val="18"/>
                <w:highlight w:val="none"/>
              </w:rPr>
            </w:pPr>
          </w:p>
        </w:tc>
        <w:tc>
          <w:tcPr>
            <w:tcW w:w="996" w:type="dxa"/>
            <w:vAlign w:val="center"/>
          </w:tcPr>
          <w:p w14:paraId="2D89EA3D">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960" w:type="dxa"/>
            <w:vAlign w:val="center"/>
          </w:tcPr>
          <w:p w14:paraId="1EEBF43D">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5295</w:t>
            </w:r>
          </w:p>
        </w:tc>
        <w:tc>
          <w:tcPr>
            <w:tcW w:w="1500" w:type="dxa"/>
            <w:vAlign w:val="center"/>
          </w:tcPr>
          <w:p w14:paraId="5D0585F9">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082" w:type="dxa"/>
            <w:vMerge w:val="continue"/>
            <w:tcBorders>
              <w:left w:val="single" w:color="auto" w:sz="4" w:space="0"/>
            </w:tcBorders>
            <w:vAlign w:val="center"/>
          </w:tcPr>
          <w:p w14:paraId="4AFC0BC4">
            <w:pPr>
              <w:adjustRightInd/>
              <w:spacing w:line="240" w:lineRule="exact"/>
              <w:jc w:val="center"/>
              <w:rPr>
                <w:rFonts w:ascii="Arial" w:hAnsi="Arial" w:eastAsia="仿宋_GB2312" w:cs="Arial"/>
                <w:sz w:val="18"/>
                <w:szCs w:val="18"/>
                <w:highlight w:val="none"/>
              </w:rPr>
            </w:pPr>
          </w:p>
        </w:tc>
      </w:tr>
      <w:tr w14:paraId="23986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6720ECB1">
            <w:pPr>
              <w:adjustRightInd/>
              <w:spacing w:line="240" w:lineRule="exact"/>
              <w:jc w:val="center"/>
              <w:rPr>
                <w:rFonts w:ascii="Arial" w:hAnsi="Arial" w:eastAsia="仿宋_GB2312" w:cs="Arial"/>
                <w:sz w:val="18"/>
                <w:szCs w:val="18"/>
                <w:highlight w:val="none"/>
              </w:rPr>
            </w:pPr>
          </w:p>
        </w:tc>
        <w:tc>
          <w:tcPr>
            <w:tcW w:w="1268" w:type="dxa"/>
            <w:vMerge w:val="continue"/>
            <w:vAlign w:val="center"/>
          </w:tcPr>
          <w:p w14:paraId="75252FFE">
            <w:pPr>
              <w:adjustRightInd/>
              <w:spacing w:line="240" w:lineRule="exact"/>
              <w:jc w:val="center"/>
              <w:rPr>
                <w:rFonts w:ascii="Arial" w:hAnsi="Arial" w:eastAsia="仿宋_GB2312" w:cs="Arial"/>
                <w:sz w:val="18"/>
                <w:szCs w:val="18"/>
                <w:highlight w:val="none"/>
              </w:rPr>
            </w:pPr>
          </w:p>
        </w:tc>
        <w:tc>
          <w:tcPr>
            <w:tcW w:w="647" w:type="dxa"/>
            <w:vMerge w:val="continue"/>
            <w:vAlign w:val="center"/>
          </w:tcPr>
          <w:p w14:paraId="2EAF207B">
            <w:pPr>
              <w:adjustRightInd/>
              <w:spacing w:line="240" w:lineRule="exact"/>
              <w:jc w:val="center"/>
              <w:rPr>
                <w:rFonts w:ascii="Arial" w:hAnsi="Arial" w:eastAsia="仿宋_GB2312" w:cs="Arial"/>
                <w:sz w:val="18"/>
                <w:szCs w:val="18"/>
                <w:highlight w:val="none"/>
              </w:rPr>
            </w:pPr>
          </w:p>
        </w:tc>
        <w:tc>
          <w:tcPr>
            <w:tcW w:w="767" w:type="dxa"/>
            <w:vMerge w:val="continue"/>
            <w:vAlign w:val="center"/>
          </w:tcPr>
          <w:p w14:paraId="0F7DD63E">
            <w:pPr>
              <w:adjustRightInd/>
              <w:spacing w:line="240" w:lineRule="exact"/>
              <w:jc w:val="center"/>
              <w:rPr>
                <w:rFonts w:ascii="Arial" w:hAnsi="Arial" w:eastAsia="仿宋_GB2312" w:cs="Arial"/>
                <w:sz w:val="18"/>
                <w:szCs w:val="18"/>
                <w:highlight w:val="none"/>
              </w:rPr>
            </w:pPr>
          </w:p>
        </w:tc>
        <w:tc>
          <w:tcPr>
            <w:tcW w:w="767" w:type="dxa"/>
            <w:vAlign w:val="center"/>
          </w:tcPr>
          <w:p w14:paraId="6990CDE8">
            <w:pPr>
              <w:adjustRightInd/>
              <w:spacing w:line="240" w:lineRule="exact"/>
              <w:jc w:val="center"/>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公共管理与</w:t>
            </w:r>
            <w:r>
              <w:rPr>
                <w:rFonts w:hint="eastAsia" w:ascii="Arial" w:hAnsi="Arial" w:eastAsia="仿宋_GB2312" w:cs="Arial"/>
                <w:sz w:val="18"/>
                <w:szCs w:val="18"/>
                <w:highlight w:val="none"/>
              </w:rPr>
              <w:t>公共</w:t>
            </w:r>
            <w:r>
              <w:rPr>
                <w:rFonts w:ascii="Arial" w:hAnsi="Arial" w:eastAsia="仿宋_GB2312" w:cs="Arial"/>
                <w:sz w:val="18"/>
                <w:szCs w:val="18"/>
                <w:highlight w:val="none"/>
              </w:rPr>
              <w:t>服务</w:t>
            </w:r>
            <w:r>
              <w:rPr>
                <w:rFonts w:hint="eastAsia" w:ascii="Arial" w:hAnsi="Arial" w:eastAsia="仿宋_GB2312" w:cs="Arial"/>
                <w:sz w:val="18"/>
                <w:szCs w:val="18"/>
                <w:highlight w:val="none"/>
                <w:lang w:val="en-US" w:eastAsia="zh-CN"/>
              </w:rPr>
              <w:t>用地</w:t>
            </w:r>
          </w:p>
        </w:tc>
        <w:tc>
          <w:tcPr>
            <w:tcW w:w="717" w:type="dxa"/>
            <w:vMerge w:val="continue"/>
            <w:vAlign w:val="center"/>
          </w:tcPr>
          <w:p w14:paraId="73381EC3">
            <w:pPr>
              <w:adjustRightInd/>
              <w:spacing w:line="240" w:lineRule="exact"/>
              <w:jc w:val="center"/>
              <w:rPr>
                <w:rFonts w:ascii="Arial" w:hAnsi="Arial" w:eastAsia="仿宋_GB2312" w:cs="Arial"/>
                <w:sz w:val="18"/>
                <w:szCs w:val="18"/>
                <w:highlight w:val="none"/>
              </w:rPr>
            </w:pPr>
          </w:p>
        </w:tc>
        <w:tc>
          <w:tcPr>
            <w:tcW w:w="1165" w:type="dxa"/>
            <w:vMerge w:val="continue"/>
            <w:vAlign w:val="center"/>
          </w:tcPr>
          <w:p w14:paraId="4B0104BE">
            <w:pPr>
              <w:adjustRightInd/>
              <w:spacing w:line="240" w:lineRule="exact"/>
              <w:jc w:val="center"/>
              <w:rPr>
                <w:rFonts w:ascii="Arial" w:hAnsi="Arial" w:eastAsia="仿宋_GB2312" w:cs="Arial"/>
                <w:sz w:val="18"/>
                <w:szCs w:val="18"/>
                <w:highlight w:val="none"/>
              </w:rPr>
            </w:pPr>
          </w:p>
        </w:tc>
        <w:tc>
          <w:tcPr>
            <w:tcW w:w="1236" w:type="dxa"/>
            <w:vMerge w:val="continue"/>
            <w:vAlign w:val="center"/>
          </w:tcPr>
          <w:p w14:paraId="011FC811">
            <w:pPr>
              <w:adjustRightInd/>
              <w:spacing w:line="240" w:lineRule="exact"/>
              <w:jc w:val="center"/>
              <w:rPr>
                <w:rFonts w:ascii="Arial" w:hAnsi="Arial" w:eastAsia="仿宋_GB2312" w:cs="Arial"/>
                <w:sz w:val="18"/>
                <w:szCs w:val="18"/>
                <w:highlight w:val="none"/>
              </w:rPr>
            </w:pPr>
          </w:p>
        </w:tc>
        <w:tc>
          <w:tcPr>
            <w:tcW w:w="1032" w:type="dxa"/>
            <w:vAlign w:val="center"/>
          </w:tcPr>
          <w:p w14:paraId="3B4ADBE3">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50</w:t>
            </w:r>
          </w:p>
        </w:tc>
        <w:tc>
          <w:tcPr>
            <w:tcW w:w="912" w:type="dxa"/>
            <w:vMerge w:val="continue"/>
            <w:vAlign w:val="center"/>
          </w:tcPr>
          <w:p w14:paraId="41E277A5">
            <w:pPr>
              <w:adjustRightInd/>
              <w:spacing w:line="240" w:lineRule="exact"/>
              <w:jc w:val="center"/>
              <w:rPr>
                <w:rFonts w:ascii="Arial" w:hAnsi="Arial" w:eastAsia="仿宋_GB2312" w:cs="Arial"/>
                <w:sz w:val="18"/>
                <w:szCs w:val="18"/>
                <w:highlight w:val="none"/>
              </w:rPr>
            </w:pPr>
          </w:p>
        </w:tc>
        <w:tc>
          <w:tcPr>
            <w:tcW w:w="996" w:type="dxa"/>
            <w:vAlign w:val="center"/>
          </w:tcPr>
          <w:p w14:paraId="2814D4A0">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960" w:type="dxa"/>
            <w:vAlign w:val="center"/>
          </w:tcPr>
          <w:p w14:paraId="422DD63E">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3249</w:t>
            </w:r>
          </w:p>
        </w:tc>
        <w:tc>
          <w:tcPr>
            <w:tcW w:w="1500" w:type="dxa"/>
            <w:vAlign w:val="center"/>
          </w:tcPr>
          <w:p w14:paraId="7380D360">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082" w:type="dxa"/>
            <w:vMerge w:val="continue"/>
            <w:tcBorders>
              <w:left w:val="single" w:color="auto" w:sz="4" w:space="0"/>
            </w:tcBorders>
            <w:vAlign w:val="center"/>
          </w:tcPr>
          <w:p w14:paraId="3A8536E9">
            <w:pPr>
              <w:adjustRightInd/>
              <w:spacing w:line="240" w:lineRule="exact"/>
              <w:jc w:val="center"/>
              <w:rPr>
                <w:rFonts w:ascii="Arial" w:hAnsi="Arial" w:eastAsia="仿宋_GB2312" w:cs="Arial"/>
                <w:sz w:val="18"/>
                <w:szCs w:val="18"/>
                <w:highlight w:val="none"/>
              </w:rPr>
            </w:pPr>
          </w:p>
        </w:tc>
      </w:tr>
      <w:tr w14:paraId="30CB7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28A5199C">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合计</w:t>
            </w:r>
          </w:p>
        </w:tc>
        <w:tc>
          <w:tcPr>
            <w:tcW w:w="1268" w:type="dxa"/>
            <w:vAlign w:val="center"/>
          </w:tcPr>
          <w:p w14:paraId="60D42C38">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647" w:type="dxa"/>
            <w:vAlign w:val="center"/>
          </w:tcPr>
          <w:p w14:paraId="46B1432D">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767" w:type="dxa"/>
            <w:vAlign w:val="center"/>
          </w:tcPr>
          <w:p w14:paraId="196ADF3B">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767" w:type="dxa"/>
            <w:vAlign w:val="center"/>
          </w:tcPr>
          <w:p w14:paraId="340291A8">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717" w:type="dxa"/>
            <w:vAlign w:val="center"/>
          </w:tcPr>
          <w:p w14:paraId="619AAED9">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165" w:type="dxa"/>
            <w:vAlign w:val="center"/>
          </w:tcPr>
          <w:p w14:paraId="0632AC5A">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236" w:type="dxa"/>
            <w:vAlign w:val="center"/>
          </w:tcPr>
          <w:p w14:paraId="610AB34A">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032" w:type="dxa"/>
            <w:vAlign w:val="center"/>
          </w:tcPr>
          <w:p w14:paraId="728CF95E">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912" w:type="dxa"/>
            <w:vAlign w:val="center"/>
          </w:tcPr>
          <w:p w14:paraId="25478309">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56790.45</w:t>
            </w:r>
          </w:p>
        </w:tc>
        <w:tc>
          <w:tcPr>
            <w:tcW w:w="996" w:type="dxa"/>
            <w:vAlign w:val="center"/>
          </w:tcPr>
          <w:p w14:paraId="437ABBB9">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68148.54</w:t>
            </w:r>
          </w:p>
        </w:tc>
        <w:tc>
          <w:tcPr>
            <w:tcW w:w="960" w:type="dxa"/>
            <w:vAlign w:val="center"/>
          </w:tcPr>
          <w:p w14:paraId="56807EAC">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500" w:type="dxa"/>
            <w:vAlign w:val="center"/>
          </w:tcPr>
          <w:p w14:paraId="1A887DDA">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lang w:val="en-US" w:eastAsia="zh-CN"/>
              </w:rPr>
              <w:t>74568.1325</w:t>
            </w:r>
            <w:r>
              <w:rPr>
                <w:rFonts w:ascii="Arial" w:hAnsi="Arial" w:eastAsia="仿宋_GB2312" w:cs="Arial"/>
                <w:sz w:val="18"/>
                <w:szCs w:val="18"/>
                <w:highlight w:val="none"/>
              </w:rPr>
              <w:t xml:space="preserve">  </w:t>
            </w:r>
          </w:p>
        </w:tc>
        <w:tc>
          <w:tcPr>
            <w:tcW w:w="1082" w:type="dxa"/>
            <w:vMerge w:val="continue"/>
            <w:tcBorders>
              <w:left w:val="single" w:color="auto" w:sz="4" w:space="0"/>
            </w:tcBorders>
            <w:vAlign w:val="center"/>
          </w:tcPr>
          <w:p w14:paraId="17C30CB6">
            <w:pPr>
              <w:adjustRightInd/>
              <w:spacing w:line="240" w:lineRule="exact"/>
              <w:jc w:val="center"/>
              <w:rPr>
                <w:rFonts w:ascii="Arial" w:hAnsi="Arial" w:eastAsia="仿宋_GB2312" w:cs="Arial"/>
                <w:sz w:val="18"/>
                <w:szCs w:val="18"/>
                <w:highlight w:val="none"/>
              </w:rPr>
            </w:pPr>
          </w:p>
        </w:tc>
      </w:tr>
    </w:tbl>
    <w:p w14:paraId="080372D4">
      <w:pPr>
        <w:adjustRightInd/>
        <w:spacing w:line="240" w:lineRule="exact"/>
        <w:jc w:val="right"/>
        <w:rPr>
          <w:rFonts w:ascii="Arial" w:hAnsi="Arial" w:eastAsia="仿宋_GB2312" w:cs="Arial"/>
          <w:sz w:val="18"/>
          <w:szCs w:val="18"/>
          <w:highlight w:val="none"/>
        </w:rPr>
      </w:pPr>
      <w:r>
        <w:rPr>
          <w:rFonts w:hint="eastAsia" w:ascii="Arial" w:hAnsi="Arial" w:eastAsia="仿宋_GB2312" w:cs="Arial"/>
          <w:sz w:val="18"/>
          <w:szCs w:val="18"/>
          <w:highlight w:val="none"/>
          <w:lang w:val="en-US" w:eastAsia="zh-CN"/>
        </w:rPr>
        <w:t xml:space="preserve">                 </w:t>
      </w:r>
      <w:r>
        <w:rPr>
          <w:rFonts w:ascii="Arial" w:hAnsi="Arial" w:eastAsia="仿宋_GB2312" w:cs="Arial"/>
          <w:sz w:val="18"/>
          <w:szCs w:val="18"/>
          <w:highlight w:val="none"/>
        </w:rPr>
        <w:t>币种：人民币</w:t>
      </w:r>
    </w:p>
    <w:p w14:paraId="0758F09E">
      <w:pPr>
        <w:pStyle w:val="91"/>
        <w:spacing w:line="300" w:lineRule="auto"/>
        <w:ind w:right="-408" w:rightChars="-170" w:firstLine="420"/>
        <w:rPr>
          <w:rFonts w:ascii="Arial" w:hAnsi="Arial" w:cs="Arial"/>
          <w:bCs/>
          <w:sz w:val="21"/>
          <w:szCs w:val="21"/>
          <w:highlight w:val="none"/>
        </w:rPr>
        <w:sectPr>
          <w:headerReference r:id="rId18" w:type="first"/>
          <w:headerReference r:id="rId17" w:type="default"/>
          <w:footerReference r:id="rId19" w:type="default"/>
          <w:pgSz w:w="16840" w:h="11907" w:orient="landscape"/>
          <w:pgMar w:top="1418" w:right="1418" w:bottom="1134" w:left="1418" w:header="794" w:footer="907" w:gutter="0"/>
          <w:pgNumType w:fmt="decimal"/>
          <w:cols w:space="720" w:num="1"/>
          <w:titlePg/>
          <w:docGrid w:linePitch="326" w:charSpace="0"/>
        </w:sectPr>
      </w:pPr>
    </w:p>
    <w:p w14:paraId="7A13A510">
      <w:pPr>
        <w:spacing w:line="300" w:lineRule="auto"/>
        <w:ind w:left="1"/>
        <w:jc w:val="both"/>
        <w:rPr>
          <w:rFonts w:ascii="Arial" w:hAnsi="Arial" w:eastAsia="仿宋_GB2312" w:cs="Arial"/>
          <w:b/>
          <w:highlight w:val="none"/>
        </w:rPr>
      </w:pPr>
      <w:r>
        <w:rPr>
          <w:rFonts w:ascii="Arial" w:hAnsi="Arial" w:eastAsia="仿宋_GB2312" w:cs="Arial"/>
          <w:b/>
          <w:highlight w:val="none"/>
        </w:rPr>
        <w:t>一、上述估价结果的限定条件</w:t>
      </w:r>
    </w:p>
    <w:p w14:paraId="5EB06031">
      <w:pPr>
        <w:adjustRightInd/>
        <w:spacing w:line="300" w:lineRule="auto"/>
        <w:jc w:val="both"/>
        <w:rPr>
          <w:rFonts w:ascii="Arial" w:hAnsi="Arial" w:eastAsia="仿宋_GB2312" w:cs="Arial"/>
          <w:bCs/>
          <w:highlight w:val="none"/>
        </w:rPr>
      </w:pPr>
      <w:r>
        <w:rPr>
          <w:rFonts w:ascii="Arial" w:hAnsi="Arial" w:eastAsia="仿宋_GB2312" w:cs="Arial"/>
          <w:bCs/>
          <w:highlight w:val="none"/>
        </w:rPr>
        <w:t>（一）土地权利限制：至估价期日，估价对象无他项权利；</w:t>
      </w:r>
    </w:p>
    <w:p w14:paraId="2F672652">
      <w:pPr>
        <w:adjustRightInd/>
        <w:spacing w:line="300" w:lineRule="auto"/>
        <w:jc w:val="both"/>
        <w:rPr>
          <w:rFonts w:ascii="仿宋_GB2312" w:hAnsi="Arial" w:eastAsia="仿宋_GB2312"/>
          <w:bCs/>
          <w:highlight w:val="none"/>
        </w:rPr>
      </w:pPr>
      <w:r>
        <w:rPr>
          <w:rFonts w:ascii="Arial" w:hAnsi="Arial" w:eastAsia="仿宋_GB2312" w:cs="Arial"/>
          <w:bCs/>
          <w:highlight w:val="none"/>
        </w:rPr>
        <w:t>（二）基础设施条件：</w:t>
      </w:r>
      <w:r>
        <w:rPr>
          <w:rFonts w:hint="eastAsia" w:ascii="仿宋_GB2312" w:hAnsi="Arial" w:eastAsia="仿宋_GB2312"/>
          <w:bCs/>
          <w:highlight w:val="none"/>
        </w:rPr>
        <w:t>估价对象实际开发程度为宗地外</w:t>
      </w:r>
      <w:r>
        <w:rPr>
          <w:rFonts w:hint="eastAsia" w:ascii="仿宋_GB2312" w:hAnsi="Arial" w:eastAsia="仿宋_GB2312"/>
          <w:bCs/>
          <w:highlight w:val="none"/>
          <w:lang w:eastAsia="zh-CN"/>
        </w:rPr>
        <w:t>“七通”（通路、通上水（自来水、中水）、通下水（雨水、污水）、通电（管沟、电缆）、通讯、通燃气、通热力）</w:t>
      </w:r>
      <w:r>
        <w:rPr>
          <w:rFonts w:hint="eastAsia" w:ascii="仿宋_GB2312" w:hAnsi="Arial" w:eastAsia="仿宋_GB2312"/>
          <w:bCs/>
          <w:highlight w:val="none"/>
        </w:rPr>
        <w:t>，宗地红线内场地平整；本次评估设定开发程度为土地开发程度红线外市政基础设施达宗地外</w:t>
      </w:r>
      <w:r>
        <w:rPr>
          <w:rFonts w:hint="eastAsia" w:ascii="仿宋_GB2312" w:hAnsi="Arial" w:eastAsia="仿宋_GB2312"/>
          <w:bCs/>
          <w:highlight w:val="none"/>
          <w:lang w:eastAsia="zh-CN"/>
        </w:rPr>
        <w:t>“七通”（通路、通上水（自来水、中水）、通下水（雨水、污水）、通电、通讯、通燃气、通热力）</w:t>
      </w:r>
      <w:r>
        <w:rPr>
          <w:rFonts w:hint="eastAsia" w:ascii="仿宋_GB2312" w:hAnsi="Arial" w:eastAsia="仿宋_GB2312"/>
          <w:bCs/>
          <w:highlight w:val="none"/>
        </w:rPr>
        <w:t>，宗地红线内场地平整</w:t>
      </w:r>
      <w:r>
        <w:rPr>
          <w:rFonts w:ascii="仿宋_GB2312" w:hAnsi="Arial" w:eastAsia="仿宋_GB2312"/>
          <w:bCs/>
          <w:highlight w:val="none"/>
        </w:rPr>
        <w:t>；</w:t>
      </w:r>
    </w:p>
    <w:p w14:paraId="2335EE8F">
      <w:pPr>
        <w:adjustRightInd/>
        <w:spacing w:line="300" w:lineRule="auto"/>
        <w:jc w:val="both"/>
        <w:rPr>
          <w:rFonts w:ascii="Arial" w:hAnsi="Arial" w:eastAsia="仿宋_GB2312" w:cs="Arial"/>
          <w:bCs/>
          <w:highlight w:val="none"/>
        </w:rPr>
      </w:pPr>
      <w:r>
        <w:rPr>
          <w:rFonts w:ascii="Arial" w:hAnsi="Arial" w:eastAsia="仿宋_GB2312" w:cs="Arial"/>
          <w:bCs/>
          <w:highlight w:val="none"/>
        </w:rPr>
        <w:t>（三）规划限制条件：依据</w:t>
      </w:r>
      <w:r>
        <w:rPr>
          <w:rFonts w:hint="eastAsia" w:ascii="Arial" w:hAnsi="Arial" w:eastAsia="仿宋_GB2312" w:cs="Arial"/>
          <w:bCs/>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_GB2312" w:cs="Arial"/>
          <w:bCs/>
          <w:highlight w:val="none"/>
        </w:rPr>
        <w:t>；</w:t>
      </w:r>
    </w:p>
    <w:p w14:paraId="670DA476">
      <w:pPr>
        <w:adjustRightInd/>
        <w:spacing w:line="300" w:lineRule="auto"/>
        <w:jc w:val="both"/>
        <w:rPr>
          <w:rFonts w:ascii="Arial" w:hAnsi="Arial" w:eastAsia="仿宋_GB2312" w:cs="Arial"/>
          <w:bCs/>
          <w:highlight w:val="none"/>
        </w:rPr>
      </w:pPr>
      <w:r>
        <w:rPr>
          <w:rFonts w:ascii="Arial" w:hAnsi="Arial" w:eastAsia="仿宋_GB2312" w:cs="Arial"/>
          <w:bCs/>
          <w:highlight w:val="none"/>
        </w:rPr>
        <w:t>（四）影响土地价格的其他限定条件：无。</w:t>
      </w:r>
    </w:p>
    <w:p w14:paraId="116B2BC5">
      <w:pPr>
        <w:spacing w:line="300" w:lineRule="auto"/>
        <w:jc w:val="both"/>
        <w:rPr>
          <w:rFonts w:ascii="Arial" w:hAnsi="Arial" w:eastAsia="仿宋_GB2312" w:cs="Arial"/>
          <w:bCs/>
          <w:highlight w:val="none"/>
        </w:rPr>
      </w:pPr>
      <w:r>
        <w:rPr>
          <w:rFonts w:ascii="Arial" w:hAnsi="Arial" w:eastAsia="仿宋_GB2312" w:cs="Arial"/>
          <w:b/>
          <w:highlight w:val="none"/>
        </w:rPr>
        <w:t>二、其他需要说明的事项</w:t>
      </w:r>
      <w:r>
        <w:rPr>
          <w:rFonts w:ascii="Arial" w:hAnsi="Arial" w:eastAsia="仿宋_GB2312" w:cs="Arial"/>
          <w:bCs/>
          <w:highlight w:val="none"/>
        </w:rPr>
        <w:t>：</w:t>
      </w:r>
    </w:p>
    <w:p w14:paraId="577AE36E">
      <w:pPr>
        <w:adjustRightInd/>
        <w:spacing w:line="300" w:lineRule="auto"/>
        <w:jc w:val="both"/>
        <w:rPr>
          <w:rFonts w:ascii="Arial" w:hAnsi="Arial" w:eastAsia="仿宋_GB2312" w:cs="Arial"/>
          <w:bCs/>
          <w:highlight w:val="none"/>
        </w:rPr>
      </w:pPr>
      <w:r>
        <w:rPr>
          <w:rFonts w:hint="eastAsia" w:ascii="Arial" w:hAnsi="Arial" w:eastAsia="仿宋_GB2312" w:cs="Arial"/>
          <w:bCs/>
          <w:highlight w:val="none"/>
        </w:rPr>
        <w:t>（一）本报告结果是在满足地价定义中全部假设与限制条件下的地价，若估价对象的土地权利状况，利用方式、估价期日、土地开发状况，土地使用年期、容积率等影响地价的因素发生了变化，该评估价格应作相应的调整，不能直接使用本次估价结论。</w:t>
      </w:r>
    </w:p>
    <w:p w14:paraId="2073DC03">
      <w:pPr>
        <w:adjustRightInd/>
        <w:spacing w:line="300" w:lineRule="auto"/>
        <w:jc w:val="both"/>
        <w:rPr>
          <w:rFonts w:ascii="Arial" w:hAnsi="Arial" w:eastAsia="仿宋_GB2312" w:cs="Arial"/>
          <w:bCs/>
          <w:highlight w:val="none"/>
        </w:rPr>
      </w:pPr>
      <w:r>
        <w:rPr>
          <w:rFonts w:hint="eastAsia" w:ascii="Arial" w:hAnsi="Arial" w:eastAsia="仿宋_GB2312" w:cs="Arial"/>
          <w:bCs/>
          <w:highlight w:val="none"/>
        </w:rPr>
        <w:t>（二）土地权属、利用状况等咨料均由委托方提供，估价师结合执业经验，对上相关评估资料的真实性，合法性，有限性，适用性进行了尽职核实和专业判断，但资料的真实性最终由委托方负责，如有虚假，评估机构不承担相应责任;房地产市场交易、区位条件等资料由土地估价专业评估师通过住建委、规自委等官网或现场勘查而得，评估机构对所收集资料的真实性、准确性负责。</w:t>
      </w:r>
    </w:p>
    <w:p w14:paraId="17CC2BE5">
      <w:pPr>
        <w:adjustRightInd/>
        <w:spacing w:line="300" w:lineRule="auto"/>
        <w:jc w:val="both"/>
        <w:rPr>
          <w:rFonts w:ascii="Arial" w:hAnsi="Arial" w:eastAsia="仿宋_GB2312" w:cs="Arial"/>
          <w:bCs/>
          <w:highlight w:val="none"/>
        </w:rPr>
      </w:pPr>
      <w:r>
        <w:rPr>
          <w:rFonts w:hint="eastAsia" w:ascii="Arial" w:hAnsi="Arial" w:eastAsia="仿宋_GB2312" w:cs="Arial"/>
          <w:bCs/>
          <w:highlight w:val="none"/>
        </w:rPr>
        <w:t>（三）本报告仅为出让方通过集体决策确定估价对象土地出让底价提供参考依据</w:t>
      </w:r>
      <w:r>
        <w:rPr>
          <w:rFonts w:ascii="Arial" w:hAnsi="Arial" w:eastAsia="仿宋_GB2312" w:cs="Arial"/>
          <w:bCs/>
          <w:highlight w:val="none"/>
        </w:rPr>
        <w:t>。</w:t>
      </w:r>
    </w:p>
    <w:p w14:paraId="0EBCAAA4">
      <w:pPr>
        <w:spacing w:line="300" w:lineRule="auto"/>
        <w:rPr>
          <w:rFonts w:ascii="Arial" w:hAnsi="Arial" w:eastAsia="仿宋_GB2312" w:cs="Arial"/>
          <w:bCs/>
          <w:highlight w:val="none"/>
        </w:rPr>
      </w:pPr>
      <w:r>
        <w:rPr>
          <w:rFonts w:ascii="Arial" w:hAnsi="Arial" w:eastAsia="仿宋_GB2312" w:cs="Arial"/>
          <w:bCs/>
          <w:highlight w:val="none"/>
        </w:rPr>
        <w:t xml:space="preserve"> </w:t>
      </w:r>
    </w:p>
    <w:p w14:paraId="76EAFCC3">
      <w:pPr>
        <w:spacing w:line="300" w:lineRule="auto"/>
        <w:ind w:firstLine="7500"/>
        <w:jc w:val="right"/>
        <w:rPr>
          <w:rFonts w:ascii="Arial" w:hAnsi="Arial" w:eastAsia="仿宋_GB2312" w:cs="Arial"/>
          <w:bCs/>
          <w:highlight w:val="none"/>
        </w:rPr>
      </w:pPr>
    </w:p>
    <w:p w14:paraId="2FEFC4F8">
      <w:pPr>
        <w:spacing w:line="300" w:lineRule="auto"/>
        <w:ind w:firstLine="3828"/>
        <w:jc w:val="right"/>
        <w:rPr>
          <w:rFonts w:ascii="Arial" w:hAnsi="Arial" w:eastAsia="仿宋_GB2312" w:cs="Arial"/>
          <w:bCs/>
          <w:highlight w:val="none"/>
        </w:rPr>
      </w:pPr>
      <w:r>
        <w:rPr>
          <w:rFonts w:ascii="Arial" w:hAnsi="Arial" w:eastAsia="仿宋_GB2312" w:cs="Arial"/>
          <w:bCs/>
          <w:highlight w:val="none"/>
        </w:rPr>
        <w:t xml:space="preserve">估价机构：北京康正宏基房地产评估有限公司  </w:t>
      </w:r>
    </w:p>
    <w:p w14:paraId="1C6428F3">
      <w:pPr>
        <w:spacing w:line="300" w:lineRule="auto"/>
        <w:ind w:firstLine="3828"/>
        <w:jc w:val="right"/>
        <w:rPr>
          <w:rFonts w:ascii="Arial" w:hAnsi="Arial" w:eastAsia="仿宋_GB2312" w:cs="Arial"/>
          <w:bCs/>
          <w:highlight w:val="none"/>
        </w:rPr>
      </w:pPr>
    </w:p>
    <w:p w14:paraId="4983B75C">
      <w:pPr>
        <w:spacing w:line="300" w:lineRule="auto"/>
        <w:ind w:firstLine="3828"/>
        <w:jc w:val="right"/>
        <w:rPr>
          <w:rFonts w:ascii="Arial" w:hAnsi="Arial" w:eastAsia="仿宋_GB2312" w:cs="Arial"/>
          <w:sz w:val="28"/>
          <w:highlight w:val="none"/>
        </w:rPr>
      </w:pPr>
      <w:r>
        <w:rPr>
          <w:rFonts w:ascii="Arial" w:hAnsi="Arial" w:eastAsia="仿宋_GB2312" w:cs="Arial"/>
          <w:bCs/>
          <w:highlight w:val="none"/>
        </w:rPr>
        <w:t xml:space="preserve">              202</w:t>
      </w:r>
      <w:r>
        <w:rPr>
          <w:rFonts w:hint="eastAsia" w:ascii="Arial" w:hAnsi="Arial" w:eastAsia="仿宋_GB2312" w:cs="Arial"/>
          <w:bCs/>
          <w:highlight w:val="none"/>
          <w:lang w:val="en-US" w:eastAsia="zh-CN"/>
        </w:rPr>
        <w:t>6</w:t>
      </w:r>
      <w:r>
        <w:rPr>
          <w:rFonts w:ascii="Arial" w:hAnsi="Arial" w:eastAsia="仿宋_GB2312" w:cs="Arial"/>
          <w:bCs/>
          <w:highlight w:val="none"/>
        </w:rPr>
        <w:t>年</w:t>
      </w:r>
      <w:r>
        <w:rPr>
          <w:rFonts w:hint="eastAsia" w:ascii="Arial" w:hAnsi="Arial" w:eastAsia="仿宋_GB2312" w:cs="Arial"/>
          <w:bCs/>
          <w:highlight w:val="none"/>
          <w:lang w:val="en-US" w:eastAsia="zh-CN"/>
        </w:rPr>
        <w:t>3</w:t>
      </w:r>
      <w:r>
        <w:rPr>
          <w:rFonts w:ascii="Arial" w:hAnsi="Arial" w:eastAsia="仿宋_GB2312" w:cs="Arial"/>
          <w:bCs/>
          <w:highlight w:val="none"/>
        </w:rPr>
        <w:t>月</w:t>
      </w:r>
      <w:r>
        <w:rPr>
          <w:rFonts w:hint="eastAsia" w:ascii="Arial" w:hAnsi="Arial" w:eastAsia="仿宋_GB2312" w:cs="Arial"/>
          <w:bCs/>
          <w:highlight w:val="none"/>
          <w:lang w:val="en-US" w:eastAsia="zh-CN"/>
        </w:rPr>
        <w:t>31</w:t>
      </w:r>
      <w:r>
        <w:rPr>
          <w:rFonts w:ascii="Arial" w:hAnsi="Arial" w:eastAsia="仿宋_GB2312" w:cs="Arial"/>
          <w:bCs/>
          <w:highlight w:val="none"/>
        </w:rPr>
        <w:t>日</w:t>
      </w:r>
    </w:p>
    <w:p w14:paraId="5D1E3064">
      <w:pPr>
        <w:spacing w:line="300" w:lineRule="auto"/>
        <w:ind w:firstLine="4480" w:firstLineChars="1600"/>
        <w:rPr>
          <w:rFonts w:ascii="Arial" w:hAnsi="Arial" w:eastAsia="仿宋_GB2312" w:cs="Arial"/>
          <w:sz w:val="28"/>
          <w:highlight w:val="none"/>
        </w:rPr>
        <w:sectPr>
          <w:headerReference r:id="rId20" w:type="first"/>
          <w:pgSz w:w="11907" w:h="16840"/>
          <w:pgMar w:top="1418" w:right="1418" w:bottom="1134" w:left="1418" w:header="794" w:footer="907" w:gutter="0"/>
          <w:pgNumType w:fmt="decimal"/>
          <w:cols w:space="720" w:num="1"/>
          <w:titlePg/>
          <w:docGrid w:linePitch="326" w:charSpace="0"/>
        </w:sectPr>
      </w:pPr>
    </w:p>
    <w:p w14:paraId="6A3362B6">
      <w:pPr>
        <w:spacing w:line="300" w:lineRule="auto"/>
        <w:jc w:val="center"/>
        <w:outlineLvl w:val="0"/>
        <w:rPr>
          <w:rFonts w:ascii="Arial" w:hAnsi="Arial" w:cs="Arial"/>
          <w:b/>
          <w:sz w:val="32"/>
          <w:highlight w:val="none"/>
        </w:rPr>
      </w:pPr>
      <w:bookmarkStart w:id="84" w:name="_Toc515458366"/>
      <w:bookmarkStart w:id="85" w:name="_Toc138063000"/>
      <w:bookmarkStart w:id="86" w:name="_Toc469066311"/>
      <w:bookmarkStart w:id="87" w:name="_Toc418750891"/>
      <w:bookmarkStart w:id="88" w:name="_Toc520261134"/>
      <w:bookmarkStart w:id="89" w:name="_Toc425250313"/>
      <w:bookmarkStart w:id="90" w:name="_Toc416783528"/>
      <w:bookmarkStart w:id="91" w:name="_Toc132016730"/>
      <w:bookmarkStart w:id="92" w:name="_Toc531701560"/>
      <w:r>
        <w:rPr>
          <w:rFonts w:ascii="Arial" w:hAnsi="Arial" w:cs="Arial"/>
          <w:b/>
          <w:sz w:val="32"/>
          <w:highlight w:val="none"/>
        </w:rPr>
        <w:t>第二部分</w:t>
      </w:r>
      <w:r>
        <w:rPr>
          <w:rFonts w:ascii="Arial" w:hAnsi="Arial" w:eastAsia="仿宋_GB2312" w:cs="Arial"/>
          <w:b/>
          <w:sz w:val="32"/>
          <w:highlight w:val="none"/>
        </w:rPr>
        <w:t xml:space="preserve">  </w:t>
      </w:r>
      <w:r>
        <w:rPr>
          <w:rFonts w:ascii="Arial" w:hAnsi="Arial" w:cs="Arial"/>
          <w:b/>
          <w:sz w:val="32"/>
          <w:highlight w:val="none"/>
        </w:rPr>
        <w:t>估价对象界定</w:t>
      </w:r>
      <w:bookmarkEnd w:id="84"/>
      <w:bookmarkEnd w:id="85"/>
      <w:bookmarkEnd w:id="86"/>
      <w:bookmarkEnd w:id="87"/>
      <w:bookmarkEnd w:id="88"/>
      <w:bookmarkEnd w:id="89"/>
      <w:bookmarkEnd w:id="90"/>
      <w:bookmarkEnd w:id="91"/>
      <w:bookmarkEnd w:id="92"/>
    </w:p>
    <w:p w14:paraId="505EE005">
      <w:pPr>
        <w:spacing w:line="300" w:lineRule="auto"/>
        <w:rPr>
          <w:rFonts w:ascii="Arial" w:hAnsi="Arial" w:eastAsia="仿宋_GB2312" w:cs="Arial"/>
          <w:sz w:val="28"/>
          <w:highlight w:val="none"/>
        </w:rPr>
      </w:pPr>
    </w:p>
    <w:p w14:paraId="62C4FBFA">
      <w:pPr>
        <w:spacing w:line="300" w:lineRule="auto"/>
        <w:outlineLvl w:val="1"/>
        <w:rPr>
          <w:rFonts w:ascii="Arial" w:hAnsi="Arial" w:eastAsia="仿宋_GB2312" w:cs="Arial"/>
          <w:b/>
          <w:sz w:val="28"/>
          <w:highlight w:val="none"/>
        </w:rPr>
      </w:pPr>
      <w:bookmarkStart w:id="93" w:name="_Toc531701561"/>
      <w:bookmarkStart w:id="94" w:name="_Toc138063001"/>
      <w:bookmarkStart w:id="95" w:name="_Toc132016731"/>
      <w:bookmarkStart w:id="96" w:name="_Toc520261135"/>
      <w:bookmarkStart w:id="97" w:name="_Toc418750892"/>
      <w:bookmarkStart w:id="98" w:name="_Toc425250314"/>
      <w:bookmarkStart w:id="99" w:name="_Toc416783529"/>
      <w:bookmarkStart w:id="100" w:name="_Toc515261594"/>
      <w:bookmarkStart w:id="101" w:name="_Toc469066312"/>
      <w:bookmarkStart w:id="102" w:name="_Toc515458367"/>
      <w:bookmarkStart w:id="103" w:name="_Toc469066315"/>
      <w:bookmarkStart w:id="104" w:name="_Toc425250317"/>
      <w:bookmarkStart w:id="105" w:name="_Toc416783532"/>
      <w:bookmarkStart w:id="106" w:name="_Toc418750895"/>
      <w:r>
        <w:rPr>
          <w:rFonts w:ascii="Arial" w:hAnsi="Arial" w:eastAsia="仿宋_GB2312" w:cs="Arial"/>
          <w:b/>
          <w:sz w:val="28"/>
          <w:highlight w:val="none"/>
        </w:rPr>
        <w:t>一、委托估价方</w:t>
      </w:r>
      <w:bookmarkEnd w:id="93"/>
      <w:bookmarkEnd w:id="94"/>
      <w:bookmarkEnd w:id="95"/>
      <w:bookmarkEnd w:id="96"/>
      <w:bookmarkEnd w:id="97"/>
      <w:bookmarkEnd w:id="98"/>
      <w:bookmarkEnd w:id="99"/>
      <w:bookmarkEnd w:id="100"/>
      <w:bookmarkEnd w:id="101"/>
      <w:bookmarkEnd w:id="102"/>
    </w:p>
    <w:p w14:paraId="3A038FB2">
      <w:pPr>
        <w:spacing w:line="300" w:lineRule="auto"/>
        <w:ind w:firstLine="570"/>
        <w:jc w:val="both"/>
        <w:rPr>
          <w:rFonts w:ascii="Arial" w:hAnsi="Arial" w:eastAsia="仿宋_GB2312" w:cs="Arial"/>
          <w:sz w:val="28"/>
          <w:highlight w:val="none"/>
        </w:rPr>
      </w:pPr>
      <w:r>
        <w:rPr>
          <w:rFonts w:ascii="Arial" w:hAnsi="Arial" w:eastAsia="仿宋_GB2312" w:cs="Arial"/>
          <w:sz w:val="28"/>
          <w:highlight w:val="none"/>
        </w:rPr>
        <w:t>本次评估委托估价方为</w:t>
      </w:r>
      <w:r>
        <w:rPr>
          <w:rFonts w:hint="eastAsia" w:ascii="Arial" w:hAnsi="Arial" w:eastAsia="仿宋" w:cs="Arial"/>
          <w:bCs/>
          <w:sz w:val="28"/>
          <w:szCs w:val="28"/>
          <w:highlight w:val="none"/>
          <w:lang w:eastAsia="zh-CN"/>
        </w:rPr>
        <w:t>北京市规划和自然资源委员会</w:t>
      </w:r>
      <w:r>
        <w:rPr>
          <w:rFonts w:ascii="Arial" w:hAnsi="Arial" w:eastAsia="仿宋_GB2312" w:cs="Arial"/>
          <w:sz w:val="28"/>
          <w:highlight w:val="none"/>
        </w:rPr>
        <w:t>。</w:t>
      </w:r>
    </w:p>
    <w:p w14:paraId="35AC6C64">
      <w:pPr>
        <w:snapToGrid w:val="0"/>
        <w:spacing w:line="300" w:lineRule="auto"/>
        <w:ind w:firstLine="556"/>
        <w:rPr>
          <w:rFonts w:ascii="Arial" w:hAnsi="Arial" w:eastAsia="仿宋" w:cs="Arial"/>
          <w:sz w:val="28"/>
          <w:szCs w:val="28"/>
          <w:highlight w:val="none"/>
        </w:rPr>
      </w:pPr>
      <w:r>
        <w:rPr>
          <w:rFonts w:ascii="Arial" w:hAnsi="Arial" w:eastAsia="仿宋" w:cs="Arial"/>
          <w:sz w:val="28"/>
          <w:szCs w:val="28"/>
          <w:highlight w:val="none"/>
        </w:rPr>
        <w:t>单位地址：</w:t>
      </w:r>
      <w:r>
        <w:rPr>
          <w:rFonts w:hint="eastAsia" w:ascii="Arial" w:hAnsi="Arial" w:eastAsia="仿宋" w:cs="Arial"/>
          <w:bCs/>
          <w:sz w:val="28"/>
          <w:szCs w:val="28"/>
          <w:highlight w:val="none"/>
        </w:rPr>
        <w:t>北京市通州区承安街1号院</w:t>
      </w:r>
    </w:p>
    <w:p w14:paraId="791BACF7">
      <w:pPr>
        <w:tabs>
          <w:tab w:val="left" w:pos="3125"/>
        </w:tabs>
        <w:spacing w:line="300" w:lineRule="auto"/>
        <w:ind w:firstLine="560" w:firstLineChars="200"/>
        <w:jc w:val="both"/>
        <w:rPr>
          <w:rFonts w:hint="eastAsia" w:ascii="Arial" w:hAnsi="Arial" w:eastAsia="仿宋" w:cs="Arial"/>
          <w:bCs/>
          <w:sz w:val="28"/>
          <w:szCs w:val="28"/>
          <w:highlight w:val="none"/>
          <w:lang w:val="en-US" w:eastAsia="zh-CN"/>
        </w:rPr>
      </w:pPr>
      <w:r>
        <w:rPr>
          <w:rFonts w:ascii="Arial" w:hAnsi="Arial" w:eastAsia="仿宋" w:cs="Arial"/>
          <w:sz w:val="28"/>
          <w:szCs w:val="28"/>
          <w:highlight w:val="none"/>
        </w:rPr>
        <w:t>联系人：</w:t>
      </w:r>
      <w:r>
        <w:rPr>
          <w:rFonts w:hint="eastAsia" w:ascii="Arial" w:hAnsi="Arial" w:eastAsia="仿宋" w:cs="Arial"/>
          <w:bCs/>
          <w:sz w:val="28"/>
          <w:szCs w:val="28"/>
          <w:highlight w:val="none"/>
          <w:lang w:val="en-US" w:eastAsia="zh-CN"/>
        </w:rPr>
        <w:t>李德润</w:t>
      </w:r>
    </w:p>
    <w:p w14:paraId="32C7122B">
      <w:pPr>
        <w:tabs>
          <w:tab w:val="left" w:pos="3125"/>
        </w:tabs>
        <w:spacing w:line="300" w:lineRule="auto"/>
        <w:ind w:firstLine="560" w:firstLineChars="200"/>
        <w:jc w:val="both"/>
        <w:rPr>
          <w:rFonts w:ascii="Arial" w:hAnsi="Arial" w:eastAsia="仿宋_GB2312" w:cs="Arial"/>
          <w:sz w:val="28"/>
          <w:highlight w:val="none"/>
        </w:rPr>
      </w:pPr>
      <w:r>
        <w:rPr>
          <w:rFonts w:hint="eastAsia" w:ascii="Arial" w:hAnsi="Arial" w:eastAsia="仿宋" w:cs="Arial"/>
          <w:bCs/>
          <w:sz w:val="28"/>
          <w:szCs w:val="28"/>
          <w:highlight w:val="none"/>
        </w:rPr>
        <w:t>联系电话</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010</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55595171</w:t>
      </w:r>
      <w:r>
        <w:rPr>
          <w:rFonts w:ascii="Arial" w:hAnsi="Arial" w:eastAsia="仿宋_GB2312" w:cs="Arial"/>
          <w:sz w:val="28"/>
          <w:highlight w:val="none"/>
        </w:rPr>
        <w:tab/>
      </w:r>
    </w:p>
    <w:p w14:paraId="1A10CD4C">
      <w:pPr>
        <w:adjustRightInd/>
        <w:spacing w:line="300" w:lineRule="auto"/>
        <w:ind w:firstLine="560" w:firstLineChars="200"/>
        <w:jc w:val="both"/>
        <w:rPr>
          <w:rFonts w:ascii="Arial" w:hAnsi="Arial" w:eastAsia="仿宋_GB2312" w:cs="Arial"/>
          <w:sz w:val="28"/>
          <w:highlight w:val="none"/>
        </w:rPr>
      </w:pPr>
    </w:p>
    <w:p w14:paraId="11A08FA4">
      <w:pPr>
        <w:spacing w:line="300" w:lineRule="auto"/>
        <w:outlineLvl w:val="1"/>
        <w:rPr>
          <w:rFonts w:ascii="Arial" w:hAnsi="Arial" w:eastAsia="仿宋_GB2312" w:cs="Arial"/>
          <w:b/>
          <w:sz w:val="28"/>
          <w:highlight w:val="none"/>
        </w:rPr>
      </w:pPr>
      <w:bookmarkStart w:id="107" w:name="_Toc138063002"/>
      <w:bookmarkStart w:id="108" w:name="_Toc515261595"/>
      <w:bookmarkStart w:id="109" w:name="_Toc520261136"/>
      <w:bookmarkStart w:id="110" w:name="_Toc469066313"/>
      <w:bookmarkStart w:id="111" w:name="_Toc425250315"/>
      <w:bookmarkStart w:id="112" w:name="_Toc418750893"/>
      <w:bookmarkStart w:id="113" w:name="_Toc416783530"/>
      <w:bookmarkStart w:id="114" w:name="_Toc132016732"/>
      <w:bookmarkStart w:id="115" w:name="_Toc531701562"/>
      <w:bookmarkStart w:id="116" w:name="_Toc515458368"/>
      <w:r>
        <w:rPr>
          <w:rFonts w:ascii="Arial" w:hAnsi="Arial" w:eastAsia="仿宋_GB2312" w:cs="Arial"/>
          <w:b/>
          <w:sz w:val="28"/>
          <w:highlight w:val="none"/>
        </w:rPr>
        <w:t>二、估价对象</w:t>
      </w:r>
      <w:bookmarkEnd w:id="107"/>
      <w:bookmarkEnd w:id="108"/>
      <w:bookmarkEnd w:id="109"/>
      <w:bookmarkEnd w:id="110"/>
      <w:bookmarkEnd w:id="111"/>
      <w:bookmarkEnd w:id="112"/>
      <w:bookmarkEnd w:id="113"/>
      <w:bookmarkEnd w:id="114"/>
      <w:bookmarkEnd w:id="115"/>
      <w:bookmarkEnd w:id="116"/>
    </w:p>
    <w:p w14:paraId="57B32E70">
      <w:pPr>
        <w:tabs>
          <w:tab w:val="left" w:pos="9027"/>
        </w:tabs>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szCs w:val="28"/>
          <w:highlight w:val="none"/>
        </w:rPr>
        <w:t>估价对象</w:t>
      </w:r>
      <w:r>
        <w:rPr>
          <w:rFonts w:ascii="Arial" w:hAnsi="Arial" w:eastAsia="仿宋" w:cs="Arial"/>
          <w:sz w:val="28"/>
          <w:highlight w:val="none"/>
        </w:rPr>
        <w:t>北京市顺义区高丽营镇夏县营村01</w:t>
      </w:r>
      <w:r>
        <w:rPr>
          <w:rFonts w:hint="eastAsia" w:ascii="Arial" w:hAnsi="Arial" w:eastAsia="仿宋" w:cs="Arial"/>
          <w:sz w:val="28"/>
          <w:highlight w:val="none"/>
          <w:lang w:eastAsia="zh-CN"/>
        </w:rPr>
        <w:t>－</w:t>
      </w:r>
      <w:r>
        <w:rPr>
          <w:rFonts w:ascii="Arial" w:hAnsi="Arial" w:eastAsia="仿宋" w:cs="Arial"/>
          <w:sz w:val="28"/>
          <w:highlight w:val="none"/>
        </w:rPr>
        <w:t>008等</w:t>
      </w:r>
      <w:r>
        <w:rPr>
          <w:rFonts w:ascii="Arial" w:hAnsi="Arial" w:eastAsia="仿宋" w:cs="Arial"/>
          <w:sz w:val="28"/>
          <w:szCs w:val="28"/>
          <w:highlight w:val="none"/>
        </w:rPr>
        <w:t>地块位于</w:t>
      </w:r>
      <w:r>
        <w:rPr>
          <w:rFonts w:ascii="Arial" w:hAnsi="Arial" w:eastAsia="仿宋" w:cs="Arial"/>
          <w:sz w:val="28"/>
          <w:highlight w:val="none"/>
        </w:rPr>
        <w:t>顺义</w:t>
      </w:r>
      <w:r>
        <w:rPr>
          <w:rFonts w:ascii="Arial" w:hAnsi="Arial" w:eastAsia="仿宋" w:cs="Arial"/>
          <w:sz w:val="28"/>
          <w:szCs w:val="28"/>
          <w:highlight w:val="none"/>
        </w:rPr>
        <w:t>区</w:t>
      </w:r>
      <w:r>
        <w:rPr>
          <w:rFonts w:ascii="Arial" w:hAnsi="Arial" w:eastAsia="仿宋" w:cs="Arial"/>
          <w:sz w:val="28"/>
          <w:highlight w:val="none"/>
        </w:rPr>
        <w:t>高丽营</w:t>
      </w:r>
      <w:r>
        <w:rPr>
          <w:rFonts w:ascii="Arial" w:hAnsi="Arial" w:eastAsia="仿宋" w:cs="Arial"/>
          <w:sz w:val="28"/>
          <w:szCs w:val="28"/>
          <w:highlight w:val="none"/>
        </w:rPr>
        <w:t>镇夏县营村，</w:t>
      </w:r>
      <w:r>
        <w:rPr>
          <w:rFonts w:hint="eastAsia" w:ascii="Arial" w:hAnsi="Arial" w:eastAsia="仿宋" w:cs="Arial"/>
          <w:sz w:val="28"/>
          <w:szCs w:val="28"/>
          <w:highlight w:val="none"/>
          <w:lang w:eastAsia="zh-CN"/>
        </w:rPr>
        <w:t>东至火寺路，西至喜行路，南至丽喜花园，北至鑫鼎街</w:t>
      </w:r>
      <w:r>
        <w:rPr>
          <w:rFonts w:ascii="Arial" w:hAnsi="Arial" w:eastAsia="仿宋" w:cs="Arial"/>
          <w:sz w:val="28"/>
          <w:szCs w:val="28"/>
          <w:highlight w:val="none"/>
        </w:rPr>
        <w:t>。该宗地已取得</w:t>
      </w:r>
      <w:r>
        <w:rPr>
          <w:rFonts w:ascii="Arial" w:hAnsi="Arial" w:eastAsia="仿宋" w:cs="Arial"/>
          <w:sz w:val="28"/>
          <w:highlight w:val="none"/>
        </w:rPr>
        <w:t>《北京市人民政府关于顺义区二〇二〇年度批次建设用地的批复》（京政地字【2020】121号）</w:t>
      </w:r>
      <w:r>
        <w:rPr>
          <w:rFonts w:ascii="Arial" w:hAnsi="Arial" w:eastAsia="仿宋" w:cs="Arial"/>
          <w:sz w:val="28"/>
          <w:szCs w:val="28"/>
          <w:highlight w:val="none"/>
        </w:rPr>
        <w:t>，同意</w:t>
      </w:r>
      <w:r>
        <w:rPr>
          <w:rFonts w:ascii="Arial" w:hAnsi="Arial" w:eastAsia="仿宋" w:cs="Arial"/>
          <w:sz w:val="28"/>
          <w:highlight w:val="none"/>
        </w:rPr>
        <w:t>北京中交城市开发有限公司</w:t>
      </w:r>
      <w:r>
        <w:rPr>
          <w:rFonts w:ascii="Arial" w:hAnsi="Arial" w:eastAsia="仿宋" w:cs="Arial"/>
          <w:sz w:val="28"/>
          <w:szCs w:val="28"/>
          <w:highlight w:val="none"/>
        </w:rPr>
        <w:t>实施</w:t>
      </w:r>
      <w:r>
        <w:rPr>
          <w:rFonts w:ascii="Arial" w:hAnsi="Arial" w:eastAsia="仿宋" w:cs="Arial"/>
          <w:sz w:val="28"/>
          <w:highlight w:val="none"/>
        </w:rPr>
        <w:t>顺义</w:t>
      </w:r>
      <w:r>
        <w:rPr>
          <w:rFonts w:ascii="Arial" w:hAnsi="Arial" w:eastAsia="仿宋" w:cs="Arial"/>
          <w:sz w:val="28"/>
          <w:szCs w:val="28"/>
          <w:highlight w:val="none"/>
        </w:rPr>
        <w:t>区高丽营镇夏县营村棚户区</w:t>
      </w:r>
      <w:r>
        <w:rPr>
          <w:rFonts w:ascii="Arial" w:hAnsi="Arial" w:eastAsia="仿宋" w:cs="Arial"/>
          <w:sz w:val="28"/>
          <w:highlight w:val="none"/>
        </w:rPr>
        <w:t>，</w:t>
      </w:r>
      <w:r>
        <w:rPr>
          <w:rFonts w:ascii="Arial" w:hAnsi="Arial" w:eastAsia="仿宋" w:cs="Arial"/>
          <w:sz w:val="28"/>
          <w:szCs w:val="28"/>
          <w:highlight w:val="none"/>
        </w:rPr>
        <w:t>其中经营性建设用地入市公开交易。根据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,估价对象规划建设用地性质为</w:t>
      </w:r>
      <w:r>
        <w:rPr>
          <w:rFonts w:ascii="Arial" w:hAnsi="Arial" w:eastAsia="仿宋" w:cs="Arial"/>
          <w:sz w:val="28"/>
          <w:highlight w:val="none"/>
        </w:rPr>
        <w:t>R2二类居住用地及A334托幼</w:t>
      </w:r>
      <w:r>
        <w:rPr>
          <w:rFonts w:ascii="Arial" w:hAnsi="Arial" w:eastAsia="仿宋" w:cs="Arial"/>
          <w:sz w:val="28"/>
          <w:szCs w:val="28"/>
          <w:highlight w:val="none"/>
        </w:rPr>
        <w:t>用地，</w:t>
      </w:r>
      <w:r>
        <w:rPr>
          <w:rFonts w:hint="eastAsia" w:ascii="Arial" w:hAnsi="Arial" w:eastAsia="仿宋" w:cs="Arial"/>
          <w:bCs/>
          <w:sz w:val="28"/>
          <w:szCs w:val="28"/>
          <w:highlight w:val="none"/>
          <w:lang w:eastAsia="zh-CN"/>
        </w:rPr>
        <w:t>北京市规划和自然资源委员会</w:t>
      </w:r>
      <w:r>
        <w:rPr>
          <w:rFonts w:ascii="Arial" w:hAnsi="Arial" w:eastAsia="仿宋" w:cs="Arial"/>
          <w:sz w:val="28"/>
          <w:szCs w:val="28"/>
          <w:highlight w:val="none"/>
        </w:rPr>
        <w:t>拟按照规划用途对估价对象实施挂牌供应。</w:t>
      </w:r>
    </w:p>
    <w:p w14:paraId="100970CE">
      <w:pPr>
        <w:tabs>
          <w:tab w:val="left" w:pos="9027"/>
        </w:tabs>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szCs w:val="28"/>
          <w:highlight w:val="none"/>
        </w:rPr>
        <w:t>根据</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 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w:t>
      </w:r>
      <w:r>
        <w:rPr>
          <w:rFonts w:hint="eastAsia" w:ascii="Arial" w:hAnsi="Arial" w:eastAsia="仿宋" w:cs="Arial"/>
          <w:sz w:val="28"/>
          <w:highlight w:val="none"/>
          <w:lang w:eastAsia="zh-CN"/>
        </w:rPr>
        <w:t>根据《北京市国有建设用地使用权出让地价评估技术导则》（2026年2月10日实施）中的相关规定，本次评估01－008、01－016、01－026－1地块（R2二类居住用地）容积率为1.2</w:t>
      </w:r>
      <w:r>
        <w:rPr>
          <w:rFonts w:ascii="Arial" w:hAnsi="Arial" w:eastAsia="仿宋" w:cs="Arial"/>
          <w:sz w:val="28"/>
          <w:highlight w:val="none"/>
        </w:rPr>
        <w:t>；具体详见下表：</w:t>
      </w:r>
    </w:p>
    <w:p w14:paraId="55395AD0">
      <w:pPr>
        <w:tabs>
          <w:tab w:val="left" w:pos="9027"/>
        </w:tabs>
        <w:spacing w:line="300" w:lineRule="auto"/>
        <w:jc w:val="center"/>
        <w:rPr>
          <w:rFonts w:ascii="Arial" w:hAnsi="Arial" w:eastAsia="仿宋_GB2312" w:cs="Arial"/>
          <w:b/>
          <w:sz w:val="28"/>
          <w:szCs w:val="28"/>
          <w:highlight w:val="none"/>
        </w:rPr>
      </w:pPr>
      <w:r>
        <w:rPr>
          <w:rFonts w:ascii="Arial" w:hAnsi="Arial" w:eastAsia="仿宋_GB2312" w:cs="Arial"/>
          <w:b/>
          <w:sz w:val="28"/>
          <w:szCs w:val="28"/>
          <w:highlight w:val="none"/>
        </w:rPr>
        <w:t>土地用途及建筑规模表</w:t>
      </w:r>
    </w:p>
    <w:tbl>
      <w:tblPr>
        <w:tblStyle w:val="34"/>
        <w:tblW w:w="92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1600"/>
        <w:gridCol w:w="2180"/>
        <w:gridCol w:w="1599"/>
        <w:gridCol w:w="1160"/>
        <w:gridCol w:w="1744"/>
        <w:gridCol w:w="1015"/>
      </w:tblGrid>
      <w:tr w14:paraId="460BA8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145DBE73">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规划地块编号</w:t>
            </w:r>
          </w:p>
        </w:tc>
        <w:tc>
          <w:tcPr>
            <w:tcW w:w="1172" w:type="pct"/>
            <w:vAlign w:val="center"/>
          </w:tcPr>
          <w:p w14:paraId="6B5FEFEE">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用地性质</w:t>
            </w:r>
          </w:p>
        </w:tc>
        <w:tc>
          <w:tcPr>
            <w:tcW w:w="860" w:type="pct"/>
            <w:vAlign w:val="center"/>
          </w:tcPr>
          <w:p w14:paraId="5A847977">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建设用地规模</w:t>
            </w:r>
          </w:p>
          <w:p w14:paraId="2734BBC0">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624" w:type="pct"/>
            <w:vAlign w:val="center"/>
          </w:tcPr>
          <w:p w14:paraId="2D136F58">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容积率</w:t>
            </w:r>
          </w:p>
        </w:tc>
        <w:tc>
          <w:tcPr>
            <w:tcW w:w="938" w:type="pct"/>
            <w:vAlign w:val="center"/>
          </w:tcPr>
          <w:p w14:paraId="5DA35E74">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地上建筑规模</w:t>
            </w:r>
          </w:p>
          <w:p w14:paraId="5F6B8006">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546" w:type="pct"/>
            <w:vAlign w:val="center"/>
          </w:tcPr>
          <w:p w14:paraId="3A1B57FF">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备注</w:t>
            </w:r>
          </w:p>
        </w:tc>
      </w:tr>
      <w:tr w14:paraId="48115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483CDED0">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008</w:t>
            </w:r>
          </w:p>
        </w:tc>
        <w:tc>
          <w:tcPr>
            <w:tcW w:w="1172" w:type="pct"/>
            <w:vMerge w:val="restart"/>
            <w:vAlign w:val="center"/>
          </w:tcPr>
          <w:p w14:paraId="623CA495">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R2二类居住用地</w:t>
            </w:r>
          </w:p>
        </w:tc>
        <w:tc>
          <w:tcPr>
            <w:tcW w:w="860" w:type="pct"/>
            <w:vAlign w:val="center"/>
          </w:tcPr>
          <w:p w14:paraId="4B82CBDC">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24804.85</w:t>
            </w:r>
          </w:p>
        </w:tc>
        <w:tc>
          <w:tcPr>
            <w:tcW w:w="624" w:type="pct"/>
            <w:vMerge w:val="restart"/>
            <w:vAlign w:val="center"/>
          </w:tcPr>
          <w:p w14:paraId="73D387B1">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38" w:type="pct"/>
            <w:vAlign w:val="center"/>
          </w:tcPr>
          <w:p w14:paraId="15098A2A">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29765.82</w:t>
            </w:r>
          </w:p>
        </w:tc>
        <w:tc>
          <w:tcPr>
            <w:tcW w:w="546" w:type="pct"/>
            <w:vAlign w:val="center"/>
          </w:tcPr>
          <w:p w14:paraId="2A062049">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r w14:paraId="1AB29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5D6C9123">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016</w:t>
            </w:r>
          </w:p>
        </w:tc>
        <w:tc>
          <w:tcPr>
            <w:tcW w:w="1172" w:type="pct"/>
            <w:vMerge w:val="continue"/>
            <w:vAlign w:val="center"/>
          </w:tcPr>
          <w:p w14:paraId="2908DE0F">
            <w:pPr>
              <w:snapToGrid w:val="0"/>
              <w:spacing w:line="240" w:lineRule="exact"/>
              <w:jc w:val="center"/>
              <w:rPr>
                <w:rFonts w:ascii="Arial" w:hAnsi="Arial" w:eastAsia="仿宋" w:cs="Arial"/>
                <w:sz w:val="18"/>
                <w:szCs w:val="18"/>
                <w:highlight w:val="none"/>
              </w:rPr>
            </w:pPr>
          </w:p>
        </w:tc>
        <w:tc>
          <w:tcPr>
            <w:tcW w:w="860" w:type="pct"/>
            <w:vAlign w:val="center"/>
          </w:tcPr>
          <w:p w14:paraId="543B9FF8">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23103.85</w:t>
            </w:r>
          </w:p>
        </w:tc>
        <w:tc>
          <w:tcPr>
            <w:tcW w:w="624" w:type="pct"/>
            <w:vMerge w:val="continue"/>
            <w:vAlign w:val="center"/>
          </w:tcPr>
          <w:p w14:paraId="0E74C19E">
            <w:pPr>
              <w:snapToGrid w:val="0"/>
              <w:spacing w:line="240" w:lineRule="exact"/>
              <w:jc w:val="center"/>
              <w:rPr>
                <w:rFonts w:ascii="Arial" w:hAnsi="Arial" w:eastAsia="仿宋" w:cs="Arial"/>
                <w:sz w:val="18"/>
                <w:szCs w:val="18"/>
                <w:highlight w:val="none"/>
              </w:rPr>
            </w:pPr>
          </w:p>
        </w:tc>
        <w:tc>
          <w:tcPr>
            <w:tcW w:w="938" w:type="pct"/>
            <w:vAlign w:val="center"/>
          </w:tcPr>
          <w:p w14:paraId="303479AE">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27724.62</w:t>
            </w:r>
          </w:p>
        </w:tc>
        <w:tc>
          <w:tcPr>
            <w:tcW w:w="546" w:type="pct"/>
            <w:vAlign w:val="center"/>
          </w:tcPr>
          <w:p w14:paraId="682CD349">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r w14:paraId="3B081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5079259F">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026</w:t>
            </w:r>
            <w:r>
              <w:rPr>
                <w:rFonts w:hint="eastAsia" w:ascii="Arial" w:hAnsi="Arial" w:eastAsia="仿宋" w:cs="Arial"/>
                <w:sz w:val="18"/>
                <w:szCs w:val="18"/>
                <w:highlight w:val="none"/>
                <w:lang w:eastAsia="zh-CN"/>
              </w:rPr>
              <w:t>－</w:t>
            </w:r>
            <w:r>
              <w:rPr>
                <w:rFonts w:ascii="Arial" w:hAnsi="Arial" w:eastAsia="仿宋" w:cs="Arial"/>
                <w:sz w:val="18"/>
                <w:szCs w:val="18"/>
                <w:highlight w:val="none"/>
              </w:rPr>
              <w:t>1</w:t>
            </w:r>
          </w:p>
        </w:tc>
        <w:tc>
          <w:tcPr>
            <w:tcW w:w="1172" w:type="pct"/>
            <w:vMerge w:val="continue"/>
            <w:vAlign w:val="center"/>
          </w:tcPr>
          <w:p w14:paraId="52A515E9">
            <w:pPr>
              <w:snapToGrid w:val="0"/>
              <w:spacing w:line="240" w:lineRule="exact"/>
              <w:jc w:val="center"/>
              <w:rPr>
                <w:rFonts w:ascii="Arial" w:hAnsi="Arial" w:eastAsia="仿宋" w:cs="Arial"/>
                <w:sz w:val="18"/>
                <w:szCs w:val="18"/>
                <w:highlight w:val="none"/>
              </w:rPr>
            </w:pPr>
          </w:p>
        </w:tc>
        <w:tc>
          <w:tcPr>
            <w:tcW w:w="860" w:type="pct"/>
            <w:vAlign w:val="center"/>
          </w:tcPr>
          <w:p w14:paraId="22465A9F">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8881.75</w:t>
            </w:r>
          </w:p>
        </w:tc>
        <w:tc>
          <w:tcPr>
            <w:tcW w:w="624" w:type="pct"/>
            <w:vMerge w:val="continue"/>
            <w:vAlign w:val="center"/>
          </w:tcPr>
          <w:p w14:paraId="000F4A7A">
            <w:pPr>
              <w:snapToGrid w:val="0"/>
              <w:spacing w:line="240" w:lineRule="exact"/>
              <w:jc w:val="center"/>
              <w:rPr>
                <w:rFonts w:ascii="Arial" w:hAnsi="Arial" w:eastAsia="仿宋" w:cs="Arial"/>
                <w:sz w:val="18"/>
                <w:szCs w:val="18"/>
                <w:highlight w:val="none"/>
              </w:rPr>
            </w:pPr>
          </w:p>
        </w:tc>
        <w:tc>
          <w:tcPr>
            <w:tcW w:w="938" w:type="pct"/>
            <w:vAlign w:val="center"/>
          </w:tcPr>
          <w:p w14:paraId="65A8CD16">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10658.10</w:t>
            </w:r>
          </w:p>
        </w:tc>
        <w:tc>
          <w:tcPr>
            <w:tcW w:w="546" w:type="pct"/>
            <w:vAlign w:val="center"/>
          </w:tcPr>
          <w:p w14:paraId="17D0A9A0">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r w14:paraId="5E693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41763BD5">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小计</w:t>
            </w:r>
          </w:p>
        </w:tc>
        <w:tc>
          <w:tcPr>
            <w:tcW w:w="860" w:type="pct"/>
            <w:vAlign w:val="center"/>
          </w:tcPr>
          <w:p w14:paraId="6FE2230F">
            <w:pPr>
              <w:snapToGrid w:val="0"/>
              <w:spacing w:line="240" w:lineRule="exact"/>
              <w:jc w:val="center"/>
              <w:rPr>
                <w:rFonts w:hint="eastAsia" w:ascii="Arial" w:hAnsi="Arial" w:eastAsia="仿宋" w:cs="Arial"/>
                <w:sz w:val="18"/>
                <w:szCs w:val="18"/>
                <w:highlight w:val="none"/>
                <w:lang w:eastAsia="zh-CN"/>
              </w:rPr>
            </w:pPr>
            <w:r>
              <w:rPr>
                <w:rFonts w:hint="eastAsia" w:ascii="Arial" w:hAnsi="Arial" w:eastAsia="仿宋" w:cs="Arial"/>
                <w:sz w:val="18"/>
                <w:szCs w:val="18"/>
                <w:highlight w:val="none"/>
                <w:lang w:eastAsia="zh-CN"/>
              </w:rPr>
              <w:t>56790.45</w:t>
            </w:r>
          </w:p>
        </w:tc>
        <w:tc>
          <w:tcPr>
            <w:tcW w:w="624" w:type="pct"/>
            <w:vAlign w:val="center"/>
          </w:tcPr>
          <w:p w14:paraId="5167D7A1">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38" w:type="pct"/>
            <w:vAlign w:val="center"/>
          </w:tcPr>
          <w:p w14:paraId="17C82BF5">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68148.54</w:t>
            </w:r>
          </w:p>
        </w:tc>
        <w:tc>
          <w:tcPr>
            <w:tcW w:w="546" w:type="pct"/>
            <w:vAlign w:val="center"/>
          </w:tcPr>
          <w:p w14:paraId="754B2221">
            <w:pPr>
              <w:snapToGrid w:val="0"/>
              <w:spacing w:line="240" w:lineRule="exact"/>
              <w:jc w:val="center"/>
              <w:rPr>
                <w:rFonts w:ascii="Arial" w:hAnsi="Arial" w:eastAsia="仿宋" w:cs="Arial"/>
                <w:sz w:val="18"/>
                <w:szCs w:val="18"/>
                <w:highlight w:val="none"/>
              </w:rPr>
            </w:pPr>
          </w:p>
        </w:tc>
      </w:tr>
      <w:tr w14:paraId="7D769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860" w:type="pct"/>
            <w:vAlign w:val="center"/>
          </w:tcPr>
          <w:p w14:paraId="0601E38E">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020</w:t>
            </w:r>
          </w:p>
        </w:tc>
        <w:tc>
          <w:tcPr>
            <w:tcW w:w="1172" w:type="pct"/>
            <w:vAlign w:val="center"/>
          </w:tcPr>
          <w:p w14:paraId="11837596">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A334托幼用地</w:t>
            </w:r>
          </w:p>
        </w:tc>
        <w:tc>
          <w:tcPr>
            <w:tcW w:w="860" w:type="pct"/>
            <w:vAlign w:val="center"/>
          </w:tcPr>
          <w:p w14:paraId="7B42BB67">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4199.98</w:t>
            </w:r>
          </w:p>
        </w:tc>
        <w:tc>
          <w:tcPr>
            <w:tcW w:w="624" w:type="pct"/>
            <w:vAlign w:val="center"/>
          </w:tcPr>
          <w:p w14:paraId="4A1C5C4C">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0.8</w:t>
            </w:r>
          </w:p>
        </w:tc>
        <w:tc>
          <w:tcPr>
            <w:tcW w:w="938" w:type="pct"/>
            <w:vAlign w:val="center"/>
          </w:tcPr>
          <w:p w14:paraId="3D0DAF71">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3359.98</w:t>
            </w:r>
          </w:p>
        </w:tc>
        <w:tc>
          <w:tcPr>
            <w:tcW w:w="546" w:type="pct"/>
            <w:vAlign w:val="center"/>
          </w:tcPr>
          <w:p w14:paraId="5110681A">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不出让</w:t>
            </w:r>
          </w:p>
        </w:tc>
      </w:tr>
      <w:tr w14:paraId="4D9E2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49757311">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小计</w:t>
            </w:r>
          </w:p>
        </w:tc>
        <w:tc>
          <w:tcPr>
            <w:tcW w:w="860" w:type="pct"/>
            <w:vAlign w:val="center"/>
          </w:tcPr>
          <w:p w14:paraId="39CC381B">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4199.98</w:t>
            </w:r>
          </w:p>
        </w:tc>
        <w:tc>
          <w:tcPr>
            <w:tcW w:w="624" w:type="pct"/>
            <w:vAlign w:val="center"/>
          </w:tcPr>
          <w:p w14:paraId="6A9130FC">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0.8</w:t>
            </w:r>
          </w:p>
        </w:tc>
        <w:tc>
          <w:tcPr>
            <w:tcW w:w="938" w:type="pct"/>
            <w:vAlign w:val="center"/>
          </w:tcPr>
          <w:p w14:paraId="5F1110D5">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3359.98</w:t>
            </w:r>
          </w:p>
        </w:tc>
        <w:tc>
          <w:tcPr>
            <w:tcW w:w="546" w:type="pct"/>
            <w:vAlign w:val="center"/>
          </w:tcPr>
          <w:p w14:paraId="2CBF9AB0">
            <w:pPr>
              <w:snapToGrid w:val="0"/>
              <w:spacing w:line="240" w:lineRule="exact"/>
              <w:jc w:val="center"/>
              <w:rPr>
                <w:rFonts w:ascii="Arial" w:hAnsi="Arial" w:eastAsia="仿宋" w:cs="Arial"/>
                <w:sz w:val="18"/>
                <w:szCs w:val="18"/>
                <w:highlight w:val="none"/>
              </w:rPr>
            </w:pPr>
          </w:p>
        </w:tc>
      </w:tr>
      <w:tr w14:paraId="202C0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2032" w:type="pct"/>
            <w:gridSpan w:val="2"/>
            <w:vAlign w:val="center"/>
          </w:tcPr>
          <w:p w14:paraId="48473FDC">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合计</w:t>
            </w:r>
          </w:p>
        </w:tc>
        <w:tc>
          <w:tcPr>
            <w:tcW w:w="860" w:type="pct"/>
            <w:vAlign w:val="center"/>
          </w:tcPr>
          <w:p w14:paraId="7069C47E">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60990.43</w:t>
            </w:r>
          </w:p>
        </w:tc>
        <w:tc>
          <w:tcPr>
            <w:tcW w:w="624" w:type="pct"/>
            <w:vAlign w:val="center"/>
          </w:tcPr>
          <w:p w14:paraId="24A4135B">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c>
          <w:tcPr>
            <w:tcW w:w="938" w:type="pct"/>
            <w:vAlign w:val="center"/>
          </w:tcPr>
          <w:p w14:paraId="45874E05">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71508.52</w:t>
            </w:r>
          </w:p>
        </w:tc>
        <w:tc>
          <w:tcPr>
            <w:tcW w:w="546" w:type="pct"/>
            <w:vAlign w:val="center"/>
          </w:tcPr>
          <w:p w14:paraId="72C8E5FD">
            <w:pPr>
              <w:snapToGrid w:val="0"/>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bl>
    <w:p w14:paraId="536463F5">
      <w:pPr>
        <w:tabs>
          <w:tab w:val="left" w:pos="1418"/>
        </w:tabs>
        <w:adjustRightInd/>
        <w:spacing w:line="240" w:lineRule="exact"/>
        <w:ind w:firstLine="578"/>
        <w:jc w:val="both"/>
        <w:rPr>
          <w:rFonts w:ascii="Arial" w:hAnsi="Arial" w:eastAsia="仿宋_GB2312" w:cs="Arial"/>
          <w:sz w:val="28"/>
          <w:highlight w:val="none"/>
        </w:rPr>
      </w:pPr>
    </w:p>
    <w:p w14:paraId="4D5B9F98">
      <w:pPr>
        <w:tabs>
          <w:tab w:val="left" w:pos="1418"/>
        </w:tabs>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估价对象规划用途为R2二类居住用地及A334托幼用地</w:t>
      </w:r>
      <w:r>
        <w:rPr>
          <w:rFonts w:ascii="Arial" w:hAnsi="Arial" w:eastAsia="仿宋" w:cs="Arial"/>
          <w:sz w:val="28"/>
          <w:szCs w:val="28"/>
          <w:highlight w:val="none"/>
        </w:rPr>
        <w:t>，</w:t>
      </w:r>
      <w:r>
        <w:rPr>
          <w:rFonts w:ascii="Arial" w:hAnsi="Arial" w:eastAsia="仿宋" w:cs="Arial"/>
          <w:sz w:val="28"/>
          <w:highlight w:val="none"/>
        </w:rPr>
        <w:t>根据《北京市人民政府关于更新出让国有建设用地使用权基准地价的通知》（京政发（2022）12号），评估设定用途为</w:t>
      </w:r>
      <w:r>
        <w:rPr>
          <w:rFonts w:hint="eastAsia" w:ascii="Arial" w:hAnsi="Arial" w:eastAsia="仿宋" w:cs="Arial"/>
          <w:sz w:val="28"/>
          <w:highlight w:val="none"/>
          <w:lang w:eastAsia="zh-CN"/>
        </w:rPr>
        <w:t>城镇住宅用地、其他商业服务业用地及公共管理与公共服务用地</w:t>
      </w:r>
      <w:r>
        <w:rPr>
          <w:rFonts w:ascii="Arial" w:hAnsi="Arial" w:eastAsia="仿宋" w:cs="Arial"/>
          <w:sz w:val="28"/>
          <w:highlight w:val="none"/>
        </w:rPr>
        <w:t>，</w:t>
      </w:r>
      <w:r>
        <w:rPr>
          <w:rFonts w:ascii="Arial" w:hAnsi="Arial" w:eastAsia="仿宋" w:cs="Arial"/>
          <w:sz w:val="28"/>
          <w:szCs w:val="28"/>
          <w:highlight w:val="none"/>
        </w:rPr>
        <w:t>本次评估设定土地使用年限为法定最高使用年限</w:t>
      </w:r>
      <w:r>
        <w:rPr>
          <w:rFonts w:hint="eastAsia" w:ascii="Arial" w:hAnsi="Arial" w:eastAsia="仿宋" w:cs="Arial"/>
          <w:sz w:val="28"/>
          <w:szCs w:val="28"/>
          <w:highlight w:val="none"/>
          <w:lang w:eastAsia="zh-CN"/>
        </w:rPr>
        <w:t>，即城镇住宅用地70年、其他商业服务业用地40年、</w:t>
      </w:r>
      <w:r>
        <w:rPr>
          <w:rFonts w:ascii="Arial" w:hAnsi="Arial" w:eastAsia="仿宋" w:cs="Arial"/>
          <w:sz w:val="28"/>
          <w:highlight w:val="none"/>
        </w:rPr>
        <w:t>公共</w:t>
      </w:r>
      <w:r>
        <w:rPr>
          <w:rFonts w:hint="eastAsia" w:ascii="Arial" w:hAnsi="Arial" w:eastAsia="仿宋" w:cs="Arial"/>
          <w:sz w:val="28"/>
          <w:highlight w:val="none"/>
          <w:lang w:val="en-US" w:eastAsia="zh-CN"/>
        </w:rPr>
        <w:t>管理与公共</w:t>
      </w:r>
      <w:r>
        <w:rPr>
          <w:rFonts w:ascii="Arial" w:hAnsi="Arial" w:eastAsia="仿宋" w:cs="Arial"/>
          <w:sz w:val="28"/>
          <w:highlight w:val="none"/>
        </w:rPr>
        <w:t>服务</w:t>
      </w:r>
      <w:r>
        <w:rPr>
          <w:rFonts w:hint="eastAsia" w:ascii="Arial" w:hAnsi="Arial" w:eastAsia="仿宋" w:cs="Arial"/>
          <w:sz w:val="28"/>
          <w:highlight w:val="none"/>
          <w:lang w:val="en-US" w:eastAsia="zh-CN"/>
        </w:rPr>
        <w:t>用地</w:t>
      </w:r>
      <w:r>
        <w:rPr>
          <w:rFonts w:ascii="Arial" w:hAnsi="Arial" w:eastAsia="仿宋" w:cs="Arial"/>
          <w:sz w:val="28"/>
          <w:szCs w:val="28"/>
          <w:highlight w:val="none"/>
        </w:rPr>
        <w:t>50年。</w:t>
      </w:r>
    </w:p>
    <w:p w14:paraId="4F067225">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highlight w:val="none"/>
        </w:rPr>
        <w:t>根据《北京市人民政府关于更新出让国有建设用地使用权基准地价的通知》（京政发（2022）12号），估价对象属北京市基准地价住宅类九级IX</w:t>
      </w:r>
      <w:r>
        <w:rPr>
          <w:rFonts w:hint="eastAsia" w:ascii="Arial" w:hAnsi="Arial" w:eastAsia="仿宋" w:cs="Arial"/>
          <w:sz w:val="28"/>
          <w:highlight w:val="none"/>
          <w:lang w:eastAsia="zh-CN"/>
        </w:rPr>
        <w:t>－</w:t>
      </w:r>
      <w:r>
        <w:rPr>
          <w:rFonts w:ascii="Arial" w:hAnsi="Arial" w:eastAsia="仿宋" w:cs="Arial"/>
          <w:sz w:val="28"/>
          <w:highlight w:val="none"/>
        </w:rPr>
        <w:t>顺5区片、商服类九级IX</w:t>
      </w:r>
      <w:r>
        <w:rPr>
          <w:rFonts w:hint="eastAsia" w:ascii="Arial" w:hAnsi="Arial" w:eastAsia="仿宋" w:cs="Arial"/>
          <w:sz w:val="28"/>
          <w:highlight w:val="none"/>
          <w:lang w:eastAsia="zh-CN"/>
        </w:rPr>
        <w:t>－</w:t>
      </w:r>
      <w:r>
        <w:rPr>
          <w:rFonts w:ascii="Arial" w:hAnsi="Arial" w:eastAsia="仿宋" w:cs="Arial"/>
          <w:sz w:val="28"/>
          <w:highlight w:val="none"/>
        </w:rPr>
        <w:t>顺5区片、公共服务类九级IX</w:t>
      </w:r>
      <w:r>
        <w:rPr>
          <w:rFonts w:hint="eastAsia" w:ascii="Arial" w:hAnsi="Arial" w:eastAsia="仿宋" w:cs="Arial"/>
          <w:sz w:val="28"/>
          <w:highlight w:val="none"/>
          <w:lang w:eastAsia="zh-CN"/>
        </w:rPr>
        <w:t>－</w:t>
      </w:r>
      <w:r>
        <w:rPr>
          <w:rFonts w:ascii="Arial" w:hAnsi="Arial" w:eastAsia="仿宋" w:cs="Arial"/>
          <w:sz w:val="28"/>
          <w:highlight w:val="none"/>
        </w:rPr>
        <w:t>顺5区片。于估价期日，估价对象所在宗地实际开发程度为</w:t>
      </w:r>
      <w:r>
        <w:rPr>
          <w:rFonts w:hint="eastAsia" w:ascii="Arial" w:hAnsi="Arial" w:eastAsia="仿宋" w:cs="Arial"/>
          <w:sz w:val="28"/>
          <w:highlight w:val="none"/>
          <w:lang w:eastAsia="zh-CN"/>
        </w:rPr>
        <w:t>“七通”（通路、通上水（自来水、中水）、通下水（雨水、污水）、通电（管沟、电缆）、通讯、通燃气、通热力）</w:t>
      </w:r>
      <w:r>
        <w:rPr>
          <w:rFonts w:ascii="Arial" w:hAnsi="Arial" w:eastAsia="仿宋" w:cs="Arial"/>
          <w:sz w:val="28"/>
          <w:highlight w:val="none"/>
        </w:rPr>
        <w:t>；评估设定土地开发程度为</w:t>
      </w:r>
      <w:r>
        <w:rPr>
          <w:rFonts w:hint="eastAsia" w:ascii="Arial" w:hAnsi="Arial" w:eastAsia="仿宋" w:cs="Arial"/>
          <w:sz w:val="28"/>
          <w:highlight w:val="none"/>
          <w:lang w:eastAsia="zh-CN"/>
        </w:rPr>
        <w:t>“七通”（通路、通上水（自来水、中水）、通下水（雨水、污水）、通电、通讯、通燃气、通热力）</w:t>
      </w:r>
      <w:r>
        <w:rPr>
          <w:rFonts w:ascii="Arial" w:hAnsi="Arial" w:eastAsia="仿宋" w:cs="Arial"/>
          <w:sz w:val="28"/>
          <w:szCs w:val="28"/>
          <w:highlight w:val="none"/>
        </w:rPr>
        <w:t>。</w:t>
      </w:r>
    </w:p>
    <w:p w14:paraId="4555CCCF">
      <w:pPr>
        <w:spacing w:line="300" w:lineRule="auto"/>
        <w:ind w:firstLine="562" w:firstLineChars="200"/>
        <w:jc w:val="both"/>
        <w:rPr>
          <w:rFonts w:ascii="Arial" w:hAnsi="Arial" w:eastAsia="仿宋_GB2312" w:cs="Arial"/>
          <w:b/>
          <w:bCs/>
          <w:sz w:val="28"/>
          <w:szCs w:val="28"/>
          <w:highlight w:val="none"/>
        </w:rPr>
      </w:pPr>
    </w:p>
    <w:bookmarkEnd w:id="103"/>
    <w:bookmarkEnd w:id="104"/>
    <w:bookmarkEnd w:id="105"/>
    <w:bookmarkEnd w:id="106"/>
    <w:p w14:paraId="7898053E">
      <w:pPr>
        <w:rPr>
          <w:rFonts w:ascii="Arial" w:hAnsi="Arial" w:eastAsia="仿宋_GB2312" w:cs="Arial"/>
          <w:b/>
          <w:bCs/>
          <w:sz w:val="28"/>
          <w:highlight w:val="none"/>
        </w:rPr>
      </w:pPr>
      <w:bookmarkStart w:id="117" w:name="_Toc418750894"/>
      <w:bookmarkStart w:id="118" w:name="_Toc416783531"/>
      <w:bookmarkStart w:id="119" w:name="_Toc531701563"/>
      <w:bookmarkStart w:id="120" w:name="_Toc520261137"/>
      <w:bookmarkStart w:id="121" w:name="_Toc132016733"/>
      <w:bookmarkStart w:id="122" w:name="_Toc138063003"/>
      <w:bookmarkStart w:id="123" w:name="_Toc515261596"/>
      <w:bookmarkStart w:id="124" w:name="_Toc515458369"/>
      <w:bookmarkStart w:id="125" w:name="_Toc469066314"/>
      <w:bookmarkStart w:id="126" w:name="_Toc425250316"/>
      <w:bookmarkStart w:id="127" w:name="_Toc520261138"/>
      <w:bookmarkStart w:id="128" w:name="_Toc515261597"/>
      <w:bookmarkStart w:id="129" w:name="_Toc515458370"/>
      <w:r>
        <w:rPr>
          <w:rFonts w:ascii="Arial" w:hAnsi="Arial" w:eastAsia="仿宋_GB2312" w:cs="Arial"/>
          <w:b/>
          <w:bCs/>
          <w:sz w:val="28"/>
          <w:highlight w:val="none"/>
        </w:rPr>
        <w:br w:type="page"/>
      </w:r>
    </w:p>
    <w:p w14:paraId="079EF31A">
      <w:pPr>
        <w:adjustRightInd/>
        <w:spacing w:line="300" w:lineRule="auto"/>
        <w:outlineLvl w:val="1"/>
        <w:rPr>
          <w:rFonts w:ascii="Arial" w:hAnsi="Arial" w:eastAsia="仿宋_GB2312" w:cs="Arial"/>
          <w:b/>
          <w:sz w:val="28"/>
          <w:highlight w:val="none"/>
        </w:rPr>
      </w:pPr>
      <w:r>
        <w:rPr>
          <w:rFonts w:ascii="Arial" w:hAnsi="Arial" w:eastAsia="仿宋_GB2312" w:cs="Arial"/>
          <w:b/>
          <w:bCs/>
          <w:sz w:val="28"/>
          <w:highlight w:val="none"/>
        </w:rPr>
        <w:t>三</w:t>
      </w:r>
      <w:r>
        <w:rPr>
          <w:rFonts w:ascii="Arial" w:hAnsi="Arial" w:eastAsia="仿宋_GB2312" w:cs="Arial"/>
          <w:b/>
          <w:sz w:val="28"/>
          <w:highlight w:val="none"/>
        </w:rPr>
        <w:t>、估价对象概况</w:t>
      </w:r>
      <w:bookmarkEnd w:id="117"/>
      <w:bookmarkEnd w:id="118"/>
      <w:bookmarkEnd w:id="119"/>
      <w:bookmarkEnd w:id="120"/>
      <w:bookmarkEnd w:id="121"/>
      <w:bookmarkEnd w:id="122"/>
      <w:bookmarkEnd w:id="123"/>
      <w:bookmarkEnd w:id="124"/>
      <w:bookmarkEnd w:id="125"/>
      <w:bookmarkEnd w:id="126"/>
    </w:p>
    <w:p w14:paraId="77E0CE03">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（一）土地登记状况</w:t>
      </w:r>
    </w:p>
    <w:p w14:paraId="064C3152">
      <w:pPr>
        <w:adjustRightInd/>
        <w:spacing w:line="300" w:lineRule="auto"/>
        <w:ind w:firstLine="560" w:firstLineChars="200"/>
        <w:jc w:val="both"/>
        <w:rPr>
          <w:rFonts w:ascii="Arial" w:hAnsi="Arial" w:eastAsia="仿宋" w:cs="Arial"/>
          <w:sz w:val="28"/>
          <w:highlight w:val="none"/>
        </w:rPr>
      </w:pPr>
      <w:r>
        <w:rPr>
          <w:rFonts w:ascii="Arial" w:hAnsi="Arial" w:eastAsia="仿宋" w:cs="Arial"/>
          <w:bCs/>
          <w:sz w:val="28"/>
          <w:highlight w:val="none"/>
        </w:rPr>
        <w:t>土地来源：</w:t>
      </w:r>
      <w:r>
        <w:rPr>
          <w:rFonts w:ascii="Arial" w:hAnsi="Arial" w:eastAsia="仿宋" w:cs="Arial"/>
          <w:sz w:val="28"/>
          <w:highlight w:val="none"/>
        </w:rPr>
        <w:t>估价对象为北京市顺义区高丽营镇夏县营村01</w:t>
      </w:r>
      <w:r>
        <w:rPr>
          <w:rFonts w:hint="eastAsia" w:ascii="Arial" w:hAnsi="Arial" w:eastAsia="仿宋" w:cs="Arial"/>
          <w:sz w:val="28"/>
          <w:highlight w:val="none"/>
          <w:lang w:eastAsia="zh-CN"/>
        </w:rPr>
        <w:t>－</w:t>
      </w:r>
      <w:r>
        <w:rPr>
          <w:rFonts w:ascii="Arial" w:hAnsi="Arial" w:eastAsia="仿宋" w:cs="Arial"/>
          <w:sz w:val="28"/>
          <w:highlight w:val="none"/>
        </w:rPr>
        <w:t>008等</w:t>
      </w:r>
      <w:r>
        <w:rPr>
          <w:rFonts w:ascii="Arial" w:hAnsi="Arial" w:eastAsia="仿宋" w:cs="Arial"/>
          <w:sz w:val="28"/>
          <w:szCs w:val="28"/>
          <w:highlight w:val="none"/>
        </w:rPr>
        <w:t>地块</w:t>
      </w:r>
      <w:r>
        <w:rPr>
          <w:rFonts w:ascii="Arial" w:hAnsi="Arial" w:eastAsia="仿宋" w:cs="Arial"/>
          <w:bCs/>
          <w:sz w:val="28"/>
          <w:highlight w:val="none"/>
        </w:rPr>
        <w:t>，估价对象于</w:t>
      </w:r>
      <w:r>
        <w:rPr>
          <w:rFonts w:ascii="Arial" w:hAnsi="Arial" w:eastAsia="仿宋" w:cs="Arial"/>
          <w:sz w:val="28"/>
          <w:szCs w:val="28"/>
          <w:highlight w:val="none"/>
        </w:rPr>
        <w:t>2020</w:t>
      </w:r>
      <w:r>
        <w:rPr>
          <w:rFonts w:ascii="Arial" w:hAnsi="Arial" w:eastAsia="仿宋" w:cs="Arial"/>
          <w:spacing w:val="-6"/>
          <w:sz w:val="28"/>
          <w:highlight w:val="none"/>
        </w:rPr>
        <w:t>年</w:t>
      </w:r>
      <w:r>
        <w:rPr>
          <w:rFonts w:ascii="Arial" w:hAnsi="Arial" w:eastAsia="仿宋" w:cs="Arial"/>
          <w:sz w:val="28"/>
          <w:szCs w:val="28"/>
          <w:highlight w:val="none"/>
        </w:rPr>
        <w:t>12</w:t>
      </w:r>
      <w:r>
        <w:rPr>
          <w:rFonts w:ascii="Arial" w:hAnsi="Arial" w:eastAsia="仿宋" w:cs="Arial"/>
          <w:spacing w:val="-6"/>
          <w:sz w:val="28"/>
          <w:highlight w:val="none"/>
        </w:rPr>
        <w:t>月</w:t>
      </w:r>
      <w:r>
        <w:rPr>
          <w:rFonts w:ascii="Arial" w:hAnsi="Arial" w:eastAsia="仿宋" w:cs="Arial"/>
          <w:sz w:val="28"/>
          <w:szCs w:val="28"/>
          <w:highlight w:val="none"/>
        </w:rPr>
        <w:t>29</w:t>
      </w:r>
      <w:r>
        <w:rPr>
          <w:rFonts w:ascii="Arial" w:hAnsi="Arial" w:eastAsia="仿宋" w:cs="Arial"/>
          <w:spacing w:val="-6"/>
          <w:sz w:val="28"/>
          <w:highlight w:val="none"/>
        </w:rPr>
        <w:t>日取得《北京市人民政府关于顺义区二〇二〇年度批次建设用地的批复》（京政地字【2020】121号），由农用地转为建设用地；</w:t>
      </w:r>
      <w:r>
        <w:rPr>
          <w:rFonts w:hint="eastAsia" w:ascii="Arial" w:hAnsi="Arial" w:eastAsia="仿宋" w:cs="Arial"/>
          <w:sz w:val="28"/>
          <w:highlight w:val="none"/>
          <w:lang w:eastAsia="zh-CN"/>
        </w:rPr>
        <w:t>于2023年5月26日取得《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，明确了用地性质、建设用地规模及相关建筑技术指标。</w:t>
      </w:r>
      <w:r>
        <w:rPr>
          <w:rFonts w:hint="eastAsia" w:ascii="Arial" w:hAnsi="Arial" w:eastAsia="仿宋" w:cs="Arial"/>
          <w:sz w:val="28"/>
          <w:highlight w:val="none"/>
        </w:rPr>
        <w:t>于2</w:t>
      </w:r>
      <w:r>
        <w:rPr>
          <w:rFonts w:ascii="Arial" w:hAnsi="Arial" w:eastAsia="仿宋" w:cs="Arial"/>
          <w:sz w:val="28"/>
          <w:highlight w:val="none"/>
        </w:rPr>
        <w:t>023</w:t>
      </w:r>
      <w:r>
        <w:rPr>
          <w:rFonts w:hint="eastAsia" w:ascii="Arial" w:hAnsi="Arial" w:eastAsia="仿宋" w:cs="Arial"/>
          <w:sz w:val="28"/>
          <w:highlight w:val="none"/>
        </w:rPr>
        <w:t>年6月2</w:t>
      </w:r>
      <w:r>
        <w:rPr>
          <w:rFonts w:ascii="Arial" w:hAnsi="Arial" w:eastAsia="仿宋" w:cs="Arial"/>
          <w:sz w:val="28"/>
          <w:highlight w:val="none"/>
        </w:rPr>
        <w:t>5</w:t>
      </w:r>
      <w:r>
        <w:rPr>
          <w:rFonts w:hint="eastAsia" w:ascii="Arial" w:hAnsi="Arial" w:eastAsia="仿宋" w:cs="Arial"/>
          <w:sz w:val="28"/>
          <w:highlight w:val="none"/>
        </w:rPr>
        <w:t>日取得</w:t>
      </w:r>
      <w:r>
        <w:rPr>
          <w:rFonts w:ascii="Arial" w:hAnsi="Arial" w:eastAsia="仿宋" w:cs="Arial"/>
          <w:sz w:val="28"/>
          <w:szCs w:val="28"/>
          <w:highlight w:val="none"/>
        </w:rPr>
        <w:t>《北京市顺义区人民政府关于顺义区高丽营镇夏县营村棚户区改造土地开发项目01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020地块提请地价审核有关事宜的函》（顺政函【2023】151号）</w:t>
      </w:r>
      <w:r>
        <w:rPr>
          <w:rFonts w:hint="eastAsia" w:ascii="Arial" w:hAnsi="Arial" w:eastAsia="仿宋" w:cs="Arial"/>
          <w:sz w:val="28"/>
          <w:szCs w:val="28"/>
          <w:highlight w:val="none"/>
        </w:rPr>
        <w:t>，该项目开发主体为北京中交城市开发有限公司，实施主体为北京中交城市开发有限公司。</w:t>
      </w:r>
      <w:r>
        <w:rPr>
          <w:rFonts w:ascii="Arial" w:hAnsi="Arial" w:eastAsia="仿宋" w:cs="Arial"/>
          <w:sz w:val="28"/>
          <w:highlight w:val="none"/>
        </w:rPr>
        <w:t>估价对象为拟出让用地，截至估价期日，估价对象尚未办理登记手续。</w:t>
      </w:r>
    </w:p>
    <w:p w14:paraId="340CBD61">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坐落：北京市顺义区高丽营镇夏县营村</w:t>
      </w:r>
    </w:p>
    <w:p w14:paraId="67C9FA9E">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土地面积：</w:t>
      </w:r>
      <w:r>
        <w:rPr>
          <w:rFonts w:ascii="Arial" w:hAnsi="Arial" w:eastAsia="仿宋" w:cs="Arial"/>
          <w:spacing w:val="-6"/>
          <w:sz w:val="28"/>
          <w:highlight w:val="none"/>
        </w:rPr>
        <w:t>60990.43</w:t>
      </w:r>
      <w:r>
        <w:rPr>
          <w:rFonts w:ascii="Arial" w:hAnsi="Arial" w:eastAsia="仿宋" w:cs="Arial"/>
          <w:sz w:val="28"/>
          <w:highlight w:val="none"/>
        </w:rPr>
        <w:t>平方米</w:t>
      </w:r>
    </w:p>
    <w:p w14:paraId="4AA06B12">
      <w:pPr>
        <w:adjustRightInd/>
        <w:spacing w:line="300" w:lineRule="auto"/>
        <w:ind w:firstLine="560" w:firstLineChars="200"/>
        <w:jc w:val="both"/>
        <w:rPr>
          <w:rFonts w:hint="eastAsia" w:ascii="Arial" w:hAnsi="Arial" w:eastAsia="仿宋" w:cs="Arial"/>
          <w:sz w:val="28"/>
          <w:highlight w:val="none"/>
          <w:lang w:eastAsia="zh-CN"/>
        </w:rPr>
      </w:pPr>
      <w:r>
        <w:rPr>
          <w:rFonts w:ascii="Arial" w:hAnsi="Arial" w:eastAsia="仿宋" w:cs="Arial"/>
          <w:sz w:val="28"/>
          <w:highlight w:val="none"/>
        </w:rPr>
        <w:t>估价对象现状四至：</w:t>
      </w:r>
      <w:r>
        <w:rPr>
          <w:rFonts w:hint="eastAsia" w:ascii="Arial" w:hAnsi="Arial" w:eastAsia="仿宋" w:cs="Arial"/>
          <w:sz w:val="28"/>
          <w:highlight w:val="none"/>
          <w:lang w:eastAsia="zh-CN"/>
        </w:rPr>
        <w:t>东至火寺路，西至喜行路，南至丽喜花园，北至鑫鼎街</w:t>
      </w:r>
    </w:p>
    <w:p w14:paraId="07386C0E">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土地级别：根据《北京市人民政府关于更新出让国有建设用地使用权基准地价的通知》（京政发（2022）12号）的规定，估价对象属北京市基准地价住宅类九级IX</w:t>
      </w:r>
      <w:r>
        <w:rPr>
          <w:rFonts w:hint="eastAsia" w:ascii="Arial" w:hAnsi="Arial" w:eastAsia="仿宋" w:cs="Arial"/>
          <w:sz w:val="28"/>
          <w:highlight w:val="none"/>
          <w:lang w:eastAsia="zh-CN"/>
        </w:rPr>
        <w:t>－</w:t>
      </w:r>
      <w:r>
        <w:rPr>
          <w:rFonts w:ascii="Arial" w:hAnsi="Arial" w:eastAsia="仿宋" w:cs="Arial"/>
          <w:sz w:val="28"/>
          <w:highlight w:val="none"/>
        </w:rPr>
        <w:t>顺5区片、商服类九级IX</w:t>
      </w:r>
      <w:r>
        <w:rPr>
          <w:rFonts w:hint="eastAsia" w:ascii="Arial" w:hAnsi="Arial" w:eastAsia="仿宋" w:cs="Arial"/>
          <w:sz w:val="28"/>
          <w:highlight w:val="none"/>
          <w:lang w:eastAsia="zh-CN"/>
        </w:rPr>
        <w:t>－</w:t>
      </w:r>
      <w:r>
        <w:rPr>
          <w:rFonts w:ascii="Arial" w:hAnsi="Arial" w:eastAsia="仿宋" w:cs="Arial"/>
          <w:sz w:val="28"/>
          <w:highlight w:val="none"/>
        </w:rPr>
        <w:t>顺5区片、公共服务类九级IX</w:t>
      </w:r>
      <w:r>
        <w:rPr>
          <w:rFonts w:hint="eastAsia" w:ascii="Arial" w:hAnsi="Arial" w:eastAsia="仿宋" w:cs="Arial"/>
          <w:sz w:val="28"/>
          <w:highlight w:val="none"/>
          <w:lang w:eastAsia="zh-CN"/>
        </w:rPr>
        <w:t>－</w:t>
      </w:r>
      <w:r>
        <w:rPr>
          <w:rFonts w:ascii="Arial" w:hAnsi="Arial" w:eastAsia="仿宋" w:cs="Arial"/>
          <w:sz w:val="28"/>
          <w:highlight w:val="none"/>
        </w:rPr>
        <w:t>顺5区片。</w:t>
      </w:r>
    </w:p>
    <w:p w14:paraId="1A9618C0">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（二）土地权利状况</w:t>
      </w:r>
    </w:p>
    <w:p w14:paraId="0B40320E">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估价对象为国有土地，土地所有权为国家所有，根据《北京市人民政府关于顺义区二〇二〇年度批次建设用地的批复》（京政地字【2020】121号），</w:t>
      </w:r>
      <w:r>
        <w:rPr>
          <w:rFonts w:ascii="Arial" w:hAnsi="Arial" w:eastAsia="仿宋" w:cs="Arial"/>
          <w:sz w:val="28"/>
          <w:szCs w:val="28"/>
          <w:highlight w:val="none"/>
        </w:rPr>
        <w:t>同意</w:t>
      </w:r>
      <w:r>
        <w:rPr>
          <w:rFonts w:ascii="Arial" w:hAnsi="Arial" w:eastAsia="仿宋" w:cs="Arial"/>
          <w:sz w:val="28"/>
          <w:highlight w:val="none"/>
        </w:rPr>
        <w:t>北京中交城市开发有限公司</w:t>
      </w:r>
      <w:r>
        <w:rPr>
          <w:rFonts w:ascii="Arial" w:hAnsi="Arial" w:eastAsia="仿宋" w:cs="Arial"/>
          <w:sz w:val="28"/>
          <w:szCs w:val="28"/>
          <w:highlight w:val="none"/>
        </w:rPr>
        <w:t>实施</w:t>
      </w:r>
      <w:r>
        <w:rPr>
          <w:rFonts w:ascii="Arial" w:hAnsi="Arial" w:eastAsia="仿宋" w:cs="Arial"/>
          <w:sz w:val="28"/>
          <w:highlight w:val="none"/>
        </w:rPr>
        <w:t>顺义</w:t>
      </w:r>
      <w:r>
        <w:rPr>
          <w:rFonts w:ascii="Arial" w:hAnsi="Arial" w:eastAsia="仿宋" w:cs="Arial"/>
          <w:sz w:val="28"/>
          <w:szCs w:val="28"/>
          <w:highlight w:val="none"/>
        </w:rPr>
        <w:t>区高丽营镇夏县营村棚户区</w:t>
      </w:r>
      <w:r>
        <w:rPr>
          <w:rFonts w:ascii="Arial" w:hAnsi="Arial" w:eastAsia="仿宋" w:cs="Arial"/>
          <w:sz w:val="28"/>
          <w:highlight w:val="none"/>
        </w:rPr>
        <w:t>改造土地开发项目。</w:t>
      </w:r>
    </w:p>
    <w:p w14:paraId="38CCEE52">
      <w:pPr>
        <w:adjustRightInd/>
        <w:spacing w:line="300" w:lineRule="auto"/>
        <w:ind w:firstLine="560" w:firstLineChars="200"/>
        <w:jc w:val="both"/>
        <w:rPr>
          <w:rFonts w:hint="eastAsia" w:ascii="Arial" w:hAnsi="Arial" w:eastAsia="仿宋" w:cs="Arial"/>
          <w:sz w:val="28"/>
          <w:szCs w:val="28"/>
          <w:highlight w:val="none"/>
          <w:lang w:eastAsia="zh-CN"/>
        </w:rPr>
      </w:pPr>
      <w:r>
        <w:rPr>
          <w:rFonts w:hint="eastAsia" w:ascii="Arial" w:hAnsi="Arial" w:eastAsia="仿宋" w:cs="Arial"/>
          <w:sz w:val="28"/>
          <w:szCs w:val="28"/>
          <w:highlight w:val="none"/>
          <w:lang w:eastAsia="zh-CN"/>
        </w:rPr>
        <w:t>估价对象为拟入市公开交易地块，尚未办理不动产登记手续，故本次估价以估价对象不存在抵押、担保、典当、租赁等他项权利为假设前提，并假定估价对象没有影响估价对象价值的其他他项权利存在。如上述情况发生变化，估价结果应进行相应调整。</w:t>
      </w:r>
    </w:p>
    <w:p w14:paraId="546F5327">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（三）土地利用状况</w:t>
      </w:r>
    </w:p>
    <w:p w14:paraId="23F8F3F7">
      <w:pPr>
        <w:spacing w:line="300" w:lineRule="auto"/>
        <w:jc w:val="both"/>
        <w:rPr>
          <w:rFonts w:ascii="Arial" w:hAnsi="Arial" w:eastAsia="仿宋_GB2312" w:cs="Arial"/>
          <w:sz w:val="28"/>
          <w:highlight w:val="none"/>
        </w:rPr>
      </w:pPr>
      <w:r>
        <w:rPr>
          <w:highlight w:val="none"/>
        </w:rPr>
        <mc:AlternateContent>
          <mc:Choice Requires="wps">
            <w:drawing>
              <wp:anchor distT="0" distB="0" distL="114300" distR="114300" simplePos="0" relativeHeight="251666432" behindDoc="0" locked="0" layoutInCell="1" allowOverlap="1">
                <wp:simplePos x="0" y="0"/>
                <wp:positionH relativeFrom="column">
                  <wp:posOffset>2961640</wp:posOffset>
                </wp:positionH>
                <wp:positionV relativeFrom="paragraph">
                  <wp:posOffset>12700</wp:posOffset>
                </wp:positionV>
                <wp:extent cx="2436495" cy="1728470"/>
                <wp:effectExtent l="5080" t="4445" r="15875" b="19685"/>
                <wp:wrapNone/>
                <wp:docPr id="3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36495" cy="1728470"/>
                        </a:xfrm>
                        <a:prstGeom prst="rect">
                          <a:avLst/>
                        </a:prstGeom>
                        <a:solidFill>
                          <a:srgbClr val="FFFFFF"/>
                        </a:solidFill>
                        <a:ln w="9525">
                          <a:solidFill>
                            <a:srgbClr val="000000"/>
                          </a:solidFill>
                          <a:miter lim="800000"/>
                        </a:ln>
                      </wps:spPr>
                      <wps:txbx>
                        <w:txbxContent>
                          <w:p w14:paraId="468C299C">
                            <w:pPr>
                              <w:rPr>
                                <w:rFonts w:hint="eastAsia" w:eastAsia="宋体"/>
                                <w:lang w:eastAsia="zh-CN"/>
                              </w:rPr>
                            </w:pPr>
                            <w:r>
                              <w:rPr>
                                <w:rFonts w:hint="eastAsia" w:eastAsia="宋体"/>
                                <w:lang w:eastAsia="zh-CN"/>
                              </w:rPr>
                              <w:drawing>
                                <wp:inline distT="0" distB="0" distL="114300" distR="114300">
                                  <wp:extent cx="2132965" cy="1599565"/>
                                  <wp:effectExtent l="0" t="0" r="635" b="635"/>
                                  <wp:docPr id="35" name="图片 35"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文本框 2" o:spid="_x0000_s1026" o:spt="202" type="#_x0000_t202" style="position:absolute;left:0pt;margin-left:233.2pt;margin-top:1pt;height:136.1pt;width:191.85pt;mso-wrap-style:none;z-index:251666432;mso-width-relative:page;mso-height-relative:page;" fillcolor="#FFFFFF" filled="t" stroked="t" coordsize="21600,21600" o:gfxdata="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OqW622AAAAAkBAAAPAAAAAAAAAAEAIAAAACIA&#10;AABkcnMvZG93bnJldi54bWxQSwECFAAUAAAACACHTuJAc3aNVkICAACHBAAADgAAAAAAAAABACAA&#10;AAAnAQAAZHJzL2Uyb0RvYy54bWxQSwUGAAAAAAYABgBZAQAA2wUAAAAA&#10;">
                <v:fill on="t" focussize="0,0"/>
                <v:stroke color="#000000" miterlimit="8" joinstyle="miter"/>
                <v:imagedata o:title=""/>
                <o:lock v:ext="edit" aspectratio="f"/>
                <v:textbox>
                  <w:txbxContent>
                    <w:p w14:paraId="468C299C">
                      <w:pPr>
                        <w:rPr>
                          <w:rFonts w:hint="eastAsia" w:eastAsia="宋体"/>
                          <w:lang w:eastAsia="zh-CN"/>
                        </w:rPr>
                      </w:pPr>
                      <w:r>
                        <w:rPr>
                          <w:rFonts w:hint="eastAsia" w:eastAsia="宋体"/>
                          <w:lang w:eastAsia="zh-CN"/>
                        </w:rPr>
                        <w:drawing>
                          <wp:inline distT="0" distB="0" distL="114300" distR="114300">
                            <wp:extent cx="2132965" cy="1599565"/>
                            <wp:effectExtent l="0" t="0" r="635" b="635"/>
                            <wp:docPr id="35" name="图片 35"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v:textbox>
              </v:shape>
            </w:pict>
          </mc:Fallback>
        </mc:AlternateContent>
      </w:r>
      <w:r>
        <w:rPr>
          <w:highlight w:val="none"/>
        </w:rPr>
        <mc:AlternateContent>
          <mc:Choice Requires="wps">
            <w:drawing>
              <wp:anchor distT="0" distB="0" distL="114300" distR="114300" simplePos="0" relativeHeight="251664384" behindDoc="0" locked="0" layoutInCell="1" allowOverlap="1">
                <wp:simplePos x="0" y="0"/>
                <wp:positionH relativeFrom="column">
                  <wp:posOffset>299085</wp:posOffset>
                </wp:positionH>
                <wp:positionV relativeFrom="paragraph">
                  <wp:posOffset>11430</wp:posOffset>
                </wp:positionV>
                <wp:extent cx="2352040" cy="1727835"/>
                <wp:effectExtent l="0" t="0" r="8890" b="17145"/>
                <wp:wrapNone/>
                <wp:docPr id="3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52040" cy="1727835"/>
                        </a:xfrm>
                        <a:prstGeom prst="rect">
                          <a:avLst/>
                        </a:prstGeom>
                        <a:solidFill>
                          <a:srgbClr val="FFFFFF"/>
                        </a:solidFill>
                        <a:ln w="9525">
                          <a:solidFill>
                            <a:srgbClr val="000000"/>
                          </a:solidFill>
                          <a:miter lim="800000"/>
                        </a:ln>
                      </wps:spPr>
                      <wps:txbx>
                        <w:txbxContent>
                          <w:p w14:paraId="5002760F">
                            <w:pPr>
                              <w:rPr>
                                <w:rFonts w:hint="eastAsia" w:eastAsia="宋体"/>
                                <w:lang w:eastAsia="zh-CN"/>
                              </w:rPr>
                            </w:pPr>
                            <w:r>
                              <w:rPr>
                                <w:rFonts w:hint="eastAsia" w:eastAsia="宋体"/>
                                <w:lang w:eastAsia="zh-CN"/>
                              </w:rPr>
                              <w:drawing>
                                <wp:inline distT="0" distB="0" distL="114300" distR="114300">
                                  <wp:extent cx="2205990" cy="1609090"/>
                                  <wp:effectExtent l="0" t="0" r="3810" b="6350"/>
                                  <wp:docPr id="36" name="图片 36"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1-020、026 (7)"/>
                                          <pic:cNvPicPr>
                                            <a:picLocks noChangeAspect="1"/>
                                          </pic:cNvPicPr>
                                        </pic:nvPicPr>
                                        <pic:blipFill>
                                          <a:blip r:embed="rId38"/>
                                          <a:stretch>
                                            <a:fillRect/>
                                          </a:stretch>
                                        </pic:blipFill>
                                        <pic:spPr>
                                          <a:xfrm>
                                            <a:off x="0" y="0"/>
                                            <a:ext cx="2205990" cy="1609090"/>
                                          </a:xfrm>
                                          <a:prstGeom prst="rect">
                                            <a:avLst/>
                                          </a:prstGeom>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文本框 2" o:spid="_x0000_s1026" o:spt="202" type="#_x0000_t202" style="position:absolute;left:0pt;margin-left:23.55pt;margin-top:0.9pt;height:136.05pt;width:185.2pt;mso-wrap-style:none;z-index:251664384;mso-width-relative:page;mso-height-relative:page;" fillcolor="#FFFFFF" filled="t" stroked="t" coordsize="21600,21600" o:gfxdata="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fj9bNkAAAAIAQAADwAAAAAAAAABACAAAAAiAAAA&#10;ZHJzL2Rvd25yZXYueG1sUEsBAhQAFAAAAAgAh07iQABYbZ8/AgAAhwQAAA4AAAAAAAAAAQAgAAAA&#10;KAEAAGRycy9lMm9Eb2MueG1sUEsFBgAAAAAGAAYAWQEAANkFAAAAAA==&#10;">
                <v:fill on="t" focussize="0,0"/>
                <v:stroke color="#000000" miterlimit="8" joinstyle="miter"/>
                <v:imagedata o:title=""/>
                <o:lock v:ext="edit" aspectratio="f"/>
                <v:textbox style="mso-fit-shape-to-text:t;">
                  <w:txbxContent>
                    <w:p w14:paraId="5002760F">
                      <w:pPr>
                        <w:rPr>
                          <w:rFonts w:hint="eastAsia" w:eastAsia="宋体"/>
                          <w:lang w:eastAsia="zh-CN"/>
                        </w:rPr>
                      </w:pPr>
                      <w:r>
                        <w:rPr>
                          <w:rFonts w:hint="eastAsia" w:eastAsia="宋体"/>
                          <w:lang w:eastAsia="zh-CN"/>
                        </w:rPr>
                        <w:drawing>
                          <wp:inline distT="0" distB="0" distL="114300" distR="114300">
                            <wp:extent cx="2205990" cy="1609090"/>
                            <wp:effectExtent l="0" t="0" r="3810" b="6350"/>
                            <wp:docPr id="36" name="图片 36"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1-020、026 (7)"/>
                                    <pic:cNvPicPr>
                                      <a:picLocks noChangeAspect="1"/>
                                    </pic:cNvPicPr>
                                  </pic:nvPicPr>
                                  <pic:blipFill>
                                    <a:blip r:embed="rId38"/>
                                    <a:stretch>
                                      <a:fillRect/>
                                    </a:stretch>
                                  </pic:blipFill>
                                  <pic:spPr>
                                    <a:xfrm>
                                      <a:off x="0" y="0"/>
                                      <a:ext cx="2205990" cy="1609090"/>
                                    </a:xfrm>
                                    <a:prstGeom prst="rect">
                                      <a:avLst/>
                                    </a:prstGeom>
                                  </pic:spPr>
                                </pic:pic>
                              </a:graphicData>
                            </a:graphic>
                          </wp:inline>
                        </w:drawing>
                      </w:r>
                    </w:p>
                  </w:txbxContent>
                </v:textbox>
              </v:shape>
            </w:pict>
          </mc:Fallback>
        </mc:AlternateContent>
      </w:r>
      <w:r>
        <w:rPr>
          <w:rFonts w:hint="eastAsia" w:ascii="Arial" w:hAnsi="Arial" w:eastAsia="仿宋_GB2312" w:cs="Arial"/>
          <w:sz w:val="28"/>
          <w:highlight w:val="none"/>
        </w:rPr>
        <w:t xml:space="preserve">     </w:t>
      </w:r>
    </w:p>
    <w:p w14:paraId="20B4161C">
      <w:pPr>
        <w:rPr>
          <w:szCs w:val="21"/>
          <w:highlight w:val="none"/>
        </w:rPr>
      </w:pPr>
    </w:p>
    <w:p w14:paraId="37C0FFAC">
      <w:pPr>
        <w:spacing w:line="300" w:lineRule="auto"/>
        <w:jc w:val="both"/>
        <w:rPr>
          <w:rFonts w:ascii="Arial" w:hAnsi="Arial" w:eastAsia="仿宋_GB2312" w:cs="Arial"/>
          <w:sz w:val="28"/>
          <w:highlight w:val="none"/>
        </w:rPr>
      </w:pPr>
    </w:p>
    <w:p w14:paraId="021D389D">
      <w:pPr>
        <w:spacing w:line="300" w:lineRule="auto"/>
        <w:jc w:val="both"/>
        <w:rPr>
          <w:rFonts w:ascii="Arial" w:hAnsi="Arial" w:eastAsia="仿宋_GB2312" w:cs="Arial"/>
          <w:sz w:val="28"/>
          <w:highlight w:val="none"/>
        </w:rPr>
      </w:pPr>
    </w:p>
    <w:p w14:paraId="36118B52">
      <w:pPr>
        <w:spacing w:line="300" w:lineRule="auto"/>
        <w:jc w:val="both"/>
        <w:rPr>
          <w:rFonts w:ascii="Arial" w:hAnsi="Arial" w:eastAsia="仿宋_GB2312" w:cs="Arial"/>
          <w:sz w:val="28"/>
          <w:highlight w:val="none"/>
        </w:rPr>
      </w:pPr>
    </w:p>
    <w:p w14:paraId="5A1A89AE">
      <w:pPr>
        <w:spacing w:line="300" w:lineRule="auto"/>
        <w:jc w:val="both"/>
        <w:rPr>
          <w:rFonts w:ascii="Arial" w:hAnsi="Arial" w:eastAsia="仿宋_GB2312" w:cs="Arial"/>
          <w:sz w:val="28"/>
          <w:highlight w:val="none"/>
        </w:rPr>
      </w:pPr>
    </w:p>
    <w:p w14:paraId="4720AE3A">
      <w:pPr>
        <w:spacing w:line="300" w:lineRule="auto"/>
        <w:jc w:val="both"/>
        <w:rPr>
          <w:rFonts w:ascii="Arial" w:hAnsi="Arial" w:eastAsia="仿宋_GB2312" w:cs="Arial"/>
          <w:sz w:val="28"/>
          <w:highlight w:val="none"/>
        </w:rPr>
      </w:pPr>
    </w:p>
    <w:p w14:paraId="4BC8D4FD">
      <w:pPr>
        <w:keepNext w:val="0"/>
        <w:keepLines w:val="0"/>
        <w:pageBreakBefore w:val="0"/>
        <w:widowControl w:val="0"/>
        <w:kinsoku/>
        <w:wordWrap/>
        <w:overflowPunct/>
        <w:topLinePunct w:val="0"/>
        <w:autoSpaceDE/>
        <w:autoSpaceDN/>
        <w:bidi w:val="0"/>
        <w:adjustRightInd/>
        <w:snapToGrid/>
        <w:spacing w:before="327" w:beforeLines="100" w:line="300" w:lineRule="auto"/>
        <w:ind w:firstLine="556"/>
        <w:jc w:val="both"/>
        <w:textAlignment w:val="baseline"/>
        <w:rPr>
          <w:rFonts w:ascii="Arial" w:hAnsi="Arial" w:eastAsia="仿宋" w:cs="Arial"/>
          <w:sz w:val="28"/>
          <w:highlight w:val="none"/>
        </w:rPr>
      </w:pPr>
      <w:r>
        <w:rPr>
          <w:rFonts w:ascii="Arial" w:hAnsi="Arial" w:eastAsia="仿宋" w:cs="Arial"/>
          <w:sz w:val="28"/>
          <w:szCs w:val="28"/>
          <w:highlight w:val="none"/>
        </w:rPr>
        <w:t>估价对象位</w:t>
      </w:r>
      <w:r>
        <w:rPr>
          <w:rFonts w:hint="eastAsia" w:ascii="Arial" w:hAnsi="Arial" w:eastAsia="仿宋" w:cs="Arial"/>
          <w:sz w:val="28"/>
          <w:szCs w:val="28"/>
          <w:highlight w:val="none"/>
          <w:lang w:val="en-US" w:eastAsia="zh-CN"/>
        </w:rPr>
        <w:t>于</w:t>
      </w:r>
      <w:r>
        <w:rPr>
          <w:rFonts w:ascii="Arial" w:hAnsi="Arial" w:eastAsia="仿宋" w:cs="Arial"/>
          <w:sz w:val="28"/>
          <w:highlight w:val="none"/>
        </w:rPr>
        <w:t>北京市顺义区高丽营镇夏县营村。</w:t>
      </w:r>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 xml:space="preserve">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w:t>
      </w:r>
      <w:r>
        <w:rPr>
          <w:rFonts w:hint="eastAsia" w:ascii="Arial" w:hAnsi="Arial" w:eastAsia="仿宋" w:cs="Arial"/>
          <w:sz w:val="28"/>
          <w:highlight w:val="none"/>
          <w:lang w:eastAsia="zh-CN"/>
        </w:rPr>
        <w:t>根据《北京市国有建设用地使用权出让地价评估技术导则》（2026年2月10日实施）中的相关规定，本次评估01－008、01－016、01－026－1地块（R2二类居住用地）容积率为1.2</w:t>
      </w:r>
      <w:r>
        <w:rPr>
          <w:rFonts w:ascii="Arial" w:hAnsi="Arial" w:eastAsia="仿宋" w:cs="Arial"/>
          <w:sz w:val="28"/>
          <w:highlight w:val="none"/>
        </w:rPr>
        <w:t>。</w:t>
      </w:r>
    </w:p>
    <w:p w14:paraId="38913A59">
      <w:pPr>
        <w:rPr>
          <w:rFonts w:ascii="Arial" w:hAnsi="Arial" w:eastAsia="仿宋" w:cs="Arial"/>
          <w:sz w:val="28"/>
          <w:highlight w:val="none"/>
        </w:rPr>
      </w:pPr>
      <w:r>
        <w:rPr>
          <w:rFonts w:ascii="Arial" w:hAnsi="Arial" w:eastAsia="仿宋" w:cs="Arial"/>
          <w:sz w:val="28"/>
          <w:highlight w:val="none"/>
        </w:rPr>
        <w:br w:type="page"/>
      </w:r>
    </w:p>
    <w:p w14:paraId="729FD9A7">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本次拟出让建设用地规模为</w:t>
      </w:r>
      <w:r>
        <w:rPr>
          <w:rFonts w:hint="eastAsia" w:ascii="Arial" w:hAnsi="Arial" w:eastAsia="仿宋" w:cs="Arial"/>
          <w:sz w:val="28"/>
          <w:highlight w:val="none"/>
          <w:lang w:eastAsia="zh-CN"/>
        </w:rPr>
        <w:t>56790.45</w:t>
      </w:r>
      <w:r>
        <w:rPr>
          <w:rFonts w:ascii="Arial" w:hAnsi="Arial" w:eastAsia="仿宋" w:cs="Arial"/>
          <w:sz w:val="28"/>
          <w:highlight w:val="none"/>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0AE39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96DE38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序号</w:t>
            </w:r>
          </w:p>
        </w:tc>
        <w:tc>
          <w:tcPr>
            <w:tcW w:w="617" w:type="pct"/>
            <w:vAlign w:val="center"/>
          </w:tcPr>
          <w:p w14:paraId="07BDFE9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规划地块编号</w:t>
            </w:r>
          </w:p>
        </w:tc>
        <w:tc>
          <w:tcPr>
            <w:tcW w:w="688" w:type="pct"/>
            <w:vAlign w:val="center"/>
          </w:tcPr>
          <w:p w14:paraId="1EDBE2C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用地性质</w:t>
            </w:r>
          </w:p>
        </w:tc>
        <w:tc>
          <w:tcPr>
            <w:tcW w:w="874" w:type="pct"/>
            <w:vAlign w:val="center"/>
          </w:tcPr>
          <w:p w14:paraId="7496FD6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建设用地规模</w:t>
            </w:r>
          </w:p>
          <w:p w14:paraId="5F84127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475" w:type="pct"/>
            <w:vAlign w:val="center"/>
          </w:tcPr>
          <w:p w14:paraId="68C6168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容积率</w:t>
            </w:r>
          </w:p>
        </w:tc>
        <w:tc>
          <w:tcPr>
            <w:tcW w:w="921" w:type="pct"/>
            <w:vAlign w:val="center"/>
          </w:tcPr>
          <w:p w14:paraId="125C3AE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地上建筑规模</w:t>
            </w:r>
          </w:p>
          <w:p w14:paraId="774D5AC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713" w:type="pct"/>
            <w:vAlign w:val="center"/>
          </w:tcPr>
          <w:p w14:paraId="6DA18054">
            <w:pPr>
              <w:widowControl/>
              <w:adjustRightInd/>
              <w:spacing w:line="240" w:lineRule="exact"/>
              <w:jc w:val="center"/>
              <w:textAlignment w:val="auto"/>
              <w:rPr>
                <w:rFonts w:ascii="Arial" w:hAnsi="Arial" w:eastAsia="仿宋" w:cs="Arial"/>
                <w:sz w:val="18"/>
                <w:szCs w:val="18"/>
                <w:highlight w:val="none"/>
              </w:rPr>
            </w:pPr>
            <w:r>
              <w:rPr>
                <w:rFonts w:ascii="Arial" w:hAnsi="Arial" w:eastAsia="仿宋" w:cs="Arial"/>
                <w:sz w:val="18"/>
                <w:szCs w:val="18"/>
                <w:highlight w:val="none"/>
              </w:rPr>
              <w:t>控制高度（m）</w:t>
            </w:r>
          </w:p>
        </w:tc>
        <w:tc>
          <w:tcPr>
            <w:tcW w:w="468" w:type="pct"/>
            <w:vAlign w:val="center"/>
          </w:tcPr>
          <w:p w14:paraId="67C4FB2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是否出让</w:t>
            </w:r>
          </w:p>
        </w:tc>
      </w:tr>
      <w:tr w14:paraId="50561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576BE37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w:t>
            </w:r>
          </w:p>
        </w:tc>
        <w:tc>
          <w:tcPr>
            <w:tcW w:w="617" w:type="pct"/>
            <w:vAlign w:val="center"/>
          </w:tcPr>
          <w:p w14:paraId="61018C77">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008</w:t>
            </w:r>
          </w:p>
        </w:tc>
        <w:tc>
          <w:tcPr>
            <w:tcW w:w="688" w:type="pct"/>
            <w:vMerge w:val="restart"/>
            <w:vAlign w:val="center"/>
          </w:tcPr>
          <w:p w14:paraId="13769B5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R2二类居住用地</w:t>
            </w:r>
          </w:p>
        </w:tc>
        <w:tc>
          <w:tcPr>
            <w:tcW w:w="874" w:type="pct"/>
            <w:vAlign w:val="center"/>
          </w:tcPr>
          <w:p w14:paraId="4831C72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24804.85</w:t>
            </w:r>
          </w:p>
        </w:tc>
        <w:tc>
          <w:tcPr>
            <w:tcW w:w="475" w:type="pct"/>
            <w:vMerge w:val="restart"/>
            <w:vAlign w:val="center"/>
          </w:tcPr>
          <w:p w14:paraId="38B1CA4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17A9FEF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29765.82</w:t>
            </w:r>
          </w:p>
        </w:tc>
        <w:tc>
          <w:tcPr>
            <w:tcW w:w="713" w:type="pct"/>
            <w:vMerge w:val="restart"/>
            <w:vAlign w:val="center"/>
          </w:tcPr>
          <w:p w14:paraId="6FA6A57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30</w:t>
            </w:r>
          </w:p>
        </w:tc>
        <w:tc>
          <w:tcPr>
            <w:tcW w:w="468" w:type="pct"/>
            <w:vMerge w:val="restart"/>
            <w:vAlign w:val="center"/>
          </w:tcPr>
          <w:p w14:paraId="6726A35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出让</w:t>
            </w:r>
          </w:p>
        </w:tc>
      </w:tr>
      <w:tr w14:paraId="1ECB20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12E0981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w:t>
            </w:r>
          </w:p>
        </w:tc>
        <w:tc>
          <w:tcPr>
            <w:tcW w:w="617" w:type="pct"/>
            <w:vAlign w:val="center"/>
          </w:tcPr>
          <w:p w14:paraId="4D369EC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016</w:t>
            </w:r>
          </w:p>
        </w:tc>
        <w:tc>
          <w:tcPr>
            <w:tcW w:w="688" w:type="pct"/>
            <w:vMerge w:val="continue"/>
            <w:vAlign w:val="center"/>
          </w:tcPr>
          <w:p w14:paraId="43758FD5">
            <w:pPr>
              <w:adjustRightInd/>
              <w:spacing w:line="240" w:lineRule="exact"/>
              <w:jc w:val="center"/>
              <w:rPr>
                <w:rFonts w:ascii="Arial" w:hAnsi="Arial" w:eastAsia="仿宋" w:cs="Arial"/>
                <w:sz w:val="18"/>
                <w:szCs w:val="18"/>
                <w:highlight w:val="none"/>
              </w:rPr>
            </w:pPr>
          </w:p>
        </w:tc>
        <w:tc>
          <w:tcPr>
            <w:tcW w:w="874" w:type="pct"/>
            <w:vAlign w:val="center"/>
          </w:tcPr>
          <w:p w14:paraId="101BB4E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23103.85</w:t>
            </w:r>
          </w:p>
        </w:tc>
        <w:tc>
          <w:tcPr>
            <w:tcW w:w="475" w:type="pct"/>
            <w:vMerge w:val="continue"/>
            <w:vAlign w:val="center"/>
          </w:tcPr>
          <w:p w14:paraId="11F893B6">
            <w:pPr>
              <w:adjustRightInd/>
              <w:spacing w:line="240" w:lineRule="exact"/>
              <w:jc w:val="center"/>
              <w:rPr>
                <w:rFonts w:ascii="Arial" w:hAnsi="Arial" w:eastAsia="仿宋" w:cs="Arial"/>
                <w:sz w:val="18"/>
                <w:szCs w:val="18"/>
                <w:highlight w:val="none"/>
              </w:rPr>
            </w:pPr>
          </w:p>
        </w:tc>
        <w:tc>
          <w:tcPr>
            <w:tcW w:w="921" w:type="pct"/>
            <w:vAlign w:val="center"/>
          </w:tcPr>
          <w:p w14:paraId="084755A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27724.62</w:t>
            </w:r>
          </w:p>
        </w:tc>
        <w:tc>
          <w:tcPr>
            <w:tcW w:w="713" w:type="pct"/>
            <w:vMerge w:val="continue"/>
            <w:vAlign w:val="center"/>
          </w:tcPr>
          <w:p w14:paraId="33ADCBC6">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2D6F382F">
            <w:pPr>
              <w:adjustRightInd/>
              <w:spacing w:line="240" w:lineRule="exact"/>
              <w:jc w:val="center"/>
              <w:rPr>
                <w:rFonts w:ascii="Arial" w:hAnsi="Arial" w:eastAsia="仿宋" w:cs="Arial"/>
                <w:sz w:val="18"/>
                <w:szCs w:val="18"/>
                <w:highlight w:val="none"/>
              </w:rPr>
            </w:pPr>
          </w:p>
        </w:tc>
      </w:tr>
      <w:tr w14:paraId="0BD31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1BC7EE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w:t>
            </w:r>
          </w:p>
        </w:tc>
        <w:tc>
          <w:tcPr>
            <w:tcW w:w="617" w:type="pct"/>
            <w:vAlign w:val="center"/>
          </w:tcPr>
          <w:p w14:paraId="675DD96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026</w:t>
            </w:r>
            <w:r>
              <w:rPr>
                <w:rFonts w:hint="eastAsia" w:ascii="Arial" w:hAnsi="Arial" w:eastAsia="仿宋" w:cs="Arial"/>
                <w:sz w:val="18"/>
                <w:szCs w:val="18"/>
                <w:highlight w:val="none"/>
                <w:lang w:eastAsia="zh-CN"/>
              </w:rPr>
              <w:t>－</w:t>
            </w:r>
            <w:r>
              <w:rPr>
                <w:rFonts w:ascii="Arial" w:hAnsi="Arial" w:eastAsia="仿宋" w:cs="Arial"/>
                <w:sz w:val="18"/>
                <w:szCs w:val="18"/>
                <w:highlight w:val="none"/>
              </w:rPr>
              <w:t>1</w:t>
            </w:r>
          </w:p>
        </w:tc>
        <w:tc>
          <w:tcPr>
            <w:tcW w:w="688" w:type="pct"/>
            <w:vMerge w:val="continue"/>
            <w:vAlign w:val="center"/>
          </w:tcPr>
          <w:p w14:paraId="1669608B">
            <w:pPr>
              <w:adjustRightInd/>
              <w:spacing w:line="240" w:lineRule="exact"/>
              <w:jc w:val="center"/>
              <w:rPr>
                <w:rFonts w:ascii="Arial" w:hAnsi="Arial" w:eastAsia="仿宋" w:cs="Arial"/>
                <w:sz w:val="18"/>
                <w:szCs w:val="18"/>
                <w:highlight w:val="none"/>
              </w:rPr>
            </w:pPr>
          </w:p>
        </w:tc>
        <w:tc>
          <w:tcPr>
            <w:tcW w:w="874" w:type="pct"/>
            <w:vAlign w:val="center"/>
          </w:tcPr>
          <w:p w14:paraId="63A9631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8881.75</w:t>
            </w:r>
          </w:p>
        </w:tc>
        <w:tc>
          <w:tcPr>
            <w:tcW w:w="475" w:type="pct"/>
            <w:vMerge w:val="continue"/>
            <w:vAlign w:val="center"/>
          </w:tcPr>
          <w:p w14:paraId="744BB588">
            <w:pPr>
              <w:adjustRightInd/>
              <w:spacing w:line="240" w:lineRule="exact"/>
              <w:jc w:val="center"/>
              <w:rPr>
                <w:rFonts w:ascii="Arial" w:hAnsi="Arial" w:eastAsia="仿宋" w:cs="Arial"/>
                <w:sz w:val="18"/>
                <w:szCs w:val="18"/>
                <w:highlight w:val="none"/>
              </w:rPr>
            </w:pPr>
          </w:p>
        </w:tc>
        <w:tc>
          <w:tcPr>
            <w:tcW w:w="921" w:type="pct"/>
            <w:vAlign w:val="center"/>
          </w:tcPr>
          <w:p w14:paraId="1780217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10658.10</w:t>
            </w:r>
          </w:p>
        </w:tc>
        <w:tc>
          <w:tcPr>
            <w:tcW w:w="713" w:type="pct"/>
            <w:vMerge w:val="continue"/>
            <w:vAlign w:val="center"/>
          </w:tcPr>
          <w:p w14:paraId="29916E49">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4B40B0FF">
            <w:pPr>
              <w:adjustRightInd/>
              <w:spacing w:line="240" w:lineRule="exact"/>
              <w:jc w:val="center"/>
              <w:rPr>
                <w:rFonts w:ascii="Arial" w:hAnsi="Arial" w:eastAsia="仿宋" w:cs="Arial"/>
                <w:sz w:val="18"/>
                <w:szCs w:val="18"/>
                <w:highlight w:val="none"/>
              </w:rPr>
            </w:pPr>
          </w:p>
        </w:tc>
      </w:tr>
      <w:tr w14:paraId="500ED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3BF0B58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合计</w:t>
            </w:r>
          </w:p>
        </w:tc>
        <w:tc>
          <w:tcPr>
            <w:tcW w:w="874" w:type="pct"/>
            <w:vAlign w:val="center"/>
          </w:tcPr>
          <w:p w14:paraId="1C70A3D5">
            <w:pPr>
              <w:adjustRightInd/>
              <w:spacing w:line="240" w:lineRule="exact"/>
              <w:jc w:val="center"/>
              <w:rPr>
                <w:rFonts w:hint="eastAsia" w:ascii="Arial" w:hAnsi="Arial" w:eastAsia="仿宋" w:cs="Arial"/>
                <w:sz w:val="18"/>
                <w:szCs w:val="18"/>
                <w:highlight w:val="none"/>
                <w:lang w:eastAsia="zh-CN"/>
              </w:rPr>
            </w:pPr>
            <w:r>
              <w:rPr>
                <w:rFonts w:hint="eastAsia" w:ascii="Arial" w:hAnsi="Arial" w:eastAsia="仿宋" w:cs="Arial"/>
                <w:sz w:val="18"/>
                <w:szCs w:val="18"/>
                <w:highlight w:val="none"/>
                <w:lang w:eastAsia="zh-CN"/>
              </w:rPr>
              <w:t>56790.45</w:t>
            </w:r>
          </w:p>
        </w:tc>
        <w:tc>
          <w:tcPr>
            <w:tcW w:w="475" w:type="pct"/>
            <w:vAlign w:val="center"/>
          </w:tcPr>
          <w:p w14:paraId="2849E72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3636065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68148.54</w:t>
            </w:r>
          </w:p>
        </w:tc>
        <w:tc>
          <w:tcPr>
            <w:tcW w:w="1181" w:type="pct"/>
            <w:gridSpan w:val="2"/>
            <w:vAlign w:val="center"/>
          </w:tcPr>
          <w:p w14:paraId="519EB191">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bl>
    <w:p w14:paraId="2CE42424">
      <w:pPr>
        <w:keepNext w:val="0"/>
        <w:keepLines w:val="0"/>
        <w:pageBreakBefore w:val="0"/>
        <w:widowControl w:val="0"/>
        <w:kinsoku/>
        <w:wordWrap/>
        <w:overflowPunct/>
        <w:topLinePunct w:val="0"/>
        <w:autoSpaceDE/>
        <w:autoSpaceDN/>
        <w:bidi w:val="0"/>
        <w:adjustRightInd/>
        <w:snapToGrid/>
        <w:spacing w:before="327" w:beforeLines="100" w:line="300" w:lineRule="auto"/>
        <w:ind w:firstLine="560" w:firstLineChars="200"/>
        <w:jc w:val="both"/>
        <w:textAlignment w:val="baseline"/>
        <w:rPr>
          <w:rFonts w:ascii="Arial" w:hAnsi="Arial" w:eastAsia="仿宋_GB2312" w:cs="Arial"/>
          <w:sz w:val="28"/>
          <w:szCs w:val="28"/>
          <w:highlight w:val="none"/>
        </w:rPr>
      </w:pPr>
      <w:r>
        <w:rPr>
          <w:rFonts w:ascii="Arial" w:hAnsi="Arial" w:eastAsia="仿宋_GB2312" w:cs="Arial"/>
          <w:sz w:val="28"/>
          <w:highlight w:val="none"/>
        </w:rPr>
        <w:t>估价对象所在宗地实际开发程度为</w:t>
      </w:r>
      <w:r>
        <w:rPr>
          <w:rFonts w:hint="eastAsia" w:ascii="Arial" w:hAnsi="Arial" w:eastAsia="仿宋_GB2312" w:cs="Arial"/>
          <w:sz w:val="28"/>
          <w:highlight w:val="none"/>
          <w:lang w:eastAsia="zh-CN"/>
        </w:rPr>
        <w:t>“七通”（通路、通上水（自来水、中水）、通下水（雨水、污水）、通电（管沟、电缆）、通讯、通燃气、通热力）</w:t>
      </w:r>
      <w:r>
        <w:rPr>
          <w:rFonts w:ascii="Arial" w:hAnsi="Arial" w:eastAsia="仿宋_GB2312" w:cs="Arial"/>
          <w:sz w:val="28"/>
          <w:szCs w:val="28"/>
          <w:highlight w:val="none"/>
        </w:rPr>
        <w:t>。</w:t>
      </w:r>
    </w:p>
    <w:p w14:paraId="474B3E50">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根据土地估价专业评估师现场勘查，估价对象周边</w:t>
      </w:r>
      <w:r>
        <w:rPr>
          <w:rFonts w:ascii="Arial" w:hAnsi="Arial" w:eastAsia="仿宋_GB2312" w:cs="Arial"/>
          <w:sz w:val="28"/>
          <w:szCs w:val="28"/>
          <w:highlight w:val="none"/>
        </w:rPr>
        <w:t>4</w:t>
      </w:r>
      <w:r>
        <w:rPr>
          <w:rFonts w:hint="eastAsia" w:ascii="Arial" w:hAnsi="Arial" w:eastAsia="仿宋_GB2312" w:cs="Arial"/>
          <w:sz w:val="28"/>
          <w:szCs w:val="28"/>
          <w:highlight w:val="none"/>
        </w:rPr>
        <w:t>公里范围内有富力首开·金禧璞瑅等类似物业，交房装修标准以精装修为主。因此，本次估价设定估价对象交房装修标准为精装修。</w:t>
      </w:r>
    </w:p>
    <w:p w14:paraId="64244A6D">
      <w:pPr>
        <w:spacing w:line="300" w:lineRule="auto"/>
        <w:rPr>
          <w:rFonts w:ascii="Arial" w:hAnsi="Arial" w:eastAsia="仿宋_GB2312" w:cs="Arial"/>
          <w:b/>
          <w:sz w:val="28"/>
          <w:highlight w:val="none"/>
        </w:rPr>
      </w:pPr>
      <w:bookmarkStart w:id="130" w:name="_Toc531701564"/>
    </w:p>
    <w:p w14:paraId="60B65CC0">
      <w:pPr>
        <w:rPr>
          <w:rFonts w:ascii="Arial" w:hAnsi="Arial" w:eastAsia="仿宋_GB2312" w:cs="Arial"/>
          <w:b/>
          <w:sz w:val="28"/>
          <w:highlight w:val="none"/>
        </w:rPr>
      </w:pPr>
      <w:bookmarkStart w:id="131" w:name="_Toc132016734"/>
      <w:bookmarkStart w:id="132" w:name="_Toc138063004"/>
      <w:r>
        <w:rPr>
          <w:rFonts w:ascii="Arial" w:hAnsi="Arial" w:eastAsia="仿宋_GB2312" w:cs="Arial"/>
          <w:b/>
          <w:sz w:val="28"/>
          <w:highlight w:val="none"/>
        </w:rPr>
        <w:br w:type="page"/>
      </w:r>
    </w:p>
    <w:p w14:paraId="5F483327">
      <w:pPr>
        <w:adjustRightInd/>
        <w:spacing w:line="300" w:lineRule="auto"/>
        <w:jc w:val="both"/>
        <w:outlineLvl w:val="1"/>
        <w:rPr>
          <w:rFonts w:ascii="Arial" w:hAnsi="Arial" w:eastAsia="仿宋_GB2312" w:cs="Arial"/>
          <w:b/>
          <w:sz w:val="28"/>
          <w:highlight w:val="none"/>
        </w:rPr>
      </w:pPr>
      <w:r>
        <w:rPr>
          <w:rFonts w:ascii="Arial" w:hAnsi="Arial" w:eastAsia="仿宋_GB2312" w:cs="Arial"/>
          <w:b/>
          <w:sz w:val="28"/>
          <w:highlight w:val="none"/>
        </w:rPr>
        <w:t>四、影响地价的因素说明</w:t>
      </w:r>
      <w:bookmarkEnd w:id="127"/>
      <w:bookmarkEnd w:id="128"/>
      <w:bookmarkEnd w:id="129"/>
      <w:bookmarkEnd w:id="130"/>
      <w:bookmarkEnd w:id="131"/>
      <w:bookmarkEnd w:id="132"/>
    </w:p>
    <w:p w14:paraId="366EC9FA">
      <w:pPr>
        <w:widowControl/>
        <w:adjustRightInd/>
        <w:spacing w:line="300" w:lineRule="auto"/>
        <w:rPr>
          <w:rFonts w:hint="eastAsia" w:ascii="Arial" w:hAnsi="Arial" w:eastAsia="仿宋" w:cs="Arial"/>
          <w:sz w:val="28"/>
          <w:szCs w:val="28"/>
          <w:highlight w:val="none"/>
          <w:lang w:bidi="ar"/>
        </w:rPr>
      </w:pPr>
      <w:bookmarkStart w:id="133" w:name="_Toc520261147"/>
      <w:bookmarkStart w:id="134" w:name="_Toc469066317"/>
      <w:bookmarkStart w:id="135" w:name="_Toc515458374"/>
      <w:bookmarkStart w:id="136" w:name="_Toc425250319"/>
      <w:bookmarkStart w:id="137" w:name="_Toc418750897"/>
      <w:bookmarkStart w:id="138" w:name="_Toc416783534"/>
      <w:r>
        <w:rPr>
          <w:rFonts w:hint="eastAsia" w:ascii="Arial" w:hAnsi="Arial" w:eastAsia="仿宋" w:cs="Arial"/>
          <w:sz w:val="28"/>
          <w:szCs w:val="28"/>
          <w:highlight w:val="none"/>
          <w:lang w:bidi="ar"/>
        </w:rPr>
        <w:t>（一） 一般因素</w:t>
      </w:r>
    </w:p>
    <w:p w14:paraId="7C0E676F">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1.城市资源状况</w:t>
      </w:r>
    </w:p>
    <w:p w14:paraId="7520312D">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地理位置：北京，简称“京”，是中华人民共和国的首都，是全国的政治中心、文化中心，是世界著名古都和现代化国际城市。北京位于北纬39度56分、东经116度20分，地处华北大平原的北部，东面与天津市毗连，其余均与河北省相邻。</w:t>
      </w:r>
    </w:p>
    <w:p w14:paraId="2E680664">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城市人口：</w:t>
      </w:r>
      <w:bookmarkStart w:id="139" w:name="OLE_LINK33"/>
      <w:bookmarkStart w:id="140" w:name="OLE_LINK38"/>
      <w:bookmarkStart w:id="141" w:name="OLE_LINK34"/>
      <w:r>
        <w:rPr>
          <w:rFonts w:hint="eastAsia" w:ascii="Arial" w:hAnsi="Arial" w:eastAsia="仿宋" w:cs="Arial"/>
          <w:sz w:val="28"/>
          <w:szCs w:val="28"/>
          <w:highlight w:val="none"/>
          <w:lang w:bidi="ar"/>
        </w:rPr>
        <w:t>截至2024年年末，北京市常住人口为2183.2万人，从年龄构成看，0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14岁常住人口261.2万人，占全市常住人口的比重为12.0%；15</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59岁常住人口1408.0万人，占64.5%；60岁及以上常住人口514.0万人，占23.5%。</w:t>
      </w:r>
    </w:p>
    <w:p w14:paraId="173BC39F">
      <w:pPr>
        <w:widowControl/>
        <w:adjustRightInd/>
        <w:spacing w:line="300" w:lineRule="auto"/>
        <w:ind w:firstLine="1960" w:firstLineChars="7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2024年常住人口增量及增长速度</w:t>
      </w:r>
    </w:p>
    <w:bookmarkEnd w:id="139"/>
    <w:bookmarkEnd w:id="140"/>
    <w:bookmarkEnd w:id="141"/>
    <w:p w14:paraId="7D7D5CC6">
      <w:pPr>
        <w:widowControl/>
        <w:adjustRightInd/>
        <w:spacing w:line="300" w:lineRule="auto"/>
        <w:rPr>
          <w:rFonts w:hint="eastAsia" w:ascii="Arial" w:hAnsi="Arial" w:eastAsia="仿宋" w:cs="Arial"/>
          <w:sz w:val="28"/>
          <w:szCs w:val="28"/>
          <w:highlight w:val="none"/>
          <w:lang w:bidi="ar"/>
        </w:rPr>
      </w:pPr>
      <w:bookmarkStart w:id="142" w:name="_Hlk195084670"/>
      <w:r>
        <w:rPr>
          <w:rFonts w:hint="eastAsia" w:ascii="Arial" w:hAnsi="Arial" w:eastAsia="仿宋" w:cs="Arial"/>
          <w:sz w:val="28"/>
          <w:szCs w:val="28"/>
          <w:highlight w:val="none"/>
          <w:lang w:bidi="ar"/>
        </w:rPr>
        <w:drawing>
          <wp:inline distT="0" distB="0" distL="114300" distR="114300">
            <wp:extent cx="5905500" cy="2171700"/>
            <wp:effectExtent l="4445" t="4445" r="18415" b="18415"/>
            <wp:docPr id="15" name="图表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bookmarkEnd w:id="142"/>
    </w:p>
    <w:p w14:paraId="29612DA5">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城市面积：北京市下辖16个区（即东城、西城、海淀、朝阳、丰台、顺义、昌平、通州、门头沟、石景山、房山、大兴、怀柔、平谷、密云、延庆），行政辖区总面积为16410平方公里。</w:t>
      </w:r>
    </w:p>
    <w:p w14:paraId="17414103">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城市自然条件：北京气候属暖温带半湿润半干旱季风气候，夏季高温多雨，冬季寒冷干燥，春、秋短促。全年无霜期180～200天，西部山区较短。地势西北高、东南低。西部、北部和东北部三面环山，东南部是一片缓缓向渤海倾斜的平原。北京市天然河道自西向东贯穿五大水系：拒马河水系、永定河水系、北运河水系、潮白河水系和蓟运河水系。多由西北部山地发源，向东南蜿蜒流经平原地区，最后分别在海河汇入渤海（蓟运河除外）。北京市有水库85座，其中大型水库有密云水库、官厅水库、怀柔水库、海子水库。北京市地下水多年平均补给量约为29.21亿立方米，平均年可开采量约24~25亿立方米。一次性天然水资源年平均总量为55.21亿立方米。</w:t>
      </w:r>
    </w:p>
    <w:p w14:paraId="4099881B">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土地利用状况：2021年11月5日，北京市发布第三次全国国土调查主要数据公报。数据显示，北京市现有耕地93547.9公顷（1403218.5亩）、园地126274.55公顷（1894118.25亩）、林地967628.62公顷（14514429.3亩）、草地14460.44公顷（216906.6亩）、湿地3107.98公顷（46619.7亩）、城镇村及工矿用地313643.87公顷（4704658.05亩）、交通运输用地49281.38公顷（739220.7亩）、水域及水利设施用地61704公顷（925560亩），其余为其他土地。三调数据显示，北京市以林、园、水、草、湿地和公园绿地为主的生态用地逐年增加，城乡建设用地明显减少，初步实现减量目标。</w:t>
      </w:r>
    </w:p>
    <w:p w14:paraId="1C341647">
      <w:pPr>
        <w:spacing w:line="360" w:lineRule="auto"/>
        <w:jc w:val="center"/>
        <w:outlineLvl w:val="0"/>
        <w:rPr>
          <w:rFonts w:ascii="Arial" w:hAnsi="Arial" w:eastAsia="仿宋" w:cs="Arial"/>
          <w:color w:val="000000"/>
          <w:sz w:val="28"/>
          <w:szCs w:val="28"/>
          <w:highlight w:val="none"/>
        </w:rPr>
      </w:pPr>
      <w:r>
        <w:rPr>
          <w:rFonts w:ascii="Arial" w:hAnsi="Arial" w:eastAsia="仿宋" w:cs="Arial"/>
          <w:sz w:val="28"/>
          <w:szCs w:val="28"/>
          <w:highlight w:val="none"/>
        </w:rPr>
        <w:drawing>
          <wp:inline distT="0" distB="0" distL="114300" distR="114300">
            <wp:extent cx="5888355" cy="3335655"/>
            <wp:effectExtent l="4445" t="4445" r="5080" b="12700"/>
            <wp:docPr id="16" name="图表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716CE0D">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2.不动产制度与不动产市场状况</w:t>
      </w:r>
    </w:p>
    <w:p w14:paraId="6184212F">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 土地使用制度及土地管理政策：</w:t>
      </w:r>
    </w:p>
    <w:p w14:paraId="24294874">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我国当前实行土地招拍挂制度。土地招拍挂制度是国家土地资源出让、买卖的招标、拍卖、挂牌制度的简称，具体是指国家在土地出让或者买卖程序中的“招标”“拍卖”“挂牌”交易的政策或规定。2004年，国土资源部颁布第71令，《关于继续开展经营性土地使用权招标拍卖挂牌出让情况执法监察工作的通知》，规定2004年8月31号以后所有经营性用地出让全部实行招拍挂制度。该方式作为我国经营性用地出让的指定方式，对规范土地市场、提高政府的对城市土地的管理水平、促进房地产市场的有序发展等方面都有着重要意义。</w:t>
      </w:r>
    </w:p>
    <w:p w14:paraId="3BEC4011">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按照“十三五”时期的规划，北京市目前已基本建立全域国土空间开发保护新格局，提升绿色生态空间本底规模质量，深化耕地保护空间与政策保障，减量发展迈出实质性步伐。“十三五”确定的土地资源保护利用任务目标基本完成，土地资源治理体系逐步完善，保障和支撑了城市发展方式实现历史性变革。</w:t>
      </w:r>
    </w:p>
    <w:p w14:paraId="0ACB40D2">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在国土空间规划中统筹划定落实永久基本农田、生态保护红线、城镇开发边界三条控制线（以下简称三条控制线），确定国土空间开发保护刚性管控边界。统筹全域全类型国土空间用途管制，划定覆盖全域的11类国土空间规划分区。</w:t>
      </w:r>
    </w:p>
    <w:p w14:paraId="089329E5">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（2）严守耕地规模底线，划定耕地保护空间。</w:t>
      </w:r>
    </w:p>
    <w:p w14:paraId="17BD1840">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强化耕地保护，深化耕地保护空间与政策保障。完善耕地主动保护机制，出台《落实城市总体规划统筹推进耕地和永久基本农田保护工作实施方案（试行）》、《北京市耕地保护责任目标考核办法》、《北京市耕地保护补偿资金管理暂行办法》，签订《耕地保护目标管理暨永久基本农田保护责任书》，全面推行四级田长制，压实耕地保护主体责任。</w:t>
      </w:r>
    </w:p>
    <w:p w14:paraId="170B2DBE">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3）严控建设用地规模，城乡建设用地规模得到历史性控制。以疏解非首都功能为牛鼻子，深入实施疏解整治促提升专项行动，以大规模拆除腾退各类违法建设为主要抓手，以统筹集中建设区外的低效集体产业用地为重点，综合采取矿山修复、农村居民点整理等各类措施，建立多拆少建的挂钩实施机制。鼓励存量盘活，土地利用效益有所提升，为首都长远发展预留高质量发展空间。在建设用地年度供应计划中，存量建设用地供应占比由“十二五”时期的51%提升至“十三五”时期的55%以上.</w:t>
      </w:r>
    </w:p>
    <w:p w14:paraId="58148286">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4）完善国土空间规划政策法规，出台一系列国土空间规划管控政策。修订《北京市城乡规划条例》《北京市历史文化名城保护条例》《北京市生态涵养区生态保护和绿色发展条例》等法规，出台《关于建立国土空间规划体系并监督实施的实施意见》《北京市生态控制线和城市开发边界管理办法》《北京市战略留白用地管理办法》《北京市“两图合一”规划编制技术指南》《北京市国土空间规划分区和用途管制规则》等一系列政策文件，初步建立首都“三级三类”国土空间规划体系，不断完善首都国土空间治理体系，着力提高国土空间治理能力现代化水平。</w:t>
      </w:r>
    </w:p>
    <w:p w14:paraId="2F3A8767">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逐步建立自然资源管理制度。制定《北京市自然资源资产产权制度改革方案》，统筹推进自然资源统一调查监测评价，建立全市统一的国土空间基础信息平台，结合分区规划编制，形成全市国土空间规划“一张底图”。建立北京市国有自然资源报告工作制度，自然资源统一调查、监测、确权、配置、评价、监督的管理制度逐步建立。</w:t>
      </w:r>
    </w:p>
    <w:p w14:paraId="18833BC9">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加强推进农村土地管理改革。制定《关于进一步加强农村集体土地管理加快建立健全“村地区管”机制的指导意见》，强化区级管规划、管用途、管合同、管程序、管监督、管查处的权责；在大兴区全面推进农村土地制度改革三项试点工作，集体经营性建设用地入市试点改革取得重大成果，征地制度改革向纵深推进，宅基地制度改革取得阶段性成果，探索形成了一批可复制、可推广的改革成果。</w:t>
      </w:r>
    </w:p>
    <w:p w14:paraId="63214D56">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建立北京市自然资源和国土空间规划督察制度。制定并落实《北京市自然资源和国土空间规划督察工作方案（试行）》，以《城市总体规划》为引领，发挥督察工作的推动作用，强化责任落实，提高土地资源保护利用水平，提升首都城市规划建设治理能力。</w:t>
      </w:r>
    </w:p>
    <w:p w14:paraId="53CD54C1">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2022年北京市人民政府关于印发《北京市“十四五”时期土地资源保护利用规划》的通知，要求全市继续统筹土地资源保护和利用工作，强化科学布局、整体保护、系统修复、高效利用、综合治理。</w:t>
      </w:r>
    </w:p>
    <w:p w14:paraId="2D37A4FF">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 xml:space="preserve"> 住房制度与不动产管理政策：</w:t>
      </w:r>
    </w:p>
    <w:p w14:paraId="3478656E">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根据2022年发布的《北京市“十四五”时期住房保障规划》（以下简称“《保障规划》”），北京市目前执行多主体供给、多渠道保障、租购并举的住房制度。《保障规划》要求，按照“以政府为主提供基本保障，以市场为主满足多层次需求”的总方向，进一步完善以公租房、保障性租赁住房、共有产权住房和安置房为主体的首都住房保障体系。</w:t>
      </w:r>
    </w:p>
    <w:p w14:paraId="5D497D0F">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2024年2月21日，住房城乡建设部发布《关于做好住房发展规划和年度计划编制工作的通知》。该文件指出，住房发展规划和年度计划是建立“人、房、地、钱”要素联动机制的重要抓手。各地要充分认识做好住房发展规划和年度计划的编制实施工作的重要性，科学编制规划，认真组织实施，根据人口变化确定住房需求，根据住房需求科学安排土地供应、引导配置金融资源，实现以人定房、以房定地、以房定钱，促进房地产市场供需平衡、结构合理，防止市场大起大落。</w:t>
      </w:r>
    </w:p>
    <w:p w14:paraId="672892DF">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2026年1月4日，北京市规划和自然资源委员会发布《关于继续施行〈北京市建设用地功能混合使用指导意见〉的通知》，并同步印发《北京市建设用地功能混合使用流程指引》及《北京市建设用地功能混合使用案例指引》。《指导意见》作为《北京市城市更新条例》的配套政策，旨在通过规划引领和项目支持，推动产业转型升级，补齐配套短板，助力城市更新，为高质量发展提供空间资源保障。《指导意见》采用正负面清单管理兼容功能，明确各类用地的兼容内容和比例限制，如商业服务业用地可兼容公共服务等，但不能兼容工业等，强调兼容用途不能反超主用途，也不能对相邻地块造成负面影响。</w:t>
      </w:r>
    </w:p>
    <w:p w14:paraId="0FA22E00">
      <w:pPr>
        <w:widowControl/>
        <w:adjustRightInd/>
        <w:spacing w:line="300" w:lineRule="auto"/>
        <w:ind w:firstLine="560" w:firstLineChars="200"/>
        <w:jc w:val="both"/>
        <w:rPr>
          <w:rFonts w:hint="eastAsia" w:ascii="Arial" w:hAnsi="Arial" w:eastAsia="仿宋" w:cs="Arial"/>
          <w:sz w:val="28"/>
          <w:szCs w:val="28"/>
          <w:highlight w:val="none"/>
          <w:lang w:bidi="ar"/>
        </w:rPr>
      </w:pPr>
      <w:bookmarkStart w:id="143" w:name="_Hlk195087303"/>
      <w:r>
        <w:rPr>
          <w:rFonts w:hint="eastAsia" w:ascii="Arial" w:hAnsi="Arial" w:eastAsia="仿宋" w:cs="Arial"/>
          <w:sz w:val="28"/>
          <w:szCs w:val="28"/>
          <w:highlight w:val="none"/>
          <w:lang w:bidi="ar"/>
        </w:rPr>
        <w:t>2026年1月20日，北京市规划和自然资源委员会和北京市发展和改革委员会联合发布《北京市2026年度建设用地供应计划》，</w:t>
      </w:r>
      <w:bookmarkEnd w:id="143"/>
      <w:r>
        <w:rPr>
          <w:rFonts w:hint="eastAsia" w:ascii="Arial" w:hAnsi="Arial" w:eastAsia="仿宋" w:cs="Arial"/>
          <w:sz w:val="28"/>
          <w:szCs w:val="28"/>
          <w:highlight w:val="none"/>
          <w:lang w:bidi="ar"/>
        </w:rPr>
        <w:t>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空间布局方面，持续强化“一核一主一副、两轴多点一区”圈层协同的城市空间结构。中心城区（含核心区）土地供应规模约占全市总量的20%，重点推进中央政务功能保障、服务功能与环境品质提升；平原新城地区（含城市副中心）占比约60%，持续提高综合承载力，推动京津冀协同发展与产城融合；生态涵养区占比约20%，统筹好高水平保护与高质量发展。土地供应将向重点区域倾斜，促进土地资源配置效率最优化和效益最大化。用地结构上，住宅用地安排750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790公顷，其中商品住宅用地200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240公顷，保障性住房350公顷（含中央军队用地80公顷）；产业用地安排480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540公顷，包括研发用地80公顷、工业用地230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250公顷、仓储用地50公顷、商服用地50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70公顷、乡村产业用地70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90公顷；此外，公共管理与服务用地650公顷、交通运输用地950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1350公顷等也将同步推进，全面优化城市功能布局。</w:t>
      </w:r>
      <w:bookmarkStart w:id="144" w:name="_Hlk219879579"/>
      <w:r>
        <w:rPr>
          <w:rFonts w:hint="eastAsia" w:ascii="Arial" w:hAnsi="Arial" w:eastAsia="仿宋" w:cs="Arial"/>
          <w:sz w:val="28"/>
          <w:szCs w:val="28"/>
          <w:highlight w:val="none"/>
          <w:lang w:bidi="ar"/>
        </w:rPr>
        <w:t>供应导向上，计划突出“减量提质、激活存量”，推动城乡建设用地净减量500公顷，存量建设用地供应占比达到约65%。同时，强化对高精尖产业的空间保障，85%以上产业用地将向“三城一区”、自贸试验区等重点区域集聚。在住房领域，持续优化商品住宅供给，推动站城融合与职住平衡，多渠道加大保障性租赁住房供应，稳步推进城中村和危旧房改造。此外，还将系统提升公共服务与基础设施水平，推动花园城市建设，增强城市安全韧性。为确保计划顺利实施，北京市将强化市区两级主体责任，推动集约高效用地，推进功能混合与立体开发，鼓励弹性年期、先租后让等供地方式，并建立动态调控机制，根据市场需要适时优化项目清单，全面提升土地资源配置效益。</w:t>
      </w:r>
    </w:p>
    <w:bookmarkEnd w:id="144"/>
    <w:p w14:paraId="5BC8F455">
      <w:pPr>
        <w:spacing w:line="360" w:lineRule="auto"/>
        <w:ind w:right="205"/>
        <w:jc w:val="both"/>
        <w:rPr>
          <w:rFonts w:ascii="Arial" w:hAnsi="Arial" w:eastAsia="仿宋" w:cs="Arial"/>
          <w:b/>
          <w:bCs/>
          <w:color w:val="000000"/>
          <w:sz w:val="28"/>
          <w:szCs w:val="28"/>
          <w:highlight w:val="none"/>
        </w:rPr>
      </w:pPr>
      <w:r>
        <w:rPr>
          <w:rFonts w:ascii="Cambria Math" w:hAnsi="Cambria Math" w:eastAsia="仿宋" w:cs="Cambria Math"/>
          <w:b/>
          <w:bCs/>
          <w:color w:val="000000"/>
          <w:sz w:val="28"/>
          <w:szCs w:val="28"/>
          <w:highlight w:val="none"/>
        </w:rPr>
        <w:t>◆</w:t>
      </w:r>
      <w:r>
        <w:rPr>
          <w:rFonts w:ascii="Arial" w:hAnsi="Arial" w:eastAsia="仿宋" w:cs="Arial"/>
          <w:b/>
          <w:bCs/>
          <w:color w:val="000000"/>
          <w:sz w:val="28"/>
          <w:szCs w:val="28"/>
          <w:highlight w:val="none"/>
        </w:rPr>
        <w:t xml:space="preserve">  不动产市场状况</w:t>
      </w:r>
    </w:p>
    <w:p w14:paraId="43315678">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ascii="Arial" w:hAnsi="Arial" w:eastAsia="仿宋" w:cs="Arial"/>
          <w:bCs/>
          <w:color w:val="000000"/>
          <w:sz w:val="28"/>
          <w:szCs w:val="28"/>
          <w:highlight w:val="none"/>
        </w:rPr>
        <w:t>（</w:t>
      </w:r>
      <w:r>
        <w:rPr>
          <w:rFonts w:hint="eastAsia" w:ascii="Arial" w:hAnsi="Arial" w:eastAsia="仿宋" w:cs="Arial"/>
          <w:sz w:val="28"/>
          <w:szCs w:val="28"/>
          <w:highlight w:val="none"/>
          <w:lang w:bidi="ar"/>
        </w:rPr>
        <w:t>1）土地市场</w:t>
      </w:r>
    </w:p>
    <w:p w14:paraId="0282EE0A">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1）土地供求分析</w:t>
      </w:r>
    </w:p>
    <w:p w14:paraId="14F28098">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商品住宅用地供应减量提质，核心区优质地块供应力度明显加大，共推出36宗住宅用地，累计供应规划建面306.95万平方米，同比下降37.6%。2025年北京商品住宅用地共成交40宗，成交规划建面359.07万平方米，同比下降23.7%。土地成交价款合计1427.42亿元，同比下降8.2%。成交的40宗住宅用地中，50%地块位于主城六区，其中海淀区共出让7宗住宅用地，累计成交金额超448亿元。</w:t>
      </w:r>
    </w:p>
    <w:p w14:paraId="755996A6">
      <w:pPr>
        <w:spacing w:line="360" w:lineRule="auto"/>
        <w:jc w:val="center"/>
        <w:outlineLvl w:val="0"/>
        <w:rPr>
          <w:rFonts w:ascii="Arial" w:hAnsi="Arial" w:eastAsia="仿宋" w:cs="Arial"/>
          <w:color w:val="000000"/>
          <w:kern w:val="2"/>
          <w:sz w:val="28"/>
          <w:szCs w:val="28"/>
          <w:highlight w:val="none"/>
        </w:rPr>
      </w:pPr>
      <w:r>
        <w:rPr>
          <w:highlight w:val="none"/>
        </w:rPr>
        <w:drawing>
          <wp:inline distT="0" distB="0" distL="114300" distR="114300">
            <wp:extent cx="5182235" cy="2476500"/>
            <wp:effectExtent l="4445" t="4445" r="10160" b="18415"/>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FB3B1FF">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2）土地成交情况</w:t>
      </w:r>
    </w:p>
    <w:p w14:paraId="1997FABA">
      <w:pPr>
        <w:widowControl/>
        <w:adjustRightInd/>
        <w:spacing w:line="300" w:lineRule="auto"/>
        <w:ind w:firstLine="560" w:firstLineChars="200"/>
        <w:jc w:val="both"/>
        <w:rPr>
          <w:rFonts w:ascii="Arial" w:hAnsi="Arial" w:eastAsia="仿宋" w:cs="Arial"/>
          <w:bCs/>
          <w:color w:val="000000"/>
          <w:sz w:val="28"/>
          <w:szCs w:val="28"/>
          <w:highlight w:val="none"/>
        </w:rPr>
      </w:pPr>
      <w:r>
        <w:rPr>
          <w:rFonts w:hint="eastAsia" w:ascii="Arial" w:hAnsi="Arial" w:eastAsia="仿宋" w:cs="Arial"/>
          <w:sz w:val="28"/>
          <w:szCs w:val="28"/>
          <w:highlight w:val="none"/>
          <w:lang w:bidi="ar"/>
        </w:rPr>
        <w:t>2025年，北京市商品住宅用地主城六区成交20宗宅地，累计成交规划建面183.78万平方米，占比51%，较上年同期上升4个百分点；其中海淀、朝阳成交规模均超59万平方米，占比分别为19%和17%。近郊区住宅用地成交规模占比降至5成以下，累计成交169.50万平方米，占比下降3个百分点至47%，其中昌平、通州为主要供地区域，成交规模均超40万平方米，成交占比分别为14%、12%。远郊区供应力度进一步减弱，累计成交5.78</w:t>
      </w:r>
      <w:r>
        <w:rPr>
          <w:rFonts w:hint="eastAsia" w:ascii="Arial" w:hAnsi="Arial" w:eastAsia="仿宋" w:cs="Arial"/>
          <w:bCs/>
          <w:color w:val="000000"/>
          <w:sz w:val="28"/>
          <w:szCs w:val="28"/>
          <w:highlight w:val="none"/>
        </w:rPr>
        <w:t>万平方米，占比下降2个百分点至2%，延庆、怀柔各成交1宗宅地</w:t>
      </w:r>
      <w:r>
        <w:rPr>
          <w:rFonts w:ascii="Arial" w:hAnsi="Arial" w:eastAsia="仿宋" w:cs="Arial"/>
          <w:bCs/>
          <w:color w:val="000000"/>
          <w:sz w:val="28"/>
          <w:szCs w:val="28"/>
          <w:highlight w:val="none"/>
        </w:rPr>
        <w:t>。</w:t>
      </w:r>
    </w:p>
    <w:p w14:paraId="6DAC3132">
      <w:pPr>
        <w:widowControl/>
        <w:spacing w:line="360" w:lineRule="auto"/>
        <w:jc w:val="center"/>
        <w:rPr>
          <w:rFonts w:ascii="Arial" w:hAnsi="Arial" w:eastAsia="仿宋" w:cs="Arial"/>
          <w:bCs/>
          <w:color w:val="000000"/>
          <w:sz w:val="28"/>
          <w:szCs w:val="28"/>
          <w:highlight w:val="none"/>
        </w:rPr>
      </w:pPr>
      <w:r>
        <w:rPr>
          <w:highlight w:val="none"/>
        </w:rPr>
        <w:drawing>
          <wp:inline distT="0" distB="0" distL="114300" distR="114300">
            <wp:extent cx="5903595" cy="2995295"/>
            <wp:effectExtent l="0" t="0" r="9525" b="6985"/>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42"/>
                    <a:stretch>
                      <a:fillRect/>
                    </a:stretch>
                  </pic:blipFill>
                  <pic:spPr>
                    <a:xfrm>
                      <a:off x="0" y="0"/>
                      <a:ext cx="5903595" cy="2995295"/>
                    </a:xfrm>
                    <a:prstGeom prst="rect">
                      <a:avLst/>
                    </a:prstGeom>
                    <a:noFill/>
                    <a:ln>
                      <a:noFill/>
                    </a:ln>
                  </pic:spPr>
                </pic:pic>
              </a:graphicData>
            </a:graphic>
          </wp:inline>
        </w:drawing>
      </w:r>
    </w:p>
    <w:p w14:paraId="7B2CBC23">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从不同区域来看，各区域住宅用地成交规模同比均下降，主城六区成交规模同比下降16%，其中海淀、石景山、东城同比增长；近郊区成交规模同比下降28%，其中通州同比增长，其他区均同比下降；远郊区同比下降66%。</w:t>
      </w:r>
    </w:p>
    <w:p w14:paraId="2D33DB8D">
      <w:pPr>
        <w:spacing w:line="360" w:lineRule="auto"/>
        <w:jc w:val="center"/>
        <w:rPr>
          <w:rFonts w:hint="eastAsia" w:ascii="Arial" w:hAnsi="Arial" w:eastAsia="仿宋" w:cs="Arial"/>
          <w:bCs/>
          <w:color w:val="000000"/>
          <w:sz w:val="28"/>
          <w:szCs w:val="28"/>
          <w:highlight w:val="none"/>
        </w:rPr>
      </w:pPr>
      <w:r>
        <w:rPr>
          <w:rFonts w:hint="eastAsia" w:ascii="Arial" w:hAnsi="Arial" w:eastAsia="仿宋" w:cs="Arial"/>
          <w:bCs/>
          <w:color w:val="000000"/>
          <w:sz w:val="28"/>
          <w:szCs w:val="28"/>
          <w:highlight w:val="none"/>
        </w:rPr>
        <w:drawing>
          <wp:inline distT="0" distB="0" distL="114300" distR="114300">
            <wp:extent cx="3677285" cy="2943860"/>
            <wp:effectExtent l="0" t="0" r="10795" b="12700"/>
            <wp:docPr id="19" name="图片 11" descr="ScreenShot_2026-01-23_113715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ScreenShot_2026-01-23_113715_225"/>
                    <pic:cNvPicPr>
                      <a:picLocks noChangeAspect="1"/>
                    </pic:cNvPicPr>
                  </pic:nvPicPr>
                  <pic:blipFill>
                    <a:blip r:embed="rId43"/>
                    <a:stretch>
                      <a:fillRect/>
                    </a:stretch>
                  </pic:blipFill>
                  <pic:spPr>
                    <a:xfrm>
                      <a:off x="0" y="0"/>
                      <a:ext cx="3677285" cy="2943860"/>
                    </a:xfrm>
                    <a:prstGeom prst="rect">
                      <a:avLst/>
                    </a:prstGeom>
                    <a:noFill/>
                    <a:ln>
                      <a:noFill/>
                    </a:ln>
                  </pic:spPr>
                </pic:pic>
              </a:graphicData>
            </a:graphic>
          </wp:inline>
        </w:drawing>
      </w:r>
    </w:p>
    <w:p w14:paraId="011B45C3">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3）土地成交价格</w:t>
      </w:r>
    </w:p>
    <w:p w14:paraId="7F558767">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在主城六区优质地块成交带动下，北京宅地整体成交楼面均价39754元/平方米，同比增长20.3%。取消地价上限，叠加核心区优质地块竞争激烈，2025年宅地成交溢价率溢升至6.6%，同比提升3.5个百分点。市场分化明显，成交的40宗地块中，9宗地块溢价率超10%，主要集中在海淀、朝阳、通州三区；其中朝阳太阳宫地块以39.18%溢价率居首，该地块经过超330轮现场举牌竞价成交，最终以9.42万元/平方米的楼面地价刷新朝阳纪录；海淀树村地块经过274轮竞拍成交，成交楼面地价达10.23万元/平方米，成为北京首个楼面地价破10万元的住宅地块。而26宗地块均以底价成交，占比升至65%。</w:t>
      </w:r>
    </w:p>
    <w:p w14:paraId="2FE6D14F">
      <w:pPr>
        <w:widowControl/>
        <w:spacing w:line="360" w:lineRule="auto"/>
        <w:ind w:firstLine="480" w:firstLineChars="200"/>
        <w:jc w:val="both"/>
        <w:rPr>
          <w:highlight w:val="none"/>
        </w:rPr>
      </w:pPr>
    </w:p>
    <w:p w14:paraId="0E5A4E5B">
      <w:pPr>
        <w:widowControl/>
        <w:spacing w:line="360" w:lineRule="auto"/>
        <w:jc w:val="center"/>
        <w:rPr>
          <w:highlight w:val="none"/>
        </w:rPr>
      </w:pPr>
      <w:r>
        <w:rPr>
          <w:highlight w:val="none"/>
        </w:rPr>
        <w:drawing>
          <wp:inline distT="0" distB="0" distL="114300" distR="114300">
            <wp:extent cx="4514215" cy="2228850"/>
            <wp:effectExtent l="0" t="0" r="12065" b="1143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44"/>
                    <a:stretch>
                      <a:fillRect/>
                    </a:stretch>
                  </pic:blipFill>
                  <pic:spPr>
                    <a:xfrm>
                      <a:off x="0" y="0"/>
                      <a:ext cx="4514215" cy="2228850"/>
                    </a:xfrm>
                    <a:prstGeom prst="rect">
                      <a:avLst/>
                    </a:prstGeom>
                    <a:noFill/>
                    <a:ln>
                      <a:noFill/>
                    </a:ln>
                  </pic:spPr>
                </pic:pic>
              </a:graphicData>
            </a:graphic>
          </wp:inline>
        </w:drawing>
      </w:r>
    </w:p>
    <w:p w14:paraId="28251C13">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分区域来看，主城六区成交楼面地价均价相对较高，东城区成交楼面地价均价超8万元/平方米，海淀区成交楼面地价均价超6万元/平方米；近郊区成交楼面地价多介于2</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3万/平方米之间，其中通州区、顺义区地价相对较高，超2.8万/平方米，房山区成交楼面地价较低，为15336元/平方米。从同比变化来看，丰台区、石景山区、房山区成交楼面地价同比下跌，其他区域成交楼面地价同比上涨，其中海淀区、朝阳区成交楼面地价均同比上涨28%。</w:t>
      </w:r>
    </w:p>
    <w:p w14:paraId="22FC9F55">
      <w:pPr>
        <w:widowControl/>
        <w:adjustRightInd/>
        <w:spacing w:line="300" w:lineRule="auto"/>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drawing>
          <wp:inline distT="0" distB="0" distL="114300" distR="114300">
            <wp:extent cx="5276215" cy="2885440"/>
            <wp:effectExtent l="0" t="0" r="12065" b="10160"/>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45"/>
                    <a:stretch>
                      <a:fillRect/>
                    </a:stretch>
                  </pic:blipFill>
                  <pic:spPr>
                    <a:xfrm>
                      <a:off x="0" y="0"/>
                      <a:ext cx="5276215" cy="2885440"/>
                    </a:xfrm>
                    <a:prstGeom prst="rect">
                      <a:avLst/>
                    </a:prstGeom>
                    <a:noFill/>
                    <a:ln>
                      <a:noFill/>
                    </a:ln>
                  </pic:spPr>
                </pic:pic>
              </a:graphicData>
            </a:graphic>
          </wp:inline>
        </w:drawing>
      </w:r>
    </w:p>
    <w:p w14:paraId="2624E420">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溢价率方面，海淀区、朝阳区土地质素高，整体溢价率较高；通州区热点地块竞争较为激烈，但地块延续分化；东城区祈年大街地块溢价率4%，其他区域地块均底价成交。</w:t>
      </w:r>
    </w:p>
    <w:p w14:paraId="139E0466">
      <w:pPr>
        <w:spacing w:line="360" w:lineRule="auto"/>
        <w:jc w:val="center"/>
        <w:outlineLvl w:val="0"/>
        <w:rPr>
          <w:rFonts w:hint="eastAsia" w:ascii="Arial" w:hAnsi="Arial" w:eastAsia="仿宋" w:cs="Arial"/>
          <w:color w:val="000000"/>
          <w:kern w:val="2"/>
          <w:sz w:val="28"/>
          <w:szCs w:val="28"/>
          <w:highlight w:val="none"/>
        </w:rPr>
      </w:pPr>
      <w:r>
        <w:rPr>
          <w:highlight w:val="none"/>
        </w:rPr>
        <w:drawing>
          <wp:inline distT="0" distB="0" distL="114300" distR="114300">
            <wp:extent cx="4666615" cy="2599690"/>
            <wp:effectExtent l="0" t="0" r="12065" b="6350"/>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46"/>
                    <a:stretch>
                      <a:fillRect/>
                    </a:stretch>
                  </pic:blipFill>
                  <pic:spPr>
                    <a:xfrm>
                      <a:off x="0" y="0"/>
                      <a:ext cx="4666615" cy="2599690"/>
                    </a:xfrm>
                    <a:prstGeom prst="rect">
                      <a:avLst/>
                    </a:prstGeom>
                    <a:noFill/>
                    <a:ln>
                      <a:noFill/>
                    </a:ln>
                  </pic:spPr>
                </pic:pic>
              </a:graphicData>
            </a:graphic>
          </wp:inline>
        </w:drawing>
      </w:r>
    </w:p>
    <w:p w14:paraId="03A65EE2">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4）供应计划</w:t>
      </w:r>
    </w:p>
    <w:p w14:paraId="67096726">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w:t>
      </w:r>
    </w:p>
    <w:p w14:paraId="088E16A4">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（2）新建商品房住宅市场</w:t>
      </w:r>
    </w:p>
    <w:p w14:paraId="49CD6F48">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1）新建商品住宅供给状况</w:t>
      </w:r>
    </w:p>
    <w:p w14:paraId="4E593FD6">
      <w:pPr>
        <w:widowControl/>
        <w:adjustRightInd/>
        <w:spacing w:line="300" w:lineRule="auto"/>
        <w:ind w:firstLine="560" w:firstLineChars="200"/>
        <w:jc w:val="both"/>
        <w:rPr>
          <w:rFonts w:hint="eastAsia" w:ascii="Arial" w:hAnsi="Arial" w:eastAsia="仿宋" w:cs="Arial"/>
          <w:sz w:val="28"/>
          <w:szCs w:val="28"/>
          <w:highlight w:val="none"/>
          <w:lang w:bidi="ar"/>
        </w:rPr>
      </w:pPr>
      <w:bookmarkStart w:id="145" w:name="_Hlk220072860"/>
      <w:r>
        <w:rPr>
          <w:rFonts w:hint="eastAsia" w:ascii="Arial" w:hAnsi="Arial" w:eastAsia="仿宋" w:cs="Arial"/>
          <w:sz w:val="28"/>
          <w:szCs w:val="28"/>
          <w:highlight w:val="none"/>
          <w:lang w:bidi="ar"/>
        </w:rPr>
        <w:t>近几年，北京商品住宅用地供应规模减少，导致新房供应持续下滑。2025年北京新房供应止跌回升，但整体供应规模仍处于近年低位水平。</w:t>
      </w:r>
    </w:p>
    <w:p w14:paraId="0666D763">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根据中指研究院数据，2025年二季度以来新房取证未售库存规模持续处于中高水平，12月末库存规模约为966万平方米，较年初增长10.8%。出清周期方面， 2022年以来库存出清周期基本持续处于风险线以上；2025年北京新房库存规模增加，叠加去化速度放缓，2025年12月出清周期升至26.5个月，整体去化风险较为突出</w:t>
      </w:r>
      <w:bookmarkEnd w:id="145"/>
      <w:r>
        <w:rPr>
          <w:rFonts w:hint="eastAsia" w:ascii="Arial" w:hAnsi="Arial" w:eastAsia="仿宋" w:cs="Arial"/>
          <w:sz w:val="28"/>
          <w:szCs w:val="28"/>
          <w:highlight w:val="none"/>
          <w:lang w:bidi="ar"/>
        </w:rPr>
        <w:t>。</w:t>
      </w:r>
    </w:p>
    <w:p w14:paraId="0D7B06DB">
      <w:pPr>
        <w:widowControl/>
        <w:spacing w:line="360" w:lineRule="auto"/>
        <w:jc w:val="center"/>
        <w:rPr>
          <w:highlight w:val="none"/>
        </w:rPr>
      </w:pPr>
      <w:bookmarkStart w:id="146" w:name="_Hlk220072893"/>
      <w:r>
        <w:rPr>
          <w:highlight w:val="none"/>
        </w:rPr>
        <w:drawing>
          <wp:inline distT="0" distB="0" distL="114300" distR="114300">
            <wp:extent cx="5905500" cy="2139315"/>
            <wp:effectExtent l="0" t="0" r="7620" b="9525"/>
            <wp:docPr id="8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5"/>
                    <pic:cNvPicPr>
                      <a:picLocks noChangeAspect="1"/>
                    </pic:cNvPicPr>
                  </pic:nvPicPr>
                  <pic:blipFill>
                    <a:blip r:embed="rId47"/>
                    <a:stretch>
                      <a:fillRect/>
                    </a:stretch>
                  </pic:blipFill>
                  <pic:spPr>
                    <a:xfrm>
                      <a:off x="0" y="0"/>
                      <a:ext cx="5905500" cy="2139315"/>
                    </a:xfrm>
                    <a:prstGeom prst="rect">
                      <a:avLst/>
                    </a:prstGeom>
                    <a:noFill/>
                    <a:ln>
                      <a:noFill/>
                    </a:ln>
                  </pic:spPr>
                </pic:pic>
              </a:graphicData>
            </a:graphic>
          </wp:inline>
        </w:drawing>
      </w:r>
      <w:bookmarkEnd w:id="146"/>
    </w:p>
    <w:p w14:paraId="18F660F1">
      <w:pPr>
        <w:widowControl/>
        <w:adjustRightInd/>
        <w:spacing w:line="300" w:lineRule="auto"/>
        <w:ind w:firstLine="560" w:firstLineChars="200"/>
        <w:jc w:val="both"/>
        <w:rPr>
          <w:rFonts w:ascii="Arial" w:hAnsi="Arial" w:eastAsia="仿宋" w:cs="Arial"/>
          <w:sz w:val="28"/>
          <w:szCs w:val="28"/>
          <w:highlight w:val="none"/>
          <w:lang w:bidi="ar"/>
        </w:rPr>
      </w:pPr>
      <w:bookmarkStart w:id="147" w:name="_Hlk220072905"/>
      <w:r>
        <w:rPr>
          <w:rFonts w:hint="eastAsia" w:ascii="Arial" w:hAnsi="Arial" w:eastAsia="仿宋" w:cs="Arial"/>
          <w:sz w:val="28"/>
          <w:szCs w:val="28"/>
          <w:highlight w:val="none"/>
          <w:lang w:bidi="ar"/>
        </w:rPr>
        <w:t>分区域来看，</w:t>
      </w:r>
      <w:r>
        <w:rPr>
          <w:rFonts w:ascii="Arial" w:hAnsi="Arial" w:eastAsia="仿宋" w:cs="Arial"/>
          <w:sz w:val="28"/>
          <w:szCs w:val="28"/>
          <w:highlight w:val="none"/>
          <w:lang w:bidi="ar"/>
        </w:rPr>
        <w:t>截止到2025年12月末，中心城区</w:t>
      </w:r>
      <w:r>
        <w:rPr>
          <w:rFonts w:hint="eastAsia" w:ascii="Arial" w:hAnsi="Arial" w:eastAsia="仿宋" w:cs="Arial"/>
          <w:sz w:val="28"/>
          <w:szCs w:val="28"/>
          <w:highlight w:val="none"/>
          <w:lang w:bidi="ar"/>
        </w:rPr>
        <w:t>（含核心区）</w:t>
      </w:r>
      <w:r>
        <w:rPr>
          <w:rFonts w:ascii="Arial" w:hAnsi="Arial" w:eastAsia="仿宋" w:cs="Arial"/>
          <w:sz w:val="28"/>
          <w:szCs w:val="28"/>
          <w:highlight w:val="none"/>
          <w:lang w:bidi="ar"/>
        </w:rPr>
        <w:t>库存规模</w:t>
      </w:r>
      <w:r>
        <w:rPr>
          <w:rFonts w:hint="eastAsia" w:ascii="Arial" w:hAnsi="Arial" w:eastAsia="仿宋" w:cs="Arial"/>
          <w:sz w:val="28"/>
          <w:szCs w:val="28"/>
          <w:highlight w:val="none"/>
          <w:lang w:bidi="ar"/>
        </w:rPr>
        <w:t>约</w:t>
      </w:r>
      <w:r>
        <w:rPr>
          <w:rFonts w:ascii="Arial" w:hAnsi="Arial" w:eastAsia="仿宋" w:cs="Arial"/>
          <w:sz w:val="28"/>
          <w:szCs w:val="28"/>
          <w:highlight w:val="none"/>
          <w:lang w:bidi="ar"/>
        </w:rPr>
        <w:t>348万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，其中丰台区、朝阳区库存规模均超11万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；近郊区库存规模合计约479 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，其中通州、昌平、大兴库存规模均超100万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；远郊区库存规模合计约102万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，主要集中在怀柔区、密云区。海淀、延庆短期库存去化风险较低；丰台、昌平、大兴、怀柔、密云、平谷等区域库存去化风险突出</w:t>
      </w:r>
      <w:bookmarkEnd w:id="147"/>
      <w:r>
        <w:rPr>
          <w:rFonts w:ascii="Arial" w:hAnsi="Arial" w:eastAsia="仿宋" w:cs="Arial"/>
          <w:sz w:val="28"/>
          <w:szCs w:val="28"/>
          <w:highlight w:val="none"/>
          <w:lang w:bidi="ar"/>
        </w:rPr>
        <w:t>。</w:t>
      </w:r>
    </w:p>
    <w:p w14:paraId="009DEFE9">
      <w:pPr>
        <w:widowControl/>
        <w:spacing w:line="360" w:lineRule="auto"/>
        <w:jc w:val="center"/>
        <w:rPr>
          <w:rFonts w:hint="eastAsia" w:ascii="Arial" w:hAnsi="Arial" w:eastAsia="仿宋" w:cs="Arial"/>
          <w:bCs/>
          <w:color w:val="000000"/>
          <w:sz w:val="28"/>
          <w:szCs w:val="28"/>
          <w:highlight w:val="none"/>
        </w:rPr>
      </w:pPr>
      <w:bookmarkStart w:id="148" w:name="_Hlk220072926"/>
      <w:r>
        <w:rPr>
          <w:highlight w:val="none"/>
        </w:rPr>
        <w:drawing>
          <wp:inline distT="0" distB="0" distL="114300" distR="114300">
            <wp:extent cx="5906770" cy="2166620"/>
            <wp:effectExtent l="0" t="0" r="6350" b="12700"/>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48"/>
                    <a:stretch>
                      <a:fillRect/>
                    </a:stretch>
                  </pic:blipFill>
                  <pic:spPr>
                    <a:xfrm>
                      <a:off x="0" y="0"/>
                      <a:ext cx="5906770" cy="2166620"/>
                    </a:xfrm>
                    <a:prstGeom prst="rect">
                      <a:avLst/>
                    </a:prstGeom>
                    <a:noFill/>
                    <a:ln>
                      <a:noFill/>
                    </a:ln>
                  </pic:spPr>
                </pic:pic>
              </a:graphicData>
            </a:graphic>
          </wp:inline>
        </w:drawing>
      </w:r>
      <w:bookmarkEnd w:id="148"/>
    </w:p>
    <w:p w14:paraId="09336B60">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w:t>
      </w:r>
      <w:r>
        <w:rPr>
          <w:rFonts w:hint="eastAsia" w:ascii="Arial" w:hAnsi="Arial" w:eastAsia="仿宋" w:cs="Arial"/>
          <w:sz w:val="28"/>
          <w:szCs w:val="28"/>
          <w:highlight w:val="none"/>
          <w:lang w:bidi="ar"/>
        </w:rPr>
        <w:t>新建</w:t>
      </w:r>
      <w:r>
        <w:rPr>
          <w:rFonts w:ascii="Arial" w:hAnsi="Arial" w:eastAsia="仿宋" w:cs="Arial"/>
          <w:sz w:val="28"/>
          <w:szCs w:val="28"/>
          <w:highlight w:val="none"/>
          <w:lang w:bidi="ar"/>
        </w:rPr>
        <w:t>商品住宅成交情况</w:t>
      </w:r>
    </w:p>
    <w:p w14:paraId="1E250B39">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A.成交量</w:t>
      </w:r>
    </w:p>
    <w:p w14:paraId="7E800E55">
      <w:pPr>
        <w:widowControl/>
        <w:adjustRightInd/>
        <w:spacing w:line="300" w:lineRule="auto"/>
        <w:ind w:firstLine="560" w:firstLineChars="200"/>
        <w:jc w:val="both"/>
        <w:rPr>
          <w:rFonts w:ascii="Arial" w:hAnsi="Arial" w:eastAsia="仿宋" w:cs="Arial"/>
          <w:sz w:val="28"/>
          <w:szCs w:val="28"/>
          <w:highlight w:val="none"/>
          <w:lang w:bidi="ar"/>
        </w:rPr>
      </w:pPr>
      <w:bookmarkStart w:id="149" w:name="_Hlk220072950"/>
      <w:r>
        <w:rPr>
          <w:rFonts w:ascii="Arial" w:hAnsi="Arial" w:eastAsia="仿宋" w:cs="Arial"/>
          <w:sz w:val="28"/>
          <w:szCs w:val="28"/>
          <w:highlight w:val="none"/>
          <w:lang w:bidi="ar"/>
        </w:rPr>
        <w:t>新</w:t>
      </w:r>
      <w:r>
        <w:rPr>
          <w:rFonts w:hint="eastAsia" w:ascii="Arial" w:hAnsi="Arial" w:eastAsia="仿宋" w:cs="Arial"/>
          <w:sz w:val="28"/>
          <w:szCs w:val="28"/>
          <w:highlight w:val="none"/>
          <w:lang w:bidi="ar"/>
        </w:rPr>
        <w:t>建</w:t>
      </w:r>
      <w:r>
        <w:rPr>
          <w:rFonts w:ascii="Arial" w:hAnsi="Arial" w:eastAsia="仿宋" w:cs="Arial"/>
          <w:sz w:val="28"/>
          <w:szCs w:val="28"/>
          <w:highlight w:val="none"/>
          <w:lang w:bidi="ar"/>
        </w:rPr>
        <w:t>商品住宅市场成交疲软，仍处于寻底阶段。2025年北京新建商品住宅累计成交面积502.44万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，同比下降15.1%，较2021年高位下降49.4%，较近三年均值下降18.3%。</w:t>
      </w:r>
      <w:r>
        <w:rPr>
          <w:rFonts w:hint="eastAsia" w:ascii="Arial" w:hAnsi="Arial" w:eastAsia="仿宋" w:cs="Arial"/>
          <w:sz w:val="28"/>
          <w:szCs w:val="28"/>
          <w:highlight w:val="none"/>
          <w:lang w:bidi="ar"/>
        </w:rPr>
        <w:t>按</w:t>
      </w:r>
      <w:r>
        <w:rPr>
          <w:rFonts w:ascii="Arial" w:hAnsi="Arial" w:eastAsia="仿宋" w:cs="Arial"/>
          <w:sz w:val="28"/>
          <w:szCs w:val="28"/>
          <w:highlight w:val="none"/>
          <w:lang w:bidi="ar"/>
        </w:rPr>
        <w:t>月度</w:t>
      </w:r>
      <w:r>
        <w:rPr>
          <w:rFonts w:hint="eastAsia" w:ascii="Arial" w:hAnsi="Arial" w:eastAsia="仿宋" w:cs="Arial"/>
          <w:sz w:val="28"/>
          <w:szCs w:val="28"/>
          <w:highlight w:val="none"/>
          <w:lang w:bidi="ar"/>
        </w:rPr>
        <w:t>看，</w:t>
      </w:r>
      <w:r>
        <w:rPr>
          <w:rFonts w:ascii="Arial" w:hAnsi="Arial" w:eastAsia="仿宋" w:cs="Arial"/>
          <w:sz w:val="28"/>
          <w:szCs w:val="28"/>
          <w:highlight w:val="none"/>
          <w:lang w:bidi="ar"/>
        </w:rPr>
        <w:t>整体呈波浪式下滑趋势</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4</w:t>
      </w:r>
      <w:r>
        <w:rPr>
          <w:rFonts w:hint="eastAsia" w:ascii="Arial" w:hAnsi="Arial" w:eastAsia="仿宋" w:cs="Arial"/>
          <w:sz w:val="28"/>
          <w:szCs w:val="28"/>
          <w:highlight w:val="none"/>
          <w:lang w:bidi="ar"/>
        </w:rPr>
        <w:t>月25日</w:t>
      </w:r>
      <w:r>
        <w:rPr>
          <w:rFonts w:ascii="Arial" w:hAnsi="Arial" w:eastAsia="仿宋" w:cs="Arial"/>
          <w:sz w:val="28"/>
          <w:szCs w:val="28"/>
          <w:highlight w:val="none"/>
          <w:lang w:bidi="ar"/>
        </w:rPr>
        <w:t>政治局会议定调之后，金融部门积极跟进落实各项举措</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5月7日国常会发布降准降息等一揽子金融政策</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6月北京成交明显回升。7月，受季节性因素影响，成交环比明显下滑。8月，北京五环外解除限购同时优化公积金贷款政策，成交量环比略有增长，但新政边际效果有限</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9月， 随着“金九银十”行业旺季，成交环比上行</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10月，受国庆假期的影响，成交小幅下滑</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11月，市场观望情绪浓厚，成交环比下滑</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12月，房企年终业绩冲刺、 叠加放宽非京籍及多孩家庭购房限制等利好因素影响，市场成交回升</w:t>
      </w:r>
      <w:bookmarkEnd w:id="149"/>
      <w:r>
        <w:rPr>
          <w:rFonts w:ascii="Arial" w:hAnsi="Arial" w:eastAsia="仿宋" w:cs="Arial"/>
          <w:sz w:val="28"/>
          <w:szCs w:val="28"/>
          <w:highlight w:val="none"/>
          <w:lang w:bidi="ar"/>
        </w:rPr>
        <w:t>。</w:t>
      </w:r>
    </w:p>
    <w:p w14:paraId="69358BD4">
      <w:pPr>
        <w:widowControl/>
        <w:spacing w:line="360" w:lineRule="auto"/>
        <w:jc w:val="center"/>
        <w:rPr>
          <w:rFonts w:hint="eastAsia" w:ascii="Arial" w:hAnsi="Arial" w:eastAsia="仿宋" w:cs="Arial"/>
          <w:bCs/>
          <w:color w:val="000000"/>
          <w:sz w:val="28"/>
          <w:szCs w:val="28"/>
          <w:highlight w:val="none"/>
        </w:rPr>
      </w:pPr>
      <w:bookmarkStart w:id="150" w:name="_Hlk220072967"/>
      <w:r>
        <w:rPr>
          <w:highlight w:val="none"/>
        </w:rPr>
        <w:drawing>
          <wp:inline distT="0" distB="0" distL="114300" distR="114300">
            <wp:extent cx="5909310" cy="1527175"/>
            <wp:effectExtent l="0" t="0" r="3810" b="12065"/>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49"/>
                    <a:stretch>
                      <a:fillRect/>
                    </a:stretch>
                  </pic:blipFill>
                  <pic:spPr>
                    <a:xfrm>
                      <a:off x="0" y="0"/>
                      <a:ext cx="5909310" cy="1527175"/>
                    </a:xfrm>
                    <a:prstGeom prst="rect">
                      <a:avLst/>
                    </a:prstGeom>
                    <a:noFill/>
                    <a:ln>
                      <a:noFill/>
                    </a:ln>
                  </pic:spPr>
                </pic:pic>
              </a:graphicData>
            </a:graphic>
          </wp:inline>
        </w:drawing>
      </w:r>
      <w:bookmarkEnd w:id="150"/>
    </w:p>
    <w:p w14:paraId="531E2842">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B.成交价格</w:t>
      </w:r>
    </w:p>
    <w:p w14:paraId="0DF71049">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a.成交价格</w:t>
      </w:r>
    </w:p>
    <w:p w14:paraId="6F2E8D8B">
      <w:pPr>
        <w:widowControl/>
        <w:adjustRightInd/>
        <w:spacing w:line="300" w:lineRule="auto"/>
        <w:ind w:firstLine="560" w:firstLineChars="200"/>
        <w:jc w:val="both"/>
        <w:rPr>
          <w:rFonts w:ascii="Arial" w:hAnsi="Arial" w:eastAsia="仿宋" w:cs="Arial"/>
          <w:sz w:val="28"/>
          <w:szCs w:val="28"/>
          <w:highlight w:val="none"/>
          <w:lang w:bidi="ar"/>
        </w:rPr>
      </w:pPr>
      <w:bookmarkStart w:id="151" w:name="_Hlk220072983"/>
      <w:r>
        <w:rPr>
          <w:rFonts w:ascii="Arial" w:hAnsi="Arial" w:eastAsia="仿宋" w:cs="Arial"/>
          <w:sz w:val="28"/>
          <w:szCs w:val="28"/>
          <w:highlight w:val="none"/>
          <w:lang w:bidi="ar"/>
        </w:rPr>
        <w:t>2023年10月以来，北京新</w:t>
      </w:r>
      <w:r>
        <w:rPr>
          <w:rFonts w:hint="eastAsia" w:ascii="Arial" w:hAnsi="Arial" w:eastAsia="仿宋" w:cs="Arial"/>
          <w:sz w:val="28"/>
          <w:szCs w:val="28"/>
          <w:highlight w:val="none"/>
          <w:lang w:bidi="ar"/>
        </w:rPr>
        <w:t>建商品房</w:t>
      </w:r>
      <w:r>
        <w:rPr>
          <w:rFonts w:ascii="Arial" w:hAnsi="Arial" w:eastAsia="仿宋" w:cs="Arial"/>
          <w:sz w:val="28"/>
          <w:szCs w:val="28"/>
          <w:highlight w:val="none"/>
          <w:lang w:bidi="ar"/>
        </w:rPr>
        <w:t>房价进入下跌通道，2024年和2025年北京新房房价累计跌幅分别为5.4个百分点和2.4个百分点。 2025年新房房价跌幅较2024年出现收窄，但整体仍处于下跌区间，10月份以来新房房价跌幅出现扩大，11月北京新房房价环比下跌 0.5%</w:t>
      </w:r>
      <w:bookmarkEnd w:id="151"/>
      <w:r>
        <w:rPr>
          <w:rFonts w:ascii="Arial" w:hAnsi="Arial" w:eastAsia="仿宋" w:cs="Arial"/>
          <w:sz w:val="28"/>
          <w:szCs w:val="28"/>
          <w:highlight w:val="none"/>
          <w:lang w:bidi="ar"/>
        </w:rPr>
        <w:t>。</w:t>
      </w:r>
    </w:p>
    <w:p w14:paraId="57F468EC">
      <w:pPr>
        <w:widowControl/>
        <w:spacing w:line="360" w:lineRule="auto"/>
        <w:jc w:val="center"/>
        <w:rPr>
          <w:highlight w:val="none"/>
        </w:rPr>
      </w:pPr>
      <w:bookmarkStart w:id="152" w:name="_Hlk220073001"/>
      <w:r>
        <w:rPr>
          <w:highlight w:val="none"/>
        </w:rPr>
        <w:drawing>
          <wp:inline distT="0" distB="0" distL="114300" distR="114300">
            <wp:extent cx="5142865" cy="2837815"/>
            <wp:effectExtent l="0" t="0" r="8255" b="1206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50"/>
                    <a:stretch>
                      <a:fillRect/>
                    </a:stretch>
                  </pic:blipFill>
                  <pic:spPr>
                    <a:xfrm>
                      <a:off x="0" y="0"/>
                      <a:ext cx="5142865" cy="2837815"/>
                    </a:xfrm>
                    <a:prstGeom prst="rect">
                      <a:avLst/>
                    </a:prstGeom>
                    <a:noFill/>
                    <a:ln>
                      <a:noFill/>
                    </a:ln>
                  </pic:spPr>
                </pic:pic>
              </a:graphicData>
            </a:graphic>
          </wp:inline>
        </w:drawing>
      </w:r>
      <w:bookmarkEnd w:id="152"/>
    </w:p>
    <w:p w14:paraId="2F3BC485">
      <w:pPr>
        <w:widowControl/>
        <w:adjustRightInd/>
        <w:spacing w:line="300" w:lineRule="auto"/>
        <w:ind w:firstLine="560" w:firstLineChars="200"/>
        <w:jc w:val="both"/>
        <w:rPr>
          <w:rFonts w:ascii="Arial" w:hAnsi="Arial" w:eastAsia="仿宋" w:cs="Arial"/>
          <w:sz w:val="28"/>
          <w:szCs w:val="28"/>
          <w:highlight w:val="none"/>
          <w:lang w:bidi="ar"/>
        </w:rPr>
      </w:pPr>
      <w:bookmarkStart w:id="153" w:name="_Hlk220073018"/>
      <w:r>
        <w:rPr>
          <w:rFonts w:hint="eastAsia" w:ascii="Arial" w:hAnsi="Arial" w:eastAsia="仿宋" w:cs="Arial"/>
          <w:sz w:val="28"/>
          <w:szCs w:val="28"/>
          <w:highlight w:val="none"/>
          <w:lang w:bidi="ar"/>
        </w:rPr>
        <w:t>从各面积段来看，</w:t>
      </w:r>
      <w:r>
        <w:rPr>
          <w:rFonts w:ascii="Arial" w:hAnsi="Arial" w:eastAsia="仿宋" w:cs="Arial"/>
          <w:sz w:val="28"/>
          <w:szCs w:val="28"/>
          <w:highlight w:val="none"/>
          <w:lang w:bidi="ar"/>
        </w:rPr>
        <w:t>小户型价格跌幅相对较大，大户型价格相对坚挺。2025年，北京90㎡及以下面积段新房房价累计下跌3.7个百分点； 90</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144平新房房价累计下跌2.9个百分点；144平以上大户型新房房价累计下跌1.3个百分点。</w:t>
      </w:r>
    </w:p>
    <w:bookmarkEnd w:id="153"/>
    <w:p w14:paraId="22A1509E">
      <w:pPr>
        <w:widowControl/>
        <w:spacing w:line="360" w:lineRule="auto"/>
        <w:jc w:val="center"/>
        <w:rPr>
          <w:rFonts w:hint="eastAsia" w:ascii="Arial" w:hAnsi="Arial" w:eastAsia="仿宋" w:cs="Arial"/>
          <w:bCs/>
          <w:color w:val="000000"/>
          <w:sz w:val="28"/>
          <w:szCs w:val="28"/>
          <w:highlight w:val="none"/>
        </w:rPr>
      </w:pPr>
      <w:bookmarkStart w:id="154" w:name="_Hlk220073037"/>
      <w:r>
        <w:rPr>
          <w:highlight w:val="none"/>
        </w:rPr>
        <w:drawing>
          <wp:inline distT="0" distB="0" distL="114300" distR="114300">
            <wp:extent cx="4723765" cy="2771140"/>
            <wp:effectExtent l="0" t="0" r="635" b="2540"/>
            <wp:docPr id="2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
                    <pic:cNvPicPr>
                      <a:picLocks noChangeAspect="1"/>
                    </pic:cNvPicPr>
                  </pic:nvPicPr>
                  <pic:blipFill>
                    <a:blip r:embed="rId51"/>
                    <a:stretch>
                      <a:fillRect/>
                    </a:stretch>
                  </pic:blipFill>
                  <pic:spPr>
                    <a:xfrm>
                      <a:off x="0" y="0"/>
                      <a:ext cx="4723765" cy="2771140"/>
                    </a:xfrm>
                    <a:prstGeom prst="rect">
                      <a:avLst/>
                    </a:prstGeom>
                    <a:noFill/>
                    <a:ln>
                      <a:noFill/>
                    </a:ln>
                  </pic:spPr>
                </pic:pic>
              </a:graphicData>
            </a:graphic>
          </wp:inline>
        </w:drawing>
      </w:r>
      <w:bookmarkEnd w:id="154"/>
    </w:p>
    <w:p w14:paraId="0CEB3738">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b.成交结构</w:t>
      </w:r>
    </w:p>
    <w:p w14:paraId="0AEB4C6E">
      <w:pPr>
        <w:widowControl/>
        <w:adjustRightInd/>
        <w:spacing w:line="300" w:lineRule="auto"/>
        <w:ind w:firstLine="560" w:firstLineChars="200"/>
        <w:jc w:val="both"/>
        <w:rPr>
          <w:rFonts w:ascii="Arial" w:hAnsi="Arial" w:eastAsia="仿宋" w:cs="Arial"/>
          <w:sz w:val="28"/>
          <w:szCs w:val="28"/>
          <w:highlight w:val="none"/>
          <w:lang w:bidi="ar"/>
        </w:rPr>
      </w:pPr>
      <w:bookmarkStart w:id="155" w:name="_Hlk220073057"/>
      <w:r>
        <w:rPr>
          <w:rFonts w:ascii="Arial" w:hAnsi="Arial" w:eastAsia="仿宋" w:cs="Arial"/>
          <w:sz w:val="28"/>
          <w:szCs w:val="28"/>
          <w:highlight w:val="none"/>
          <w:lang w:bidi="ar"/>
        </w:rPr>
        <w:t>2025年，新房以改善需求为主，中高面积段、中高价位段为市场成交主力，</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房对刚需客户分流明显</w:t>
      </w:r>
      <w:bookmarkEnd w:id="155"/>
      <w:r>
        <w:rPr>
          <w:rFonts w:ascii="Arial" w:hAnsi="Arial" w:eastAsia="仿宋" w:cs="Arial"/>
          <w:sz w:val="28"/>
          <w:szCs w:val="28"/>
          <w:highlight w:val="none"/>
          <w:lang w:bidi="ar"/>
        </w:rPr>
        <w:t>。</w:t>
      </w:r>
    </w:p>
    <w:p w14:paraId="39D6D91A">
      <w:pPr>
        <w:widowControl/>
        <w:adjustRightInd/>
        <w:spacing w:line="300" w:lineRule="auto"/>
        <w:ind w:firstLine="560" w:firstLineChars="200"/>
        <w:jc w:val="both"/>
        <w:rPr>
          <w:rFonts w:ascii="Arial" w:hAnsi="Arial" w:eastAsia="仿宋" w:cs="Arial"/>
          <w:sz w:val="28"/>
          <w:szCs w:val="28"/>
          <w:highlight w:val="none"/>
          <w:lang w:bidi="ar"/>
        </w:rPr>
      </w:pPr>
      <w:bookmarkStart w:id="156" w:name="_Hlk220073076"/>
      <w:r>
        <w:rPr>
          <w:rFonts w:ascii="Arial" w:hAnsi="Arial" w:eastAsia="仿宋" w:cs="Arial"/>
          <w:sz w:val="28"/>
          <w:szCs w:val="28"/>
          <w:highlight w:val="none"/>
          <w:lang w:bidi="ar"/>
        </w:rPr>
        <w:t>新房主力成交面积段上移，中高面积段占比大幅提升。2025年，北京商品住宅（不含保障房）中高面积成交套数占比升至71.5%，同比上升 4.2个百分点；中低面积段产品成交占比下滑4.0个百分点。细分来看，90</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120平以及120</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160平面积段产品成为北京商品住宅成交主力，成交套数占比分别为36.2%和27.6%</w:t>
      </w:r>
      <w:bookmarkEnd w:id="156"/>
      <w:r>
        <w:rPr>
          <w:rFonts w:ascii="Arial" w:hAnsi="Arial" w:eastAsia="仿宋" w:cs="Arial"/>
          <w:sz w:val="28"/>
          <w:szCs w:val="28"/>
          <w:highlight w:val="none"/>
          <w:lang w:bidi="ar"/>
        </w:rPr>
        <w:t>。</w:t>
      </w:r>
    </w:p>
    <w:p w14:paraId="1044C06F">
      <w:pPr>
        <w:widowControl/>
        <w:spacing w:line="360" w:lineRule="auto"/>
        <w:jc w:val="center"/>
        <w:rPr>
          <w:rFonts w:hint="eastAsia" w:ascii="Arial" w:hAnsi="Arial" w:eastAsia="仿宋" w:cs="Arial"/>
          <w:bCs/>
          <w:color w:val="000000"/>
          <w:sz w:val="28"/>
          <w:szCs w:val="28"/>
          <w:highlight w:val="none"/>
        </w:rPr>
      </w:pPr>
      <w:bookmarkStart w:id="157" w:name="_Hlk220073097"/>
      <w:r>
        <w:rPr>
          <w:highlight w:val="none"/>
        </w:rPr>
        <w:drawing>
          <wp:inline distT="0" distB="0" distL="114300" distR="114300">
            <wp:extent cx="4409440" cy="3171190"/>
            <wp:effectExtent l="0" t="0" r="10160" b="13970"/>
            <wp:docPr id="2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0"/>
                    <pic:cNvPicPr>
                      <a:picLocks noChangeAspect="1"/>
                    </pic:cNvPicPr>
                  </pic:nvPicPr>
                  <pic:blipFill>
                    <a:blip r:embed="rId52"/>
                    <a:stretch>
                      <a:fillRect/>
                    </a:stretch>
                  </pic:blipFill>
                  <pic:spPr>
                    <a:xfrm>
                      <a:off x="0" y="0"/>
                      <a:ext cx="4409440" cy="3171190"/>
                    </a:xfrm>
                    <a:prstGeom prst="rect">
                      <a:avLst/>
                    </a:prstGeom>
                    <a:noFill/>
                    <a:ln>
                      <a:noFill/>
                    </a:ln>
                  </pic:spPr>
                </pic:pic>
              </a:graphicData>
            </a:graphic>
          </wp:inline>
        </w:drawing>
      </w:r>
      <w:bookmarkEnd w:id="157"/>
    </w:p>
    <w:p w14:paraId="1986F885">
      <w:pPr>
        <w:widowControl/>
        <w:adjustRightInd/>
        <w:spacing w:line="300" w:lineRule="auto"/>
        <w:ind w:firstLine="560" w:firstLineChars="200"/>
        <w:jc w:val="both"/>
        <w:rPr>
          <w:rFonts w:ascii="Arial" w:hAnsi="Arial" w:eastAsia="仿宋" w:cs="Arial"/>
          <w:sz w:val="28"/>
          <w:szCs w:val="28"/>
          <w:highlight w:val="none"/>
          <w:lang w:bidi="ar"/>
        </w:rPr>
      </w:pPr>
      <w:bookmarkStart w:id="158" w:name="_Hlk220073114"/>
      <w:r>
        <w:rPr>
          <w:rFonts w:ascii="Arial" w:hAnsi="Arial" w:eastAsia="仿宋" w:cs="Arial"/>
          <w:sz w:val="28"/>
          <w:szCs w:val="28"/>
          <w:highlight w:val="none"/>
          <w:lang w:bidi="ar"/>
        </w:rPr>
        <w:t>高价位段产品占比提升，中高价位段产品占比保持平稳。2025年，在海淀、朝阳等高端项目带动下，高价位段产品成交占比提升3.6个百分点至14.4%；中高价位段产品占比保持平稳，而中低价位段产品占比进一步下滑至39.3%</w:t>
      </w:r>
      <w:bookmarkEnd w:id="158"/>
      <w:r>
        <w:rPr>
          <w:rFonts w:ascii="Arial" w:hAnsi="Arial" w:eastAsia="仿宋" w:cs="Arial"/>
          <w:sz w:val="28"/>
          <w:szCs w:val="28"/>
          <w:highlight w:val="none"/>
          <w:lang w:bidi="ar"/>
        </w:rPr>
        <w:t>。</w:t>
      </w:r>
    </w:p>
    <w:p w14:paraId="577F5D23">
      <w:pPr>
        <w:widowControl/>
        <w:spacing w:line="360" w:lineRule="auto"/>
        <w:jc w:val="center"/>
        <w:rPr>
          <w:rFonts w:hint="eastAsia" w:ascii="Arial" w:hAnsi="Arial" w:eastAsia="仿宋" w:cs="Arial"/>
          <w:bCs/>
          <w:color w:val="000000"/>
          <w:sz w:val="28"/>
          <w:szCs w:val="28"/>
          <w:highlight w:val="none"/>
        </w:rPr>
      </w:pPr>
      <w:bookmarkStart w:id="159" w:name="_Hlk220073131"/>
      <w:r>
        <w:rPr>
          <w:highlight w:val="none"/>
        </w:rPr>
        <w:drawing>
          <wp:inline distT="0" distB="0" distL="114300" distR="114300">
            <wp:extent cx="5180965" cy="3104515"/>
            <wp:effectExtent l="0" t="0" r="635" b="4445"/>
            <wp:docPr id="3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1"/>
                    <pic:cNvPicPr>
                      <a:picLocks noChangeAspect="1"/>
                    </pic:cNvPicPr>
                  </pic:nvPicPr>
                  <pic:blipFill>
                    <a:blip r:embed="rId53"/>
                    <a:stretch>
                      <a:fillRect/>
                    </a:stretch>
                  </pic:blipFill>
                  <pic:spPr>
                    <a:xfrm>
                      <a:off x="0" y="0"/>
                      <a:ext cx="5180965" cy="3104515"/>
                    </a:xfrm>
                    <a:prstGeom prst="rect">
                      <a:avLst/>
                    </a:prstGeom>
                    <a:noFill/>
                    <a:ln>
                      <a:noFill/>
                    </a:ln>
                  </pic:spPr>
                </pic:pic>
              </a:graphicData>
            </a:graphic>
          </wp:inline>
        </w:drawing>
      </w:r>
      <w:bookmarkEnd w:id="159"/>
    </w:p>
    <w:p w14:paraId="392E3103">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C.区域成交</w:t>
      </w:r>
    </w:p>
    <w:p w14:paraId="127F4633">
      <w:pPr>
        <w:widowControl/>
        <w:adjustRightInd/>
        <w:spacing w:line="300" w:lineRule="auto"/>
        <w:ind w:firstLine="560" w:firstLineChars="200"/>
        <w:jc w:val="both"/>
        <w:rPr>
          <w:rFonts w:hint="eastAsia" w:ascii="Arial" w:hAnsi="Arial" w:eastAsia="仿宋" w:cs="Arial"/>
          <w:sz w:val="28"/>
          <w:szCs w:val="28"/>
          <w:highlight w:val="none"/>
          <w:lang w:bidi="ar"/>
        </w:rPr>
      </w:pPr>
      <w:bookmarkStart w:id="160" w:name="_Hlk220073151"/>
      <w:r>
        <w:rPr>
          <w:rFonts w:ascii="Arial" w:hAnsi="Arial" w:eastAsia="仿宋" w:cs="Arial"/>
          <w:sz w:val="28"/>
          <w:szCs w:val="28"/>
          <w:highlight w:val="none"/>
          <w:lang w:bidi="ar"/>
        </w:rPr>
        <w:t>从区域成交规模来看，2025年中心城区</w:t>
      </w:r>
      <w:r>
        <w:rPr>
          <w:rFonts w:hint="eastAsia" w:ascii="Arial" w:hAnsi="Arial" w:eastAsia="仿宋" w:cs="Arial"/>
          <w:sz w:val="28"/>
          <w:szCs w:val="28"/>
          <w:highlight w:val="none"/>
          <w:lang w:bidi="ar"/>
        </w:rPr>
        <w:t>（含核心区）</w:t>
      </w:r>
      <w:r>
        <w:rPr>
          <w:rFonts w:ascii="Arial" w:hAnsi="Arial" w:eastAsia="仿宋" w:cs="Arial"/>
          <w:sz w:val="28"/>
          <w:szCs w:val="28"/>
          <w:highlight w:val="none"/>
          <w:lang w:bidi="ar"/>
        </w:rPr>
        <w:t>成交面积同比增长8%，占比提升6.6个百分点至41.9%。其中朝阳区成交规模超62万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居首位；在功德寺、朱房等项目带动下，海淀区成交规模同比大幅提升；近郊六区依然为北京新房成交主力区域，但成交面积同比下降20%，占比下滑至6.8个百分点至52.2%。在中建运河玖院、朝棠揽阅、长安华曦府等热点项目带动下，通州、门头沟同比增长。</w:t>
      </w:r>
    </w:p>
    <w:p w14:paraId="26B28682">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从区域成交</w:t>
      </w:r>
      <w:r>
        <w:rPr>
          <w:rFonts w:hint="eastAsia" w:ascii="Arial" w:hAnsi="Arial" w:eastAsia="仿宋" w:cs="Arial"/>
          <w:sz w:val="28"/>
          <w:szCs w:val="28"/>
          <w:highlight w:val="none"/>
          <w:lang w:bidi="ar"/>
        </w:rPr>
        <w:t>价</w:t>
      </w:r>
      <w:r>
        <w:rPr>
          <w:rFonts w:ascii="Arial" w:hAnsi="Arial" w:eastAsia="仿宋" w:cs="Arial"/>
          <w:sz w:val="28"/>
          <w:szCs w:val="28"/>
          <w:highlight w:val="none"/>
          <w:lang w:bidi="ar"/>
        </w:rPr>
        <w:t>来看，2025年北京中心城区</w:t>
      </w:r>
      <w:r>
        <w:rPr>
          <w:rFonts w:hint="eastAsia" w:ascii="Arial" w:hAnsi="Arial" w:eastAsia="仿宋" w:cs="Arial"/>
          <w:sz w:val="28"/>
          <w:szCs w:val="28"/>
          <w:highlight w:val="none"/>
          <w:lang w:bidi="ar"/>
        </w:rPr>
        <w:t>（含核心区）</w:t>
      </w:r>
      <w:r>
        <w:rPr>
          <w:rFonts w:ascii="Arial" w:hAnsi="Arial" w:eastAsia="仿宋" w:cs="Arial"/>
          <w:sz w:val="28"/>
          <w:szCs w:val="28"/>
          <w:highlight w:val="none"/>
          <w:lang w:bidi="ar"/>
        </w:rPr>
        <w:t>成交均价为83430元/</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，同比基本持平，其中海淀、朝阳成交均价同比上涨；近郊六区成交均价同比保持平稳，通州区同比小幅上涨1%，其他区成交均价同比下跌</w:t>
      </w:r>
      <w:bookmarkEnd w:id="160"/>
      <w:r>
        <w:rPr>
          <w:rFonts w:ascii="Arial" w:hAnsi="Arial" w:eastAsia="仿宋" w:cs="Arial"/>
          <w:sz w:val="28"/>
          <w:szCs w:val="28"/>
          <w:highlight w:val="none"/>
          <w:lang w:bidi="ar"/>
        </w:rPr>
        <w:t>。</w:t>
      </w:r>
    </w:p>
    <w:p w14:paraId="7301942F">
      <w:pPr>
        <w:widowControl/>
        <w:spacing w:line="360" w:lineRule="auto"/>
        <w:jc w:val="center"/>
        <w:rPr>
          <w:rFonts w:ascii="Arial" w:hAnsi="Arial" w:eastAsia="仿宋" w:cs="Arial"/>
          <w:bCs/>
          <w:color w:val="000000"/>
          <w:sz w:val="28"/>
          <w:szCs w:val="28"/>
          <w:highlight w:val="none"/>
        </w:rPr>
      </w:pPr>
      <w:bookmarkStart w:id="161" w:name="_Hlk220073173"/>
      <w:r>
        <w:rPr>
          <w:highlight w:val="none"/>
        </w:rPr>
        <w:drawing>
          <wp:inline distT="0" distB="0" distL="114300" distR="114300">
            <wp:extent cx="5903595" cy="1983105"/>
            <wp:effectExtent l="0" t="0" r="9525" b="13335"/>
            <wp:docPr id="56" name="图片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2" descr="222"/>
                    <pic:cNvPicPr>
                      <a:picLocks noChangeAspect="1"/>
                    </pic:cNvPicPr>
                  </pic:nvPicPr>
                  <pic:blipFill>
                    <a:blip r:embed="rId54"/>
                    <a:stretch>
                      <a:fillRect/>
                    </a:stretch>
                  </pic:blipFill>
                  <pic:spPr>
                    <a:xfrm>
                      <a:off x="0" y="0"/>
                      <a:ext cx="5903595" cy="1983105"/>
                    </a:xfrm>
                    <a:prstGeom prst="rect">
                      <a:avLst/>
                    </a:prstGeom>
                    <a:noFill/>
                    <a:ln>
                      <a:noFill/>
                    </a:ln>
                  </pic:spPr>
                </pic:pic>
              </a:graphicData>
            </a:graphic>
          </wp:inline>
        </w:drawing>
      </w:r>
      <w:bookmarkEnd w:id="161"/>
    </w:p>
    <w:p w14:paraId="56E2314E">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（3）存量房住宅市场</w:t>
      </w:r>
    </w:p>
    <w:p w14:paraId="7E8E5F38">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1）市场运行状况</w:t>
      </w:r>
    </w:p>
    <w:p w14:paraId="51D8A5D6">
      <w:pPr>
        <w:widowControl/>
        <w:adjustRightInd/>
        <w:spacing w:line="300" w:lineRule="auto"/>
        <w:ind w:firstLine="560" w:firstLineChars="200"/>
        <w:jc w:val="both"/>
        <w:rPr>
          <w:rFonts w:ascii="Arial" w:hAnsi="Arial" w:eastAsia="仿宋" w:cs="Arial"/>
          <w:sz w:val="28"/>
          <w:szCs w:val="28"/>
          <w:highlight w:val="none"/>
          <w:lang w:bidi="ar"/>
        </w:rPr>
      </w:pPr>
      <w:bookmarkStart w:id="162" w:name="_Hlk220073195"/>
      <w:r>
        <w:rPr>
          <w:rFonts w:ascii="Arial" w:hAnsi="Arial" w:eastAsia="仿宋" w:cs="Arial"/>
          <w:sz w:val="28"/>
          <w:szCs w:val="28"/>
          <w:highlight w:val="none"/>
          <w:lang w:bidi="ar"/>
        </w:rPr>
        <w:t>2025年上半年，北京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商品住宅新增挂牌持续处于较高水平；下半年新增挂牌规模回落，9月新增挂牌升至下半年高位，四季度新增挂牌持续回落。5月以来累计挂牌量持续处于高位水平，</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房市场明显供大于求。截止到2025年12月，北京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商品住宅存量挂牌套数为13.69万套，较年初增加8.5%</w:t>
      </w:r>
      <w:bookmarkEnd w:id="162"/>
      <w:r>
        <w:rPr>
          <w:rFonts w:ascii="Arial" w:hAnsi="Arial" w:eastAsia="仿宋" w:cs="Arial"/>
          <w:sz w:val="28"/>
          <w:szCs w:val="28"/>
          <w:highlight w:val="none"/>
          <w:lang w:bidi="ar"/>
        </w:rPr>
        <w:t>。</w:t>
      </w:r>
    </w:p>
    <w:p w14:paraId="51C5622E">
      <w:pPr>
        <w:widowControl/>
        <w:spacing w:line="360" w:lineRule="auto"/>
        <w:jc w:val="center"/>
        <w:rPr>
          <w:rFonts w:hint="eastAsia" w:ascii="Arial" w:hAnsi="Arial" w:eastAsia="仿宋" w:cs="Arial"/>
          <w:bCs/>
          <w:color w:val="000000"/>
          <w:sz w:val="28"/>
          <w:szCs w:val="28"/>
          <w:highlight w:val="none"/>
        </w:rPr>
      </w:pPr>
      <w:bookmarkStart w:id="163" w:name="_Hlk220073210"/>
      <w:r>
        <w:rPr>
          <w:highlight w:val="none"/>
        </w:rPr>
        <w:drawing>
          <wp:inline distT="0" distB="0" distL="114300" distR="114300">
            <wp:extent cx="5304790" cy="2790190"/>
            <wp:effectExtent l="0" t="0" r="13970" b="13970"/>
            <wp:docPr id="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pic:cNvPicPr>
                      <a:picLocks noChangeAspect="1"/>
                    </pic:cNvPicPr>
                  </pic:nvPicPr>
                  <pic:blipFill>
                    <a:blip r:embed="rId55"/>
                    <a:stretch>
                      <a:fillRect/>
                    </a:stretch>
                  </pic:blipFill>
                  <pic:spPr>
                    <a:xfrm>
                      <a:off x="0" y="0"/>
                      <a:ext cx="5304790" cy="2790190"/>
                    </a:xfrm>
                    <a:prstGeom prst="rect">
                      <a:avLst/>
                    </a:prstGeom>
                    <a:noFill/>
                    <a:ln>
                      <a:noFill/>
                    </a:ln>
                  </pic:spPr>
                </pic:pic>
              </a:graphicData>
            </a:graphic>
          </wp:inline>
        </w:drawing>
      </w:r>
      <w:bookmarkEnd w:id="163"/>
    </w:p>
    <w:p w14:paraId="688346C8">
      <w:pPr>
        <w:widowControl/>
        <w:adjustRightInd/>
        <w:spacing w:line="300" w:lineRule="auto"/>
        <w:ind w:firstLine="560" w:firstLineChars="200"/>
        <w:jc w:val="both"/>
        <w:rPr>
          <w:rFonts w:ascii="Arial" w:hAnsi="Arial" w:eastAsia="仿宋" w:cs="Arial"/>
          <w:sz w:val="28"/>
          <w:szCs w:val="28"/>
          <w:highlight w:val="none"/>
          <w:lang w:bidi="ar"/>
        </w:rPr>
      </w:pPr>
      <w:bookmarkStart w:id="164" w:name="_Hlk220073229"/>
      <w:r>
        <w:rPr>
          <w:rFonts w:ascii="Arial" w:hAnsi="Arial" w:eastAsia="仿宋" w:cs="Arial"/>
          <w:sz w:val="28"/>
          <w:szCs w:val="28"/>
          <w:highlight w:val="none"/>
          <w:lang w:bidi="ar"/>
        </w:rPr>
        <w:t>2025年，北京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房市场成交活跃，全年</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商品住宅累计成交17.43万套，同比微降0.8%，连续两年成交超17万套。月度来看，上半年北京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房市场热度较高，下半年市场热度下滑，8.8楼市新政带动9月成交量回升；四季度</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房市场热度再次回落，12月年底</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房成交集中释放，叠加放松限购政策带动，1</w:t>
      </w:r>
      <w:r>
        <w:rPr>
          <w:rFonts w:hint="eastAsia" w:ascii="Arial" w:hAnsi="Arial" w:eastAsia="仿宋" w:cs="Arial"/>
          <w:sz w:val="28"/>
          <w:szCs w:val="28"/>
          <w:highlight w:val="none"/>
          <w:lang w:bidi="ar"/>
        </w:rPr>
        <w:t>2</w:t>
      </w:r>
      <w:r>
        <w:rPr>
          <w:rFonts w:ascii="Arial" w:hAnsi="Arial" w:eastAsia="仿宋" w:cs="Arial"/>
          <w:sz w:val="28"/>
          <w:szCs w:val="28"/>
          <w:highlight w:val="none"/>
          <w:lang w:bidi="ar"/>
        </w:rPr>
        <w:t>月市场迎来“翘尾”收官，成交17200套，创下全年第二高成交量（仅次于3月小阳春的1.9万套）。</w:t>
      </w:r>
    </w:p>
    <w:p w14:paraId="2E261990">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从</w:t>
      </w:r>
      <w:r>
        <w:rPr>
          <w:rFonts w:ascii="Arial" w:hAnsi="Arial" w:eastAsia="仿宋" w:cs="Arial"/>
          <w:sz w:val="28"/>
          <w:szCs w:val="28"/>
          <w:highlight w:val="none"/>
          <w:lang w:bidi="ar"/>
        </w:rPr>
        <w:t>成交价格</w:t>
      </w:r>
      <w:r>
        <w:rPr>
          <w:rFonts w:hint="eastAsia" w:ascii="Arial" w:hAnsi="Arial" w:eastAsia="仿宋" w:cs="Arial"/>
          <w:sz w:val="28"/>
          <w:szCs w:val="28"/>
          <w:highlight w:val="none"/>
          <w:lang w:bidi="ar"/>
        </w:rPr>
        <w:t>看，存量</w:t>
      </w:r>
      <w:r>
        <w:rPr>
          <w:rFonts w:ascii="Arial" w:hAnsi="Arial" w:eastAsia="仿宋" w:cs="Arial"/>
          <w:sz w:val="28"/>
          <w:szCs w:val="28"/>
          <w:highlight w:val="none"/>
          <w:lang w:bidi="ar"/>
        </w:rPr>
        <w:t>房市场持续呈现“以价换量”特征，2025年二季度以来市场热度回落，</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住宅价格指数持续处于下跌通道，2025年北京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住宅价格指数累计下跌8.5%</w:t>
      </w:r>
      <w:bookmarkEnd w:id="164"/>
      <w:r>
        <w:rPr>
          <w:rFonts w:ascii="Arial" w:hAnsi="Arial" w:eastAsia="仿宋" w:cs="Arial"/>
          <w:sz w:val="28"/>
          <w:szCs w:val="28"/>
          <w:highlight w:val="none"/>
          <w:lang w:bidi="ar"/>
        </w:rPr>
        <w:t>。</w:t>
      </w:r>
    </w:p>
    <w:p w14:paraId="0FE4511C">
      <w:pPr>
        <w:widowControl/>
        <w:spacing w:line="360" w:lineRule="auto"/>
        <w:jc w:val="center"/>
        <w:rPr>
          <w:rFonts w:ascii="Arial" w:hAnsi="Arial" w:eastAsia="仿宋" w:cs="Arial"/>
          <w:bCs/>
          <w:color w:val="000000"/>
          <w:sz w:val="28"/>
          <w:szCs w:val="28"/>
          <w:highlight w:val="none"/>
        </w:rPr>
      </w:pPr>
      <w:bookmarkStart w:id="165" w:name="_Hlk220073247"/>
      <w:r>
        <w:rPr>
          <w:highlight w:val="none"/>
        </w:rPr>
        <w:drawing>
          <wp:inline distT="0" distB="0" distL="114300" distR="114300">
            <wp:extent cx="5908040" cy="1624330"/>
            <wp:effectExtent l="0" t="0" r="5080" b="6350"/>
            <wp:docPr id="6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4"/>
                    <pic:cNvPicPr>
                      <a:picLocks noChangeAspect="1"/>
                    </pic:cNvPicPr>
                  </pic:nvPicPr>
                  <pic:blipFill>
                    <a:blip r:embed="rId56"/>
                    <a:stretch>
                      <a:fillRect/>
                    </a:stretch>
                  </pic:blipFill>
                  <pic:spPr>
                    <a:xfrm>
                      <a:off x="0" y="0"/>
                      <a:ext cx="5908040" cy="1624330"/>
                    </a:xfrm>
                    <a:prstGeom prst="rect">
                      <a:avLst/>
                    </a:prstGeom>
                    <a:noFill/>
                    <a:ln>
                      <a:noFill/>
                    </a:ln>
                  </pic:spPr>
                </pic:pic>
              </a:graphicData>
            </a:graphic>
          </wp:inline>
        </w:drawing>
      </w:r>
      <w:bookmarkEnd w:id="165"/>
    </w:p>
    <w:p w14:paraId="35F16EAF">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2）各区县统计</w:t>
      </w:r>
    </w:p>
    <w:p w14:paraId="4BEF7074">
      <w:pPr>
        <w:widowControl/>
        <w:adjustRightInd/>
        <w:spacing w:line="300" w:lineRule="auto"/>
        <w:ind w:firstLine="560" w:firstLineChars="200"/>
        <w:jc w:val="both"/>
        <w:rPr>
          <w:rFonts w:ascii="Arial" w:hAnsi="Arial" w:eastAsia="仿宋" w:cs="Arial"/>
          <w:sz w:val="28"/>
          <w:szCs w:val="28"/>
          <w:highlight w:val="none"/>
          <w:lang w:bidi="ar"/>
        </w:rPr>
      </w:pPr>
      <w:bookmarkStart w:id="166" w:name="_Hlk220073269"/>
      <w:r>
        <w:rPr>
          <w:rFonts w:ascii="Arial" w:hAnsi="Arial" w:eastAsia="仿宋" w:cs="Arial"/>
          <w:sz w:val="28"/>
          <w:szCs w:val="28"/>
          <w:highlight w:val="none"/>
          <w:lang w:bidi="ar"/>
        </w:rPr>
        <w:t>分区域来看，</w:t>
      </w: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朝阳区成交量达378万平方米，居各区首位；海淀、丰台、昌平、大兴、</w:t>
      </w:r>
      <w:r>
        <w:rPr>
          <w:rFonts w:hint="eastAsia" w:ascii="Arial" w:hAnsi="Arial" w:eastAsia="仿宋" w:cs="Arial"/>
          <w:sz w:val="28"/>
          <w:szCs w:val="28"/>
          <w:highlight w:val="none"/>
          <w:lang w:bidi="ar"/>
        </w:rPr>
        <w:t>通州存量</w:t>
      </w:r>
      <w:r>
        <w:rPr>
          <w:rFonts w:ascii="Arial" w:hAnsi="Arial" w:eastAsia="仿宋" w:cs="Arial"/>
          <w:sz w:val="28"/>
          <w:szCs w:val="28"/>
          <w:highlight w:val="none"/>
          <w:lang w:bidi="ar"/>
        </w:rPr>
        <w:t>房市场比较活跃，成交面积均超过100万平方米；同比来看，中心城区、近郊区、远郊区</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房成交规模均同比下降。门头沟、通州、昌平</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房房价跌幅较大</w:t>
      </w:r>
      <w:bookmarkEnd w:id="166"/>
      <w:r>
        <w:rPr>
          <w:rFonts w:ascii="Arial" w:hAnsi="Arial" w:eastAsia="仿宋" w:cs="Arial"/>
          <w:sz w:val="28"/>
          <w:szCs w:val="28"/>
          <w:highlight w:val="none"/>
          <w:lang w:bidi="ar"/>
        </w:rPr>
        <w:t>。</w:t>
      </w:r>
    </w:p>
    <w:p w14:paraId="50AAC4DA">
      <w:pPr>
        <w:widowControl/>
        <w:spacing w:line="360" w:lineRule="auto"/>
        <w:jc w:val="center"/>
        <w:rPr>
          <w:highlight w:val="none"/>
        </w:rPr>
      </w:pPr>
      <w:bookmarkStart w:id="167" w:name="_Hlk220073284"/>
      <w:r>
        <w:rPr>
          <w:highlight w:val="none"/>
        </w:rPr>
        <w:drawing>
          <wp:inline distT="0" distB="0" distL="114300" distR="114300">
            <wp:extent cx="5219065" cy="6021070"/>
            <wp:effectExtent l="0" t="0" r="8255" b="13970"/>
            <wp:docPr id="87" name="图片 2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25" descr="333"/>
                    <pic:cNvPicPr>
                      <a:picLocks noChangeAspect="1"/>
                    </pic:cNvPicPr>
                  </pic:nvPicPr>
                  <pic:blipFill>
                    <a:blip r:embed="rId57"/>
                    <a:stretch>
                      <a:fillRect/>
                    </a:stretch>
                  </pic:blipFill>
                  <pic:spPr>
                    <a:xfrm>
                      <a:off x="0" y="0"/>
                      <a:ext cx="5219065" cy="6021070"/>
                    </a:xfrm>
                    <a:prstGeom prst="rect">
                      <a:avLst/>
                    </a:prstGeom>
                    <a:noFill/>
                    <a:ln>
                      <a:noFill/>
                    </a:ln>
                  </pic:spPr>
                </pic:pic>
              </a:graphicData>
            </a:graphic>
          </wp:inline>
        </w:drawing>
      </w:r>
      <w:bookmarkEnd w:id="167"/>
    </w:p>
    <w:p w14:paraId="48B49361">
      <w:pPr>
        <w:widowControl/>
        <w:spacing w:line="360" w:lineRule="auto"/>
        <w:jc w:val="center"/>
        <w:rPr>
          <w:rFonts w:ascii="Arial" w:hAnsi="Arial" w:eastAsia="仿宋" w:cs="Arial"/>
          <w:bCs/>
          <w:color w:val="000000"/>
          <w:sz w:val="28"/>
          <w:szCs w:val="28"/>
          <w:highlight w:val="none"/>
        </w:rPr>
      </w:pPr>
    </w:p>
    <w:p w14:paraId="7512430F">
      <w:pPr>
        <w:widowControl/>
        <w:adjustRightInd/>
        <w:spacing w:line="300" w:lineRule="auto"/>
        <w:ind w:firstLine="560" w:firstLineChars="200"/>
        <w:jc w:val="both"/>
        <w:rPr>
          <w:rFonts w:ascii="Arial" w:hAnsi="Arial" w:eastAsia="仿宋" w:cs="Arial"/>
          <w:sz w:val="28"/>
          <w:szCs w:val="28"/>
          <w:highlight w:val="none"/>
          <w:lang w:bidi="ar"/>
        </w:rPr>
      </w:pPr>
      <w:bookmarkStart w:id="168" w:name="_Hlk220073298"/>
      <w:r>
        <w:rPr>
          <w:rFonts w:ascii="Arial" w:hAnsi="Arial" w:eastAsia="仿宋" w:cs="Arial"/>
          <w:sz w:val="28"/>
          <w:szCs w:val="28"/>
          <w:highlight w:val="none"/>
          <w:lang w:bidi="ar"/>
        </w:rPr>
        <w:t>整体来看，2025年</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北京商品住宅（新建</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）累计成交面积为2093.97万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，同比下降3.8%。2023</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2025年北京住宅市场累计成交规模位于2100万平方米左右，整体成交规模保持相对平稳。但市场分化明显，2022年以来新房市场表现相对较冷，新房成交规模呈现持续减少走势；而</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房市场活跃度较高，近两年成交套数均超17万套。</w:t>
      </w:r>
    </w:p>
    <w:p w14:paraId="039FFC1E">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ascii="Arial" w:hAnsi="Arial" w:eastAsia="仿宋" w:cs="Arial"/>
          <w:sz w:val="28"/>
          <w:szCs w:val="28"/>
          <w:highlight w:val="none"/>
          <w:lang w:bidi="ar"/>
        </w:rPr>
        <w:t>从</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房成交占比来看，2022年以来</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房成交占比呈现持续上升趋势，2025年占比上升至81%，再创历史新高水平，对新房市场形成明显的分流效应</w:t>
      </w:r>
      <w:bookmarkEnd w:id="168"/>
      <w:r>
        <w:rPr>
          <w:rFonts w:ascii="Arial" w:hAnsi="Arial" w:eastAsia="仿宋" w:cs="Arial"/>
          <w:sz w:val="28"/>
          <w:szCs w:val="28"/>
          <w:highlight w:val="none"/>
          <w:lang w:bidi="ar"/>
        </w:rPr>
        <w:t>。</w:t>
      </w:r>
    </w:p>
    <w:p w14:paraId="487E76C4">
      <w:pPr>
        <w:widowControl/>
        <w:adjustRightInd/>
        <w:spacing w:line="300" w:lineRule="auto"/>
        <w:ind w:firstLine="560" w:firstLineChars="200"/>
        <w:rPr>
          <w:rFonts w:ascii="Arial" w:hAnsi="Arial" w:eastAsia="仿宋" w:cs="Arial"/>
          <w:sz w:val="28"/>
          <w:szCs w:val="28"/>
          <w:highlight w:val="none"/>
          <w:lang w:bidi="ar"/>
        </w:rPr>
      </w:pPr>
      <w:bookmarkStart w:id="169" w:name="_Hlk220073329"/>
      <w:r>
        <w:rPr>
          <w:rFonts w:hint="eastAsia" w:ascii="Arial" w:hAnsi="Arial" w:eastAsia="仿宋" w:cs="Arial"/>
          <w:sz w:val="28"/>
          <w:szCs w:val="28"/>
          <w:highlight w:val="none"/>
          <w:lang w:val="en-US" w:eastAsia="zh-CN" w:bidi="ar"/>
        </w:rPr>
        <w:t xml:space="preserve">   </w:t>
      </w:r>
      <w:r>
        <w:rPr>
          <w:rFonts w:ascii="Arial" w:hAnsi="Arial" w:eastAsia="仿宋" w:cs="Arial"/>
          <w:sz w:val="28"/>
          <w:szCs w:val="28"/>
          <w:highlight w:val="none"/>
          <w:lang w:bidi="ar"/>
        </w:rPr>
        <w:drawing>
          <wp:inline distT="0" distB="0" distL="114300" distR="114300">
            <wp:extent cx="4572000" cy="2743200"/>
            <wp:effectExtent l="4445" t="4445" r="10795" b="10795"/>
            <wp:docPr id="22" name="图表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End w:id="169"/>
    </w:p>
    <w:p w14:paraId="67EB0D91">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（4）未来市场预期</w:t>
      </w:r>
    </w:p>
    <w:p w14:paraId="0167E53A">
      <w:pPr>
        <w:widowControl/>
        <w:adjustRightInd/>
        <w:spacing w:line="300" w:lineRule="auto"/>
        <w:ind w:firstLine="560" w:firstLineChars="200"/>
        <w:jc w:val="both"/>
        <w:rPr>
          <w:rFonts w:hint="eastAsia" w:ascii="Arial" w:hAnsi="Arial" w:eastAsia="仿宋" w:cs="Arial"/>
          <w:sz w:val="28"/>
          <w:szCs w:val="28"/>
          <w:highlight w:val="none"/>
          <w:lang w:bidi="ar"/>
        </w:rPr>
      </w:pPr>
      <w:bookmarkStart w:id="170" w:name="_Hlk220073396"/>
      <w:r>
        <w:rPr>
          <w:rFonts w:ascii="Arial" w:hAnsi="Arial" w:eastAsia="仿宋" w:cs="Arial"/>
          <w:sz w:val="28"/>
          <w:szCs w:val="28"/>
          <w:highlight w:val="none"/>
          <w:lang w:bidi="ar"/>
        </w:rPr>
        <w:t>未来北京市住宅市场预计将呈现</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整体趋稳、内部分化、渐进转型</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的演变趋势。在中央“稳定预期、缩短调整”的定调下，北京政策将继续以渐进式优化为主。一方面，限购政策预计将进一步放松（如五环内政策优化），公积金支持力度有望加大，以降低购房门槛、释放改善性需求。另一方面，供给端将持续推进“好房子”建设，通过品质提升和空间创新推动住房供给侧改革，并完善“市场</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保障”的供应体系。</w:t>
      </w:r>
      <w:r>
        <w:rPr>
          <w:rFonts w:hint="eastAsia" w:ascii="Arial" w:hAnsi="Arial" w:eastAsia="仿宋" w:cs="Arial"/>
          <w:sz w:val="28"/>
          <w:szCs w:val="28"/>
          <w:highlight w:val="none"/>
          <w:lang w:bidi="ar"/>
        </w:rPr>
        <w:t>同时，</w:t>
      </w:r>
      <w:r>
        <w:rPr>
          <w:rFonts w:ascii="Arial" w:hAnsi="Arial" w:eastAsia="仿宋" w:cs="Arial"/>
          <w:sz w:val="28"/>
          <w:szCs w:val="28"/>
          <w:highlight w:val="none"/>
          <w:lang w:bidi="ar"/>
        </w:rPr>
        <w:t>新房与</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房分化将持续加剧。新房市场成交规模预计在低位波动，但核心区域优质改善项目凭借稀缺资源与产品力，将继续支撑价格结构性上涨，市场重心进一步向中高面积段、高总价产品集中。</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则继续承担市场交易主体角色，但“以价换量”态势难以扭转，价格仍面临下行压力，并对新房市场形成持续分流。土地市场热度分化显著，核心区优质地块受追捧，非核心区域多以底价成交，预示着未来住房供应将进一步向“高品质、好区位”倾斜。总体而言，北京住宅市场正从规模扩张转向品质与结构优化阶段，在政策托底与市场自发性调整的双重作用下，逐步向“量稳价稳、质升区异”的新发展模式过渡</w:t>
      </w:r>
      <w:bookmarkEnd w:id="170"/>
      <w:r>
        <w:rPr>
          <w:rFonts w:ascii="Arial" w:hAnsi="Arial" w:eastAsia="仿宋" w:cs="Arial"/>
          <w:sz w:val="28"/>
          <w:szCs w:val="28"/>
          <w:highlight w:val="none"/>
          <w:lang w:bidi="ar"/>
        </w:rPr>
        <w:t>。</w:t>
      </w:r>
    </w:p>
    <w:p w14:paraId="4BC32A58">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3.产业政策</w:t>
      </w:r>
    </w:p>
    <w:p w14:paraId="7F3E51F9">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  产业优惠政策</w:t>
      </w:r>
    </w:p>
    <w:p w14:paraId="1D08E6AD">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全国：</w:t>
      </w:r>
    </w:p>
    <w:p w14:paraId="1E93862E">
      <w:pPr>
        <w:widowControl/>
        <w:adjustRightInd/>
        <w:spacing w:line="300" w:lineRule="auto"/>
        <w:ind w:firstLine="560" w:firstLineChars="200"/>
        <w:jc w:val="both"/>
        <w:rPr>
          <w:rFonts w:ascii="Arial" w:hAnsi="Arial" w:eastAsia="仿宋" w:cs="Arial"/>
          <w:sz w:val="28"/>
          <w:szCs w:val="28"/>
          <w:highlight w:val="none"/>
          <w:lang w:bidi="ar"/>
        </w:rPr>
      </w:pPr>
      <w:bookmarkStart w:id="171" w:name="OLE_LINK3"/>
      <w:r>
        <w:rPr>
          <w:rFonts w:ascii="Arial" w:hAnsi="Arial" w:eastAsia="仿宋" w:cs="Arial"/>
          <w:sz w:val="28"/>
          <w:szCs w:val="28"/>
          <w:highlight w:val="none"/>
          <w:lang w:bidi="ar"/>
        </w:rPr>
        <w:t>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年3月</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日全国两会召开。关于房地产的定调，政府工作报告延续了去年底中央经济工作会议基调，</w:t>
      </w:r>
      <w:r>
        <w:rPr>
          <w:rFonts w:hint="eastAsia" w:ascii="Arial" w:hAnsi="Arial" w:eastAsia="仿宋" w:cs="Arial"/>
          <w:sz w:val="28"/>
          <w:szCs w:val="28"/>
          <w:highlight w:val="none"/>
          <w:lang w:bidi="ar"/>
        </w:rPr>
        <w:t>在2025年政府工作任务“有效防范化解重点领域风险,牢牢守住不发生系统性风险底线”中确立了“持续用力推动房地产市场止跌回稳”的政策目标，并从需求不断加力、供给持续调整、风险防范化解和行业长远发展四个方面给出了大段论述。</w:t>
      </w:r>
    </w:p>
    <w:p w14:paraId="14090EE9">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2025年4月3日，</w:t>
      </w:r>
      <w:r>
        <w:rPr>
          <w:rFonts w:ascii="Arial" w:hAnsi="Arial" w:eastAsia="仿宋" w:cs="Arial"/>
          <w:sz w:val="28"/>
          <w:szCs w:val="28"/>
          <w:highlight w:val="none"/>
          <w:lang w:bidi="ar"/>
        </w:rPr>
        <w:t>财政部办公厅</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住房城乡建设部办公厅</w:t>
      </w:r>
      <w:r>
        <w:rPr>
          <w:rFonts w:hint="eastAsia" w:ascii="Arial" w:hAnsi="Arial" w:eastAsia="仿宋" w:cs="Arial"/>
          <w:sz w:val="28"/>
          <w:szCs w:val="28"/>
          <w:highlight w:val="none"/>
          <w:lang w:bidi="ar"/>
        </w:rPr>
        <w:t>联合发布</w:t>
      </w:r>
      <w:r>
        <w:rPr>
          <w:rFonts w:ascii="Arial" w:hAnsi="Arial" w:eastAsia="仿宋" w:cs="Arial"/>
          <w:sz w:val="28"/>
          <w:szCs w:val="28"/>
          <w:highlight w:val="none"/>
          <w:lang w:bidi="ar"/>
        </w:rPr>
        <w:t>《关于开展2025年度中央财政支持实施城市更新行动的通知》</w:t>
      </w:r>
      <w:r>
        <w:rPr>
          <w:rFonts w:hint="eastAsia" w:ascii="Arial" w:hAnsi="Arial" w:eastAsia="仿宋" w:cs="Arial"/>
          <w:sz w:val="28"/>
          <w:szCs w:val="28"/>
          <w:highlight w:val="none"/>
          <w:lang w:bidi="ar"/>
        </w:rPr>
        <w:t>。《通知》提出</w:t>
      </w:r>
      <w:r>
        <w:rPr>
          <w:rFonts w:ascii="Arial" w:hAnsi="Arial" w:eastAsia="仿宋" w:cs="Arial"/>
          <w:sz w:val="28"/>
          <w:szCs w:val="28"/>
          <w:highlight w:val="none"/>
          <w:lang w:bidi="ar"/>
        </w:rPr>
        <w:t>通过竞争性选拔，确定部分基础条件好、积极性高、特色突出的城市，在城市层面探索整合各类资源，探索建立资金、用地、金融等各类要素保障机制，形成工作合力。中央财政对入围城市给予定额补助，支持城市更新的样板项目建设和机制建设2个方向</w:t>
      </w:r>
      <w:r>
        <w:rPr>
          <w:rFonts w:hint="eastAsia" w:ascii="Arial" w:hAnsi="Arial" w:eastAsia="仿宋" w:cs="Arial"/>
          <w:sz w:val="28"/>
          <w:szCs w:val="28"/>
          <w:highlight w:val="none"/>
          <w:lang w:bidi="ar"/>
        </w:rPr>
        <w:t>。</w:t>
      </w:r>
    </w:p>
    <w:p w14:paraId="2723B44C">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2025年4月25日</w:t>
      </w:r>
      <w:r>
        <w:rPr>
          <w:rFonts w:ascii="Arial" w:hAnsi="Arial" w:eastAsia="仿宋" w:cs="Arial"/>
          <w:sz w:val="28"/>
          <w:szCs w:val="28"/>
          <w:highlight w:val="none"/>
          <w:lang w:bidi="ar"/>
        </w:rPr>
        <w:t>中共中央政治局召开会议，分析研究当前经济形势和经济工作。会议强调，要加紧实施更加积极有为的宏观政策，用好用足更加积极的财政政策和适度宽松的货币政策；加快地方政府专项债券、超长期特别国债等发行使用；适时降准降息，保持流动性充裕。会议指出，要持续用力防范化解重点领域风险；继续实施地方政府一揽子化债政策；加力实施城市更新行动，有力有序推进城中村和危旧房改造；加快构建房地产发展新 模式，加大高品质住房供给，优化存量商品房收购政策，持续巩固房地产市场稳定态势。</w:t>
      </w:r>
    </w:p>
    <w:p w14:paraId="049EEB39">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2025年5月15日，中共中央办公厅与国务院办公厅公开发布《关于持续推进城市更新行动的意见》。《意见》</w:t>
      </w:r>
      <w:r>
        <w:rPr>
          <w:rFonts w:ascii="Arial" w:hAnsi="Arial" w:eastAsia="仿宋" w:cs="Arial"/>
          <w:sz w:val="28"/>
          <w:szCs w:val="28"/>
          <w:highlight w:val="none"/>
          <w:lang w:bidi="ar"/>
        </w:rPr>
        <w:t>提出总体要求、八个主要任务、六项支撑保障措施以及组织实施强化。其中完善用地政策方面包括混合开发利用和用途转换，盘活存量低效用地，闲置土地收回，优化零星用地集中改造、容积率转移或奖励政策，优化地价计收规则等。</w:t>
      </w:r>
    </w:p>
    <w:p w14:paraId="1C72B225">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2025年6月13日</w:t>
      </w:r>
      <w:r>
        <w:rPr>
          <w:rFonts w:ascii="Arial" w:hAnsi="Arial" w:eastAsia="仿宋" w:cs="Arial"/>
          <w:sz w:val="28"/>
          <w:szCs w:val="28"/>
          <w:highlight w:val="none"/>
          <w:lang w:bidi="ar"/>
        </w:rPr>
        <w:t>国务院常务会议召开，其中重点部署了房地产相关政策，核心目标是</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更大力度推动房地产市场止跌回稳</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，并围绕构建房地产发展新模式、推进</w:t>
      </w:r>
      <w:r>
        <w:rPr>
          <w:rFonts w:hint="eastAsia" w:ascii="Arial" w:hAnsi="Arial" w:eastAsia="仿宋" w:cs="Arial"/>
          <w:sz w:val="28"/>
          <w:szCs w:val="28"/>
          <w:highlight w:val="none"/>
          <w:lang w:bidi="ar"/>
        </w:rPr>
        <w:t>“好房子”</w:t>
      </w:r>
      <w:r>
        <w:rPr>
          <w:rFonts w:ascii="Arial" w:hAnsi="Arial" w:eastAsia="仿宋" w:cs="Arial"/>
          <w:sz w:val="28"/>
          <w:szCs w:val="28"/>
          <w:highlight w:val="none"/>
          <w:lang w:bidi="ar"/>
        </w:rPr>
        <w:t>建设、盘活存量资源等方面提出具体措施。</w:t>
      </w:r>
    </w:p>
    <w:p w14:paraId="1F31A943">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2025年7月1</w:t>
      </w:r>
      <w:r>
        <w:rPr>
          <w:rFonts w:ascii="Arial" w:hAnsi="Arial" w:eastAsia="仿宋" w:cs="Arial"/>
          <w:sz w:val="28"/>
          <w:szCs w:val="28"/>
          <w:highlight w:val="none"/>
          <w:lang w:bidi="ar"/>
        </w:rPr>
        <w:t>4日至</w:t>
      </w:r>
      <w:r>
        <w:rPr>
          <w:rFonts w:hint="eastAsia" w:ascii="Arial" w:hAnsi="Arial" w:eastAsia="仿宋" w:cs="Arial"/>
          <w:sz w:val="28"/>
          <w:szCs w:val="28"/>
          <w:highlight w:val="none"/>
          <w:lang w:bidi="ar"/>
        </w:rPr>
        <w:t>1</w:t>
      </w:r>
      <w:r>
        <w:rPr>
          <w:rFonts w:ascii="Arial" w:hAnsi="Arial" w:eastAsia="仿宋" w:cs="Arial"/>
          <w:sz w:val="28"/>
          <w:szCs w:val="28"/>
          <w:highlight w:val="none"/>
          <w:lang w:bidi="ar"/>
        </w:rPr>
        <w:t>5日</w:t>
      </w:r>
      <w:bookmarkStart w:id="172" w:name="OLE_LINK7"/>
      <w:r>
        <w:rPr>
          <w:rFonts w:ascii="Arial" w:hAnsi="Arial" w:eastAsia="仿宋" w:cs="Arial"/>
          <w:sz w:val="28"/>
          <w:szCs w:val="28"/>
          <w:highlight w:val="none"/>
          <w:lang w:bidi="ar"/>
        </w:rPr>
        <w:t>中央城市工作会议</w:t>
      </w:r>
      <w:bookmarkEnd w:id="172"/>
      <w:r>
        <w:rPr>
          <w:rFonts w:ascii="Arial" w:hAnsi="Arial" w:eastAsia="仿宋" w:cs="Arial"/>
          <w:sz w:val="28"/>
          <w:szCs w:val="28"/>
          <w:highlight w:val="none"/>
          <w:lang w:bidi="ar"/>
        </w:rPr>
        <w:t>在北京举行，部署城市工作7个方面的重点任务：一是着力优化现代化城市体系；二是着力建设富有活力的创新城市，高质量开展城市更新；三是着力建设舒适便利的宜居城市，优化城市空间结构；加快构建房地产发展新模式，稳步推进城中村和危旧房改造；四是着力建设绿色低碳的美丽城市；五是着力建设安全可靠的韧性城市，严格限制超高层建筑，全面提升房屋安全保障水平；六是着力建设崇德向善的文明城市，完善历史文化保护传承体系；七是着力建设便捷高效的智慧城市</w:t>
      </w:r>
      <w:r>
        <w:rPr>
          <w:rFonts w:hint="eastAsia" w:ascii="Arial" w:hAnsi="Arial" w:eastAsia="仿宋" w:cs="Arial"/>
          <w:sz w:val="28"/>
          <w:szCs w:val="28"/>
          <w:highlight w:val="none"/>
          <w:lang w:bidi="ar"/>
        </w:rPr>
        <w:t>。</w:t>
      </w:r>
    </w:p>
    <w:p w14:paraId="0F37380B">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2025年7月16日，国务院公布《住房租赁条例》</w:t>
      </w:r>
      <w:r>
        <w:rPr>
          <w:rFonts w:ascii="Arial" w:hAnsi="Arial" w:eastAsia="仿宋" w:cs="Arial"/>
          <w:sz w:val="28"/>
          <w:szCs w:val="28"/>
          <w:highlight w:val="none"/>
          <w:lang w:bidi="ar"/>
        </w:rPr>
        <w:t>。该条例旨在规范住房租赁活动，维护住房租赁活动当事人合法权益，稳定住房租赁关系，促进住房租赁市场高质量发展，推动加快建立租购并举的住房制度</w:t>
      </w:r>
      <w:r>
        <w:rPr>
          <w:rFonts w:hint="eastAsia" w:ascii="Arial" w:hAnsi="Arial" w:eastAsia="仿宋" w:cs="Arial"/>
          <w:sz w:val="28"/>
          <w:szCs w:val="28"/>
          <w:highlight w:val="none"/>
          <w:lang w:bidi="ar"/>
        </w:rPr>
        <w:t>，《条例》</w:t>
      </w:r>
      <w:r>
        <w:rPr>
          <w:rFonts w:ascii="Arial" w:hAnsi="Arial" w:eastAsia="仿宋" w:cs="Arial"/>
          <w:sz w:val="28"/>
          <w:szCs w:val="28"/>
          <w:highlight w:val="none"/>
          <w:lang w:bidi="ar"/>
        </w:rPr>
        <w:t>自2025年9月15日施行。</w:t>
      </w:r>
    </w:p>
    <w:p w14:paraId="7A29F0B7">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2025年8月28日，《中共中央 国务院关于推动城市高质量发展的意见》公开发布，</w:t>
      </w:r>
      <w:r>
        <w:rPr>
          <w:rFonts w:ascii="Arial" w:hAnsi="Arial" w:eastAsia="仿宋" w:cs="Arial"/>
          <w:sz w:val="28"/>
          <w:szCs w:val="28"/>
          <w:highlight w:val="none"/>
          <w:lang w:bidi="ar"/>
        </w:rPr>
        <w:t>在城市发展正从大规模增量扩张阶段转向存量提质增效为主的阶段，为加快城市发展方式转型提出二十三条指导意见。其中， 第五条激活城市存量资源潜力，提出：全面摸清城市房屋、设施、土地等资产资源底数；改造利用老旧厂房、低效楼宇、闲置传统商业设施等存量房屋，建立与建筑功能转换和混合利用需求相适应的规划调整机制；加强和规范存量城市基础设施资产管理，提高运行效能；优化产权归集、整合、置换和登记政策，盘活利用存量低效用地。第八条系统推进“好房子”和完整社区建设，提出：加快构建房地产发展新模式，更好满足群众刚性和多样化改善性住房需求；全链条提升住房设计、建造、维护、服务水平，大力推进安全、舒适、绿色、智慧的“好房子”建设；实施物业服务质量提升行动；稳步推进城中村和危旧房改造，支持老旧住房自主更新、原拆原建；持续推动城镇老旧小区改造；坚持人口、产业、城镇、交通一体规划，建设创新型产业社区、商务社区；加快建设完整社区，完善城市社区嵌入式服务设施，构建城市便民生活圈；科学制定实施城市更新专项规划，一体化推进城市体检和城市更新，创造宜业、宜居、宜乐、宜游的良好城市环境，促进产城融合、职住平 衡。</w:t>
      </w:r>
    </w:p>
    <w:p w14:paraId="3B760BEC">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9月11日，《国务院关于全国部分地区要素市场化配置综合改革试点实施方案的批复》发布，同意自即日起2年内开展北京城市副中心等10个要素市场化配置综合改革试点。北京城市副中心试点范围包括通州区全域，关于土地要素，提出：探索土地管理制度改革；深化产业用地市场化改革；盘活存量土地和低效建设用地；健全城乡统一的建设用地市场。</w:t>
      </w:r>
    </w:p>
    <w:p w14:paraId="055A3A16">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10月20日至23日，中国共产党第二十届中央委员会第四次全体会议在北京召开，会议分析了当前形势和任务，强调坚决实现全年经济社会发展目标；着力稳就业、稳企业、稳市场、稳预期，稳住经济基本盘，巩固拓展经济回升向好势头；宏观政策要持续发力、适时加力，落实好企业帮扶政策，深入实施提振消费专项行动，兜牢基层“三保”底线，积极稳妥化解地方政府债务风险。明确提出要“推动房地产高质量发展”。</w:t>
      </w:r>
    </w:p>
    <w:p w14:paraId="7CB83DEC">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2025年10月28日，</w:t>
      </w:r>
      <w:r>
        <w:rPr>
          <w:rFonts w:ascii="Arial" w:hAnsi="Arial" w:eastAsia="仿宋" w:cs="Arial"/>
          <w:sz w:val="28"/>
          <w:szCs w:val="28"/>
          <w:highlight w:val="none"/>
          <w:lang w:bidi="ar"/>
        </w:rPr>
        <w:t>《中共中央关于制定国民经济和社会发展第十五个五年规划的建议》全文发布，</w:t>
      </w:r>
      <w:r>
        <w:rPr>
          <w:rFonts w:hint="eastAsia" w:ascii="Arial" w:hAnsi="Arial" w:eastAsia="仿宋" w:cs="Arial"/>
          <w:sz w:val="28"/>
          <w:szCs w:val="28"/>
          <w:highlight w:val="none"/>
          <w:lang w:bidi="ar"/>
        </w:rPr>
        <w:t>关于房地产</w:t>
      </w:r>
      <w:r>
        <w:rPr>
          <w:rFonts w:ascii="Arial" w:hAnsi="Arial" w:eastAsia="仿宋" w:cs="Arial"/>
          <w:sz w:val="28"/>
          <w:szCs w:val="28"/>
          <w:highlight w:val="none"/>
          <w:lang w:bidi="ar"/>
        </w:rPr>
        <w:t>提出：（1）加快完善要素市场化配置体制机制：促进各类要素资源高效配置，建立健全城乡统一的建设用地市场、功能完善的资本市场、流动顺畅的劳动力市场、转化高效的技术市场，完善并购、破产、置换等政策，盘活用好低效用地、闲置房产、存量基础设施，完善工商业用地使用权续期法律法规，依法稳妥推进续期工作；（</w:t>
      </w:r>
      <w:r>
        <w:rPr>
          <w:rFonts w:hint="eastAsia" w:ascii="Arial" w:hAnsi="Arial" w:eastAsia="仿宋" w:cs="Arial"/>
          <w:sz w:val="28"/>
          <w:szCs w:val="28"/>
          <w:highlight w:val="none"/>
          <w:lang w:bidi="ar"/>
        </w:rPr>
        <w:t>2</w:t>
      </w:r>
      <w:r>
        <w:rPr>
          <w:rFonts w:ascii="Arial" w:hAnsi="Arial" w:eastAsia="仿宋" w:cs="Arial"/>
          <w:sz w:val="28"/>
          <w:szCs w:val="28"/>
          <w:highlight w:val="none"/>
          <w:lang w:bidi="ar"/>
        </w:rPr>
        <w:t>）优化国土空间发展格局：赋予省级政府统筹建设用地更大自主权，探索实施建设用地总量按规划期管控模式，实行统筹存量和增量综合供地；（</w:t>
      </w:r>
      <w:r>
        <w:rPr>
          <w:rFonts w:hint="eastAsia" w:ascii="Arial" w:hAnsi="Arial" w:eastAsia="仿宋" w:cs="Arial"/>
          <w:sz w:val="28"/>
          <w:szCs w:val="28"/>
          <w:highlight w:val="none"/>
          <w:lang w:bidi="ar"/>
        </w:rPr>
        <w:t>3</w:t>
      </w:r>
      <w:r>
        <w:rPr>
          <w:rFonts w:ascii="Arial" w:hAnsi="Arial" w:eastAsia="仿宋" w:cs="Arial"/>
          <w:sz w:val="28"/>
          <w:szCs w:val="28"/>
          <w:highlight w:val="none"/>
          <w:lang w:bidi="ar"/>
        </w:rPr>
        <w:t>）坚持城市内涵式发展，大力实施城市更新，建设创新、宜居、美丽、韧性、文明、智慧的现代化人民城市；（</w:t>
      </w:r>
      <w:r>
        <w:rPr>
          <w:rFonts w:hint="eastAsia" w:ascii="Arial" w:hAnsi="Arial" w:eastAsia="仿宋" w:cs="Arial"/>
          <w:sz w:val="28"/>
          <w:szCs w:val="28"/>
          <w:highlight w:val="none"/>
          <w:lang w:bidi="ar"/>
        </w:rPr>
        <w:t>4</w:t>
      </w:r>
      <w:r>
        <w:rPr>
          <w:rFonts w:ascii="Arial" w:hAnsi="Arial" w:eastAsia="仿宋" w:cs="Arial"/>
          <w:sz w:val="28"/>
          <w:szCs w:val="28"/>
          <w:highlight w:val="none"/>
          <w:lang w:bidi="ar"/>
        </w:rPr>
        <w:t>）推动房地产高质量发展：加快构建房地产发展新模式，完善商品房开发、融资、销售等基础制度；优化保障性住房供给，满足城镇工薪群体和各类困难家庭基本住房需求；因城施策增加改善性住房供给；建设安全舒适绿色智慧的“好房子”，实施房屋品质提升工程和物业服务质量提升行动；建立房屋全生命周期安全管理制度；（</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）提高防范化解重点领域风险能力，统筹推进房地产、地方政府债务、中小金融机构等风险有序化解，严防系统性风险。</w:t>
      </w:r>
    </w:p>
    <w:p w14:paraId="4B11029D">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年12月1</w:t>
      </w:r>
      <w:r>
        <w:rPr>
          <w:rFonts w:hint="eastAsia" w:ascii="Arial" w:hAnsi="Arial" w:eastAsia="仿宋" w:cs="Arial"/>
          <w:sz w:val="28"/>
          <w:szCs w:val="28"/>
          <w:highlight w:val="none"/>
          <w:lang w:bidi="ar"/>
        </w:rPr>
        <w:t>0</w:t>
      </w:r>
      <w:r>
        <w:rPr>
          <w:rFonts w:ascii="Arial" w:hAnsi="Arial" w:eastAsia="仿宋" w:cs="Arial"/>
          <w:sz w:val="28"/>
          <w:szCs w:val="28"/>
          <w:highlight w:val="none"/>
          <w:lang w:bidi="ar"/>
        </w:rPr>
        <w:t>日至1</w:t>
      </w:r>
      <w:r>
        <w:rPr>
          <w:rFonts w:hint="eastAsia" w:ascii="Arial" w:hAnsi="Arial" w:eastAsia="仿宋" w:cs="Arial"/>
          <w:sz w:val="28"/>
          <w:szCs w:val="28"/>
          <w:highlight w:val="none"/>
          <w:lang w:bidi="ar"/>
        </w:rPr>
        <w:t>1</w:t>
      </w:r>
      <w:r>
        <w:rPr>
          <w:rFonts w:ascii="Arial" w:hAnsi="Arial" w:eastAsia="仿宋" w:cs="Arial"/>
          <w:sz w:val="28"/>
          <w:szCs w:val="28"/>
          <w:highlight w:val="none"/>
          <w:lang w:bidi="ar"/>
        </w:rPr>
        <w:t>日，202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年中央经济工作会议举行。会议总结202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年经济工作，</w:t>
      </w:r>
      <w:r>
        <w:rPr>
          <w:rFonts w:hint="eastAsia" w:ascii="Arial" w:hAnsi="Arial" w:eastAsia="仿宋" w:cs="Arial"/>
          <w:sz w:val="28"/>
          <w:szCs w:val="28"/>
          <w:highlight w:val="none"/>
          <w:lang w:bidi="ar"/>
        </w:rPr>
        <w:t>分析当前经济形势，部署2026年经济工作</w:t>
      </w:r>
      <w:r>
        <w:rPr>
          <w:rFonts w:ascii="Arial" w:hAnsi="Arial" w:eastAsia="仿宋" w:cs="Arial"/>
          <w:sz w:val="28"/>
          <w:szCs w:val="28"/>
          <w:highlight w:val="none"/>
          <w:lang w:bidi="ar"/>
        </w:rPr>
        <w:t>。会议提出</w:t>
      </w:r>
      <w:r>
        <w:rPr>
          <w:rFonts w:hint="eastAsia" w:ascii="Arial" w:hAnsi="Arial" w:eastAsia="仿宋" w:cs="Arial"/>
          <w:sz w:val="28"/>
          <w:szCs w:val="28"/>
          <w:highlight w:val="none"/>
          <w:lang w:bidi="ar"/>
        </w:rPr>
        <w:t>“着力稳定房地产市场，因城施策控增量、去库存、优供给，鼓励收购存量商品房重点用于保障性住房等。深化住房公积金制度改革，有序推动‘好房子’建设。加快构建房地产发展新模式</w:t>
      </w:r>
      <w:r>
        <w:rPr>
          <w:rFonts w:ascii="Arial" w:hAnsi="Arial" w:eastAsia="仿宋" w:cs="Arial"/>
          <w:sz w:val="28"/>
          <w:szCs w:val="28"/>
          <w:highlight w:val="none"/>
          <w:lang w:bidi="ar"/>
        </w:rPr>
        <w:t>。</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可以预见，房地产行业的发展潜力和空间依然巨大，中国城市房地产大规模增量扩张的时代已经结束，存量提质增效的新阶段已然开启，房地产行业的未来增长，不再局限于新建开发，而是更多来自存量资产的精细化运营、物业服务的品质升级、租赁市场的规范发展等多元赛道。</w:t>
      </w:r>
    </w:p>
    <w:p w14:paraId="71A85BF3">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ascii="Arial" w:hAnsi="Arial" w:eastAsia="仿宋" w:cs="Arial"/>
          <w:sz w:val="28"/>
          <w:szCs w:val="28"/>
          <w:highlight w:val="none"/>
          <w:lang w:bidi="ar"/>
        </w:rPr>
        <w:t>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年12月2</w:t>
      </w:r>
      <w:r>
        <w:rPr>
          <w:rFonts w:hint="eastAsia" w:ascii="Arial" w:hAnsi="Arial" w:eastAsia="仿宋" w:cs="Arial"/>
          <w:sz w:val="28"/>
          <w:szCs w:val="28"/>
          <w:highlight w:val="none"/>
          <w:lang w:bidi="ar"/>
        </w:rPr>
        <w:t>2</w:t>
      </w:r>
      <w:r>
        <w:rPr>
          <w:rFonts w:ascii="Arial" w:hAnsi="Arial" w:eastAsia="仿宋" w:cs="Arial"/>
          <w:sz w:val="28"/>
          <w:szCs w:val="28"/>
          <w:highlight w:val="none"/>
          <w:lang w:bidi="ar"/>
        </w:rPr>
        <w:t>日至2</w:t>
      </w:r>
      <w:r>
        <w:rPr>
          <w:rFonts w:hint="eastAsia" w:ascii="Arial" w:hAnsi="Arial" w:eastAsia="仿宋" w:cs="Arial"/>
          <w:sz w:val="28"/>
          <w:szCs w:val="28"/>
          <w:highlight w:val="none"/>
          <w:lang w:bidi="ar"/>
        </w:rPr>
        <w:t>3</w:t>
      </w:r>
      <w:r>
        <w:rPr>
          <w:rFonts w:ascii="Arial" w:hAnsi="Arial" w:eastAsia="仿宋" w:cs="Arial"/>
          <w:sz w:val="28"/>
          <w:szCs w:val="28"/>
          <w:highlight w:val="none"/>
          <w:lang w:bidi="ar"/>
        </w:rPr>
        <w:t>日，全国住房城乡建设工作会议在北京召开。会议</w:t>
      </w:r>
      <w:r>
        <w:rPr>
          <w:rFonts w:hint="eastAsia" w:ascii="Arial" w:hAnsi="Arial" w:eastAsia="仿宋" w:cs="Arial"/>
          <w:sz w:val="28"/>
          <w:szCs w:val="28"/>
          <w:highlight w:val="none"/>
          <w:lang w:bidi="ar"/>
        </w:rPr>
        <w:t>全面盘点2025年工作，系统总结“十四五”时期住房城乡建设事业发展成就，研究部署“十五五”时期和2026年重点任务</w:t>
      </w:r>
      <w:r>
        <w:rPr>
          <w:rFonts w:ascii="Arial" w:hAnsi="Arial" w:eastAsia="仿宋" w:cs="Arial"/>
          <w:sz w:val="28"/>
          <w:szCs w:val="28"/>
          <w:highlight w:val="none"/>
          <w:lang w:bidi="ar"/>
        </w:rPr>
        <w:t>。会议强调，202</w:t>
      </w:r>
      <w:r>
        <w:rPr>
          <w:rFonts w:hint="eastAsia" w:ascii="Arial" w:hAnsi="Arial" w:eastAsia="仿宋" w:cs="Arial"/>
          <w:sz w:val="28"/>
          <w:szCs w:val="28"/>
          <w:highlight w:val="none"/>
          <w:lang w:bidi="ar"/>
        </w:rPr>
        <w:t>6</w:t>
      </w:r>
      <w:r>
        <w:rPr>
          <w:rFonts w:ascii="Arial" w:hAnsi="Arial" w:eastAsia="仿宋" w:cs="Arial"/>
          <w:sz w:val="28"/>
          <w:szCs w:val="28"/>
          <w:highlight w:val="none"/>
          <w:lang w:bidi="ar"/>
        </w:rPr>
        <w:t>年的工作要重点抓好</w:t>
      </w:r>
      <w:r>
        <w:rPr>
          <w:rFonts w:hint="eastAsia" w:ascii="Arial" w:hAnsi="Arial" w:eastAsia="仿宋" w:cs="Arial"/>
          <w:sz w:val="28"/>
          <w:szCs w:val="28"/>
          <w:highlight w:val="none"/>
          <w:lang w:bidi="ar"/>
        </w:rPr>
        <w:t>4</w:t>
      </w:r>
      <w:r>
        <w:rPr>
          <w:rFonts w:ascii="Arial" w:hAnsi="Arial" w:eastAsia="仿宋" w:cs="Arial"/>
          <w:sz w:val="28"/>
          <w:szCs w:val="28"/>
          <w:highlight w:val="none"/>
          <w:lang w:bidi="ar"/>
        </w:rPr>
        <w:t>个方面工作。一、</w:t>
      </w:r>
      <w:r>
        <w:rPr>
          <w:rFonts w:hint="eastAsia" w:ascii="Arial" w:hAnsi="Arial" w:eastAsia="仿宋" w:cs="Arial"/>
          <w:sz w:val="28"/>
          <w:szCs w:val="28"/>
          <w:highlight w:val="none"/>
          <w:lang w:bidi="ar"/>
        </w:rPr>
        <w:t>推进现代化人民城市建设，重点是：高质量开展城市更新，编制实施“十五五”城市更新专项规划，抓好城市体检、更新试点，实施一批民生工程、发展工程、安全工程。</w:t>
      </w:r>
      <w:r>
        <w:rPr>
          <w:rFonts w:ascii="Arial" w:hAnsi="Arial" w:eastAsia="仿宋" w:cs="Arial"/>
          <w:sz w:val="28"/>
          <w:szCs w:val="28"/>
          <w:highlight w:val="none"/>
          <w:lang w:bidi="ar"/>
        </w:rPr>
        <w:t>二、</w:t>
      </w:r>
      <w:r>
        <w:rPr>
          <w:rFonts w:hint="eastAsia" w:ascii="Arial" w:hAnsi="Arial" w:eastAsia="仿宋" w:cs="Arial"/>
          <w:sz w:val="28"/>
          <w:szCs w:val="28"/>
          <w:highlight w:val="none"/>
          <w:lang w:bidi="ar"/>
        </w:rPr>
        <w:t>着力稳定房地产市场，重点是：因城施策控增量、去库存、优供给，结合城市更新、城中村改造盘活利用存量用地，推动收购存量商品房用作保障性住房、安置房、宿舍、人才房等。优化和精准实施保障性住房供应，实施房屋品质提升工程，有序推进“好房子”建设；进一步发挥房地产项目“白名单”制度作用，支持房地产企业合理融资需求</w:t>
      </w:r>
      <w:r>
        <w:rPr>
          <w:rFonts w:ascii="Arial" w:hAnsi="Arial" w:eastAsia="仿宋" w:cs="Arial"/>
          <w:sz w:val="28"/>
          <w:szCs w:val="28"/>
          <w:highlight w:val="none"/>
          <w:lang w:bidi="ar"/>
        </w:rPr>
        <w:t>。三、</w:t>
      </w:r>
      <w:r>
        <w:rPr>
          <w:rFonts w:hint="eastAsia" w:ascii="Arial" w:hAnsi="Arial" w:eastAsia="仿宋" w:cs="Arial"/>
          <w:sz w:val="28"/>
          <w:szCs w:val="28"/>
          <w:highlight w:val="none"/>
          <w:lang w:bidi="ar"/>
        </w:rPr>
        <w:t>加快建筑业提质升级，重点是：推动产业转型升级，大力发展智能建造、绿色建造，培育现代化建筑产业链，加快新型建材研发应用，加快培育绿色建筑新增长点；规范建筑市场秩序，深入开展房屋和市政领域工程招标投标突出问题专项整治；强化现场监督管理，扎实推动安全生产治本攻坚三年行动，建立房屋全生命周期安全管理制度</w:t>
      </w:r>
      <w:r>
        <w:rPr>
          <w:rFonts w:ascii="Arial" w:hAnsi="Arial" w:eastAsia="仿宋" w:cs="Arial"/>
          <w:sz w:val="28"/>
          <w:szCs w:val="28"/>
          <w:highlight w:val="none"/>
          <w:lang w:bidi="ar"/>
        </w:rPr>
        <w:t>。四、</w:t>
      </w:r>
      <w:r>
        <w:rPr>
          <w:rFonts w:hint="eastAsia" w:ascii="Arial" w:hAnsi="Arial" w:eastAsia="仿宋" w:cs="Arial"/>
          <w:sz w:val="28"/>
          <w:szCs w:val="28"/>
          <w:highlight w:val="none"/>
          <w:lang w:bidi="ar"/>
        </w:rPr>
        <w:t>夯实高质量发展基础支撑，重点是：提升法治建设水平，完善标准体系，加快推出一批工作急需的工程建设标准。加强统计分析，推动优化现行统计指标，强化统计数据分析应用</w:t>
      </w:r>
      <w:r>
        <w:rPr>
          <w:rFonts w:ascii="Arial" w:hAnsi="Arial" w:eastAsia="仿宋" w:cs="Arial"/>
          <w:sz w:val="28"/>
          <w:szCs w:val="28"/>
          <w:highlight w:val="none"/>
          <w:lang w:bidi="ar"/>
        </w:rPr>
        <w:t>。</w:t>
      </w:r>
    </w:p>
    <w:bookmarkEnd w:id="171"/>
    <w:p w14:paraId="09272CC8">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北京：</w:t>
      </w:r>
    </w:p>
    <w:p w14:paraId="2834CABC">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2025年2月12日，</w:t>
      </w:r>
      <w:r>
        <w:rPr>
          <w:rFonts w:ascii="Arial" w:hAnsi="Arial" w:eastAsia="仿宋" w:cs="Arial"/>
          <w:sz w:val="28"/>
          <w:szCs w:val="28"/>
          <w:highlight w:val="none"/>
          <w:lang w:bidi="ar"/>
        </w:rPr>
        <w:t>北京市规划和自然资源委员会发布</w:t>
      </w:r>
      <w:r>
        <w:rPr>
          <w:rFonts w:hint="eastAsia" w:ascii="Arial" w:hAnsi="Arial" w:eastAsia="仿宋" w:cs="Arial"/>
          <w:sz w:val="28"/>
          <w:szCs w:val="28"/>
          <w:highlight w:val="none"/>
          <w:lang w:bidi="ar"/>
        </w:rPr>
        <w:t>《关于印发〈北京市平原多点地区“好房子”规划管理相关技术要点（试行）〉的通知》，</w:t>
      </w:r>
      <w:r>
        <w:rPr>
          <w:rFonts w:ascii="Arial" w:hAnsi="Arial" w:eastAsia="仿宋" w:cs="Arial"/>
          <w:sz w:val="28"/>
          <w:szCs w:val="28"/>
          <w:highlight w:val="none"/>
          <w:lang w:bidi="ar"/>
        </w:rPr>
        <w:t>旨在提升住房品质，满足多样化居住需求。主要内容包括：允许按需设置封闭或开敞阳台，面积不超过套内建筑面积的10%；鼓励在140平方米以上住宅设置挑空空间；合理利用底层架空空间作为公共活动区域；设置开敞式风雨连廊以方便居民活动；增配邻里共享公共空间，提供便民服务；允许跨城市支路空间利用以优化布局；建筑高度可局部上浮以形成错落天际线；鼓励使用高品质材料提升立面品质。这些措施适用于顺义、大兴、亦庄、昌平、房山等平原多点地区，城市副中心可参照执行</w:t>
      </w:r>
      <w:r>
        <w:rPr>
          <w:rFonts w:hint="eastAsia" w:ascii="Arial" w:hAnsi="Arial" w:eastAsia="仿宋" w:cs="Arial"/>
          <w:sz w:val="28"/>
          <w:szCs w:val="28"/>
          <w:highlight w:val="none"/>
          <w:lang w:bidi="ar"/>
        </w:rPr>
        <w:t>。</w:t>
      </w:r>
    </w:p>
    <w:p w14:paraId="572553A9">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5月9日，北京市住房和城乡建设委员会</w:t>
      </w:r>
      <w:r>
        <w:rPr>
          <w:rFonts w:hint="eastAsia" w:ascii="Arial" w:hAnsi="Arial" w:eastAsia="仿宋" w:cs="Arial"/>
          <w:sz w:val="28"/>
          <w:szCs w:val="28"/>
          <w:highlight w:val="none"/>
          <w:lang w:bidi="ar"/>
        </w:rPr>
        <w:t>发布</w:t>
      </w:r>
      <w:r>
        <w:rPr>
          <w:rFonts w:ascii="Arial" w:hAnsi="Arial" w:eastAsia="仿宋" w:cs="Arial"/>
          <w:sz w:val="28"/>
          <w:szCs w:val="28"/>
          <w:highlight w:val="none"/>
          <w:lang w:bidi="ar"/>
        </w:rPr>
        <w:t>《关于印发</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2025年北京市住房发展年度计划</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的通知》</w:t>
      </w:r>
      <w:r>
        <w:rPr>
          <w:rFonts w:hint="eastAsia" w:ascii="Arial" w:hAnsi="Arial" w:eastAsia="仿宋" w:cs="Arial"/>
          <w:sz w:val="28"/>
          <w:szCs w:val="28"/>
          <w:highlight w:val="none"/>
          <w:lang w:bidi="ar"/>
        </w:rPr>
        <w:t>。《通知》</w:t>
      </w:r>
      <w:r>
        <w:rPr>
          <w:rFonts w:ascii="Arial" w:hAnsi="Arial" w:eastAsia="仿宋" w:cs="Arial"/>
          <w:sz w:val="28"/>
          <w:szCs w:val="28"/>
          <w:highlight w:val="none"/>
          <w:lang w:bidi="ar"/>
        </w:rPr>
        <w:t>围绕优化住房用地供应、推进房地产市场回稳向好、加强住房保障、规范住房租赁市场、发挥住房公积金作用、提升住房质量、推进城市更新、健全物业管理服务体系等八个方面，提出了具体任务、行动计划和工作举措。</w:t>
      </w:r>
    </w:p>
    <w:p w14:paraId="793CDEA8">
      <w:pPr>
        <w:widowControl/>
        <w:adjustRightInd/>
        <w:spacing w:line="300" w:lineRule="auto"/>
        <w:ind w:firstLine="560" w:firstLineChars="200"/>
        <w:jc w:val="both"/>
        <w:rPr>
          <w:rFonts w:ascii="Arial" w:hAnsi="Arial" w:eastAsia="仿宋" w:cs="Arial"/>
          <w:sz w:val="28"/>
          <w:szCs w:val="28"/>
          <w:highlight w:val="none"/>
          <w:lang w:bidi="ar"/>
        </w:rPr>
      </w:pPr>
      <w:bookmarkStart w:id="173" w:name="OLE_LINK8"/>
      <w:bookmarkStart w:id="174" w:name="_Hlk212211336"/>
      <w:r>
        <w:rPr>
          <w:rFonts w:hint="eastAsia" w:ascii="Arial" w:hAnsi="Arial" w:eastAsia="仿宋" w:cs="Arial"/>
          <w:sz w:val="28"/>
          <w:szCs w:val="28"/>
          <w:highlight w:val="none"/>
          <w:lang w:bidi="ar"/>
        </w:rPr>
        <w:t>2025年7月10日，北京市人民政府发布</w:t>
      </w:r>
      <w:r>
        <w:rPr>
          <w:rFonts w:ascii="Arial" w:hAnsi="Arial" w:eastAsia="仿宋" w:cs="Arial"/>
          <w:sz w:val="28"/>
          <w:szCs w:val="28"/>
          <w:highlight w:val="none"/>
          <w:lang w:bidi="ar"/>
        </w:rPr>
        <w:t>《关于印发</w:t>
      </w:r>
      <w:r>
        <w:rPr>
          <w:rFonts w:hint="eastAsia" w:ascii="Arial" w:hAnsi="Arial" w:eastAsia="仿宋" w:cs="Arial"/>
          <w:sz w:val="28"/>
          <w:szCs w:val="28"/>
          <w:highlight w:val="none"/>
          <w:lang w:bidi="ar"/>
        </w:rPr>
        <w:t>〈北京市深化改革提振消费专项行动方案〉</w:t>
      </w:r>
      <w:r>
        <w:rPr>
          <w:rFonts w:ascii="Arial" w:hAnsi="Arial" w:eastAsia="仿宋" w:cs="Arial"/>
          <w:sz w:val="28"/>
          <w:szCs w:val="28"/>
          <w:highlight w:val="none"/>
          <w:lang w:bidi="ar"/>
        </w:rPr>
        <w:t>的通知》，提出共计24项具体方案。其中，</w:t>
      </w:r>
      <w:r>
        <w:rPr>
          <w:rFonts w:hint="eastAsia" w:ascii="Arial" w:hAnsi="Arial" w:eastAsia="仿宋" w:cs="Arial"/>
          <w:sz w:val="28"/>
          <w:szCs w:val="28"/>
          <w:highlight w:val="none"/>
          <w:lang w:bidi="ar"/>
        </w:rPr>
        <w:t>第14项“</w:t>
      </w:r>
      <w:r>
        <w:rPr>
          <w:rFonts w:ascii="Arial" w:hAnsi="Arial" w:eastAsia="仿宋" w:cs="Arial"/>
          <w:sz w:val="28"/>
          <w:szCs w:val="28"/>
          <w:highlight w:val="none"/>
          <w:lang w:bidi="ar"/>
        </w:rPr>
        <w:t>优化住房消费新供给</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：优先向轨道交通站点和就业密集地区 供应住宅用地，完善</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保障</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市场</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住房供应体系。进一步发挥住房公积金促进作用，支持缴存人在提取公积 金支付购房首付款的同时申请住房公积金个人住房贷款。研究制定住房公积金个人住房贷款</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带押过户</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政策，并开展相关业务。</w:t>
      </w:r>
    </w:p>
    <w:bookmarkEnd w:id="173"/>
    <w:p w14:paraId="397B45A2">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2025年8月8日，</w:t>
      </w:r>
      <w:r>
        <w:rPr>
          <w:rFonts w:ascii="Arial" w:hAnsi="Arial" w:eastAsia="仿宋" w:cs="Arial"/>
          <w:sz w:val="28"/>
          <w:szCs w:val="28"/>
          <w:highlight w:val="none"/>
          <w:lang w:bidi="ar"/>
        </w:rPr>
        <w:t>北京市住房和城乡建设委员会、</w:t>
      </w:r>
      <w:r>
        <w:rPr>
          <w:rFonts w:hint="eastAsia" w:ascii="Arial" w:hAnsi="Arial" w:eastAsia="仿宋" w:cs="Arial"/>
          <w:sz w:val="28"/>
          <w:szCs w:val="28"/>
          <w:highlight w:val="none"/>
          <w:lang w:bidi="ar"/>
        </w:rPr>
        <w:t>北京住房公积金管理中心</w:t>
      </w:r>
      <w:r>
        <w:rPr>
          <w:rFonts w:ascii="Arial" w:hAnsi="Arial" w:eastAsia="仿宋" w:cs="Arial"/>
          <w:sz w:val="28"/>
          <w:szCs w:val="28"/>
          <w:highlight w:val="none"/>
          <w:lang w:bidi="ar"/>
        </w:rPr>
        <w:t>联合发布</w:t>
      </w:r>
      <w:r>
        <w:rPr>
          <w:rFonts w:hint="eastAsia" w:ascii="Arial" w:hAnsi="Arial" w:eastAsia="仿宋" w:cs="Arial"/>
          <w:sz w:val="28"/>
          <w:szCs w:val="28"/>
          <w:highlight w:val="none"/>
          <w:lang w:bidi="ar"/>
        </w:rPr>
        <w:t>《关于进一步优化调整本市房地产相关政策的通知》。此次政策调整聚焦于优化住房限购政策和加大公积金贷款支持力度两大方面，其中五环外限购松绑以及公积金政策的多项优化举措，印发广泛关注。《通知》自2025年8月9日起正式施行。</w:t>
      </w:r>
    </w:p>
    <w:p w14:paraId="6646BEA6">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9月29日，</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北京市人民政府印发</w:t>
      </w:r>
      <w:r>
        <w:rPr>
          <w:rFonts w:hint="eastAsia" w:ascii="Arial" w:hAnsi="Arial" w:eastAsia="仿宋" w:cs="Arial"/>
          <w:sz w:val="28"/>
          <w:szCs w:val="28"/>
          <w:highlight w:val="none"/>
          <w:lang w:bidi="ar"/>
        </w:rPr>
        <w:t>〈北京市居住公共服务设施配置指标〉和〈北京市居住公共服务设施配置指标实施意见〉的通知》发布</w:t>
      </w:r>
      <w:r>
        <w:rPr>
          <w:rFonts w:ascii="Arial" w:hAnsi="Arial" w:eastAsia="仿宋" w:cs="Arial"/>
          <w:sz w:val="28"/>
          <w:szCs w:val="28"/>
          <w:highlight w:val="none"/>
          <w:lang w:bidi="ar"/>
        </w:rPr>
        <w:t>，对2015年印发的文件进行了全面修订</w:t>
      </w:r>
      <w:r>
        <w:rPr>
          <w:rFonts w:hint="eastAsia" w:ascii="Arial" w:hAnsi="Arial" w:eastAsia="仿宋" w:cs="Arial"/>
          <w:sz w:val="28"/>
          <w:szCs w:val="28"/>
          <w:highlight w:val="none"/>
          <w:lang w:bidi="ar"/>
        </w:rPr>
        <w:t>。《通知》</w:t>
      </w:r>
      <w:r>
        <w:rPr>
          <w:rFonts w:ascii="Arial" w:hAnsi="Arial" w:eastAsia="仿宋" w:cs="Arial"/>
          <w:sz w:val="28"/>
          <w:szCs w:val="28"/>
          <w:highlight w:val="none"/>
          <w:lang w:bidi="ar"/>
        </w:rPr>
        <w:t>于2025年 12月1日起实施。鼓励空间复合利用，增设综合服务设施，将文体活动、党群服务设施指标统筹使用；增设托育设施和老幼服务用房，强化“一老一小”服务功能；调整了停车指标，电动自行车原则在地上停放；增加末端物流设施、垃圾分类收集设施；增设社区级商业设施</w:t>
      </w:r>
      <w:r>
        <w:rPr>
          <w:rFonts w:hint="eastAsia" w:ascii="Arial" w:hAnsi="Arial" w:eastAsia="仿宋" w:cs="Arial"/>
          <w:sz w:val="28"/>
          <w:szCs w:val="28"/>
          <w:highlight w:val="none"/>
          <w:lang w:bidi="ar"/>
        </w:rPr>
        <w:t>。</w:t>
      </w:r>
    </w:p>
    <w:p w14:paraId="46EF118A">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2025年12月24日，北京市住房和城乡建设委员会、中国人民银行北京市分行、北京市发展和改革委员会和北京住房公积金管理中心联合发布《关于进一步优化调整本市房地产相关政策的通知》。《通知》</w:t>
      </w:r>
      <w:r>
        <w:rPr>
          <w:rFonts w:ascii="Arial" w:hAnsi="Arial" w:eastAsia="仿宋" w:cs="Arial"/>
          <w:sz w:val="28"/>
          <w:szCs w:val="28"/>
          <w:highlight w:val="none"/>
          <w:lang w:bidi="ar"/>
        </w:rPr>
        <w:t>核心内容包括放宽非京籍购房条件、支持多子女家庭购房、优化信贷及公积金政策等，自发布当日施行</w:t>
      </w:r>
      <w:r>
        <w:rPr>
          <w:rFonts w:hint="eastAsia" w:ascii="Arial" w:hAnsi="Arial" w:eastAsia="仿宋" w:cs="Arial"/>
          <w:sz w:val="28"/>
          <w:szCs w:val="28"/>
          <w:highlight w:val="none"/>
          <w:lang w:bidi="ar"/>
        </w:rPr>
        <w:t>。</w:t>
      </w:r>
    </w:p>
    <w:p w14:paraId="433AF6F8">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bCs/>
          <w:color w:val="000000"/>
          <w:sz w:val="28"/>
          <w:szCs w:val="28"/>
          <w:highlight w:val="none"/>
        </w:rPr>
        <w:t>2025年12月31日，北京市规划和自然资源委员会和北京市住房和城乡建设委员会联合发布《关于印发</w:t>
      </w:r>
      <w:r>
        <w:rPr>
          <w:rFonts w:hint="eastAsia" w:ascii="仿宋" w:hAnsi="仿宋" w:eastAsia="仿宋" w:cs="Arial"/>
          <w:bCs/>
          <w:color w:val="000000"/>
          <w:sz w:val="28"/>
          <w:szCs w:val="28"/>
          <w:highlight w:val="none"/>
        </w:rPr>
        <w:t>〈</w:t>
      </w:r>
      <w:r>
        <w:rPr>
          <w:rFonts w:hint="eastAsia" w:ascii="Arial" w:hAnsi="Arial" w:eastAsia="仿宋" w:cs="Arial"/>
          <w:bCs/>
          <w:color w:val="000000"/>
          <w:sz w:val="28"/>
          <w:szCs w:val="28"/>
          <w:highlight w:val="none"/>
        </w:rPr>
        <w:t>北京市城市更新范围内无手续建筑认定处理指导意见（试行）</w:t>
      </w:r>
      <w:r>
        <w:rPr>
          <w:rFonts w:hint="eastAsia" w:ascii="仿宋" w:hAnsi="仿宋" w:eastAsia="仿宋" w:cs="Arial"/>
          <w:bCs/>
          <w:color w:val="000000"/>
          <w:sz w:val="28"/>
          <w:szCs w:val="28"/>
          <w:highlight w:val="none"/>
        </w:rPr>
        <w:t>〉</w:t>
      </w:r>
      <w:r>
        <w:rPr>
          <w:rFonts w:hint="eastAsia" w:ascii="Arial" w:hAnsi="Arial" w:eastAsia="仿宋" w:cs="Arial"/>
          <w:bCs/>
          <w:color w:val="000000"/>
          <w:sz w:val="28"/>
          <w:szCs w:val="28"/>
          <w:highlight w:val="none"/>
        </w:rPr>
        <w:t>的通知》，该文件</w:t>
      </w:r>
      <w:r>
        <w:rPr>
          <w:rFonts w:ascii="Arial" w:hAnsi="Arial" w:eastAsia="仿宋" w:cs="Arial"/>
          <w:bCs/>
          <w:color w:val="000000"/>
          <w:sz w:val="28"/>
          <w:szCs w:val="28"/>
          <w:highlight w:val="none"/>
        </w:rPr>
        <w:t>属于《北京市城市更新条例》配套政策文件，旨在推动化解城市更新范围内部分现状建筑物因历史原因形成的无手续或手续不完善问题，激励城市更新项目实施，进一步优化城市功能布局，促进存量空间资源提质增效，加快推进城市更新项</w:t>
      </w:r>
      <w:r>
        <w:rPr>
          <w:rFonts w:ascii="Arial" w:hAnsi="Arial" w:eastAsia="仿宋" w:cs="Arial"/>
          <w:sz w:val="28"/>
          <w:szCs w:val="28"/>
          <w:highlight w:val="none"/>
          <w:lang w:bidi="ar"/>
        </w:rPr>
        <w:t>目实施</w:t>
      </w:r>
      <w:r>
        <w:rPr>
          <w:rFonts w:hint="eastAsia" w:ascii="Arial" w:hAnsi="Arial" w:eastAsia="仿宋" w:cs="Arial"/>
          <w:sz w:val="28"/>
          <w:szCs w:val="28"/>
          <w:highlight w:val="none"/>
          <w:lang w:bidi="ar"/>
        </w:rPr>
        <w:t>。</w:t>
      </w:r>
    </w:p>
    <w:bookmarkEnd w:id="174"/>
    <w:p w14:paraId="24A599CB">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  税收政策：</w:t>
      </w:r>
    </w:p>
    <w:p w14:paraId="2BF26970">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2025年4月，</w:t>
      </w:r>
      <w:r>
        <w:rPr>
          <w:rFonts w:ascii="Arial" w:hAnsi="Arial" w:eastAsia="仿宋" w:cs="Arial"/>
          <w:sz w:val="28"/>
          <w:szCs w:val="28"/>
          <w:highlight w:val="none"/>
          <w:lang w:bidi="ar"/>
        </w:rPr>
        <w:t>国家税务总局12366纳税服务平台以热点问题答复形式回应：纳税人按照《关于降低存量首套住房贷款 利率有关事项的通知》规定“二套转首套”，其商业住房贷款部分已执行首套住房贷款利率的，符合《国务院 关于印发个人所得税专项附加扣除暂行办法的通知》</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国发〔2018〕41号</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有关住房贷款利息专项附加扣除的规定且之前未享受过住房贷款利息专项附加扣除的，可以自按照首套住房贷款利率开始还款的当月起享受住房贷款利息专项附加扣除。</w:t>
      </w:r>
    </w:p>
    <w:p w14:paraId="2D65B2CA">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10月15日，北京市住房和城乡建设委员会、北京市财政局、国家税务总局北京市税务局发布《关于进一步明确本市住房租赁企业税收政策适用有关事项的通知》，明确符合条件的住房租赁企业，可以按照《关于完善住房租赁有关税收政策的公告》（财政部、税务总局、住房城乡建设部公告2021 年第24号》享受相应的税收优惠政策。将专业化规模化住房租赁企业标准下调50%，即在本市持有或者经营租赁住房500 套（间）及以上或者建筑面积1.5 万平方米及以上，进一步扩大专业化规模化住房租赁企业税收优惠覆盖面。</w:t>
      </w:r>
    </w:p>
    <w:p w14:paraId="7540025E">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12月30日，财政部、税务总局联合发布《关于个人销售住房增值税政策的公告》，个人将购买不足2年的住房对外销售的，按照3%的征收率全额缴纳增值税；个人将购买2年以上（含2年）的住房对外销售的，免征增值税。本次政策调整主要针对购买不足2年的住房，将出售增值税率由5%调整至3%，购买2年以上的住房对外销售的，没有调整，仍免征增值税。公告自2026年1月1日起施行。</w:t>
      </w:r>
    </w:p>
    <w:p w14:paraId="2534054C">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  金融政策：</w:t>
      </w:r>
    </w:p>
    <w:p w14:paraId="6212637B">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全国：</w:t>
      </w:r>
    </w:p>
    <w:p w14:paraId="12CF1FF2">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2025年5月7日，</w:t>
      </w:r>
      <w:r>
        <w:rPr>
          <w:rFonts w:ascii="Arial" w:hAnsi="Arial" w:eastAsia="仿宋" w:cs="Arial"/>
          <w:sz w:val="28"/>
          <w:szCs w:val="28"/>
          <w:highlight w:val="none"/>
          <w:lang w:bidi="ar"/>
        </w:rPr>
        <w:t>中国人民银行公告，下调金融机构存款准备金率、下调再贷款利率、下调个人住房公积金贷款利率：自5月15日起，下调金融机构存款准备金率0.5个百分点；自5月7日起，下调再贷款利率0.25个百分点；自5月 8日起，下调个人住房公积金贷款利率0.25个百分点。</w:t>
      </w:r>
    </w:p>
    <w:p w14:paraId="30CE7035">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北京：</w:t>
      </w:r>
    </w:p>
    <w:p w14:paraId="27DF5A56">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2024年9月30日，北京市住房和城乡建设委员会、北京市财政局、中国人民银行北京市分行、国家金融监督管理总局北京监管局、国家税务总局北京市税务局、北京住房公积金管理中心联合发布《关于进一步优化调整本市房地产相关政策的通知》。《通知》提出，加大信贷政策支持力度。一是降低存量房贷利率。引导商业银行稳妥有序将存量房贷利率降至新发放贷款利率附近，切实减轻购房人房贷利息负担。二是下调房贷首付款比例。将商业性个人住房贷款首套房贷最低首付款比例由不低于20%下调至不低于15%，二套房贷由不低于35%（购买五环内住房）、不低于30%（购买五环外住房）统一下调至不低于20%。三是更好发挥住房公积金贷款作用。京籍二孩以上家庭购房的，公积金可贷款额度上浮40万元。</w:t>
      </w:r>
    </w:p>
    <w:p w14:paraId="6087E11F">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2024年12月31日，北京住房公积金管理中心发布《关于调整住房公积金个人住房贷款借款人年龄上限的通知》，将住房公积金个人住房贷款借款期限调整到可计算到借款申请人法定退休年龄后5年，原则上最高不超过68周岁，贷款期限最长为30年。《通知》自2025年1月1日起执行。</w:t>
      </w:r>
    </w:p>
    <w:p w14:paraId="7B6BE4A2">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2025年5月8日，</w:t>
      </w:r>
      <w:r>
        <w:rPr>
          <w:rFonts w:ascii="Arial" w:hAnsi="Arial" w:eastAsia="仿宋" w:cs="Arial"/>
          <w:sz w:val="28"/>
          <w:szCs w:val="28"/>
          <w:highlight w:val="none"/>
          <w:lang w:bidi="ar"/>
        </w:rPr>
        <w:t>北京住房公积金管理中心发布《</w:t>
      </w:r>
      <w:r>
        <w:rPr>
          <w:rFonts w:hint="eastAsia" w:ascii="Arial" w:hAnsi="Arial" w:eastAsia="仿宋" w:cs="Arial"/>
          <w:sz w:val="28"/>
          <w:szCs w:val="28"/>
          <w:highlight w:val="none"/>
          <w:lang w:bidi="ar"/>
        </w:rPr>
        <w:t>关于下调个人住房公积金贷款利率的公告</w:t>
      </w:r>
      <w:r>
        <w:rPr>
          <w:rFonts w:ascii="Arial" w:hAnsi="Arial" w:eastAsia="仿宋" w:cs="Arial"/>
          <w:sz w:val="28"/>
          <w:szCs w:val="28"/>
          <w:highlight w:val="none"/>
          <w:lang w:bidi="ar"/>
        </w:rPr>
        <w:t>》</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2025年5月8日（含）之后新发放的贷款，5年以下（含5年）和5年以上首套个人住房公积金贷款利率分别为2.1％和2.6％，5年以下 （含5年）和5年以上第二套个人住房公积金贷款利率分别为2.525％和3.075％。</w:t>
      </w:r>
    </w:p>
    <w:p w14:paraId="7D0D4452">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4.城市规划与发展目标</w:t>
      </w:r>
    </w:p>
    <w:p w14:paraId="572834D1">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（1）《北京城市总体规划</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2016年</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2035年</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于2017年9月29日正式发布。新版总体规划以资源环境为硬约束，确定了人口总量上限、生态控制线、城市开发边界“三条红线”。通过疏解非首都功能，实现人随功能走、人随产业走。北京市常住人口规模2020年控制在2300万人以内，2020年以后长期稳定在这一水平。到2035年，北京市生态控制区面积占市域面积的比例要提高到75%。到2020年，北京市城乡建设用地规模将由2015年的2921平方公里减到2860平方公里。深入推进京津冀协同发展。发挥北京的辐射带动作用，打造以首都为核心的世界级城市群。全方位对接支持河北雄安新区规划建设。与河北共同筹办好2022年北京冬奥会和冬残奥会，促进区域整体发展水平提升。聚焦重点领域，优化区域交通体系，推进交通互联互通，疏解过境交通；建设好北京新机场，打造区域世界级机场群；加强产业协作和转移，构建区域协同创新共同体。加强与天津、河北交界地区统一规划、统一政策、统一管控。</w:t>
      </w:r>
    </w:p>
    <w:p w14:paraId="1F84D621">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2）2021年1月27日，北京市第十五届人民代表大会第四次会议批准了《北京市国民经济和社会发展第十四个五年规划和二〇三五年远景目标纲要》（以下简称《纲要》）。《纲要》的指导思想，是要统筹推进“五位一体”总体布局，协调推进“四个全面”战略布局，坚定不移贯彻创新、协调、绿色、开放、共享的新发展理念，坚持稳中求进工作总基调，立足首都城市战略定位，深入实施人文北京、科技北京、绿色北京战略，以首都发展为统领，以推进高质量发展为主题，以深化供给侧结构性改革为主线，以改革创新为根本动力，以满足人民日益增长的美好生活需要为根本目的，以建设国际科技创新中心为新引擎，以疏解非首都功能为“牛鼻子”推动京津冀协同发展，以高水平对外开放打造国际合作和竞争新优势，统筹发展和安全，加快建设现代化经济体系，率先探索构建新发展格局的有效路径，推进首都治理体系和治理能力现代化，实现经济行稳致远、社会安定和谐，为率先基本实现社会主义现代化开好局、起好步。</w:t>
      </w:r>
    </w:p>
    <w:p w14:paraId="125EC1A6">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纲要》提出，建设高品质宜居城市，优化城市空间功能布局，加快推进城市更新。大力推进老旧小区改造，促进存量产业空间活力复兴。研究推进区域整体转型开发、节余土地分割转让等机制，鼓励市场主体利用老旧厂房发展科技研发、商务服务、文化创意等产业。</w:t>
      </w:r>
    </w:p>
    <w:p w14:paraId="17F4F582">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完善多层次住房保障体系，加大住房有效供给，优化房地产市场管理和服务。坚持“房住不炒”，完善房地产市场平稳健康发展长效机制，构建与城市功能定位和发展需求相适应的住房体系，努力实现住有所居、居有所安。加大住房有效供给，统筹住房保障、职住平衡和区域协调发展，提升住房供给体系的适配性。坚持保障和改善民生优先导向，增加住房供应，规划期内新增各类居住用地5000公顷、供应各类住房100万套左右，基本实现总体供需平衡。加大多层次保障性租赁住房供给，针对中低收入家庭自住需求，大力筹集建设各类租赁型住房，提高公共租赁住房备案家庭保障率，新增供应套数占比不低于40%。新增集体土地租赁住房等政策性租赁住房供地占比不低于供应总量的15%，鼓励存量低效商业、办公、厂房等建筑改造为租赁型职工集体宿舍或公寓。加快高层次人才公租房和国际人才公寓建设。确保住房交易市场平稳有序，规范发展住房租赁市场，保持调控政策连续性稳定性，坚决遏制投机炒房，按照“全市统筹、因区施策”原则，逐步完善各区域调控长效机制，合理设定调控目标，全面落实稳地价、稳房价、稳预期。</w:t>
      </w:r>
    </w:p>
    <w:p w14:paraId="7F2DEED5">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3）2022年5月18日，北京市印发《北京市城市更新专项规划（“十四五”时期）》（以下简称‘《专项规划》’），严控大拆大建，采取小规模、渐进式、可持续的更新，依托新版《北京城市总规》确定的“一核一主一副、两轴多点一区”的城市空间结构，分圈层差异化明确更新方向，将首都功能核心区和城市副中心作为更新重点；划定近期178个城市更新重点街区，到2025年，将完成全市2000年底前建成需改造的1.6亿平方米老旧小区改造任务。</w:t>
      </w:r>
    </w:p>
    <w:p w14:paraId="7666DC22">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专项规划》要求健全完善多主体供给、多渠道保障、租购并举的住房制度和住房体系，增加保障性住房与共有产权住房供给；明确城市更新应坚持“留改拆”并举、以保留利用提升为主；要全面推进老旧小区更新改造；将老旧楼宇纳入城市更新范围；要塑造“两轴”沿线公共空间。</w:t>
      </w:r>
    </w:p>
    <w:p w14:paraId="25A99F74">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5.城市经济发展运行状况</w:t>
      </w:r>
    </w:p>
    <w:p w14:paraId="69FE13A2">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根据北京市统计局地区生产总值统一核算结果，2025年全年，北京市实现地区生产总值52073.4亿元，按不变价格计算，比上年增长5.4%。分产业看，第一产业实现增加值109.2亿元，下降0.7%；第二产业实现增加值7187.4亿元，增长3.5%；第三产业实现增加值44776.9亿元，增长5.8%。</w:t>
      </w:r>
    </w:p>
    <w:p w14:paraId="70D66A59">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w:t>
      </w:r>
      <w:r>
        <w:rPr>
          <w:rFonts w:ascii="Arial" w:hAnsi="Arial" w:eastAsia="仿宋" w:cs="Arial"/>
          <w:sz w:val="28"/>
          <w:szCs w:val="28"/>
          <w:highlight w:val="none"/>
          <w:lang w:bidi="ar"/>
        </w:rPr>
        <w:t>农业生产保持稳定，设施农业发展较好</w:t>
      </w:r>
    </w:p>
    <w:p w14:paraId="117779E5">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实现农林牧渔业总产值249.8亿元，按可比价格计算，与上年持平。其中，实现农业（种植业）产值135.4亿元，受极端天气影响，下降3.5%，粮食播种面积148.4万亩、产量59.6万吨，分别增长5.0%和3.5%，蔬菜（含食用菌）、园林水果产量分别下降0.6%和12.2%；实现林业产值56.3亿元，下降5.2%；实现牧业产值42.6亿元，增长9.4%，猪、牛、羊、家禽出栏量均实现两位数增长。设施农业实现产值60.1亿元，增长1.1%，蔬菜、食用菌产值分别为38.2亿元和4.7亿元，分别增长0.9%和11.6%。</w:t>
      </w:r>
    </w:p>
    <w:p w14:paraId="67C6BFA8">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（2）工业生产提质增效，新兴领域加速布局</w:t>
      </w:r>
    </w:p>
    <w:p w14:paraId="2743D867">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北京市规模以上工业增加值按可比价格计算，比上年增长6.5%。重点行业中，计算机、通信和其他电子设备制造业，汽车制造业分别增长20.2%和17.7%，新能源汽车、消费电子、集成电路等领域发挥带动作用；电力、热力生产和供应业增长5.5%；医药制造业下降8.6%；五大装备制造业增长4.9%。新质生产力加快发展，规模以上工业战略性新兴产业、高技术制造业增加值分别增长15.5%和7.5%（二者有交叉），新能源汽车、锂离子电池、服务机器人、风力发电机组产量分别增长1.4倍、1.2倍、47.6%和21.6%。实现规模以上工业出口交货值2113.4亿元，增长6.4%，其中汽车制造业、专用设备制造业分别增长24.6%和10.8%</w:t>
      </w:r>
      <w:r>
        <w:rPr>
          <w:rFonts w:ascii="Arial" w:hAnsi="Arial" w:eastAsia="仿宋" w:cs="Arial"/>
          <w:sz w:val="28"/>
          <w:szCs w:val="28"/>
          <w:highlight w:val="none"/>
          <w:lang w:bidi="ar"/>
        </w:rPr>
        <w:t>。</w:t>
      </w:r>
    </w:p>
    <w:p w14:paraId="01BD6034">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（3）服务业稳中向好，优势行业稳固支撑</w:t>
      </w:r>
    </w:p>
    <w:p w14:paraId="089C7F2C">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第三产业增加值按不变价格计算，比上年增长5.8%。其中，信息传输、软件和信息技术服务业实现增加值12192.4亿元，增长11.0%，金融业实现增加值8668.2亿元，增长8.7%，两个行业对全市经济增长的贡献率超过7成；租赁和商务服务业实现增加值3171.4亿元，增长4.7%；交通运输、仓储和邮政业实现增加值1343.1亿元，增长8.9%。</w:t>
      </w:r>
    </w:p>
    <w:p w14:paraId="6538335B">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（4）固定资产投资较快增长，有效投资持续增加</w:t>
      </w:r>
    </w:p>
    <w:p w14:paraId="3B7128CB">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固定资产投资（不含农户）比上年增长5.5%。其中，反映企业生产能力扩大的设备购置投资增长66.0%，占固定资产投资的比重为32.3%，同比提高11.7个百分点，新一代信息技术、集成电路领域相关项目是主要带动力量。分领域看，基础设施投资下降1.6%，房地产开发投资下降15.5%。分产业看，第一产业投资增长6.3%；第二产业投资增长4.3%；第三产业投资增长5.6%，其中，信息传输、软件和信息技术服务业，科学研究和技术服务业投资分别增长83.0%和8.5%；“投资于人”稳步推进，教育、文化体育和娱乐业投资分别增长30.7%和30.1%。高技术产业投资保持活跃，增长40.1%，其中高技术服务业投资增长64.9%，互联网企业算力设备更新等领域加大投入。</w:t>
      </w:r>
    </w:p>
    <w:p w14:paraId="37B12405">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2025年末，北京市房屋施工面积10307.8万平方米，比上年末下降8.9%，其中，住宅施工面积5149.6万平方米，下降9.1%。全年商品房销售面积1041.0万平方米，下降6.9%，其中，住宅销售面积724.0万平方米，下降7.9%</w:t>
      </w:r>
      <w:r>
        <w:rPr>
          <w:rFonts w:ascii="Arial" w:hAnsi="Arial" w:eastAsia="仿宋" w:cs="Arial"/>
          <w:sz w:val="28"/>
          <w:szCs w:val="28"/>
          <w:highlight w:val="none"/>
          <w:lang w:bidi="ar"/>
        </w:rPr>
        <w:t>。</w:t>
      </w:r>
    </w:p>
    <w:p w14:paraId="61781CC6">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（5）服务性消费较为活跃，升级类商品销售良好</w:t>
      </w:r>
    </w:p>
    <w:p w14:paraId="72607D98">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市场总消费额比上年增长1.6%。其中，服务性消费额在信息、交通等领域带动下，增长5.0%；实现社会消费品零售总额13677.0亿元，下降2.9%，降幅比前三季度收窄2.2个百分点。社会消费品零售总额中，按消费形态分，商品零售12353.5亿元，下降2.9%，餐饮收入1323.5亿元，下降3.0%，分别收窄2.4个、0.7个百分点。从商品类别看，限额以上批发和零售业中，金银珠宝类、化妆品类、新能源汽车类等升级类商品零售额分别增长39.5%、12.6%和13.2%；与基本生活相关的粮油食品类商品零售额增长5.7%；汽车类、通讯器材类商品零售额分别下降13.7%和15.9%，降幅自四季度以来逐步收窄。</w:t>
      </w:r>
    </w:p>
    <w:p w14:paraId="3EA4C1C8">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（6）居民消费价格低位平稳运行，工业生产者出厂价格延续降势</w:t>
      </w:r>
      <w:r>
        <w:rPr>
          <w:rFonts w:ascii="Arial" w:hAnsi="Arial" w:eastAsia="仿宋" w:cs="Arial"/>
          <w:sz w:val="28"/>
          <w:szCs w:val="28"/>
          <w:highlight w:val="none"/>
          <w:lang w:bidi="ar"/>
        </w:rPr>
        <w:t> </w:t>
      </w:r>
    </w:p>
    <w:p w14:paraId="4325677F">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北京市居民消费价格同比下降0.1%。其中，消费品价格下降0.3%，服务价格同比持平。八大类商品和服务项目中，其他用品及服务类价格上涨13.1%，生活用品及服务类价格上涨2.1%，衣着类价格上涨0.4%，居住类价格同比持平，交通通信类价格下降2.2%，食品烟酒类价格下降1.2%，教育文化娱乐类价格下降1.2%，医疗保健类价格下降0.5%。12月份，居民消费价格同比上涨1.0%，环比上涨0.3%。</w:t>
      </w:r>
    </w:p>
    <w:p w14:paraId="1214C201">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2025年，北京市工业生产者出厂价格同比下降1.7%，购进价格同比下降1.8%。12月份，工业生产者出厂价格同比下降1.6%，环比上涨0.1%；购进价格同比下降2.5%，环比上涨0.8%。</w:t>
      </w:r>
    </w:p>
    <w:p w14:paraId="2AD514C8">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（7）就业形势总体平稳，居民收入稳步增长 </w:t>
      </w:r>
    </w:p>
    <w:p w14:paraId="0B649610">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2025年，北京市城镇调查失业率均值为4.1%，与上年持平；12月份，城镇调查失业率为4.0%，环比回落0.1个百分点点。</w:t>
      </w:r>
    </w:p>
    <w:p w14:paraId="447BD350">
      <w:pPr>
        <w:widowControl/>
        <w:adjustRightInd/>
        <w:spacing w:line="300" w:lineRule="auto"/>
        <w:ind w:firstLine="560" w:firstLineChars="200"/>
        <w:jc w:val="both"/>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居民人均可支配收入89090元，同比增长4.3%，扣除价格因素增长4.4%。其中，工资性收入增长4.9%，经营净收入增长3.2%，财产净收入增长0.7%，转移净收入增长4.9%。城镇居民人均可支配收入96292元，同比增长4.1%，农村居民人均可支配收入42012元，同比增长5.4%。</w:t>
      </w:r>
    </w:p>
    <w:p w14:paraId="548FAD24">
      <w:pPr>
        <w:widowControl/>
        <w:adjustRightInd/>
        <w:spacing w:line="300" w:lineRule="auto"/>
        <w:ind w:firstLine="560" w:firstLineChars="200"/>
        <w:jc w:val="both"/>
        <w:rPr>
          <w:rFonts w:ascii="Arial" w:hAnsi="Arial" w:eastAsia="仿宋" w:cs="Arial"/>
          <w:sz w:val="28"/>
          <w:szCs w:val="28"/>
          <w:highlight w:val="none"/>
          <w:lang w:bidi="ar"/>
        </w:rPr>
      </w:pPr>
      <w:r>
        <w:rPr>
          <w:rFonts w:hint="eastAsia" w:ascii="Arial" w:hAnsi="Arial" w:eastAsia="仿宋" w:cs="Arial"/>
          <w:sz w:val="28"/>
          <w:szCs w:val="28"/>
          <w:highlight w:val="none"/>
          <w:lang w:bidi="ar"/>
        </w:rPr>
        <w:t>总的来看，2025年北京市坚持稳中求进工作总基调，完整准确全面贯彻新发展理念，落实落细稳经济系列政策措施，积极应对各类风险挑战，全市经济保持平稳运行，生产需求稳中向好，就业物价保持稳定，居民收入稳步增加，新质生产力培育壮大，高质量发展取得积极成效，实现“十四五”圆满收官。</w:t>
      </w:r>
    </w:p>
    <w:p w14:paraId="4F8D59E9">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（二）区域因素</w:t>
      </w:r>
    </w:p>
    <w:p w14:paraId="7CBF2E6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1.区域概况</w:t>
      </w:r>
    </w:p>
    <w:p w14:paraId="4D6377A3">
      <w:pPr>
        <w:widowControl/>
        <w:adjustRightInd/>
        <w:spacing w:line="300" w:lineRule="auto"/>
        <w:ind w:firstLine="560" w:firstLineChars="200"/>
        <w:jc w:val="both"/>
        <w:rPr>
          <w:rFonts w:ascii="Arial" w:hAnsi="Arial" w:eastAsia="仿宋" w:cs="Arial"/>
          <w:sz w:val="28"/>
          <w:szCs w:val="28"/>
          <w:highlight w:val="none"/>
          <w:lang w:bidi="ar"/>
        </w:rPr>
      </w:pPr>
      <w:bookmarkStart w:id="175" w:name="ref_[1]_1244149"/>
      <w:r>
        <w:rPr>
          <w:rFonts w:ascii="Arial" w:hAnsi="Arial" w:eastAsia="仿宋" w:cs="Arial"/>
          <w:sz w:val="28"/>
          <w:szCs w:val="28"/>
          <w:highlight w:val="none"/>
          <w:lang w:bidi="ar"/>
        </w:rPr>
        <w:t>顺义区位于北京市东北部，距市区30公里，毗邻北京城市副中心，是首都国际机场所在地，北邻</w:t>
      </w:r>
      <w:r>
        <w:rPr>
          <w:rFonts w:ascii="Arial" w:hAnsi="Arial" w:eastAsia="仿宋" w:cs="Arial"/>
          <w:sz w:val="28"/>
          <w:szCs w:val="28"/>
          <w:highlight w:val="none"/>
        </w:rPr>
        <w:fldChar w:fldCharType="begin"/>
      </w:r>
      <w:r>
        <w:rPr>
          <w:rFonts w:ascii="Arial" w:hAnsi="Arial" w:eastAsia="仿宋" w:cs="Arial"/>
          <w:sz w:val="28"/>
          <w:szCs w:val="28"/>
          <w:highlight w:val="none"/>
        </w:rPr>
        <w:instrText xml:space="preserve"> HYPERLINK "https://baike.baidu.com/item/%E6%80%80%E6%9F%94%E5%8C%BA/5105451?fromModule=lemma_inlink" \t "/Users/liuning/Documents\x/_blank" </w:instrText>
      </w:r>
      <w:r>
        <w:rPr>
          <w:rFonts w:ascii="Arial" w:hAnsi="Arial" w:eastAsia="仿宋" w:cs="Arial"/>
          <w:sz w:val="28"/>
          <w:szCs w:val="28"/>
          <w:highlight w:val="none"/>
        </w:rPr>
        <w:fldChar w:fldCharType="separate"/>
      </w:r>
      <w:r>
        <w:rPr>
          <w:rFonts w:ascii="Arial" w:hAnsi="Arial" w:eastAsia="仿宋" w:cs="Arial"/>
          <w:sz w:val="28"/>
          <w:szCs w:val="28"/>
          <w:highlight w:val="none"/>
          <w:lang w:bidi="ar"/>
        </w:rPr>
        <w:t>怀柔区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w:t>
      </w:r>
      <w:r>
        <w:rPr>
          <w:highlight w:val="none"/>
        </w:rPr>
        <w:fldChar w:fldCharType="begin"/>
      </w:r>
      <w:r>
        <w:rPr>
          <w:highlight w:val="none"/>
        </w:rPr>
        <w:instrText xml:space="preserve"> HYPERLINK "https://baike.baidu.com/item/%E5%AF%86%E4%BA%91%E5%8C%BA/18830737?fromModule=lemma_inlink" \t "/Users/liuning/Documentsx/_blank" </w:instrText>
      </w:r>
      <w:r>
        <w:rPr>
          <w:highlight w:val="none"/>
        </w:rPr>
        <w:fldChar w:fldCharType="separate"/>
      </w:r>
      <w:r>
        <w:rPr>
          <w:rFonts w:ascii="Arial" w:hAnsi="Arial" w:eastAsia="仿宋" w:cs="Arial"/>
          <w:sz w:val="28"/>
          <w:szCs w:val="28"/>
          <w:highlight w:val="none"/>
          <w:lang w:bidi="ar"/>
        </w:rPr>
        <w:t>密云区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，东界</w:t>
      </w:r>
      <w:r>
        <w:rPr>
          <w:highlight w:val="none"/>
        </w:rPr>
        <w:fldChar w:fldCharType="begin"/>
      </w:r>
      <w:r>
        <w:rPr>
          <w:highlight w:val="none"/>
        </w:rPr>
        <w:instrText xml:space="preserve"> HYPERLINK "https://baike.baidu.com/item/%E5%B9%B3%E8%B0%B7%E5%8C%BA/4461548?fromModule=lemma_inlink" \t "/Users/liuning/Documentsx/_blank" </w:instrText>
      </w:r>
      <w:r>
        <w:rPr>
          <w:highlight w:val="none"/>
        </w:rPr>
        <w:fldChar w:fldCharType="separate"/>
      </w:r>
      <w:r>
        <w:rPr>
          <w:rFonts w:ascii="Arial" w:hAnsi="Arial" w:eastAsia="仿宋" w:cs="Arial"/>
          <w:sz w:val="28"/>
          <w:szCs w:val="28"/>
          <w:highlight w:val="none"/>
          <w:lang w:bidi="ar"/>
        </w:rPr>
        <w:t>平谷区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，南与</w:t>
      </w:r>
      <w:r>
        <w:rPr>
          <w:highlight w:val="none"/>
        </w:rPr>
        <w:fldChar w:fldCharType="begin"/>
      </w:r>
      <w:r>
        <w:rPr>
          <w:highlight w:val="none"/>
        </w:rPr>
        <w:instrText xml:space="preserve"> HYPERLINK "https://baike.baidu.com/item/%E9%80%9A%E5%B7%9E%E5%8C%BA/5203?fromModule=lemma_inlink" \t "/Users/liuning/Documentsx/_blank" </w:instrText>
      </w:r>
      <w:r>
        <w:rPr>
          <w:highlight w:val="none"/>
        </w:rPr>
        <w:fldChar w:fldCharType="separate"/>
      </w:r>
      <w:r>
        <w:rPr>
          <w:rFonts w:ascii="Arial" w:hAnsi="Arial" w:eastAsia="仿宋" w:cs="Arial"/>
          <w:sz w:val="28"/>
          <w:szCs w:val="28"/>
          <w:highlight w:val="none"/>
          <w:lang w:bidi="ar"/>
        </w:rPr>
        <w:t>通州区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、河北省廊坊市三河市接壤，西南、西与</w:t>
      </w:r>
      <w:r>
        <w:rPr>
          <w:highlight w:val="none"/>
        </w:rPr>
        <w:fldChar w:fldCharType="begin"/>
      </w:r>
      <w:r>
        <w:rPr>
          <w:highlight w:val="none"/>
        </w:rPr>
        <w:instrText xml:space="preserve"> HYPERLINK "https://baike.baidu.com/item/%E6%98%8C%E5%B9%B3%E5%8C%BA/2504992?fromModule=lemma_inlink" \t "/Users/liuning/Documentsx/_blank" </w:instrText>
      </w:r>
      <w:r>
        <w:rPr>
          <w:highlight w:val="none"/>
        </w:rPr>
        <w:fldChar w:fldCharType="separate"/>
      </w:r>
      <w:r>
        <w:rPr>
          <w:rFonts w:ascii="Arial" w:hAnsi="Arial" w:eastAsia="仿宋" w:cs="Arial"/>
          <w:sz w:val="28"/>
          <w:szCs w:val="28"/>
          <w:highlight w:val="none"/>
          <w:lang w:bidi="ar"/>
        </w:rPr>
        <w:t>昌平区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w:t>
      </w:r>
      <w:r>
        <w:rPr>
          <w:highlight w:val="none"/>
        </w:rPr>
        <w:fldChar w:fldCharType="begin"/>
      </w:r>
      <w:r>
        <w:rPr>
          <w:highlight w:val="none"/>
        </w:rPr>
        <w:instrText xml:space="preserve"> HYPERLINK "https://baike.baidu.com/item/%E6%9C%9D%E9%98%B3%E5%8C%BA/2134?fromModule=lemma_inlink" \t "/Users/liuning/Documentsx/_blank" </w:instrText>
      </w:r>
      <w:r>
        <w:rPr>
          <w:highlight w:val="none"/>
        </w:rPr>
        <w:fldChar w:fldCharType="separate"/>
      </w:r>
      <w:r>
        <w:rPr>
          <w:rFonts w:ascii="Arial" w:hAnsi="Arial" w:eastAsia="仿宋" w:cs="Arial"/>
          <w:sz w:val="28"/>
          <w:szCs w:val="28"/>
          <w:highlight w:val="none"/>
          <w:lang w:bidi="ar"/>
        </w:rPr>
        <w:t>朝阳区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隔温榆河为界。总面积1021平方公里，其中平原面积占95.7%。全区常住人口132.5万人，下辖19个建制镇和6个街道办事处。按照新版北京城市总体规划，顺义区是北京市“一核一主一副、两轴多点一区”城市空间结构中的“多点”之一，也是“国门”所在地、首都重点平原新城、中心城区适宜功能产业的重要承接地，正在建设“港城融合的国际航空中心核心区，创新引领的区域经济提升发展先行区，城乡协调的首都和谐宜居示范区”。</w:t>
      </w:r>
      <w:bookmarkEnd w:id="175"/>
    </w:p>
    <w:p w14:paraId="7BF182CD">
      <w:pPr>
        <w:widowControl/>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顺义区地势北高南低，东北边界屏障燕山，境内平原为河流洪水携带沉积物质造成，表面堆积物主要是砂、亚砂土，面积占95.7%。北部山地最高点海拔为637米，境内最低点海拔为24米，平均海拔35米。顺义区境内有大小河流20余条，潮白河等河流分流其间，均呈南北走向，分属北运河、潮白河、蓟运河3个水系。河道总长232千米，径流总量1.7亿立方米。</w:t>
      </w:r>
    </w:p>
    <w:p w14:paraId="7B33E376">
      <w:pPr>
        <w:adjustRightInd/>
        <w:spacing w:line="300" w:lineRule="auto"/>
        <w:ind w:firstLine="560" w:firstLineChars="200"/>
        <w:jc w:val="both"/>
        <w:rPr>
          <w:rFonts w:ascii="Arial" w:hAnsi="Arial" w:eastAsia="仿宋" w:cs="Arial"/>
          <w:i/>
          <w:sz w:val="28"/>
          <w:szCs w:val="28"/>
          <w:highlight w:val="none"/>
        </w:rPr>
      </w:pPr>
      <w:r>
        <w:rPr>
          <w:rFonts w:ascii="Arial" w:hAnsi="Arial" w:eastAsia="仿宋" w:cs="Arial"/>
          <w:sz w:val="28"/>
          <w:szCs w:val="28"/>
          <w:highlight w:val="none"/>
          <w:lang w:bidi="ar"/>
        </w:rPr>
        <w:t>顺义区公路已形成机场高速、京承高速、机场北线高速、京平高速、机场南线高速、六环路等高速公路为龙头，京密路、顺平路等国、市道主干线路网为骨架，县乡公路为支脉，“六横”、“十四纵”、“二放射”、“六高速”，“棋盘</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网格</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环线”纵横交错、四通八达的公路网体系。</w:t>
      </w:r>
    </w:p>
    <w:p w14:paraId="10AA22C7">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2.交通条件</w:t>
      </w:r>
    </w:p>
    <w:p w14:paraId="6A04D7F9">
      <w:pPr>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56DE67B0">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3.环境条件</w:t>
      </w:r>
    </w:p>
    <w:p w14:paraId="2D3CAAEC">
      <w:pPr>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估价对位于北京市顺义区高丽营镇夏县营村，</w:t>
      </w:r>
      <w:r>
        <w:rPr>
          <w:rFonts w:hint="eastAsia" w:ascii="Arial" w:hAnsi="Arial" w:eastAsia="仿宋" w:cs="Arial"/>
          <w:sz w:val="28"/>
          <w:szCs w:val="28"/>
          <w:highlight w:val="none"/>
          <w:lang w:eastAsia="zh-CN" w:bidi="ar"/>
        </w:rPr>
        <w:t>周边2公里范围内有南郎中休闲公园、口袋公园、方氏渠等自然环境；人文环境较少</w:t>
      </w:r>
      <w:r>
        <w:rPr>
          <w:rFonts w:ascii="Arial" w:hAnsi="Arial" w:eastAsia="仿宋" w:cs="Arial"/>
          <w:sz w:val="28"/>
          <w:szCs w:val="28"/>
          <w:highlight w:val="none"/>
          <w:lang w:bidi="ar"/>
        </w:rPr>
        <w:t>；综合评价环境状况一般。</w:t>
      </w:r>
    </w:p>
    <w:p w14:paraId="0B75ED5D">
      <w:pPr>
        <w:adjustRightInd/>
        <w:spacing w:line="300" w:lineRule="auto"/>
        <w:ind w:firstLine="560" w:firstLineChars="200"/>
        <w:jc w:val="both"/>
        <w:rPr>
          <w:rFonts w:ascii="Arial" w:hAnsi="Arial" w:eastAsia="仿宋" w:cs="Arial"/>
          <w:i/>
          <w:sz w:val="28"/>
          <w:szCs w:val="28"/>
          <w:highlight w:val="none"/>
        </w:rPr>
      </w:pPr>
      <w:r>
        <w:rPr>
          <w:rFonts w:ascii="Arial" w:hAnsi="Arial" w:eastAsia="仿宋" w:cs="Arial"/>
          <w:sz w:val="28"/>
          <w:szCs w:val="28"/>
          <w:highlight w:val="none"/>
        </w:rPr>
        <w:t>4.基础设施设施条件</w:t>
      </w:r>
    </w:p>
    <w:p w14:paraId="461FC327">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估价对象所在区域内基础设施配套条件达到</w:t>
      </w:r>
      <w:r>
        <w:rPr>
          <w:rFonts w:hint="eastAsia" w:ascii="Arial" w:hAnsi="Arial" w:eastAsia="仿宋" w:cs="Arial"/>
          <w:sz w:val="28"/>
          <w:szCs w:val="28"/>
          <w:highlight w:val="none"/>
          <w:lang w:eastAsia="zh-CN"/>
        </w:rPr>
        <w:t>“七通”</w:t>
      </w:r>
      <w:r>
        <w:rPr>
          <w:rFonts w:ascii="Arial" w:hAnsi="Arial" w:eastAsia="仿宋" w:cs="Arial"/>
          <w:sz w:val="28"/>
          <w:szCs w:val="28"/>
          <w:highlight w:val="none"/>
        </w:rPr>
        <w:t>（即通路、通上水、通下水、通电、通讯、通燃气、通热力），能够保证工作、生产需要，基础设施配套完善度好。</w:t>
      </w:r>
    </w:p>
    <w:p w14:paraId="4B8E9C1D">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5.公共服务设施状况</w:t>
      </w:r>
    </w:p>
    <w:p w14:paraId="3907E26C">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估价对象周边</w:t>
      </w:r>
      <w:r>
        <w:rPr>
          <w:rFonts w:ascii="Arial" w:hAnsi="Arial" w:eastAsia="仿宋" w:cs="Arial"/>
          <w:sz w:val="28"/>
          <w:szCs w:val="28"/>
          <w:highlight w:val="none"/>
          <w:lang w:bidi="ar"/>
        </w:rPr>
        <w:t>约</w:t>
      </w:r>
      <w:r>
        <w:rPr>
          <w:rFonts w:ascii="Arial" w:hAnsi="Arial" w:eastAsia="仿宋" w:cs="Arial"/>
          <w:sz w:val="28"/>
          <w:szCs w:val="28"/>
          <w:highlight w:val="none"/>
        </w:rPr>
        <w:t>2公里范围内</w:t>
      </w:r>
      <w:r>
        <w:rPr>
          <w:rFonts w:hint="eastAsia" w:ascii="Arial" w:hAnsi="Arial" w:eastAsia="仿宋" w:cs="Arial"/>
          <w:sz w:val="28"/>
          <w:szCs w:val="28"/>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ascii="Arial" w:hAnsi="Arial" w:eastAsia="仿宋" w:cs="Arial"/>
          <w:sz w:val="28"/>
          <w:szCs w:val="28"/>
          <w:highlight w:val="none"/>
        </w:rPr>
        <w:t>，公共配套设施齐备情况一般。</w:t>
      </w:r>
    </w:p>
    <w:p w14:paraId="7E86138F">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6</w:t>
      </w:r>
      <w:r>
        <w:rPr>
          <w:rFonts w:ascii="Arial" w:hAnsi="Arial" w:eastAsia="仿宋" w:cs="Arial"/>
          <w:sz w:val="28"/>
          <w:szCs w:val="28"/>
          <w:highlight w:val="none"/>
          <w:lang w:eastAsia="zh-Hans"/>
        </w:rPr>
        <w:t>.</w:t>
      </w:r>
      <w:r>
        <w:rPr>
          <w:rFonts w:ascii="Arial" w:hAnsi="Arial" w:eastAsia="仿宋" w:cs="Arial"/>
          <w:sz w:val="28"/>
          <w:szCs w:val="28"/>
          <w:highlight w:val="none"/>
        </w:rPr>
        <w:t>居住社区成熟度</w:t>
      </w:r>
    </w:p>
    <w:p w14:paraId="78A95C57">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，周边</w:t>
      </w:r>
      <w:r>
        <w:rPr>
          <w:rFonts w:ascii="Arial" w:hAnsi="Arial" w:eastAsia="仿宋" w:cs="Arial"/>
          <w:sz w:val="28"/>
          <w:szCs w:val="28"/>
          <w:highlight w:val="none"/>
          <w:lang w:bidi="ar"/>
        </w:rPr>
        <w:t>约</w:t>
      </w:r>
      <w:r>
        <w:rPr>
          <w:rFonts w:ascii="Arial" w:hAnsi="Arial" w:eastAsia="仿宋" w:cs="Arial"/>
          <w:sz w:val="28"/>
          <w:szCs w:val="28"/>
          <w:highlight w:val="none"/>
        </w:rPr>
        <w:t>2公里范围内有丽喜花园、东君府、moma万万树、壹号东临院等社区，居住小区规模和社区发展完善程度较完善，综合评价居住社区成熟度一般。</w:t>
      </w:r>
    </w:p>
    <w:p w14:paraId="14487E81">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7.商服繁华程度</w:t>
      </w:r>
    </w:p>
    <w:p w14:paraId="3C29C8F2">
      <w:pPr>
        <w:adjustRightInd/>
        <w:spacing w:line="300" w:lineRule="auto"/>
        <w:ind w:firstLine="560" w:firstLineChars="200"/>
        <w:jc w:val="both"/>
        <w:rPr>
          <w:rFonts w:ascii="Arial" w:hAnsi="Arial" w:eastAsia="仿宋" w:cs="Arial"/>
          <w:sz w:val="28"/>
          <w:szCs w:val="28"/>
          <w:highlight w:val="none"/>
          <w:lang w:eastAsia="zh-Hans"/>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，周边</w:t>
      </w:r>
      <w:r>
        <w:rPr>
          <w:rFonts w:ascii="Arial" w:hAnsi="Arial" w:eastAsia="仿宋" w:cs="Arial"/>
          <w:sz w:val="28"/>
          <w:szCs w:val="28"/>
          <w:highlight w:val="none"/>
          <w:lang w:bidi="ar"/>
        </w:rPr>
        <w:t>约</w:t>
      </w:r>
      <w:r>
        <w:rPr>
          <w:rFonts w:ascii="Arial" w:hAnsi="Arial" w:eastAsia="仿宋" w:cs="Arial"/>
          <w:sz w:val="28"/>
          <w:szCs w:val="28"/>
          <w:highlight w:val="none"/>
        </w:rPr>
        <w:t>2公里范围内有社区商业街，北京超天商贸中心、隆华购物中心以及零星临街商铺，无大型购物中心，商业繁华度较差。</w:t>
      </w:r>
    </w:p>
    <w:p w14:paraId="2A0EBA97">
      <w:pPr>
        <w:adjustRightInd/>
        <w:spacing w:line="300" w:lineRule="auto"/>
        <w:ind w:firstLine="560" w:firstLineChars="200"/>
        <w:jc w:val="both"/>
        <w:rPr>
          <w:rFonts w:ascii="Arial" w:hAnsi="Arial" w:eastAsia="仿宋" w:cs="Arial"/>
          <w:sz w:val="28"/>
          <w:szCs w:val="28"/>
          <w:highlight w:val="none"/>
          <w:lang w:eastAsia="zh-Hans"/>
        </w:rPr>
      </w:pPr>
      <w:r>
        <w:rPr>
          <w:rFonts w:ascii="Arial" w:hAnsi="Arial" w:eastAsia="仿宋" w:cs="Arial"/>
          <w:sz w:val="28"/>
          <w:szCs w:val="28"/>
          <w:highlight w:val="none"/>
          <w:lang w:eastAsia="zh-Hans"/>
        </w:rPr>
        <w:t>8.物业集聚程度</w:t>
      </w:r>
    </w:p>
    <w:p w14:paraId="1219020F">
      <w:pPr>
        <w:adjustRightInd/>
        <w:spacing w:line="300" w:lineRule="auto"/>
        <w:ind w:firstLine="560" w:firstLineChars="200"/>
        <w:jc w:val="both"/>
        <w:rPr>
          <w:rFonts w:ascii="Arial" w:hAnsi="Arial" w:eastAsia="仿宋" w:cs="Arial"/>
          <w:sz w:val="28"/>
          <w:szCs w:val="28"/>
          <w:highlight w:val="none"/>
          <w:lang w:eastAsia="zh-Hans"/>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w:t>
      </w:r>
      <w:r>
        <w:rPr>
          <w:rFonts w:ascii="Arial" w:hAnsi="Arial" w:eastAsia="仿宋" w:cs="Arial"/>
          <w:sz w:val="28"/>
          <w:szCs w:val="28"/>
          <w:highlight w:val="none"/>
          <w:lang w:eastAsia="zh-Hans"/>
        </w:rPr>
        <w:t>周边</w:t>
      </w:r>
      <w:r>
        <w:rPr>
          <w:rFonts w:ascii="Arial" w:hAnsi="Arial" w:eastAsia="仿宋" w:cs="Arial"/>
          <w:sz w:val="28"/>
          <w:szCs w:val="28"/>
          <w:highlight w:val="none"/>
          <w:lang w:bidi="ar"/>
        </w:rPr>
        <w:t>约</w:t>
      </w:r>
      <w:r>
        <w:rPr>
          <w:rFonts w:ascii="Arial" w:hAnsi="Arial" w:eastAsia="仿宋" w:cs="Arial"/>
          <w:sz w:val="28"/>
          <w:szCs w:val="28"/>
          <w:highlight w:val="none"/>
          <w:lang w:eastAsia="zh-Hans"/>
        </w:rPr>
        <w:t>2公里范围内有双悦大楼、智慧谷商务中心等办公项目，周边公共服务物业数量较少，物业集聚程度较差。</w:t>
      </w:r>
    </w:p>
    <w:p w14:paraId="6470ACB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9.规划限制</w:t>
      </w:r>
    </w:p>
    <w:p w14:paraId="519E3228">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，无特别规划限制，对估价对象土地发展利用无不利影响。</w:t>
      </w:r>
    </w:p>
    <w:p w14:paraId="3CF70E49">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综上所述，估价对象所处区域</w:t>
      </w:r>
      <w:r>
        <w:rPr>
          <w:rFonts w:ascii="Arial" w:hAnsi="Arial" w:eastAsia="仿宋" w:cs="Arial"/>
          <w:iCs/>
          <w:sz w:val="28"/>
          <w:szCs w:val="28"/>
          <w:highlight w:val="none"/>
        </w:rPr>
        <w:t>地理位置条件</w:t>
      </w:r>
      <w:r>
        <w:rPr>
          <w:rFonts w:ascii="Arial" w:hAnsi="Arial" w:eastAsia="仿宋" w:cs="Arial"/>
          <w:iCs/>
          <w:sz w:val="28"/>
          <w:szCs w:val="28"/>
          <w:highlight w:val="none"/>
          <w:lang w:eastAsia="zh-Hans"/>
        </w:rPr>
        <w:t>较差</w:t>
      </w:r>
      <w:r>
        <w:rPr>
          <w:rFonts w:ascii="Arial" w:hAnsi="Arial" w:eastAsia="仿宋" w:cs="Arial"/>
          <w:iCs/>
          <w:sz w:val="28"/>
          <w:szCs w:val="28"/>
          <w:highlight w:val="none"/>
        </w:rPr>
        <w:t>、交通条件</w:t>
      </w:r>
      <w:r>
        <w:rPr>
          <w:rFonts w:ascii="Arial" w:hAnsi="Arial" w:eastAsia="仿宋" w:cs="Arial"/>
          <w:iCs/>
          <w:sz w:val="28"/>
          <w:szCs w:val="28"/>
          <w:highlight w:val="none"/>
          <w:lang w:eastAsia="zh-Hans"/>
        </w:rPr>
        <w:t>较差</w:t>
      </w:r>
      <w:r>
        <w:rPr>
          <w:rFonts w:ascii="Arial" w:hAnsi="Arial" w:eastAsia="仿宋" w:cs="Arial"/>
          <w:iCs/>
          <w:sz w:val="28"/>
          <w:szCs w:val="28"/>
          <w:highlight w:val="none"/>
        </w:rPr>
        <w:t>，公用设施一般，基础设施水平好，环境条件</w:t>
      </w:r>
      <w:r>
        <w:rPr>
          <w:rFonts w:ascii="Arial" w:hAnsi="Arial" w:eastAsia="仿宋" w:cs="Arial"/>
          <w:iCs/>
          <w:sz w:val="28"/>
          <w:szCs w:val="28"/>
          <w:highlight w:val="none"/>
          <w:lang w:eastAsia="zh-Hans"/>
        </w:rPr>
        <w:t>一般</w:t>
      </w:r>
      <w:r>
        <w:rPr>
          <w:rFonts w:ascii="Arial" w:hAnsi="Arial" w:eastAsia="仿宋" w:cs="Arial"/>
          <w:iCs/>
          <w:sz w:val="28"/>
          <w:szCs w:val="28"/>
          <w:highlight w:val="none"/>
        </w:rPr>
        <w:t>，</w:t>
      </w:r>
      <w:r>
        <w:rPr>
          <w:rFonts w:ascii="Arial" w:hAnsi="Arial" w:eastAsia="仿宋" w:cs="Arial"/>
          <w:iCs/>
          <w:sz w:val="28"/>
          <w:szCs w:val="28"/>
          <w:highlight w:val="none"/>
          <w:lang w:eastAsia="zh-Hans"/>
        </w:rPr>
        <w:t>居住社区成熟度一般，商业繁华程度较差，</w:t>
      </w:r>
      <w:r>
        <w:rPr>
          <w:rFonts w:ascii="Arial" w:hAnsi="Arial" w:eastAsia="仿宋" w:cs="Arial"/>
          <w:sz w:val="28"/>
          <w:szCs w:val="28"/>
          <w:highlight w:val="none"/>
          <w:lang w:eastAsia="zh-Hans"/>
        </w:rPr>
        <w:t>物业集聚程度</w:t>
      </w:r>
      <w:r>
        <w:rPr>
          <w:rFonts w:ascii="Arial" w:hAnsi="Arial" w:eastAsia="仿宋" w:cs="Arial"/>
          <w:iCs/>
          <w:sz w:val="28"/>
          <w:szCs w:val="28"/>
          <w:highlight w:val="none"/>
          <w:lang w:eastAsia="zh-Hans"/>
        </w:rPr>
        <w:t>较差</w:t>
      </w:r>
      <w:r>
        <w:rPr>
          <w:rFonts w:ascii="Arial" w:hAnsi="Arial" w:eastAsia="仿宋" w:cs="Arial"/>
          <w:iCs/>
          <w:sz w:val="28"/>
          <w:szCs w:val="28"/>
          <w:highlight w:val="none"/>
        </w:rPr>
        <w:t>。综合区域发展空间进行综合评价，</w:t>
      </w:r>
      <w:r>
        <w:rPr>
          <w:rFonts w:ascii="Arial" w:hAnsi="Arial" w:eastAsia="仿宋" w:cs="Arial"/>
          <w:sz w:val="28"/>
          <w:szCs w:val="28"/>
          <w:highlight w:val="none"/>
        </w:rPr>
        <w:t>总体评价影响估价对象的区域因素</w:t>
      </w:r>
      <w:r>
        <w:rPr>
          <w:rFonts w:ascii="Arial" w:hAnsi="Arial" w:eastAsia="仿宋" w:cs="Arial"/>
          <w:iCs/>
          <w:sz w:val="28"/>
          <w:szCs w:val="28"/>
          <w:highlight w:val="none"/>
          <w:lang w:eastAsia="zh-Hans"/>
        </w:rPr>
        <w:t>较差</w:t>
      </w:r>
      <w:r>
        <w:rPr>
          <w:rFonts w:ascii="Arial" w:hAnsi="Arial" w:eastAsia="仿宋" w:cs="Arial"/>
          <w:sz w:val="28"/>
          <w:szCs w:val="28"/>
          <w:highlight w:val="none"/>
        </w:rPr>
        <w:t>。</w:t>
      </w:r>
    </w:p>
    <w:p w14:paraId="6CEBD39E">
      <w:pPr>
        <w:adjustRightInd/>
        <w:spacing w:line="300" w:lineRule="auto"/>
        <w:jc w:val="both"/>
        <w:rPr>
          <w:rFonts w:ascii="Arial" w:hAnsi="Arial" w:eastAsia="仿宋" w:cs="Arial"/>
          <w:sz w:val="28"/>
          <w:szCs w:val="28"/>
          <w:highlight w:val="none"/>
        </w:rPr>
      </w:pPr>
      <w:r>
        <w:rPr>
          <w:rFonts w:ascii="Arial" w:hAnsi="Arial" w:eastAsia="仿宋" w:cs="Arial"/>
          <w:sz w:val="28"/>
          <w:szCs w:val="28"/>
          <w:highlight w:val="none"/>
        </w:rPr>
        <w:t>（三）个别因素</w:t>
      </w:r>
    </w:p>
    <w:p w14:paraId="2E225115">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，为北京市顺义区高丽营镇夏县营村棚户区改造土地开发项目01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020地块R2二类居住用地、A334托幼用地国有建设用地使用权项目。根据《北京市人民政府关于更新出让国有建设用地使用权基准地价的通知》（京政发（2022）12号）的规定，估价对象属于住宅类九级IX</w:t>
      </w:r>
      <w:r>
        <w:rPr>
          <w:rFonts w:hint="eastAsia" w:ascii="Arial" w:hAnsi="Arial" w:eastAsia="仿宋" w:cs="Arial"/>
          <w:sz w:val="28"/>
          <w:szCs w:val="28"/>
          <w:highlight w:val="none"/>
          <w:lang w:eastAsia="zh-CN"/>
        </w:rPr>
        <w:t>－</w:t>
      </w:r>
      <w:r>
        <w:rPr>
          <w:rFonts w:ascii="Arial" w:hAnsi="Arial" w:eastAsia="仿宋" w:cs="Arial"/>
          <w:sz w:val="28"/>
          <w:szCs w:val="28"/>
          <w:highlight w:val="none"/>
        </w:rPr>
        <w:t>顺5区片、商服类九级IX</w:t>
      </w:r>
      <w:r>
        <w:rPr>
          <w:rFonts w:hint="eastAsia" w:ascii="Arial" w:hAnsi="Arial" w:eastAsia="仿宋" w:cs="Arial"/>
          <w:sz w:val="28"/>
          <w:szCs w:val="28"/>
          <w:highlight w:val="none"/>
          <w:lang w:eastAsia="zh-CN"/>
        </w:rPr>
        <w:t>－</w:t>
      </w:r>
      <w:r>
        <w:rPr>
          <w:rFonts w:ascii="Arial" w:hAnsi="Arial" w:eastAsia="仿宋" w:cs="Arial"/>
          <w:sz w:val="28"/>
          <w:szCs w:val="28"/>
          <w:highlight w:val="none"/>
        </w:rPr>
        <w:t>顺5区片、公共服务类九级IX</w:t>
      </w:r>
      <w:r>
        <w:rPr>
          <w:rFonts w:hint="eastAsia" w:ascii="Arial" w:hAnsi="Arial" w:eastAsia="仿宋" w:cs="Arial"/>
          <w:sz w:val="28"/>
          <w:szCs w:val="28"/>
          <w:highlight w:val="none"/>
          <w:lang w:eastAsia="zh-CN"/>
        </w:rPr>
        <w:t>－</w:t>
      </w:r>
      <w:r>
        <w:rPr>
          <w:rFonts w:ascii="Arial" w:hAnsi="Arial" w:eastAsia="仿宋" w:cs="Arial"/>
          <w:sz w:val="28"/>
          <w:szCs w:val="28"/>
          <w:highlight w:val="none"/>
        </w:rPr>
        <w:t>顺5区片范围内。</w:t>
      </w:r>
    </w:p>
    <w:p w14:paraId="758D4FB1">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1.临街道路状况</w:t>
      </w:r>
    </w:p>
    <w:p w14:paraId="49373AED">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bCs/>
          <w:sz w:val="28"/>
          <w:szCs w:val="28"/>
          <w:highlight w:val="none"/>
        </w:rPr>
        <w:t>估价对象紧邻城市主干道——</w:t>
      </w:r>
      <w:r>
        <w:rPr>
          <w:rFonts w:ascii="Arial" w:hAnsi="Arial" w:eastAsia="仿宋" w:cs="Arial"/>
          <w:sz w:val="28"/>
          <w:szCs w:val="28"/>
          <w:highlight w:val="none"/>
        </w:rPr>
        <w:t>火寺路</w:t>
      </w:r>
      <w:r>
        <w:rPr>
          <w:rFonts w:ascii="Arial" w:hAnsi="Arial" w:eastAsia="仿宋" w:cs="Arial"/>
          <w:bCs/>
          <w:sz w:val="28"/>
          <w:szCs w:val="28"/>
          <w:highlight w:val="none"/>
        </w:rPr>
        <w:t>。</w:t>
      </w:r>
      <w:r>
        <w:rPr>
          <w:rFonts w:ascii="Arial" w:hAnsi="Arial" w:eastAsia="仿宋" w:cs="Arial"/>
          <w:sz w:val="28"/>
          <w:szCs w:val="28"/>
          <w:highlight w:val="none"/>
        </w:rPr>
        <w:t>道路状况较好。</w:t>
      </w:r>
    </w:p>
    <w:p w14:paraId="66DC793A">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2.临街宽度和深度</w:t>
      </w:r>
    </w:p>
    <w:p w14:paraId="33238BD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经土地估价专业评估师实地查勘，估价对象临街宽度与深度比例值较适合于住宅项目的开发，临街宽度和深度条件一般。</w:t>
      </w:r>
    </w:p>
    <w:p w14:paraId="75B7EAC0">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3.宗地形状及可利用程度</w:t>
      </w:r>
    </w:p>
    <w:p w14:paraId="2BB5C46F">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宗地形状规则，对宗地利用无不利影响 宗地形状及可利用程度好。</w:t>
      </w:r>
    </w:p>
    <w:p w14:paraId="773D936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4.地形、地质条件</w:t>
      </w:r>
    </w:p>
    <w:p w14:paraId="104C3E98">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估价对象地形平坦，地基承载力基本满足建筑要求。</w:t>
      </w:r>
    </w:p>
    <w:p w14:paraId="580A09FC">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5.容积率</w:t>
      </w:r>
    </w:p>
    <w:p w14:paraId="142DEE4D">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估价对象容积率设定为1.2。</w:t>
      </w:r>
    </w:p>
    <w:p w14:paraId="411BCD1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6.土地开发程度</w:t>
      </w:r>
    </w:p>
    <w:p w14:paraId="62972838">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本次评估设定的估价对象土地开发程度为</w:t>
      </w:r>
      <w:r>
        <w:rPr>
          <w:rFonts w:hint="eastAsia" w:ascii="Arial" w:hAnsi="Arial" w:eastAsia="仿宋" w:cs="Arial"/>
          <w:sz w:val="28"/>
          <w:szCs w:val="28"/>
          <w:highlight w:val="none"/>
          <w:lang w:eastAsia="zh-CN"/>
        </w:rPr>
        <w:t>“七通”（通路、通上水（自来水、中水）、通下水（雨水、污水）、通电、通讯、通燃气、通热力）</w:t>
      </w:r>
      <w:r>
        <w:rPr>
          <w:rFonts w:ascii="Arial" w:hAnsi="Arial" w:eastAsia="仿宋" w:cs="Arial"/>
          <w:sz w:val="28"/>
          <w:szCs w:val="28"/>
          <w:highlight w:val="none"/>
        </w:rPr>
        <w:t>。</w:t>
      </w:r>
    </w:p>
    <w:p w14:paraId="5BEECFC6">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7.规划条件</w:t>
      </w:r>
    </w:p>
    <w:p w14:paraId="73A5BA31">
      <w:pPr>
        <w:adjustRightInd/>
        <w:spacing w:line="300" w:lineRule="auto"/>
        <w:ind w:firstLine="560" w:firstLineChars="200"/>
        <w:jc w:val="both"/>
        <w:rPr>
          <w:rFonts w:ascii="Arial" w:hAnsi="Arial" w:eastAsia="仿宋" w:cs="Arial"/>
          <w:sz w:val="28"/>
          <w:szCs w:val="28"/>
          <w:highlight w:val="none"/>
        </w:rPr>
      </w:pPr>
      <w:bookmarkStart w:id="176" w:name="_Toc531701569"/>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，本次估价对象01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008等地块共4宗地，用地规模合计为60990.43平方米，全部为建设用地，建筑规模合计为71508.52平方米。其中，估价对象01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008地块（R2二类居住用地）建设用地规模为24804.85平方米，地上建筑规模为29765.82平方米，容积率为1.2；估价对象01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016地块（R2二类居住用地）建设用地规模为23103.85平方米，地上建筑规模为27724.62平方米，容积率为1.2；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1地块（R2二类居住用地）建设用地规模为8881.75平方米，地上建筑规模为10658.10平方米，容积率为1.2；另有估价对象01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020地块（A334托幼用地，不出让）建设用地规模为4199.98平方米，地上建筑规模为3359.98平方米，容积率为0.8。</w:t>
      </w:r>
      <w:r>
        <w:rPr>
          <w:rFonts w:hint="eastAsia" w:ascii="Arial" w:hAnsi="Arial" w:eastAsia="仿宋" w:cs="Arial"/>
          <w:sz w:val="28"/>
          <w:szCs w:val="28"/>
          <w:highlight w:val="none"/>
          <w:lang w:eastAsia="zh-CN"/>
        </w:rPr>
        <w:t>根据《北京市国有建设用地使用权出让地价评估技术导则》（2026年2月10日实施）中的相关规定，本次评估01－008、01－016、01－026－1地块（R2二类居住用地）容积率为1.2</w:t>
      </w:r>
      <w:r>
        <w:rPr>
          <w:rFonts w:ascii="Arial" w:hAnsi="Arial" w:eastAsia="仿宋" w:cs="Arial"/>
          <w:sz w:val="28"/>
          <w:szCs w:val="28"/>
          <w:highlight w:val="none"/>
        </w:rPr>
        <w:t>。</w:t>
      </w:r>
    </w:p>
    <w:p w14:paraId="4354AE9E">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本次拟出让建设用地规模为</w:t>
      </w:r>
      <w:r>
        <w:rPr>
          <w:rFonts w:hint="eastAsia" w:ascii="Arial" w:hAnsi="Arial" w:eastAsia="仿宋" w:cs="Arial"/>
          <w:sz w:val="28"/>
          <w:szCs w:val="28"/>
          <w:highlight w:val="none"/>
          <w:lang w:eastAsia="zh-CN"/>
        </w:rPr>
        <w:t>56790.45</w:t>
      </w:r>
      <w:r>
        <w:rPr>
          <w:rFonts w:ascii="Arial" w:hAnsi="Arial" w:eastAsia="仿宋" w:cs="Arial"/>
          <w:sz w:val="28"/>
          <w:szCs w:val="28"/>
          <w:highlight w:val="none"/>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0AA89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5F90EC8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序号</w:t>
            </w:r>
          </w:p>
        </w:tc>
        <w:tc>
          <w:tcPr>
            <w:tcW w:w="617" w:type="pct"/>
            <w:vAlign w:val="center"/>
          </w:tcPr>
          <w:p w14:paraId="55CF932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规划地块编号</w:t>
            </w:r>
          </w:p>
        </w:tc>
        <w:tc>
          <w:tcPr>
            <w:tcW w:w="688" w:type="pct"/>
            <w:vAlign w:val="center"/>
          </w:tcPr>
          <w:p w14:paraId="174DD06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用地性质</w:t>
            </w:r>
          </w:p>
        </w:tc>
        <w:tc>
          <w:tcPr>
            <w:tcW w:w="874" w:type="pct"/>
            <w:vAlign w:val="center"/>
          </w:tcPr>
          <w:p w14:paraId="1F41F6D0">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建设用地规模</w:t>
            </w:r>
          </w:p>
          <w:p w14:paraId="40A63DC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475" w:type="pct"/>
            <w:vAlign w:val="center"/>
          </w:tcPr>
          <w:p w14:paraId="449D390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容积率</w:t>
            </w:r>
          </w:p>
        </w:tc>
        <w:tc>
          <w:tcPr>
            <w:tcW w:w="921" w:type="pct"/>
            <w:vAlign w:val="center"/>
          </w:tcPr>
          <w:p w14:paraId="5EA0FEA1">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地上建筑规模</w:t>
            </w:r>
          </w:p>
          <w:p w14:paraId="61555ED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713" w:type="pct"/>
            <w:vAlign w:val="center"/>
          </w:tcPr>
          <w:p w14:paraId="2323938E">
            <w:pPr>
              <w:widowControl/>
              <w:adjustRightInd/>
              <w:spacing w:line="240" w:lineRule="exact"/>
              <w:jc w:val="center"/>
              <w:textAlignment w:val="auto"/>
              <w:rPr>
                <w:rFonts w:ascii="Arial" w:hAnsi="Arial" w:eastAsia="仿宋" w:cs="Arial"/>
                <w:sz w:val="18"/>
                <w:szCs w:val="18"/>
                <w:highlight w:val="none"/>
              </w:rPr>
            </w:pPr>
            <w:r>
              <w:rPr>
                <w:rFonts w:ascii="Arial" w:hAnsi="Arial" w:eastAsia="仿宋" w:cs="Arial"/>
                <w:sz w:val="18"/>
                <w:szCs w:val="18"/>
                <w:highlight w:val="none"/>
              </w:rPr>
              <w:t>控制高度（m）</w:t>
            </w:r>
          </w:p>
        </w:tc>
        <w:tc>
          <w:tcPr>
            <w:tcW w:w="468" w:type="pct"/>
            <w:vAlign w:val="center"/>
          </w:tcPr>
          <w:p w14:paraId="26E06C5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是否出让</w:t>
            </w:r>
          </w:p>
        </w:tc>
      </w:tr>
      <w:tr w14:paraId="4F9F4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0206067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w:t>
            </w:r>
          </w:p>
        </w:tc>
        <w:tc>
          <w:tcPr>
            <w:tcW w:w="617" w:type="pct"/>
            <w:vAlign w:val="center"/>
          </w:tcPr>
          <w:p w14:paraId="3C3291B1">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008</w:t>
            </w:r>
          </w:p>
        </w:tc>
        <w:tc>
          <w:tcPr>
            <w:tcW w:w="688" w:type="pct"/>
            <w:vMerge w:val="restart"/>
            <w:vAlign w:val="center"/>
          </w:tcPr>
          <w:p w14:paraId="7B0C0F50">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R2二类居住用地</w:t>
            </w:r>
          </w:p>
        </w:tc>
        <w:tc>
          <w:tcPr>
            <w:tcW w:w="874" w:type="pct"/>
            <w:vAlign w:val="center"/>
          </w:tcPr>
          <w:p w14:paraId="18B46301">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24804.85</w:t>
            </w:r>
          </w:p>
        </w:tc>
        <w:tc>
          <w:tcPr>
            <w:tcW w:w="475" w:type="pct"/>
            <w:vMerge w:val="restart"/>
            <w:vAlign w:val="center"/>
          </w:tcPr>
          <w:p w14:paraId="5B46E96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4A756F5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29765.82</w:t>
            </w:r>
          </w:p>
        </w:tc>
        <w:tc>
          <w:tcPr>
            <w:tcW w:w="713" w:type="pct"/>
            <w:vMerge w:val="restart"/>
            <w:vAlign w:val="center"/>
          </w:tcPr>
          <w:p w14:paraId="163DECD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30</w:t>
            </w:r>
          </w:p>
        </w:tc>
        <w:tc>
          <w:tcPr>
            <w:tcW w:w="468" w:type="pct"/>
            <w:vMerge w:val="restart"/>
            <w:vAlign w:val="center"/>
          </w:tcPr>
          <w:p w14:paraId="60B30A4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出让</w:t>
            </w:r>
          </w:p>
        </w:tc>
      </w:tr>
      <w:tr w14:paraId="2E790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2B70E95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w:t>
            </w:r>
          </w:p>
        </w:tc>
        <w:tc>
          <w:tcPr>
            <w:tcW w:w="617" w:type="pct"/>
            <w:vAlign w:val="center"/>
          </w:tcPr>
          <w:p w14:paraId="25B54FE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016</w:t>
            </w:r>
          </w:p>
        </w:tc>
        <w:tc>
          <w:tcPr>
            <w:tcW w:w="688" w:type="pct"/>
            <w:vMerge w:val="continue"/>
            <w:vAlign w:val="center"/>
          </w:tcPr>
          <w:p w14:paraId="37C736D2">
            <w:pPr>
              <w:adjustRightInd/>
              <w:spacing w:line="240" w:lineRule="exact"/>
              <w:jc w:val="center"/>
              <w:rPr>
                <w:rFonts w:ascii="Arial" w:hAnsi="Arial" w:eastAsia="仿宋" w:cs="Arial"/>
                <w:sz w:val="18"/>
                <w:szCs w:val="18"/>
                <w:highlight w:val="none"/>
              </w:rPr>
            </w:pPr>
          </w:p>
        </w:tc>
        <w:tc>
          <w:tcPr>
            <w:tcW w:w="874" w:type="pct"/>
            <w:vAlign w:val="center"/>
          </w:tcPr>
          <w:p w14:paraId="708EF15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23103.85</w:t>
            </w:r>
          </w:p>
        </w:tc>
        <w:tc>
          <w:tcPr>
            <w:tcW w:w="475" w:type="pct"/>
            <w:vMerge w:val="continue"/>
            <w:vAlign w:val="center"/>
          </w:tcPr>
          <w:p w14:paraId="36CCF198">
            <w:pPr>
              <w:adjustRightInd/>
              <w:spacing w:line="240" w:lineRule="exact"/>
              <w:jc w:val="center"/>
              <w:rPr>
                <w:rFonts w:ascii="Arial" w:hAnsi="Arial" w:eastAsia="仿宋" w:cs="Arial"/>
                <w:sz w:val="18"/>
                <w:szCs w:val="18"/>
                <w:highlight w:val="none"/>
              </w:rPr>
            </w:pPr>
          </w:p>
        </w:tc>
        <w:tc>
          <w:tcPr>
            <w:tcW w:w="921" w:type="pct"/>
            <w:vAlign w:val="center"/>
          </w:tcPr>
          <w:p w14:paraId="6F5D122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27724.62</w:t>
            </w:r>
          </w:p>
        </w:tc>
        <w:tc>
          <w:tcPr>
            <w:tcW w:w="713" w:type="pct"/>
            <w:vMerge w:val="continue"/>
            <w:vAlign w:val="center"/>
          </w:tcPr>
          <w:p w14:paraId="608F773B">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7ADDEA79">
            <w:pPr>
              <w:adjustRightInd/>
              <w:spacing w:line="240" w:lineRule="exact"/>
              <w:jc w:val="center"/>
              <w:rPr>
                <w:rFonts w:ascii="Arial" w:hAnsi="Arial" w:eastAsia="仿宋" w:cs="Arial"/>
                <w:sz w:val="18"/>
                <w:szCs w:val="18"/>
                <w:highlight w:val="none"/>
              </w:rPr>
            </w:pPr>
          </w:p>
        </w:tc>
      </w:tr>
      <w:tr w14:paraId="36929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522D09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w:t>
            </w:r>
          </w:p>
        </w:tc>
        <w:tc>
          <w:tcPr>
            <w:tcW w:w="617" w:type="pct"/>
            <w:vAlign w:val="center"/>
          </w:tcPr>
          <w:p w14:paraId="53A9C3D7">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026</w:t>
            </w:r>
            <w:r>
              <w:rPr>
                <w:rFonts w:hint="eastAsia" w:ascii="Arial" w:hAnsi="Arial" w:eastAsia="仿宋" w:cs="Arial"/>
                <w:sz w:val="18"/>
                <w:szCs w:val="18"/>
                <w:highlight w:val="none"/>
                <w:lang w:eastAsia="zh-CN"/>
              </w:rPr>
              <w:t>－</w:t>
            </w:r>
            <w:r>
              <w:rPr>
                <w:rFonts w:ascii="Arial" w:hAnsi="Arial" w:eastAsia="仿宋" w:cs="Arial"/>
                <w:sz w:val="18"/>
                <w:szCs w:val="18"/>
                <w:highlight w:val="none"/>
              </w:rPr>
              <w:t>1</w:t>
            </w:r>
          </w:p>
        </w:tc>
        <w:tc>
          <w:tcPr>
            <w:tcW w:w="688" w:type="pct"/>
            <w:vMerge w:val="continue"/>
            <w:vAlign w:val="center"/>
          </w:tcPr>
          <w:p w14:paraId="32CB00EC">
            <w:pPr>
              <w:adjustRightInd/>
              <w:spacing w:line="240" w:lineRule="exact"/>
              <w:jc w:val="center"/>
              <w:rPr>
                <w:rFonts w:ascii="Arial" w:hAnsi="Arial" w:eastAsia="仿宋" w:cs="Arial"/>
                <w:sz w:val="18"/>
                <w:szCs w:val="18"/>
                <w:highlight w:val="none"/>
              </w:rPr>
            </w:pPr>
          </w:p>
        </w:tc>
        <w:tc>
          <w:tcPr>
            <w:tcW w:w="874" w:type="pct"/>
            <w:vAlign w:val="center"/>
          </w:tcPr>
          <w:p w14:paraId="30EF343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8881.75</w:t>
            </w:r>
          </w:p>
        </w:tc>
        <w:tc>
          <w:tcPr>
            <w:tcW w:w="475" w:type="pct"/>
            <w:vMerge w:val="continue"/>
            <w:vAlign w:val="center"/>
          </w:tcPr>
          <w:p w14:paraId="63B279E4">
            <w:pPr>
              <w:adjustRightInd/>
              <w:spacing w:line="240" w:lineRule="exact"/>
              <w:jc w:val="center"/>
              <w:rPr>
                <w:rFonts w:ascii="Arial" w:hAnsi="Arial" w:eastAsia="仿宋" w:cs="Arial"/>
                <w:sz w:val="18"/>
                <w:szCs w:val="18"/>
                <w:highlight w:val="none"/>
              </w:rPr>
            </w:pPr>
          </w:p>
        </w:tc>
        <w:tc>
          <w:tcPr>
            <w:tcW w:w="921" w:type="pct"/>
            <w:vAlign w:val="center"/>
          </w:tcPr>
          <w:p w14:paraId="50FB193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10658.10</w:t>
            </w:r>
          </w:p>
        </w:tc>
        <w:tc>
          <w:tcPr>
            <w:tcW w:w="713" w:type="pct"/>
            <w:vMerge w:val="continue"/>
            <w:vAlign w:val="center"/>
          </w:tcPr>
          <w:p w14:paraId="4C031059">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2C96F71B">
            <w:pPr>
              <w:adjustRightInd/>
              <w:spacing w:line="240" w:lineRule="exact"/>
              <w:jc w:val="center"/>
              <w:rPr>
                <w:rFonts w:ascii="Arial" w:hAnsi="Arial" w:eastAsia="仿宋" w:cs="Arial"/>
                <w:sz w:val="18"/>
                <w:szCs w:val="18"/>
                <w:highlight w:val="none"/>
              </w:rPr>
            </w:pPr>
          </w:p>
        </w:tc>
      </w:tr>
      <w:tr w14:paraId="42F80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31101EA7">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合计</w:t>
            </w:r>
          </w:p>
        </w:tc>
        <w:tc>
          <w:tcPr>
            <w:tcW w:w="874" w:type="pct"/>
            <w:vAlign w:val="center"/>
          </w:tcPr>
          <w:p w14:paraId="5274B3ED">
            <w:pPr>
              <w:adjustRightInd/>
              <w:spacing w:line="240" w:lineRule="exact"/>
              <w:jc w:val="center"/>
              <w:rPr>
                <w:rFonts w:hint="eastAsia" w:ascii="Arial" w:hAnsi="Arial" w:eastAsia="仿宋" w:cs="Arial"/>
                <w:sz w:val="18"/>
                <w:szCs w:val="18"/>
                <w:highlight w:val="none"/>
                <w:lang w:eastAsia="zh-CN"/>
              </w:rPr>
            </w:pPr>
            <w:r>
              <w:rPr>
                <w:rFonts w:hint="eastAsia" w:ascii="Arial" w:hAnsi="Arial" w:eastAsia="仿宋" w:cs="Arial"/>
                <w:sz w:val="18"/>
                <w:szCs w:val="18"/>
                <w:highlight w:val="none"/>
                <w:lang w:eastAsia="zh-CN"/>
              </w:rPr>
              <w:t>56790.45</w:t>
            </w:r>
          </w:p>
        </w:tc>
        <w:tc>
          <w:tcPr>
            <w:tcW w:w="475" w:type="pct"/>
            <w:vAlign w:val="center"/>
          </w:tcPr>
          <w:p w14:paraId="62275AF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1AD9CE10">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68148.54</w:t>
            </w:r>
          </w:p>
        </w:tc>
        <w:tc>
          <w:tcPr>
            <w:tcW w:w="1181" w:type="pct"/>
            <w:gridSpan w:val="2"/>
            <w:vAlign w:val="center"/>
          </w:tcPr>
          <w:p w14:paraId="30C2F9D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bl>
    <w:p w14:paraId="408A628F">
      <w:pPr>
        <w:spacing w:line="300" w:lineRule="auto"/>
        <w:ind w:firstLine="560" w:firstLineChars="200"/>
        <w:jc w:val="both"/>
        <w:rPr>
          <w:rFonts w:ascii="Arial" w:hAnsi="Arial" w:eastAsia="仿宋_GB2312" w:cs="Arial"/>
          <w:i/>
          <w:sz w:val="28"/>
          <w:highlight w:val="none"/>
        </w:rPr>
      </w:pPr>
    </w:p>
    <w:p w14:paraId="17F3E4A3">
      <w:pPr>
        <w:spacing w:line="300" w:lineRule="auto"/>
        <w:rPr>
          <w:rFonts w:ascii="Arial" w:hAnsi="Arial" w:cs="Arial"/>
          <w:b/>
          <w:sz w:val="32"/>
          <w:highlight w:val="none"/>
        </w:rPr>
      </w:pPr>
    </w:p>
    <w:p w14:paraId="02970F25">
      <w:pPr>
        <w:spacing w:line="300" w:lineRule="auto"/>
        <w:jc w:val="center"/>
        <w:outlineLvl w:val="0"/>
        <w:rPr>
          <w:rFonts w:ascii="Arial" w:hAnsi="Arial" w:cs="Arial"/>
          <w:b/>
          <w:sz w:val="32"/>
          <w:highlight w:val="none"/>
        </w:rPr>
      </w:pPr>
      <w:r>
        <w:rPr>
          <w:rFonts w:ascii="Arial" w:hAnsi="Arial" w:cs="Arial"/>
          <w:b/>
          <w:sz w:val="32"/>
          <w:highlight w:val="none"/>
        </w:rPr>
        <w:br w:type="page"/>
      </w:r>
      <w:bookmarkStart w:id="177" w:name="_Toc138063006"/>
      <w:bookmarkStart w:id="178" w:name="_Toc132016735"/>
      <w:r>
        <w:rPr>
          <w:rFonts w:ascii="Arial" w:hAnsi="Arial" w:cs="Arial"/>
          <w:b/>
          <w:sz w:val="32"/>
          <w:highlight w:val="none"/>
        </w:rPr>
        <w:t>第三部分</w:t>
      </w:r>
      <w:r>
        <w:rPr>
          <w:rFonts w:ascii="Arial" w:hAnsi="Arial" w:eastAsia="仿宋_GB2312" w:cs="Arial"/>
          <w:b/>
          <w:sz w:val="32"/>
          <w:highlight w:val="none"/>
        </w:rPr>
        <w:t xml:space="preserve">  </w:t>
      </w:r>
      <w:r>
        <w:rPr>
          <w:rFonts w:ascii="Arial" w:hAnsi="Arial" w:cs="Arial"/>
          <w:b/>
          <w:sz w:val="32"/>
          <w:highlight w:val="none"/>
        </w:rPr>
        <w:t>土地估价结果及其使用</w:t>
      </w:r>
      <w:bookmarkEnd w:id="133"/>
      <w:bookmarkEnd w:id="134"/>
      <w:bookmarkEnd w:id="135"/>
      <w:bookmarkEnd w:id="136"/>
      <w:bookmarkEnd w:id="137"/>
      <w:bookmarkEnd w:id="138"/>
      <w:bookmarkEnd w:id="176"/>
      <w:bookmarkEnd w:id="177"/>
      <w:bookmarkEnd w:id="178"/>
    </w:p>
    <w:p w14:paraId="782CAE51">
      <w:pPr>
        <w:spacing w:line="300" w:lineRule="auto"/>
        <w:jc w:val="both"/>
        <w:rPr>
          <w:rFonts w:ascii="Arial" w:hAnsi="Arial" w:eastAsia="仿宋_GB2312" w:cs="Arial"/>
          <w:b/>
          <w:sz w:val="28"/>
          <w:highlight w:val="none"/>
        </w:rPr>
      </w:pPr>
    </w:p>
    <w:p w14:paraId="65285C40">
      <w:pPr>
        <w:adjustRightInd/>
        <w:spacing w:line="300" w:lineRule="auto"/>
        <w:ind w:firstLine="562" w:firstLineChars="200"/>
        <w:outlineLvl w:val="1"/>
        <w:rPr>
          <w:rFonts w:ascii="Arial" w:hAnsi="Arial" w:eastAsia="仿宋" w:cs="Arial"/>
          <w:b/>
          <w:sz w:val="28"/>
          <w:szCs w:val="28"/>
          <w:highlight w:val="none"/>
        </w:rPr>
      </w:pPr>
      <w:bookmarkStart w:id="179" w:name="_Toc418750898"/>
      <w:bookmarkStart w:id="180" w:name="_Toc138063007"/>
      <w:bookmarkStart w:id="181" w:name="_Toc520261148"/>
      <w:bookmarkStart w:id="182" w:name="_Toc515458375"/>
      <w:bookmarkStart w:id="183" w:name="_Toc515261602"/>
      <w:bookmarkStart w:id="184" w:name="_Toc132016736"/>
      <w:bookmarkStart w:id="185" w:name="_Toc416783535"/>
      <w:bookmarkStart w:id="186" w:name="_Toc469066318"/>
      <w:bookmarkStart w:id="187" w:name="_Toc531701570"/>
      <w:bookmarkStart w:id="188" w:name="_Toc425250320"/>
      <w:r>
        <w:rPr>
          <w:rFonts w:ascii="Arial" w:hAnsi="Arial" w:eastAsia="仿宋" w:cs="Arial"/>
          <w:b/>
          <w:sz w:val="28"/>
          <w:szCs w:val="28"/>
          <w:highlight w:val="none"/>
        </w:rPr>
        <w:t>一、估价依据</w:t>
      </w:r>
      <w:bookmarkEnd w:id="179"/>
      <w:bookmarkEnd w:id="180"/>
      <w:bookmarkEnd w:id="181"/>
      <w:bookmarkEnd w:id="182"/>
      <w:bookmarkEnd w:id="183"/>
      <w:bookmarkEnd w:id="184"/>
      <w:bookmarkEnd w:id="185"/>
      <w:bookmarkEnd w:id="186"/>
      <w:bookmarkEnd w:id="187"/>
      <w:bookmarkEnd w:id="188"/>
    </w:p>
    <w:p w14:paraId="2D49B91C">
      <w:pPr>
        <w:adjustRightInd/>
        <w:spacing w:line="300" w:lineRule="auto"/>
        <w:ind w:firstLine="560" w:firstLineChars="200"/>
        <w:jc w:val="both"/>
        <w:rPr>
          <w:rFonts w:ascii="Arial" w:hAnsi="Arial" w:eastAsia="仿宋" w:cs="Arial"/>
          <w:sz w:val="28"/>
          <w:szCs w:val="28"/>
          <w:highlight w:val="none"/>
        </w:rPr>
      </w:pPr>
      <w:bookmarkStart w:id="189" w:name="_Toc416783536"/>
      <w:bookmarkStart w:id="190" w:name="_Toc515458376"/>
      <w:bookmarkStart w:id="191" w:name="_Toc425250321"/>
      <w:bookmarkStart w:id="192" w:name="_Toc418750899"/>
      <w:bookmarkStart w:id="193" w:name="_Toc469066319"/>
      <w:bookmarkStart w:id="194" w:name="_Toc531701571"/>
      <w:bookmarkStart w:id="195" w:name="_Toc520261149"/>
      <w:r>
        <w:rPr>
          <w:rFonts w:ascii="Arial" w:hAnsi="Arial" w:eastAsia="仿宋" w:cs="Arial"/>
          <w:sz w:val="28"/>
          <w:szCs w:val="28"/>
          <w:highlight w:val="none"/>
        </w:rPr>
        <w:t>（一）有关的法律、法规、行政规章及估价对象所在省市的有关法律法规和政策</w:t>
      </w:r>
    </w:p>
    <w:p w14:paraId="1B9880BA">
      <w:pPr>
        <w:numPr>
          <w:ilvl w:val="0"/>
          <w:numId w:val="6"/>
        </w:numPr>
        <w:adjustRightInd/>
        <w:snapToGrid w:val="0"/>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土地管理法》（1986年6月25日第六届全国人民代表大会常务委员会第十六次会议通过，中华人民共和国主席令第41号公布，1987年1月1日起施行；1988年12月29日第七届全国人民代表大会常务委员会第五次会议第一次修正通过，自1988年12月29日起施行；1998年8月29日第九届全国人民代表大会常务委员会第四次会议修订通过，中华人民共和国主席令第8号公布，自1999年1月1日起施行；2004年8月28日第十届全国人民代表大会常务委员会第十一次会议第二次修正通过，中华人民共和国主席令第28号公布，自公布起日起施行；2019年8月26日第十三届全国人民代表大会常务委员会第十二次会议第三次修正通过，自2020年1月1日起施行）</w:t>
      </w:r>
    </w:p>
    <w:p w14:paraId="12090210">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城市房地产管理法》（1994年7月5日第八届全国人民代表大会常务委员会第八次会议通过，中华人民共和国主席令第29号公布，自1995年1月1日起施行；2007年8月30日第十届全国人民代表大会常务委员会第二十九次会议通过第一次修正通过，中华人民共和国主席令第72号公布，自公布之日起施行；2009年8月27日第十一届全国人民代表大会常务委员会第十次会议第二次修正通过，中华人民共和国主席令第18号公布，自公布之日起施行；2019年8月26日第十三届全国人大常委会第十二次会议通过第三次修正，自2020年1月1日起施行）</w:t>
      </w:r>
    </w:p>
    <w:p w14:paraId="436B7381">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城乡规划法》（2007年10月28日第十届全国人民代表大会常务委员会第三十次会议通过；根据2015年4月24日第十二届全国人民代表大会常务委员会第十四次会议《关于修改〈中华人民共和国港口法〉等七部法律的决定》第一次修正，公布之日起施行；根据2019年4月23日第十三届全国人民代表大会常务委员会第十次会议《关于修改〈中华人民共和国建筑法〉等八部法律的决定》第二次修正自，公布之日起施行）</w:t>
      </w:r>
    </w:p>
    <w:p w14:paraId="42EA5AEC">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《中华人民共和国资产评估法》（2016年7月2日第十二届全国人民代表大会常务委员会第二十一次会议通过，2016年3月16日中华人民共和国主席令第46号公布，自2016年12月1日起施行）</w:t>
      </w:r>
    </w:p>
    <w:p w14:paraId="46BCAF8B">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《中华人民共和国民法典》（2020年5月28日第十三届全国人大三次会议表决通过，自2021年1月1日起施行）</w:t>
      </w:r>
    </w:p>
    <w:p w14:paraId="50454019">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城镇国有土地使用权出让和转让暂行条例》（1990年5月19日中华人民共和国国务院令第55号发布，自发布之日起施行；根据2020年11月29日中华人民共和国国务院令第732号公布的《国务院关于修改和废止部分行政法规的决定》修订，自公布之日起施行）</w:t>
      </w:r>
    </w:p>
    <w:p w14:paraId="2243F86F">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《中华人民共和国土地管理法实施条例》（1998年12月24日国务院第12次常务会议通过 ，1998年12月27日中华人民共和国国务院令第256号发布，自1999年1月1日起施行；2010年12月29日国务院第138次常务会议第一次修正通过，2011年1月8日中华人民共和国国务院令第588号发布，自发布之日起施行；2014年7月9日国务院第54次常务会议第二次修正通过，2014年7月29日中华人民共和国国务院令第653号公布，自公布之日起施行；2021年4月21日国务院第132次会议第三次修订通过，2021年7月2日中华人民共和国国务院令第743号公布，自2021年9月1日起施行）；</w:t>
      </w:r>
    </w:p>
    <w:p w14:paraId="7EABBFF3">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不动产登记暂行条例》〔2014年11月24日中华人民共和国国务院令第656号公布，自2015年3月1日起施行；根据2019年3月24日中华人民共和国国务院令第710号公布的《国务院关于修改部分行政法规的决定》修订，自公布之日起施行〕；</w:t>
      </w:r>
    </w:p>
    <w:p w14:paraId="1D79C70C">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不动产登记暂行条例实施细则》（2015年6月29日国土资源部第3次部务会议通过，自2016年1月1日起施行；根据2019年7月16日自然资源部第2次部务会议审议通过《自然资源部关于第一批废止和修改的部门规章的决定》（中华人民共和国自然资源部令第5号）修订，自公布之日起施行）</w:t>
      </w:r>
    </w:p>
    <w:p w14:paraId="1859DCD9">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不动产登记资料查询暂行办法》（2018年3月2日国土资源部令第80号公布；根据2019年7月16日自然资源部第2次部务会《自然资源部关于废止和修改的第一批部门规章的决定》（中华人民共和国自然资源部令第5号）修订，自公布之日起施行）</w:t>
      </w:r>
    </w:p>
    <w:p w14:paraId="42C8D489">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《国务院关于加强国有土地资产管理的通知》〔国发〔2001〕15号，2001年4月30日〕；</w:t>
      </w:r>
    </w:p>
    <w:p w14:paraId="14368F2F">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《国务院关于深化改革严格土地管理的决定》〔国发〔2004〕28号，2004年10月21日〕；</w:t>
      </w:r>
    </w:p>
    <w:p w14:paraId="23C818D0">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《国务院关于加强土地调控有关问题的通知》〔国发 （2006） 31号，2006年8月31日发布〕；</w:t>
      </w:r>
    </w:p>
    <w:p w14:paraId="51E16BF0">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《国务院关于促进节约集约用地的通知》〔国发〔2008〕3号，2008年1月3日发布〕；</w:t>
      </w:r>
    </w:p>
    <w:p w14:paraId="5354C9E0">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《协议出让国有土地使用权规定》〔国土资源部令第21号，自2003年8月1日起施行〕；</w:t>
      </w:r>
    </w:p>
    <w:p w14:paraId="29352188">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《招标拍卖挂牌出让国有建设用地使用权规定》〔国土资源部令第39号，2007年9月21日原国土资源部第3次部务会议审议通过〕；</w:t>
      </w:r>
    </w:p>
    <w:p w14:paraId="51E5E404">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《节约集约利用土地规定》〔国土资源部令第61号，2014年5月22日公布；根据2019年7月16日自然资源部第2次部务会议《自然资源部关于第一批废止和修改的部门规章的决定》修正 自2014年9月1日起实施〕；</w:t>
      </w:r>
    </w:p>
    <w:p w14:paraId="7593A6E9">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《国土资源部关于推进土地节约集约利用的指导意见》〔国土资发（2014）119号，2014年9月12日发布〕；</w:t>
      </w:r>
    </w:p>
    <w:p w14:paraId="00299F26">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《国土资源部&lt;关于坚持和完善土地招标拍卖挂牌出让制度的意见&gt;》〔国土资发〔2011〕63号，2011年5月13日〕；</w:t>
      </w:r>
    </w:p>
    <w:p w14:paraId="5881EC7C">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《国土资源部办公厅&lt;关于实行电子化备案完善土地估价报告备案制度的通知&gt;》〔国土资厅发〔2012〕35号，2012年6月14日发布〕</w:t>
      </w:r>
    </w:p>
    <w:p w14:paraId="355C8A21">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实施&lt;中华人民共和国城镇国有土地使用权出让和转让暂行条例&gt;办法》（1992年5月27日北京市人民政府第11号令发布；根据1993年5月18日北京市人民政府第6号令第一次修改；根据2002年2月11日北京市人民政府第92号令第二次修改；根据2007年11月23日北京市人民政府第200号令第三次修改）</w:t>
      </w:r>
    </w:p>
    <w:p w14:paraId="2C070783">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《北京市城市房地产转让管理办法》（北京市人民政府令第135号，经2003年8月26日市人民政府第13次常务会议通过，自2003年12月1日起施行，2008年12月6日北京市人民政府令第209号修正）</w:t>
      </w:r>
    </w:p>
    <w:p w14:paraId="15B1D5BF">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《北京市城乡规划条例》（2009年5月22日北京市第十三届人民代表大会常务委员会第十一次会议通过；2019年3月29日北京市第十五届人民代表大会常务委员会第十二次会议修订，自2019年4月28日起施行）</w:t>
      </w:r>
    </w:p>
    <w:p w14:paraId="7D8BB991">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bCs/>
          <w:sz w:val="28"/>
          <w:szCs w:val="28"/>
          <w:highlight w:val="none"/>
        </w:rPr>
        <w:t>《北京市实施</w:t>
      </w:r>
      <w:r>
        <w:rPr>
          <w:rFonts w:ascii="Arial" w:hAnsi="Arial" w:eastAsia="仿宋" w:cs="Arial"/>
          <w:sz w:val="28"/>
          <w:szCs w:val="28"/>
          <w:highlight w:val="none"/>
        </w:rPr>
        <w:t>&lt;</w:t>
      </w:r>
      <w:r>
        <w:rPr>
          <w:rFonts w:ascii="Arial" w:hAnsi="Arial" w:eastAsia="仿宋" w:cs="Arial"/>
          <w:bCs/>
          <w:sz w:val="28"/>
          <w:szCs w:val="28"/>
          <w:highlight w:val="none"/>
        </w:rPr>
        <w:t>中华人民共和国城镇土地使用税暂行条例</w:t>
      </w:r>
      <w:r>
        <w:rPr>
          <w:rFonts w:ascii="Arial" w:hAnsi="Arial" w:eastAsia="仿宋" w:cs="Arial"/>
          <w:sz w:val="28"/>
          <w:szCs w:val="28"/>
          <w:highlight w:val="none"/>
        </w:rPr>
        <w:t>&gt;</w:t>
      </w:r>
      <w:r>
        <w:rPr>
          <w:rFonts w:ascii="Arial" w:hAnsi="Arial" w:eastAsia="仿宋" w:cs="Arial"/>
          <w:bCs/>
          <w:sz w:val="28"/>
          <w:szCs w:val="28"/>
          <w:highlight w:val="none"/>
        </w:rPr>
        <w:t>办法》（</w:t>
      </w:r>
      <w:r>
        <w:rPr>
          <w:rFonts w:ascii="Arial" w:hAnsi="Arial" w:eastAsia="仿宋" w:cs="Arial"/>
          <w:sz w:val="28"/>
          <w:szCs w:val="28"/>
          <w:highlight w:val="none"/>
        </w:rPr>
        <w:t>1988年12月30日北京市人民政府京政发〔1988〕115号文件发布；根据1998年6月12日北京市人民政府第6号令第一次修改；根据2007年4月27日北京市人民政府第188号令第二次修改</w:t>
      </w:r>
      <w:r>
        <w:rPr>
          <w:rFonts w:ascii="Arial" w:hAnsi="Arial" w:eastAsia="仿宋" w:cs="Arial"/>
          <w:bCs/>
          <w:sz w:val="28"/>
          <w:szCs w:val="28"/>
          <w:highlight w:val="none"/>
        </w:rPr>
        <w:t>）</w:t>
      </w:r>
    </w:p>
    <w:p w14:paraId="56CE086A">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《北京市人民政府关于印发北京市国有建设用地供应办法（试行）的通知》（京政发（2005）6号）</w:t>
      </w:r>
    </w:p>
    <w:p w14:paraId="1B0190D6">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《北京市人民政府关于修订〈北京市国有建设用地供应办法（试行）〉的决定》（京政发〔2021〕12号）</w:t>
      </w:r>
    </w:p>
    <w:p w14:paraId="3B4B5394">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《关于印发北京市出让国有土地使用权招标拍卖挂牌办法的通知》（京国土市（2005）302号）</w:t>
      </w:r>
    </w:p>
    <w:p w14:paraId="02F55300">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《国家税务总局关于发布</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纳税人转让不动产增值税征收管理暂行办法</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的公告》</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国家税务总局公告2016年第14号</w:t>
      </w:r>
      <w:r>
        <w:rPr>
          <w:rFonts w:hint="eastAsia" w:ascii="Arial" w:hAnsi="Arial" w:eastAsia="仿宋" w:cs="Arial"/>
          <w:sz w:val="28"/>
          <w:szCs w:val="28"/>
          <w:highlight w:val="none"/>
          <w:lang w:eastAsia="zh-CN"/>
        </w:rPr>
        <w:t>）</w:t>
      </w:r>
    </w:p>
    <w:p w14:paraId="418F72A6">
      <w:pPr>
        <w:numPr>
          <w:ilvl w:val="0"/>
          <w:numId w:val="6"/>
        </w:numPr>
        <w:adjustRightInd/>
        <w:spacing w:line="300" w:lineRule="auto"/>
        <w:ind w:left="0" w:firstLine="560" w:firstLineChars="200"/>
        <w:jc w:val="both"/>
        <w:rPr>
          <w:rFonts w:hint="eastAsia" w:ascii="Arial" w:hAnsi="Arial" w:eastAsia="仿宋" w:cs="Arial"/>
          <w:sz w:val="28"/>
          <w:szCs w:val="28"/>
          <w:highlight w:val="none"/>
        </w:rPr>
      </w:pPr>
      <w:r>
        <w:rPr>
          <w:rFonts w:hint="eastAsia" w:ascii="Arial" w:hAnsi="Arial" w:eastAsia="仿宋" w:cs="Arial"/>
          <w:sz w:val="28"/>
          <w:szCs w:val="28"/>
          <w:highlight w:val="none"/>
        </w:rPr>
        <w:t>《中华人民共和国增值税法》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2024年12月25日第十四届全国人民代表大会常务委员会第十三次会议通过自2026年1月1日起施行</w:t>
      </w:r>
      <w:r>
        <w:rPr>
          <w:rFonts w:hint="eastAsia" w:ascii="Arial" w:hAnsi="Arial" w:eastAsia="仿宋" w:cs="Arial"/>
          <w:sz w:val="28"/>
          <w:szCs w:val="28"/>
          <w:highlight w:val="none"/>
          <w:lang w:eastAsia="zh-CN"/>
        </w:rPr>
        <w:t>）</w:t>
      </w:r>
    </w:p>
    <w:p w14:paraId="2019D6FB">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《中华人民共和国增值税法实施条例》(经2025年12月19日 国务院第75次常务会议通过，自2026年1月1日起施行)。</w:t>
      </w:r>
    </w:p>
    <w:p w14:paraId="0A7BF266">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中华人民共和国契税法》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2020年8月11日第十三届全国人民代表大会常务委员会第二十一次会议通过，自2021年9月1日起施行</w:t>
      </w:r>
      <w:r>
        <w:rPr>
          <w:rFonts w:hint="eastAsia" w:ascii="Arial" w:hAnsi="Arial" w:eastAsia="仿宋" w:cs="Arial"/>
          <w:sz w:val="28"/>
          <w:szCs w:val="28"/>
          <w:highlight w:val="none"/>
          <w:lang w:eastAsia="zh-CN"/>
        </w:rPr>
        <w:t>）</w:t>
      </w:r>
    </w:p>
    <w:p w14:paraId="1EC908DF">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《中华人民共和国印花税法》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2021年6月10日第十三届全国人民代表大会常务委员会第二十九次会议通过,自2022年7月1日起施行</w:t>
      </w:r>
      <w:r>
        <w:rPr>
          <w:rFonts w:hint="eastAsia" w:ascii="Arial" w:hAnsi="Arial" w:eastAsia="仿宋" w:cs="Arial"/>
          <w:sz w:val="28"/>
          <w:szCs w:val="28"/>
          <w:highlight w:val="none"/>
          <w:lang w:eastAsia="zh-CN"/>
        </w:rPr>
        <w:t>）</w:t>
      </w:r>
    </w:p>
    <w:p w14:paraId="4936EA16">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《中华人民共和国城市维护建设税法》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2020年8月11日第十三届全国人民代表大会常务委员会第二十一次会议通过，自2021年9月1日</w:t>
      </w:r>
      <w:r>
        <w:rPr>
          <w:rFonts w:hint="eastAsia" w:ascii="Arial" w:hAnsi="Arial" w:eastAsia="仿宋" w:cs="Arial"/>
          <w:sz w:val="28"/>
          <w:szCs w:val="28"/>
          <w:highlight w:val="none"/>
          <w:lang w:val="en-US" w:eastAsia="zh-CN"/>
        </w:rPr>
        <w:t>起施行）</w:t>
      </w:r>
    </w:p>
    <w:p w14:paraId="459ACAC7">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《国务院关于修改</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征收教育费附加的暂行条例</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的决定》</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2011年第三次修订</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1986年4月28日中华人民共和国国务院令第448号发布;根据1990年6月7日《国务院关于修改〈征收教育费附加的暂行规定</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的决定》第一次修订</w:t>
      </w:r>
      <w:r>
        <w:rPr>
          <w:rFonts w:hint="eastAsia" w:ascii="Arial" w:hAnsi="Arial" w:eastAsia="仿宋" w:cs="Arial"/>
          <w:sz w:val="28"/>
          <w:szCs w:val="28"/>
          <w:highlight w:val="none"/>
          <w:lang w:val="en-US" w:eastAsia="zh-CN"/>
        </w:rPr>
        <w:t>;</w:t>
      </w:r>
      <w:r>
        <w:rPr>
          <w:rFonts w:hint="eastAsia" w:ascii="Arial" w:hAnsi="Arial" w:eastAsia="仿宋" w:cs="Arial"/>
          <w:sz w:val="28"/>
          <w:szCs w:val="28"/>
          <w:highlight w:val="none"/>
        </w:rPr>
        <w:t>根据2005年8月20日《国务院关于修改</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征收教育费附加的暂行规定</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的决定》第二次修订</w:t>
      </w:r>
      <w:r>
        <w:rPr>
          <w:rFonts w:hint="eastAsia" w:ascii="Arial" w:hAnsi="Arial" w:eastAsia="仿宋" w:cs="Arial"/>
          <w:sz w:val="28"/>
          <w:szCs w:val="28"/>
          <w:highlight w:val="none"/>
          <w:lang w:val="en-US" w:eastAsia="zh-CN"/>
        </w:rPr>
        <w:t>:</w:t>
      </w:r>
      <w:r>
        <w:rPr>
          <w:rFonts w:hint="eastAsia" w:ascii="Arial" w:hAnsi="Arial" w:eastAsia="仿宋" w:cs="Arial"/>
          <w:sz w:val="28"/>
          <w:szCs w:val="28"/>
          <w:highlight w:val="none"/>
        </w:rPr>
        <w:t>根据2011年1月8日《国务院关于废止和修改部分行政法规的决定》第三次修订并施行</w:t>
      </w:r>
      <w:r>
        <w:rPr>
          <w:rFonts w:hint="eastAsia" w:ascii="Arial" w:hAnsi="Arial" w:eastAsia="仿宋" w:cs="Arial"/>
          <w:sz w:val="28"/>
          <w:szCs w:val="28"/>
          <w:highlight w:val="none"/>
          <w:lang w:eastAsia="zh-CN"/>
        </w:rPr>
        <w:t>）</w:t>
      </w:r>
    </w:p>
    <w:p w14:paraId="43447EEE">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《北京市国土资源局、北京市发展和改革委员会关于印发北京市国有土地使用权招标拍卖挂牌出让底价确定办法（试行）的通知》（ 京国土用〔2005〕533号）</w:t>
      </w:r>
    </w:p>
    <w:p w14:paraId="5AAF7543">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《北京市顺义区人民政府关于印发&lt;顺义区征收城市基础设施建设费暂行办法&gt;的通知》</w:t>
      </w:r>
      <w:r>
        <w:rPr>
          <w:rFonts w:hint="eastAsia" w:ascii="Arial" w:hAnsi="Arial" w:eastAsia="仿宋" w:cs="Arial"/>
          <w:sz w:val="28"/>
          <w:szCs w:val="28"/>
          <w:highlight w:val="none"/>
          <w:lang w:eastAsia="zh-CN"/>
        </w:rPr>
        <w:t>（</w:t>
      </w:r>
      <w:r>
        <w:rPr>
          <w:rFonts w:ascii="Arial" w:hAnsi="Arial" w:eastAsia="仿宋" w:cs="Arial"/>
          <w:sz w:val="28"/>
          <w:szCs w:val="28"/>
          <w:highlight w:val="none"/>
        </w:rPr>
        <w:t>自2022年6月6日起实施</w:t>
      </w:r>
      <w:r>
        <w:rPr>
          <w:rFonts w:hint="eastAsia" w:ascii="Arial" w:hAnsi="Arial" w:eastAsia="仿宋" w:cs="Arial"/>
          <w:sz w:val="28"/>
          <w:szCs w:val="28"/>
          <w:highlight w:val="none"/>
          <w:lang w:eastAsia="zh-CN"/>
        </w:rPr>
        <w:t>）</w:t>
      </w:r>
    </w:p>
    <w:p w14:paraId="0D07B763">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自然资源部办公厅关于加强城镇建设用地基准地价管理的通知》（自然资办发（2024）45号）</w:t>
      </w:r>
    </w:p>
    <w:p w14:paraId="087EBCFC">
      <w:pPr>
        <w:numPr>
          <w:ilvl w:val="0"/>
          <w:numId w:val="6"/>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 国家林业和草原局关于进一步做好自然资源要素保障的通知》（自然资办发（2026）38号）</w:t>
      </w:r>
    </w:p>
    <w:p w14:paraId="09611257">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（二）采用的技术标准</w:t>
      </w:r>
    </w:p>
    <w:p w14:paraId="37018E55">
      <w:pPr>
        <w:numPr>
          <w:ilvl w:val="0"/>
          <w:numId w:val="7"/>
        </w:numPr>
        <w:adjustRightInd/>
        <w:spacing w:line="300" w:lineRule="auto"/>
        <w:jc w:val="both"/>
        <w:rPr>
          <w:rFonts w:ascii="Arial" w:hAnsi="Arial" w:eastAsia="仿宋" w:cs="Arial"/>
          <w:sz w:val="28"/>
          <w:szCs w:val="28"/>
          <w:highlight w:val="none"/>
        </w:rPr>
      </w:pPr>
      <w:r>
        <w:rPr>
          <w:rFonts w:ascii="Arial" w:hAnsi="Arial" w:eastAsia="仿宋" w:cs="Arial"/>
          <w:sz w:val="28"/>
          <w:szCs w:val="28"/>
          <w:highlight w:val="none"/>
        </w:rPr>
        <w:t>《城镇土地估价规程》（GB/T 18508</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2014）</w:t>
      </w:r>
    </w:p>
    <w:p w14:paraId="2CBAAF9D">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《城镇土地分等定级规程》</w:t>
      </w:r>
      <w:r>
        <w:rPr>
          <w:rFonts w:ascii="Arial" w:hAnsi="Arial" w:eastAsia="仿宋" w:cs="Arial"/>
          <w:sz w:val="28"/>
          <w:szCs w:val="28"/>
          <w:highlight w:val="none"/>
        </w:rPr>
        <w:fldChar w:fldCharType="begin"/>
      </w:r>
      <w:r>
        <w:rPr>
          <w:rFonts w:ascii="Arial" w:hAnsi="Arial" w:eastAsia="仿宋" w:cs="Arial"/>
          <w:sz w:val="28"/>
          <w:szCs w:val="28"/>
          <w:highlight w:val="none"/>
        </w:rPr>
        <w:instrText xml:space="preserve"> HYPERLINK "http://www.baidu.com/link?url=WR4ik0HfoP3GU1rlTYIFq3n2WBRxMHa-d8GcgMgJUtKKn1Pe8laCRZpZkd9wT3bWx0Da0HhCv5MAzf-34H8xnjpEjz3Kk8n4fMGDiYPYgW3" \t "_blank" </w:instrText>
      </w:r>
      <w:r>
        <w:rPr>
          <w:rFonts w:ascii="Arial" w:hAnsi="Arial" w:eastAsia="仿宋" w:cs="Arial"/>
          <w:sz w:val="28"/>
          <w:szCs w:val="28"/>
          <w:highlight w:val="none"/>
        </w:rPr>
        <w:fldChar w:fldCharType="separate"/>
      </w:r>
      <w:r>
        <w:rPr>
          <w:rFonts w:ascii="Arial" w:hAnsi="Arial" w:eastAsia="仿宋" w:cs="Arial"/>
          <w:sz w:val="28"/>
          <w:szCs w:val="28"/>
          <w:highlight w:val="none"/>
        </w:rPr>
        <w:t>（GB/T 18507</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2014）</w:t>
      </w:r>
      <w:r>
        <w:rPr>
          <w:rFonts w:ascii="Arial" w:hAnsi="Arial" w:eastAsia="仿宋" w:cs="Arial"/>
          <w:sz w:val="28"/>
          <w:szCs w:val="28"/>
          <w:highlight w:val="none"/>
        </w:rPr>
        <w:fldChar w:fldCharType="end"/>
      </w:r>
    </w:p>
    <w:p w14:paraId="6BB63399">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《土地利用现状分类》（ GB/T 21010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2017）</w:t>
      </w:r>
    </w:p>
    <w:p w14:paraId="4D957203">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《城市用地分类与规划建设用地标准》（GB50137</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2011）</w:t>
      </w:r>
    </w:p>
    <w:p w14:paraId="1FF15381">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《自然资源分等定级通则》（TD/T 1060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2021）</w:t>
      </w:r>
    </w:p>
    <w:p w14:paraId="54C8D35A">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《自然资源价格评估通则》（TD/T 1061</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2021）</w:t>
      </w:r>
    </w:p>
    <w:p w14:paraId="13F595FE">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《城市地价动态监测技术规范》（TD/T1009</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2007）</w:t>
      </w:r>
    </w:p>
    <w:p w14:paraId="59719F71">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《自然资源部办公厅关于印发《国土空间调查、规划、用途管制用地用海分类指南（试行）》的通知》（自然资办发〔2020〕51号）</w:t>
      </w:r>
    </w:p>
    <w:p w14:paraId="4E3C7E69">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《国土资源部办公厅关于发布&lt;国有建设用地使用权出让地价评估技术规范&gt;的通知》（国土资厅发（2018）4号）</w:t>
      </w:r>
    </w:p>
    <w:p w14:paraId="720DEC83">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《自然资源部公共服务厅关于做好2021年度自然资源评价评估有关工作的通知》（自然资办发（2021）39号）</w:t>
      </w:r>
    </w:p>
    <w:p w14:paraId="150EE2DA">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《财政部 国家税务总局&lt;关于全面推开营业税改正增值税试点的通知&gt;》（财税（2016）36号）</w:t>
      </w:r>
    </w:p>
    <w:p w14:paraId="0244E9DD">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《北京市人民政府关于更新出让国有建设用地使用权基准地价的通知》（京政发（2022）12号）</w:t>
      </w:r>
    </w:p>
    <w:p w14:paraId="2FAE3C5E">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《北京市国土空间调查、规划、用途管制用地分类指南（试行）》</w:t>
      </w:r>
    </w:p>
    <w:p w14:paraId="47EA43D6">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《北京市城乡规划与土地利用用地分类对应指南（试行）》（市规划国土发（2017）316号）</w:t>
      </w:r>
    </w:p>
    <w:p w14:paraId="3FE27FFE">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北京市地方标准《国土空间调查、规划、用途管制用地分类标准》</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DB11/T996</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2024，2024年6月28日发布，2025年1月1日实施</w:t>
      </w:r>
      <w:r>
        <w:rPr>
          <w:rFonts w:hint="eastAsia" w:ascii="Arial" w:hAnsi="Arial" w:eastAsia="仿宋" w:cs="Arial"/>
          <w:sz w:val="28"/>
          <w:szCs w:val="28"/>
          <w:highlight w:val="none"/>
          <w:lang w:eastAsia="zh-CN"/>
        </w:rPr>
        <w:t>）</w:t>
      </w:r>
    </w:p>
    <w:p w14:paraId="0B0CAEC9">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《北京市地方税务局关于调整北京市城镇土地纳税等级分级范围的公告》（2015年第10号）</w:t>
      </w:r>
    </w:p>
    <w:p w14:paraId="5F860B0A">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《北京市国有建设用地使用权出让地价评估技术导则》（2026年2月10日实施）</w:t>
      </w:r>
    </w:p>
    <w:p w14:paraId="3F4CE54C">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《北京市建设工程计价依据</w:t>
      </w:r>
      <w:r>
        <w:rPr>
          <w:rFonts w:hint="eastAsia" w:ascii="Arial" w:hAnsi="Arial" w:eastAsia="仿宋" w:cs="Arial"/>
          <w:sz w:val="28"/>
          <w:szCs w:val="28"/>
          <w:highlight w:val="none"/>
          <w:lang w:eastAsia="zh-CN"/>
        </w:rPr>
        <w:t>－</w:t>
      </w:r>
      <w:r>
        <w:rPr>
          <w:rFonts w:ascii="Arial" w:hAnsi="Arial" w:eastAsia="仿宋" w:cs="Arial"/>
          <w:sz w:val="28"/>
          <w:szCs w:val="28"/>
          <w:highlight w:val="none"/>
        </w:rPr>
        <w:t>预算定额》（2012）及动态调整</w:t>
      </w:r>
    </w:p>
    <w:p w14:paraId="737EB648">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《北京工程造价信息》〔北京市建设工程造价管理处定期发布〕</w:t>
      </w:r>
    </w:p>
    <w:p w14:paraId="3F0C16BD">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《北京市统计年鉴》</w:t>
      </w:r>
    </w:p>
    <w:p w14:paraId="054B0564">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北京市规划和自然资源委员会北京市发展和改革委员会北京市财政局 北京市住房和城乡建设委员会《关于印发&lt;北京市国有自然资源</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建设用地</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使用权有偿配置价格评审规定&gt;的通知》</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京规自发</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2024</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282号</w:t>
      </w:r>
      <w:r>
        <w:rPr>
          <w:rFonts w:hint="eastAsia" w:ascii="Arial" w:hAnsi="Arial" w:eastAsia="仿宋" w:cs="Arial"/>
          <w:sz w:val="28"/>
          <w:szCs w:val="28"/>
          <w:highlight w:val="none"/>
          <w:lang w:eastAsia="zh-CN"/>
        </w:rPr>
        <w:t>）</w:t>
      </w:r>
    </w:p>
    <w:p w14:paraId="4B8E6CC2">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北京市人民政府《关于印发</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北京市居住公共服务设施配置指标</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和</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北京市居住公共服务设施配置指标实施意见</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的通知》</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京政发</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2025</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25 号</w:t>
      </w:r>
      <w:r>
        <w:rPr>
          <w:rFonts w:hint="eastAsia" w:ascii="Arial" w:hAnsi="Arial" w:eastAsia="仿宋" w:cs="Arial"/>
          <w:sz w:val="28"/>
          <w:szCs w:val="28"/>
          <w:highlight w:val="none"/>
          <w:lang w:eastAsia="zh-CN"/>
        </w:rPr>
        <w:t>）</w:t>
      </w:r>
    </w:p>
    <w:p w14:paraId="2982306E">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土地估价参数调查测算指引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 xml:space="preserve">T/CREVA 1101—2023  </w:t>
      </w:r>
      <w:r>
        <w:rPr>
          <w:rFonts w:hint="eastAsia" w:ascii="Arial" w:hAnsi="Arial" w:eastAsia="仿宋" w:cs="Arial"/>
          <w:sz w:val="28"/>
          <w:szCs w:val="28"/>
          <w:highlight w:val="none"/>
          <w:lang w:eastAsia="zh-CN"/>
        </w:rPr>
        <w:t>）</w:t>
      </w:r>
    </w:p>
    <w:p w14:paraId="2165DB2C">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（三） 委托估价方提供的资料</w:t>
      </w:r>
    </w:p>
    <w:p w14:paraId="5B95E194">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《国有建设用地使用权出让地价评估委托书》</w:t>
      </w:r>
    </w:p>
    <w:p w14:paraId="1FFBC641">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《北京市规划和国土资源管理委员会建设项目规划条件（土地储备前期整理）》（2017规（顺）条整字0006号）复印件</w:t>
      </w:r>
    </w:p>
    <w:p w14:paraId="18F17D23">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《北京市规划和自然资源会员会顺义分局关于顺义区高丽营镇夏县营村棚户区改造土地开发项目调整建设项目规划条件的复函》（京规自顺函【2019】153号）复印件</w:t>
      </w:r>
    </w:p>
    <w:p w14:paraId="035A732C">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《北京市人民政府关于顺义区二〇二〇年度批次建设用地的批复》</w:t>
      </w:r>
      <w:r>
        <w:rPr>
          <w:rFonts w:ascii="Arial" w:hAnsi="Arial" w:eastAsia="仿宋" w:cs="Arial"/>
          <w:spacing w:val="-6"/>
          <w:sz w:val="28"/>
          <w:szCs w:val="28"/>
          <w:highlight w:val="none"/>
        </w:rPr>
        <w:t>（京政地字【</w:t>
      </w:r>
      <w:r>
        <w:rPr>
          <w:rFonts w:ascii="Arial" w:hAnsi="Arial" w:eastAsia="仿宋" w:cs="Arial"/>
          <w:sz w:val="28"/>
          <w:szCs w:val="28"/>
          <w:highlight w:val="none"/>
        </w:rPr>
        <w:t>2020】121</w:t>
      </w:r>
      <w:r>
        <w:rPr>
          <w:rFonts w:ascii="Arial" w:hAnsi="Arial" w:eastAsia="仿宋" w:cs="Arial"/>
          <w:spacing w:val="-6"/>
          <w:sz w:val="28"/>
          <w:szCs w:val="28"/>
          <w:highlight w:val="none"/>
        </w:rPr>
        <w:t>号）复印件</w:t>
      </w:r>
    </w:p>
    <w:p w14:paraId="40010F17">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《北京市顺义区人民政府关于顺义区高丽营镇夏县营村棚户区改造土地开发项目01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020地块提请地价审核有关事宜的函》（顺政函【2023】151号）复印件</w:t>
      </w:r>
    </w:p>
    <w:p w14:paraId="03ACB05D">
      <w:pPr>
        <w:numPr>
          <w:ilvl w:val="1"/>
          <w:numId w:val="8"/>
        </w:numPr>
        <w:adjustRightInd/>
        <w:spacing w:line="300" w:lineRule="auto"/>
        <w:ind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及规划意见附图复印件</w:t>
      </w:r>
    </w:p>
    <w:p w14:paraId="12F68C72">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《建设工程规划用地测量成果报告书》（2021规自（顺）测字0008号）复印件</w:t>
      </w:r>
    </w:p>
    <w:p w14:paraId="1776AEC8">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020地块实物补偿内容的说明》复印件</w:t>
      </w:r>
    </w:p>
    <w:p w14:paraId="3F1BFF6E">
      <w:pPr>
        <w:numPr>
          <w:ilvl w:val="1"/>
          <w:numId w:val="8"/>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020地块市政条件的说明》复印件</w:t>
      </w:r>
    </w:p>
    <w:p w14:paraId="3022F175">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（四）受托估价方掌握的有关资料和土地估价专业评估师实地勘察、调查所获取的资料</w:t>
      </w:r>
    </w:p>
    <w:p w14:paraId="4795EED1">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1.估价对象所在位置示意图</w:t>
      </w:r>
    </w:p>
    <w:p w14:paraId="5DF7B58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2.估价对象实地勘察相关照片</w:t>
      </w:r>
    </w:p>
    <w:p w14:paraId="02FC8BBD">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3.区域因素及个别因素状况等资料</w:t>
      </w:r>
    </w:p>
    <w:p w14:paraId="2D8976E7">
      <w:pPr>
        <w:adjustRightInd/>
        <w:spacing w:line="300" w:lineRule="auto"/>
        <w:ind w:firstLine="560" w:firstLineChars="200"/>
        <w:jc w:val="both"/>
        <w:rPr>
          <w:rFonts w:ascii="Arial" w:hAnsi="Arial" w:eastAsia="仿宋_GB2312" w:cs="Arial"/>
          <w:sz w:val="28"/>
          <w:highlight w:val="none"/>
        </w:rPr>
      </w:pPr>
      <w:r>
        <w:rPr>
          <w:rFonts w:ascii="Arial" w:hAnsi="Arial" w:eastAsia="仿宋" w:cs="Arial"/>
          <w:sz w:val="28"/>
          <w:szCs w:val="28"/>
          <w:highlight w:val="none"/>
        </w:rPr>
        <w:t>4.土地估价专业评估师现场调查收集的其他相关资料</w:t>
      </w:r>
    </w:p>
    <w:p w14:paraId="0DA339F7">
      <w:pPr>
        <w:spacing w:line="300" w:lineRule="auto"/>
        <w:jc w:val="both"/>
        <w:rPr>
          <w:rFonts w:ascii="Arial" w:hAnsi="Arial" w:eastAsia="仿宋_GB2312" w:cs="Arial"/>
          <w:sz w:val="28"/>
          <w:highlight w:val="none"/>
        </w:rPr>
      </w:pPr>
    </w:p>
    <w:p w14:paraId="49F36C22">
      <w:pPr>
        <w:spacing w:line="300" w:lineRule="auto"/>
        <w:outlineLvl w:val="1"/>
        <w:rPr>
          <w:rFonts w:ascii="Arial" w:hAnsi="Arial" w:eastAsia="仿宋_GB2312" w:cs="Arial"/>
          <w:b/>
          <w:sz w:val="28"/>
          <w:highlight w:val="none"/>
        </w:rPr>
      </w:pPr>
      <w:bookmarkStart w:id="196" w:name="_Toc138063008"/>
      <w:bookmarkStart w:id="197" w:name="_Toc132016737"/>
      <w:r>
        <w:rPr>
          <w:rFonts w:ascii="Arial" w:hAnsi="Arial" w:eastAsia="仿宋_GB2312" w:cs="Arial"/>
          <w:b/>
          <w:sz w:val="28"/>
          <w:highlight w:val="none"/>
        </w:rPr>
        <w:t>二、土地估价</w:t>
      </w:r>
      <w:bookmarkEnd w:id="189"/>
      <w:bookmarkEnd w:id="190"/>
      <w:bookmarkEnd w:id="191"/>
      <w:bookmarkEnd w:id="192"/>
      <w:bookmarkEnd w:id="193"/>
      <w:bookmarkEnd w:id="194"/>
      <w:bookmarkEnd w:id="195"/>
      <w:bookmarkEnd w:id="196"/>
      <w:bookmarkEnd w:id="197"/>
    </w:p>
    <w:p w14:paraId="0EE189DB">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highlight w:val="none"/>
        </w:rPr>
        <w:t>（</w:t>
      </w:r>
      <w:r>
        <w:rPr>
          <w:rFonts w:hint="eastAsia" w:ascii="Arial" w:hAnsi="Arial" w:eastAsia="仿宋_GB2312" w:cs="Arial"/>
          <w:sz w:val="28"/>
          <w:highlight w:val="none"/>
          <w:lang w:val="en-US" w:eastAsia="zh-CN"/>
        </w:rPr>
        <w:t>一</w:t>
      </w:r>
      <w:r>
        <w:rPr>
          <w:rFonts w:ascii="Arial" w:hAnsi="Arial" w:eastAsia="仿宋_GB2312" w:cs="Arial"/>
          <w:sz w:val="28"/>
          <w:highlight w:val="none"/>
        </w:rPr>
        <w:t>）估价</w:t>
      </w:r>
      <w:r>
        <w:rPr>
          <w:rFonts w:hint="eastAsia" w:ascii="Arial" w:hAnsi="Arial" w:eastAsia="仿宋_GB2312" w:cs="Arial"/>
          <w:sz w:val="28"/>
          <w:highlight w:val="none"/>
          <w:lang w:val="en-US" w:eastAsia="zh-CN"/>
        </w:rPr>
        <w:t>原则</w:t>
      </w:r>
    </w:p>
    <w:p w14:paraId="74CD5CB8">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土地价格是由其效用、相对稀缺性及有效需求三者相互作用和影响而形成，这些因素又经常处于变动之中，土地估价必须要对此进行细致分析并正确判断其变动趋向，了解土地价格组成的各项因素及各因素之间的相互作用，才能做出正确估价。在土地估价的实践和理论的探索中，在对土地价格形成和变化的规律认识的基础上，总结出一些在估价活动中应当遵循的法则或标准，而在估价作业时，这些原则又指导人们的估价实践。</w:t>
      </w:r>
    </w:p>
    <w:p w14:paraId="1A881F0F">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土地估价机构及其土地估价专业人员从事土地估价活动，应当坚持独立、客观、公正原则、回避原则、保密原则，保持专业独立性，杜绝外部不当干预。具体业务实施中，还应遵循以下技术原则。</w:t>
      </w:r>
    </w:p>
    <w:p w14:paraId="731C3998">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1.替代原则</w:t>
      </w:r>
    </w:p>
    <w:p w14:paraId="1CDA706F">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替代原则是指土地估价应以相邻地区或类似地区功能相同、条件相似的土地市场交易价格为依据，估价结果不得明显偏离具有替代性质的土地正常价格。</w:t>
      </w:r>
    </w:p>
    <w:p w14:paraId="031821AD">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经济学认为，根据市场运行规律，在同一商品市场中，商品或提供服务的效用相同或大致相似时，价格最低者吸引最大需求；价格相同时效用大者吸引最大需求，即当同时存在两个以上的有互相替代性的商品或服务时，商品或服务的价格是经过相互影响比较后才决定的，并最后趋于一致。同一原理同样适用于土地市场，即具有相同使用价值、有替代性的宗地之间的价格会相互影响、相互牵制而最终趋于一致。</w:t>
      </w:r>
    </w:p>
    <w:p w14:paraId="4FD0AB09">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替代原则可以概括为三点：（1）土地价格水平由具有相同性质的替代性土地的价格所决定；（2）土地价格水平是由最了解行情的买卖者按市场交易实例相互比较后决定；（3）土地价格可以通过比较地块的条件及使用价值来确定。因此，替代原则中所指土地估价应以相邻地区或类似地区功能相同、条件相似的土地市场交易价格为依据，估价结果不得明显偏离具有替代性质的土地正常价格。</w:t>
      </w:r>
    </w:p>
    <w:p w14:paraId="133E532A">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替代原则的适用范围广，是本次估价基准地价系数修正法、剩余法中嵌套的市场比较法的理论基础。</w:t>
      </w:r>
    </w:p>
    <w:p w14:paraId="59092309">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2.最有效利用原则</w:t>
      </w:r>
    </w:p>
    <w:p w14:paraId="4E91F3A0">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由于土地具有用途的多样性，不同的利用方式能为权利人带来不同的收益量，且土地权利人都期望从其所占有的土地上获取更多的收益，并以能满足这一目的为确定土地利用方式的依据。所以，土地估价应以宗地的最有效利用为前提的。本次评估以设定规划条件符合最有效使用原则为前提。</w:t>
      </w:r>
    </w:p>
    <w:p w14:paraId="503C156B">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3.预期收益原则</w:t>
      </w:r>
    </w:p>
    <w:p w14:paraId="2C0E90F9">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对于价格的评估，重要的并非是过去，而是未来。过去收益的重要意义，在于为推测未来的收益变化动向提供依据。因此，商品的价格是由反映该商品将来的总收益所决定的。土地也是如此，它的价格也是受预期收益形成因素的变动所左右。所以，土地投资者是在预测该土地将来所能带来的收益或效用后进行投资的。这就要求估价者必须了解过去的收益状况，并对土地市场现状、发展趋势、政治经济形势及政策规定对土地市场的影响进行细致分析，预测以待估宗地在正常利用条件下的未来客观有效的预期收益。本次评估在运用剩余法计算估价对象土地价格时，就是以该原则为原理。</w:t>
      </w:r>
    </w:p>
    <w:p w14:paraId="45DC77E6">
      <w:pPr>
        <w:adjustRightInd/>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4</w:t>
      </w:r>
      <w:r>
        <w:rPr>
          <w:rFonts w:ascii="Arial" w:hAnsi="Arial" w:eastAsia="仿宋_GB2312" w:cs="Arial"/>
          <w:sz w:val="28"/>
          <w:highlight w:val="none"/>
        </w:rPr>
        <w:t>.供需原则</w:t>
      </w:r>
    </w:p>
    <w:p w14:paraId="35F08B6C">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在完全的市场竞争中，一般商品的价格取决于供求的均衡点，需求大于供给，价格就会提高，否则价格就会降低。由于土地与一般商品相比，具有独特的人文和自然条件，因此土地市场形成了自己的供求规律，主要表现在土地的价格容易形成垄断，所以地价形成于不完全竞争的市场。在评估中我们以市场供需决定土地价格为依据，并充分的考虑了土地供需的特殊性和土地市场的地域性。估价对象位于</w:t>
      </w:r>
      <w:r>
        <w:rPr>
          <w:rFonts w:hint="eastAsia" w:ascii="Arial" w:hAnsi="Arial" w:eastAsia="仿宋_GB2312" w:cs="Arial"/>
          <w:sz w:val="28"/>
          <w:highlight w:val="none"/>
        </w:rPr>
        <w:t>顺义区高丽营镇</w:t>
      </w:r>
      <w:r>
        <w:rPr>
          <w:rFonts w:ascii="Arial" w:hAnsi="Arial" w:eastAsia="仿宋_GB2312" w:cs="Arial"/>
          <w:sz w:val="28"/>
          <w:highlight w:val="none"/>
        </w:rPr>
        <w:t>，土地用途为</w:t>
      </w:r>
      <w:r>
        <w:rPr>
          <w:rFonts w:hint="eastAsia" w:ascii="Arial" w:hAnsi="Arial" w:eastAsia="仿宋_GB2312" w:cs="Arial"/>
          <w:sz w:val="28"/>
          <w:highlight w:val="none"/>
          <w:lang w:eastAsia="zh-CN"/>
        </w:rPr>
        <w:t>城镇住宅用地、其他商业服务业用地、公共管理与公共服务用地</w:t>
      </w:r>
      <w:r>
        <w:rPr>
          <w:rFonts w:ascii="Arial" w:hAnsi="Arial" w:eastAsia="仿宋_GB2312" w:cs="Arial"/>
          <w:sz w:val="28"/>
          <w:highlight w:val="none"/>
        </w:rPr>
        <w:t>，土地性质为出让国有建设用地使用权。估价对象所处区域内土地资产存在较大增值潜力。评估中剩余法的运用主要考虑此项原则。</w:t>
      </w:r>
    </w:p>
    <w:p w14:paraId="6821720B">
      <w:pPr>
        <w:adjustRightInd/>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5</w:t>
      </w:r>
      <w:r>
        <w:rPr>
          <w:rFonts w:ascii="Arial" w:hAnsi="Arial" w:eastAsia="仿宋_GB2312" w:cs="Arial"/>
          <w:sz w:val="28"/>
          <w:highlight w:val="none"/>
        </w:rPr>
        <w:t>.贡献原则</w:t>
      </w:r>
    </w:p>
    <w:p w14:paraId="6620F898">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不动产的总收益是由土地及建筑物等其他生产要素共同作用的结果。就土地部分的贡献而言，由于地价是在生产经营活动之前优先支付的，故土地的贡献具有优先性和特殊性，评估时应特别考虑。同时，土地的价格可根据土地对不动产收益的贡献大小确定。</w:t>
      </w:r>
    </w:p>
    <w:p w14:paraId="19EDCEF1">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highlight w:val="none"/>
        </w:rPr>
        <w:t>6</w:t>
      </w:r>
      <w:r>
        <w:rPr>
          <w:rFonts w:ascii="Arial" w:hAnsi="Arial" w:eastAsia="仿宋_GB2312" w:cs="Arial"/>
          <w:sz w:val="28"/>
          <w:szCs w:val="28"/>
          <w:highlight w:val="none"/>
        </w:rPr>
        <w:t>.价值主导原则</w:t>
      </w:r>
    </w:p>
    <w:p w14:paraId="5328A05B">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价值主导原则是指</w:t>
      </w:r>
      <w:r>
        <w:rPr>
          <w:rFonts w:ascii="Arial" w:hAnsi="Arial" w:eastAsia="仿宋_GB2312" w:cs="Arial"/>
          <w:sz w:val="28"/>
          <w:highlight w:val="none"/>
        </w:rPr>
        <w:t>土地</w:t>
      </w:r>
      <w:r>
        <w:rPr>
          <w:rFonts w:ascii="Arial" w:hAnsi="Arial" w:eastAsia="仿宋_GB2312" w:cs="Arial"/>
          <w:sz w:val="28"/>
          <w:szCs w:val="28"/>
          <w:highlight w:val="none"/>
        </w:rPr>
        <w:t>综合质量优劣是对土地价格产生影响的主要因素。</w:t>
      </w:r>
    </w:p>
    <w:p w14:paraId="589CB4B9">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城镇土地分等定级就是根据土地的经济和自然两个方面的属性及其在城镇社会经济中的地位和作用，综合评定土地质量，划分城镇土地等级的过程。</w:t>
      </w:r>
    </w:p>
    <w:p w14:paraId="0ECE0C1B">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估价对象位于</w:t>
      </w:r>
      <w:r>
        <w:rPr>
          <w:rFonts w:hint="eastAsia" w:ascii="Arial" w:hAnsi="Arial" w:eastAsia="仿宋_GB2312" w:cs="Arial"/>
          <w:sz w:val="28"/>
          <w:highlight w:val="none"/>
        </w:rPr>
        <w:t>顺义区高丽营镇</w:t>
      </w:r>
      <w:r>
        <w:rPr>
          <w:rFonts w:ascii="Arial" w:hAnsi="Arial" w:eastAsia="仿宋_GB2312" w:cs="Arial"/>
          <w:sz w:val="28"/>
          <w:szCs w:val="28"/>
          <w:highlight w:val="none"/>
        </w:rPr>
        <w:t>，属于</w:t>
      </w:r>
      <w:r>
        <w:rPr>
          <w:rFonts w:ascii="Arial" w:hAnsi="Arial" w:eastAsia="仿宋_GB2312" w:cs="Arial"/>
          <w:sz w:val="28"/>
          <w:highlight w:val="none"/>
        </w:rPr>
        <w:t>住宅类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顺5区片</w:t>
      </w:r>
      <w:r>
        <w:rPr>
          <w:rFonts w:ascii="Arial" w:hAnsi="Arial" w:eastAsia="仿宋_GB2312" w:cs="Arial"/>
          <w:sz w:val="28"/>
          <w:highlight w:val="none"/>
        </w:rPr>
        <w:t>、商</w:t>
      </w:r>
      <w:r>
        <w:rPr>
          <w:rFonts w:hint="eastAsia" w:ascii="Arial" w:hAnsi="Arial" w:eastAsia="仿宋_GB2312" w:cs="Arial"/>
          <w:sz w:val="28"/>
          <w:highlight w:val="none"/>
        </w:rPr>
        <w:t>服</w:t>
      </w:r>
      <w:r>
        <w:rPr>
          <w:rFonts w:ascii="Arial" w:hAnsi="Arial" w:eastAsia="仿宋_GB2312" w:cs="Arial"/>
          <w:sz w:val="28"/>
          <w:highlight w:val="none"/>
        </w:rPr>
        <w:t>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顺5区片</w:t>
      </w:r>
      <w:r>
        <w:rPr>
          <w:rFonts w:ascii="Arial" w:hAnsi="Arial" w:eastAsia="仿宋_GB2312" w:cs="Arial"/>
          <w:sz w:val="28"/>
          <w:highlight w:val="none"/>
        </w:rPr>
        <w:t>、</w:t>
      </w:r>
      <w:r>
        <w:rPr>
          <w:rFonts w:hint="eastAsia" w:ascii="Arial" w:hAnsi="Arial" w:eastAsia="仿宋_GB2312" w:cs="Arial"/>
          <w:sz w:val="28"/>
          <w:highlight w:val="none"/>
        </w:rPr>
        <w:t>公共</w:t>
      </w:r>
      <w:r>
        <w:rPr>
          <w:rFonts w:ascii="Arial" w:hAnsi="Arial" w:eastAsia="仿宋_GB2312" w:cs="Arial"/>
          <w:sz w:val="28"/>
          <w:highlight w:val="none"/>
        </w:rPr>
        <w:t>服务类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顺5区片</w:t>
      </w:r>
      <w:r>
        <w:rPr>
          <w:rFonts w:ascii="Arial" w:hAnsi="Arial" w:eastAsia="仿宋_GB2312" w:cs="Arial"/>
          <w:sz w:val="28"/>
          <w:szCs w:val="28"/>
          <w:highlight w:val="none"/>
        </w:rPr>
        <w:t>，估价中土地估价专业评估师是根据现场查勘，并依据《城镇土地分等定级规程》对估价对象进行综合判断。</w:t>
      </w:r>
    </w:p>
    <w:p w14:paraId="11B314B2">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7</w:t>
      </w:r>
      <w:r>
        <w:rPr>
          <w:rFonts w:ascii="Arial" w:hAnsi="Arial" w:eastAsia="仿宋_GB2312" w:cs="Arial"/>
          <w:sz w:val="28"/>
          <w:szCs w:val="28"/>
          <w:highlight w:val="none"/>
        </w:rPr>
        <w:t xml:space="preserve">.审慎原则 </w:t>
      </w:r>
    </w:p>
    <w:p w14:paraId="1E2D9C93">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审慎原则是指在评估中确定相关参数和结果时，应分析并充分考虑土地市场运行状况、有关行业发展状况，以及存在的风险。在不确定性条件下做出估计和判断时要保持一定程度的谨慎，以便不高估也不低估估价对象的价值。</w:t>
      </w:r>
    </w:p>
    <w:p w14:paraId="56DC77D0">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本次估价考虑估价对象的具体情况，结合估价目的，在估价过程中确定相关参数和结果时，仔细分析并充分考虑土地市场运行状况、有关行业发展状况、存在的风险，严格遵循着审慎原则。</w:t>
      </w:r>
    </w:p>
    <w:p w14:paraId="62ED3A2E">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8</w:t>
      </w:r>
      <w:r>
        <w:rPr>
          <w:rFonts w:ascii="Arial" w:hAnsi="Arial" w:eastAsia="仿宋_GB2312" w:cs="Arial"/>
          <w:sz w:val="28"/>
          <w:szCs w:val="28"/>
          <w:highlight w:val="none"/>
        </w:rPr>
        <w:t>.公开市场原则</w:t>
      </w:r>
    </w:p>
    <w:p w14:paraId="41DDEBD3">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公开市场原则是指评估结果在公平、公正、公开的土地市场上可实现。</w:t>
      </w:r>
    </w:p>
    <w:p w14:paraId="79ACD3D1">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公开市场是指交易双方的交易的目的在于最大限度地追求经济利益，并掌握必要的市场信息，有较充裕的时间进行交易，交易对象具有必要的专业知识，交易条件公开并不具有排它性的交易市场。本次估价结果是估价对象所在区域内的正常市场价格（熟地价），即在公平、公正、公开的土地市场上可实现的价格。</w:t>
      </w:r>
    </w:p>
    <w:p w14:paraId="7646F4C7">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9</w:t>
      </w:r>
      <w:r>
        <w:rPr>
          <w:rFonts w:ascii="Arial" w:hAnsi="Arial" w:eastAsia="仿宋_GB2312" w:cs="Arial"/>
          <w:sz w:val="28"/>
          <w:szCs w:val="28"/>
          <w:highlight w:val="none"/>
        </w:rPr>
        <w:t>.</w:t>
      </w:r>
      <w:r>
        <w:rPr>
          <w:rFonts w:hint="eastAsia" w:ascii="Arial" w:hAnsi="Arial" w:eastAsia="仿宋_GB2312" w:cs="Arial"/>
          <w:sz w:val="28"/>
          <w:szCs w:val="28"/>
          <w:highlight w:val="none"/>
        </w:rPr>
        <w:t>其他原则</w:t>
      </w:r>
    </w:p>
    <w:p w14:paraId="1B29803D">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评估公共管理与公共服务用地价格</w:t>
      </w:r>
      <w:r>
        <w:rPr>
          <w:rFonts w:hint="eastAsia" w:ascii="Arial" w:hAnsi="Arial" w:eastAsia="仿宋_GB2312" w:cs="Arial"/>
          <w:sz w:val="28"/>
          <w:szCs w:val="28"/>
          <w:highlight w:val="none"/>
        </w:rPr>
        <w:t>，</w:t>
      </w:r>
      <w:r>
        <w:rPr>
          <w:rFonts w:ascii="Arial" w:hAnsi="Arial" w:eastAsia="仿宋_GB2312" w:cs="Arial"/>
          <w:sz w:val="28"/>
          <w:szCs w:val="28"/>
          <w:highlight w:val="none"/>
        </w:rPr>
        <w:t>首先应考虑发现并模拟市场价格原则</w:t>
      </w:r>
      <w:r>
        <w:rPr>
          <w:rFonts w:hint="eastAsia" w:ascii="Arial" w:hAnsi="Arial" w:eastAsia="仿宋_GB2312" w:cs="Arial"/>
          <w:sz w:val="28"/>
          <w:szCs w:val="28"/>
          <w:highlight w:val="none"/>
        </w:rPr>
        <w:t>，</w:t>
      </w:r>
      <w:r>
        <w:rPr>
          <w:rFonts w:ascii="Arial" w:hAnsi="Arial" w:eastAsia="仿宋_GB2312" w:cs="Arial"/>
          <w:sz w:val="28"/>
          <w:szCs w:val="28"/>
          <w:highlight w:val="none"/>
        </w:rPr>
        <w:t>评估该类用地的正常市场价格</w:t>
      </w:r>
      <w:r>
        <w:rPr>
          <w:rFonts w:hint="eastAsia" w:ascii="Arial" w:hAnsi="Arial" w:eastAsia="仿宋_GB2312" w:cs="Arial"/>
          <w:sz w:val="28"/>
          <w:szCs w:val="28"/>
          <w:highlight w:val="none"/>
        </w:rPr>
        <w:t>。</w:t>
      </w:r>
      <w:r>
        <w:rPr>
          <w:rFonts w:ascii="Arial" w:hAnsi="Arial" w:eastAsia="仿宋_GB2312" w:cs="Arial"/>
          <w:sz w:val="28"/>
          <w:szCs w:val="28"/>
          <w:highlight w:val="none"/>
        </w:rPr>
        <w:t>在特定市场情况下</w:t>
      </w:r>
      <w:r>
        <w:rPr>
          <w:rFonts w:hint="eastAsia" w:ascii="Arial" w:hAnsi="Arial" w:eastAsia="仿宋_GB2312" w:cs="Arial"/>
          <w:sz w:val="28"/>
          <w:szCs w:val="28"/>
          <w:highlight w:val="none"/>
        </w:rPr>
        <w:t>，</w:t>
      </w:r>
      <w:r>
        <w:rPr>
          <w:rFonts w:ascii="Arial" w:hAnsi="Arial" w:eastAsia="仿宋_GB2312" w:cs="Arial"/>
          <w:sz w:val="28"/>
          <w:szCs w:val="28"/>
          <w:highlight w:val="none"/>
        </w:rPr>
        <w:t>可根据国家及北京市的相关法规与政策</w:t>
      </w:r>
      <w:r>
        <w:rPr>
          <w:rFonts w:hint="eastAsia" w:ascii="Arial" w:hAnsi="Arial" w:eastAsia="仿宋_GB2312" w:cs="Arial"/>
          <w:sz w:val="28"/>
          <w:szCs w:val="28"/>
          <w:highlight w:val="none"/>
        </w:rPr>
        <w:t>，</w:t>
      </w:r>
      <w:r>
        <w:rPr>
          <w:rFonts w:ascii="Arial" w:hAnsi="Arial" w:eastAsia="仿宋_GB2312" w:cs="Arial"/>
          <w:sz w:val="28"/>
          <w:szCs w:val="28"/>
          <w:highlight w:val="none"/>
        </w:rPr>
        <w:t>对前述的正常市场价格进行修正</w:t>
      </w:r>
      <w:r>
        <w:rPr>
          <w:rFonts w:hint="eastAsia" w:ascii="Arial" w:hAnsi="Arial" w:eastAsia="仿宋_GB2312" w:cs="Arial"/>
          <w:sz w:val="28"/>
          <w:szCs w:val="28"/>
          <w:highlight w:val="none"/>
        </w:rPr>
        <w:t>，</w:t>
      </w:r>
      <w:r>
        <w:rPr>
          <w:rFonts w:ascii="Arial" w:hAnsi="Arial" w:eastAsia="仿宋_GB2312" w:cs="Arial"/>
          <w:sz w:val="28"/>
          <w:szCs w:val="28"/>
          <w:highlight w:val="none"/>
        </w:rPr>
        <w:t>测算基于特定正常约束下的参考性价格</w:t>
      </w:r>
      <w:r>
        <w:rPr>
          <w:rFonts w:hint="eastAsia" w:ascii="Arial" w:hAnsi="Arial" w:eastAsia="仿宋_GB2312" w:cs="Arial"/>
          <w:sz w:val="28"/>
          <w:szCs w:val="28"/>
          <w:highlight w:val="none"/>
        </w:rPr>
        <w:t>，体现</w:t>
      </w:r>
      <w:r>
        <w:rPr>
          <w:rFonts w:ascii="Arial" w:hAnsi="Arial" w:eastAsia="仿宋_GB2312" w:cs="Arial"/>
          <w:sz w:val="28"/>
          <w:szCs w:val="28"/>
          <w:highlight w:val="none"/>
        </w:rPr>
        <w:t>区分市场定价与政策优惠的原则</w:t>
      </w:r>
      <w:r>
        <w:rPr>
          <w:rFonts w:hint="eastAsia" w:ascii="Arial" w:hAnsi="Arial" w:eastAsia="仿宋_GB2312" w:cs="Arial"/>
          <w:sz w:val="28"/>
          <w:szCs w:val="28"/>
          <w:highlight w:val="none"/>
        </w:rPr>
        <w:t>。同时，在评估时应考虑</w:t>
      </w:r>
      <w:r>
        <w:rPr>
          <w:rFonts w:ascii="Arial" w:hAnsi="Arial" w:eastAsia="仿宋_GB2312" w:cs="Arial"/>
          <w:sz w:val="28"/>
          <w:szCs w:val="28"/>
          <w:highlight w:val="none"/>
        </w:rPr>
        <w:t>区位效用为主</w:t>
      </w:r>
      <w:r>
        <w:rPr>
          <w:rFonts w:hint="eastAsia" w:ascii="Arial" w:hAnsi="Arial" w:eastAsia="仿宋_GB2312" w:cs="Arial"/>
          <w:sz w:val="28"/>
          <w:szCs w:val="28"/>
          <w:highlight w:val="none"/>
        </w:rPr>
        <w:t>、</w:t>
      </w:r>
      <w:r>
        <w:rPr>
          <w:rFonts w:ascii="Arial" w:hAnsi="Arial" w:eastAsia="仿宋_GB2312" w:cs="Arial"/>
          <w:sz w:val="28"/>
          <w:szCs w:val="28"/>
          <w:highlight w:val="none"/>
        </w:rPr>
        <w:t>兼顾用途差异的原则</w:t>
      </w:r>
      <w:r>
        <w:rPr>
          <w:rFonts w:hint="eastAsia" w:ascii="Arial" w:hAnsi="Arial" w:eastAsia="仿宋_GB2312" w:cs="Arial"/>
          <w:sz w:val="28"/>
          <w:szCs w:val="28"/>
          <w:highlight w:val="none"/>
        </w:rPr>
        <w:t>。</w:t>
      </w:r>
    </w:p>
    <w:p w14:paraId="22296713">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估价对象土地用途为</w:t>
      </w:r>
      <w:r>
        <w:rPr>
          <w:rFonts w:hint="eastAsia" w:ascii="Arial" w:hAnsi="Arial" w:eastAsia="仿宋" w:cs="Arial"/>
          <w:sz w:val="28"/>
          <w:szCs w:val="28"/>
          <w:highlight w:val="none"/>
          <w:lang w:eastAsia="zh-CN"/>
        </w:rPr>
        <w:t>城镇住宅用地、其他商业服务业用地及公共管理与公共服务用地</w:t>
      </w:r>
      <w:r>
        <w:rPr>
          <w:rFonts w:hint="eastAsia" w:ascii="Arial" w:hAnsi="Arial" w:eastAsia="仿宋_GB2312" w:cs="Arial"/>
          <w:sz w:val="28"/>
          <w:szCs w:val="28"/>
          <w:highlight w:val="none"/>
        </w:rPr>
        <w:t>，包含</w:t>
      </w:r>
      <w:r>
        <w:rPr>
          <w:rFonts w:ascii="Arial" w:hAnsi="Arial" w:eastAsia="仿宋_GB2312" w:cs="Arial"/>
          <w:sz w:val="28"/>
          <w:szCs w:val="28"/>
          <w:highlight w:val="none"/>
        </w:rPr>
        <w:t>公共管理与公共服务用途</w:t>
      </w:r>
      <w:r>
        <w:rPr>
          <w:rFonts w:hint="eastAsia" w:ascii="Arial" w:hAnsi="Arial" w:eastAsia="仿宋_GB2312" w:cs="Arial"/>
          <w:sz w:val="28"/>
          <w:szCs w:val="28"/>
          <w:highlight w:val="none"/>
        </w:rPr>
        <w:t>。本次评估选取周边</w:t>
      </w:r>
      <w:r>
        <w:rPr>
          <w:rFonts w:ascii="Arial" w:hAnsi="Arial" w:eastAsia="仿宋_GB2312" w:cs="Arial"/>
          <w:sz w:val="28"/>
          <w:szCs w:val="28"/>
          <w:highlight w:val="none"/>
        </w:rPr>
        <w:t>4</w:t>
      </w:r>
      <w:r>
        <w:rPr>
          <w:rFonts w:hint="eastAsia" w:ascii="Arial" w:hAnsi="Arial" w:eastAsia="仿宋_GB2312" w:cs="Arial"/>
          <w:sz w:val="28"/>
          <w:szCs w:val="28"/>
          <w:highlight w:val="none"/>
        </w:rPr>
        <w:t>公里范围内类似不动产的交易实例，考虑用途差异进行修正，对估价对象市场价格形成过程进行模拟，正是考虑了</w:t>
      </w:r>
      <w:r>
        <w:rPr>
          <w:rFonts w:ascii="Arial" w:hAnsi="Arial" w:eastAsia="仿宋_GB2312" w:cs="Arial"/>
          <w:sz w:val="28"/>
          <w:szCs w:val="28"/>
          <w:highlight w:val="none"/>
        </w:rPr>
        <w:t>发现并模拟市场价格的原则</w:t>
      </w:r>
      <w:r>
        <w:rPr>
          <w:rFonts w:hint="eastAsia" w:ascii="Arial" w:hAnsi="Arial" w:eastAsia="仿宋_GB2312" w:cs="Arial"/>
          <w:sz w:val="28"/>
          <w:szCs w:val="28"/>
          <w:highlight w:val="none"/>
        </w:rPr>
        <w:t>、</w:t>
      </w:r>
      <w:r>
        <w:rPr>
          <w:rFonts w:ascii="Arial" w:hAnsi="Arial" w:eastAsia="仿宋_GB2312" w:cs="Arial"/>
          <w:sz w:val="28"/>
          <w:szCs w:val="28"/>
          <w:highlight w:val="none"/>
        </w:rPr>
        <w:t>区分市场定价与政策优惠的原则</w:t>
      </w:r>
      <w:r>
        <w:rPr>
          <w:rFonts w:hint="eastAsia" w:ascii="Arial" w:hAnsi="Arial" w:eastAsia="仿宋_GB2312" w:cs="Arial"/>
          <w:sz w:val="28"/>
          <w:szCs w:val="28"/>
          <w:highlight w:val="none"/>
        </w:rPr>
        <w:t>和</w:t>
      </w:r>
      <w:r>
        <w:rPr>
          <w:rFonts w:ascii="Arial" w:hAnsi="Arial" w:eastAsia="仿宋_GB2312" w:cs="Arial"/>
          <w:sz w:val="28"/>
          <w:szCs w:val="28"/>
          <w:highlight w:val="none"/>
        </w:rPr>
        <w:t>区位效用为主兼顾用途差异的原则</w:t>
      </w:r>
      <w:r>
        <w:rPr>
          <w:rFonts w:hint="eastAsia" w:ascii="Arial" w:hAnsi="Arial" w:eastAsia="仿宋_GB2312" w:cs="Arial"/>
          <w:sz w:val="28"/>
          <w:szCs w:val="28"/>
          <w:highlight w:val="none"/>
        </w:rPr>
        <w:t>。</w:t>
      </w:r>
      <w:r>
        <w:rPr>
          <w:rFonts w:ascii="Arial" w:hAnsi="Arial" w:eastAsia="仿宋_GB2312" w:cs="Arial"/>
          <w:sz w:val="28"/>
          <w:szCs w:val="28"/>
          <w:highlight w:val="none"/>
        </w:rPr>
        <w:t xml:space="preserve"> </w:t>
      </w:r>
    </w:p>
    <w:p w14:paraId="2963FF3F">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（二）估价方法</w:t>
      </w:r>
    </w:p>
    <w:p w14:paraId="7C43E854">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1.方法选择</w:t>
      </w:r>
    </w:p>
    <w:p w14:paraId="5434D38D">
      <w:pPr>
        <w:adjustRightInd/>
        <w:spacing w:line="300" w:lineRule="auto"/>
        <w:ind w:firstLine="560" w:firstLineChars="200"/>
        <w:rPr>
          <w:rFonts w:ascii="Arial" w:hAnsi="Arial" w:eastAsia="仿宋_GB2312" w:cs="Arial"/>
          <w:sz w:val="28"/>
          <w:szCs w:val="28"/>
          <w:highlight w:val="none"/>
        </w:rPr>
      </w:pPr>
      <w:r>
        <w:rPr>
          <w:rFonts w:ascii="Arial" w:hAnsi="Arial" w:eastAsia="仿宋_GB2312" w:cs="Arial"/>
          <w:sz w:val="28"/>
          <w:szCs w:val="28"/>
          <w:highlight w:val="none"/>
        </w:rPr>
        <w:drawing>
          <wp:anchor distT="0" distB="0" distL="114300" distR="114300" simplePos="0" relativeHeight="251659264" behindDoc="0" locked="0" layoutInCell="1" allowOverlap="0">
            <wp:simplePos x="0" y="0"/>
            <wp:positionH relativeFrom="page">
              <wp:posOffset>804545</wp:posOffset>
            </wp:positionH>
            <wp:positionV relativeFrom="page">
              <wp:posOffset>4762500</wp:posOffset>
            </wp:positionV>
            <wp:extent cx="24130" cy="12065"/>
            <wp:effectExtent l="0" t="0" r="0" b="0"/>
            <wp:wrapSquare wrapText="bothSides"/>
            <wp:docPr id="30" name="Picture 20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430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4130" cy="12065"/>
                    </a:xfrm>
                    <a:prstGeom prst="rect">
                      <a:avLst/>
                    </a:prstGeom>
                    <a:noFill/>
                    <a:ln>
                      <a:noFill/>
                    </a:ln>
                  </pic:spPr>
                </pic:pic>
              </a:graphicData>
            </a:graphic>
          </wp:anchor>
        </w:drawing>
      </w:r>
      <w:r>
        <w:rPr>
          <w:rFonts w:ascii="Arial" w:hAnsi="Arial" w:eastAsia="仿宋_GB2312" w:cs="Arial"/>
          <w:sz w:val="28"/>
          <w:szCs w:val="28"/>
          <w:highlight w:val="none"/>
        </w:rPr>
        <w:t>根据《城镇土地估价规程》</w:t>
      </w:r>
      <w:r>
        <w:rPr>
          <w:rFonts w:ascii="Arial" w:hAnsi="Arial" w:eastAsia="仿宋_GB2312" w:cs="Arial"/>
          <w:sz w:val="28"/>
          <w:highlight w:val="none"/>
        </w:rPr>
        <w:t>（GB/T 18508</w:t>
      </w:r>
      <w:r>
        <w:rPr>
          <w:rFonts w:hint="eastAsia" w:ascii="Arial" w:hAnsi="Arial" w:eastAsia="仿宋_GB2312" w:cs="Arial"/>
          <w:sz w:val="28"/>
          <w:highlight w:val="none"/>
          <w:lang w:eastAsia="zh-CN"/>
        </w:rPr>
        <w:t>－</w:t>
      </w:r>
      <w:r>
        <w:rPr>
          <w:rFonts w:ascii="Arial" w:hAnsi="Arial" w:eastAsia="仿宋_GB2312" w:cs="Arial"/>
          <w:sz w:val="28"/>
          <w:highlight w:val="none"/>
        </w:rPr>
        <w:t>2014）</w:t>
      </w:r>
      <w:r>
        <w:rPr>
          <w:rFonts w:ascii="Arial" w:hAnsi="Arial" w:eastAsia="仿宋_GB2312" w:cs="Arial"/>
          <w:sz w:val="28"/>
          <w:szCs w:val="28"/>
          <w:highlight w:val="none"/>
        </w:rPr>
        <w:t>，通行的估价方法有市场比较法、收益还原法、剩余法、成本逼近法、公示地价系数修正法等。估价方法的选择应按照《城镇土地估价规程》</w:t>
      </w:r>
      <w:r>
        <w:rPr>
          <w:rFonts w:ascii="Arial" w:hAnsi="Arial" w:eastAsia="仿宋_GB2312" w:cs="Arial"/>
          <w:sz w:val="28"/>
          <w:highlight w:val="none"/>
        </w:rPr>
        <w:t>（GB/T 18508</w:t>
      </w:r>
      <w:r>
        <w:rPr>
          <w:rFonts w:hint="eastAsia" w:ascii="Arial" w:hAnsi="Arial" w:eastAsia="仿宋_GB2312" w:cs="Arial"/>
          <w:sz w:val="28"/>
          <w:highlight w:val="none"/>
          <w:lang w:eastAsia="zh-CN"/>
        </w:rPr>
        <w:t>－</w:t>
      </w:r>
      <w:r>
        <w:rPr>
          <w:rFonts w:ascii="Arial" w:hAnsi="Arial" w:eastAsia="仿宋_GB2312" w:cs="Arial"/>
          <w:sz w:val="28"/>
          <w:highlight w:val="none"/>
        </w:rPr>
        <w:t>2014）</w:t>
      </w:r>
      <w:r>
        <w:rPr>
          <w:rFonts w:ascii="Arial" w:hAnsi="Arial" w:eastAsia="仿宋_GB2312" w:cs="Arial"/>
          <w:sz w:val="28"/>
          <w:szCs w:val="28"/>
          <w:highlight w:val="none"/>
        </w:rPr>
        <w:t>，根据区域内地产市场发育情况并结合估价对象的特点及估价目的等，选择适当的估价方法。在一项土地估价中所选方法不少于两种。</w:t>
      </w:r>
    </w:p>
    <w:p w14:paraId="09A4BDF0">
      <w:pPr>
        <w:adjustRightInd/>
        <w:spacing w:line="300" w:lineRule="auto"/>
        <w:ind w:firstLine="560" w:firstLineChars="200"/>
        <w:rPr>
          <w:rFonts w:ascii="Arial" w:hAnsi="Arial" w:eastAsia="仿宋_GB2312" w:cs="Arial"/>
          <w:sz w:val="28"/>
          <w:szCs w:val="28"/>
          <w:highlight w:val="none"/>
        </w:rPr>
      </w:pPr>
      <w:r>
        <w:rPr>
          <w:rFonts w:ascii="Arial" w:hAnsi="Arial" w:eastAsia="仿宋_GB2312" w:cs="Arial"/>
          <w:sz w:val="28"/>
          <w:szCs w:val="28"/>
          <w:highlight w:val="none"/>
        </w:rPr>
        <w:t>根据《</w:t>
      </w:r>
      <w:r>
        <w:rPr>
          <w:rFonts w:ascii="Arial" w:hAnsi="Arial" w:eastAsia="仿宋_GB2312" w:cs="Arial"/>
          <w:sz w:val="28"/>
          <w:highlight w:val="none"/>
        </w:rPr>
        <w:t>国土资源部办公厅关于发布&lt;国有建设用地使用权出让地价评估技术规范&gt;的通知》（国土资厅发（2018）4号</w:t>
      </w:r>
      <w:r>
        <w:rPr>
          <w:rFonts w:hint="eastAsia" w:ascii="Arial" w:hAnsi="Arial" w:eastAsia="仿宋_GB2312" w:cs="Arial"/>
          <w:sz w:val="28"/>
          <w:highlight w:val="none"/>
        </w:rPr>
        <w:t>）</w:t>
      </w:r>
      <w:r>
        <w:rPr>
          <w:rFonts w:ascii="Arial" w:hAnsi="Arial" w:eastAsia="仿宋_GB2312" w:cs="Arial"/>
          <w:sz w:val="28"/>
          <w:szCs w:val="28"/>
          <w:highlight w:val="none"/>
        </w:rPr>
        <w:t>，出让地价评估，应至少采用两种评估方法，包括市场比较法、收益还原法、剩余法之一，以及成本逼近法或公示地价系数修正法。</w:t>
      </w:r>
    </w:p>
    <w:p w14:paraId="10176161">
      <w:pPr>
        <w:pStyle w:val="57"/>
        <w:autoSpaceDE w:val="0"/>
        <w:autoSpaceDN w:val="0"/>
        <w:adjustRightInd/>
        <w:spacing w:line="300" w:lineRule="auto"/>
        <w:ind w:firstLine="560" w:firstLineChars="200"/>
        <w:jc w:val="both"/>
        <w:textAlignment w:val="bottom"/>
        <w:rPr>
          <w:rFonts w:ascii="Arial" w:hAnsi="Arial" w:eastAsia="仿宋_GB2312" w:cs="Arial"/>
          <w:sz w:val="28"/>
          <w:highlight w:val="none"/>
        </w:rPr>
      </w:pPr>
      <w:r>
        <w:rPr>
          <w:rFonts w:ascii="Arial" w:hAnsi="Arial" w:eastAsia="仿宋_GB2312" w:cs="Arial"/>
          <w:sz w:val="28"/>
          <w:szCs w:val="28"/>
          <w:highlight w:val="none"/>
        </w:rPr>
        <w:t>根据估价对象土地的本身的实际状况及项目特点，结合目前北京市房地产市场的发展状况与现行政策，本次评估采用基准地价系数修正法和剩余法进行评估。这是出于以下考虑：一是估价对象位于北京市国有建设用地使用权基准地价覆盖区域；二是估价对象为规划新建项目，符合剩余法的应用条件及适用范围。</w:t>
      </w:r>
    </w:p>
    <w:p w14:paraId="6BFF7AC3">
      <w:pPr>
        <w:pStyle w:val="57"/>
        <w:autoSpaceDE w:val="0"/>
        <w:autoSpaceDN w:val="0"/>
        <w:adjustRightInd/>
        <w:spacing w:line="300" w:lineRule="auto"/>
        <w:ind w:firstLine="560" w:firstLineChars="200"/>
        <w:jc w:val="both"/>
        <w:textAlignment w:val="bottom"/>
        <w:rPr>
          <w:rFonts w:ascii="Arial" w:hAnsi="Arial" w:eastAsia="仿宋_GB2312" w:cs="Arial"/>
          <w:sz w:val="28"/>
          <w:highlight w:val="none"/>
        </w:rPr>
      </w:pPr>
      <w:r>
        <w:rPr>
          <w:rFonts w:ascii="Arial" w:hAnsi="Arial" w:eastAsia="仿宋_GB2312" w:cs="Arial"/>
          <w:sz w:val="28"/>
          <w:highlight w:val="none"/>
        </w:rPr>
        <w:t>2.本次评估所采用的估价方法简述如下：</w:t>
      </w:r>
    </w:p>
    <w:p w14:paraId="43157158">
      <w:pPr>
        <w:adjustRightInd/>
        <w:spacing w:line="300" w:lineRule="auto"/>
        <w:ind w:firstLine="560" w:firstLineChars="200"/>
        <w:rPr>
          <w:rFonts w:ascii="Arial" w:hAnsi="Arial" w:eastAsia="仿宋_GB2312" w:cs="Arial"/>
          <w:sz w:val="28"/>
          <w:szCs w:val="28"/>
          <w:highlight w:val="none"/>
        </w:rPr>
      </w:pPr>
      <w:r>
        <w:rPr>
          <w:rFonts w:ascii="Arial" w:hAnsi="Arial" w:eastAsia="仿宋_GB2312" w:cs="Arial"/>
          <w:sz w:val="28"/>
          <w:szCs w:val="28"/>
          <w:highlight w:val="none"/>
        </w:rPr>
        <w:t>（1）基准地价系数修正法</w:t>
      </w:r>
    </w:p>
    <w:p w14:paraId="1E8866CF">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基准地价系数修正法，是我国土地估价的方法之一。它是利用基准地价和基准地价修正系数表等成果，按照替代原则，就待估宗地的区域条件和个别条件等与其所处区域的平均条件相比较，并对照修正系数表选取相应的修正系数对基准地价进行修正，进而求取待估宗地价格的方法。</w:t>
      </w:r>
    </w:p>
    <w:p w14:paraId="1999E455">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基准地价系数修正法的基本原理是替代原理，即正常的市场条件下，具有相似土地条件和使用价值的土地，在交易双方具有同等市场信息的基础上，应当具有相似的价格。基准地价，是某一级别或均质地域内分用途的土地使用权平均价格，该级别或均质区域内该类用地的其他宗地价格在基准地价上下波动。基准地价相对应的土地条件，是土地级别或均质地域内该类用途土地的一般条件。因此，通过待估宗地条件与级别或区域内同类用地一般条件的比较，并根据二者在区域条件、个别条件、使用年期和估价期日等方面的差异大小，对照因素修正系数表选取适宜的修正系数，对基准地价进行修正，即可得到待估宗地地价。</w:t>
      </w:r>
    </w:p>
    <w:p w14:paraId="10715ACE">
      <w:pPr>
        <w:adjustRightInd/>
        <w:spacing w:line="300" w:lineRule="auto"/>
        <w:ind w:firstLine="560" w:firstLineChars="200"/>
        <w:jc w:val="both"/>
        <w:rPr>
          <w:rFonts w:hint="default" w:ascii="Arial" w:hAnsi="Arial" w:eastAsia="仿宋_GB2312" w:cs="Arial"/>
          <w:sz w:val="28"/>
          <w:szCs w:val="28"/>
          <w:highlight w:val="none"/>
          <w:lang w:val="en-US" w:eastAsia="zh-CN"/>
        </w:rPr>
      </w:pPr>
      <w:r>
        <w:rPr>
          <w:rFonts w:hint="eastAsia" w:ascii="Arial" w:hAnsi="Arial" w:eastAsia="仿宋_GB2312" w:cs="Arial"/>
          <w:sz w:val="28"/>
          <w:szCs w:val="28"/>
          <w:highlight w:val="none"/>
        </w:rPr>
        <w:t>本次评估估价目的为出让方通过集体决策确定土地出让底价提供参考依据，其估价目的与基准地价系数修正法适用范围完全吻合。估价对象属于北京市基准地价覆盖范围内，可直观获取基准地价系数修正法所需评估参数</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办公厅关于加强城镇建设用地基准地价管理的通知》（自然资办发（2024）45号）规定：基准地价原则上每3年全面更新一次，土地级别因素、土地质量空间分布或不动产市场价格水平发生重大变化时，基准地价应当及时更新。凡现有基准地价已3年以上未及时更新或地价水平已发生重大变化的，要立即部署启动基准地价更新工作。超过6年未全面更新的，宗地评估不得使用基准地价系数修正法，集体决策确定土地供应底价时不能作为依据使用。市、县自然资源主管部门应及时向社会公布恭准地价更新成果。公布内容要包括各用途各级别或均质区域的范围界线价格标准、修正体系等。</w:t>
      </w:r>
    </w:p>
    <w:p w14:paraId="55409935">
      <w:pPr>
        <w:adjustRightInd/>
        <w:spacing w:line="300" w:lineRule="auto"/>
        <w:ind w:firstLine="560" w:firstLineChars="200"/>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lang w:val="en-US" w:eastAsia="zh-CN"/>
        </w:rPr>
        <w:t>根据</w:t>
      </w:r>
      <w:r>
        <w:rPr>
          <w:rFonts w:hint="eastAsia" w:ascii="Arial" w:hAnsi="Arial" w:eastAsia="仿宋_GB2312" w:cs="Arial"/>
          <w:sz w:val="28"/>
          <w:szCs w:val="28"/>
          <w:highlight w:val="none"/>
        </w:rPr>
        <w:t>《北京市出让国有建设用地使用权基准地价更新成果》</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2022年3月14日印发</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，基准期日为2021年1月1日，本次估价的估价期日为2026年</w:t>
      </w:r>
      <w:r>
        <w:rPr>
          <w:rFonts w:hint="eastAsia" w:ascii="Arial" w:hAnsi="Arial" w:eastAsia="仿宋_GB2312" w:cs="Arial"/>
          <w:sz w:val="28"/>
          <w:szCs w:val="28"/>
          <w:highlight w:val="none"/>
          <w:lang w:val="en-US" w:eastAsia="zh-CN"/>
        </w:rPr>
        <w:t>3</w:t>
      </w:r>
      <w:r>
        <w:rPr>
          <w:rFonts w:hint="eastAsia" w:ascii="Arial" w:hAnsi="Arial" w:eastAsia="仿宋_GB2312" w:cs="Arial"/>
          <w:sz w:val="28"/>
          <w:szCs w:val="28"/>
          <w:highlight w:val="none"/>
        </w:rPr>
        <w:t>月</w:t>
      </w:r>
      <w:r>
        <w:rPr>
          <w:rFonts w:hint="eastAsia" w:ascii="Arial" w:hAnsi="Arial" w:eastAsia="仿宋_GB2312" w:cs="Arial"/>
          <w:sz w:val="28"/>
          <w:szCs w:val="28"/>
          <w:highlight w:val="none"/>
          <w:lang w:val="en-US" w:eastAsia="zh-CN"/>
        </w:rPr>
        <w:t>26</w:t>
      </w:r>
      <w:r>
        <w:rPr>
          <w:rFonts w:hint="eastAsia" w:ascii="Arial" w:hAnsi="Arial" w:eastAsia="仿宋_GB2312" w:cs="Arial"/>
          <w:sz w:val="28"/>
          <w:szCs w:val="28"/>
          <w:highlight w:val="none"/>
        </w:rPr>
        <w:t>日，估价期日距基准期日超过3年未超过6年，估价对象处于基准地价覆盖范围内，所处土地级别明确，基准地价体系完整，方法科学，数据严谨，近年来北京市地价监测工作较完善，可通过选用符合市场变动的地价监测数据对基准地价进行调整，故基准地价更新成果虽未及时更新，但经测算的基准地价系数修正法评估结果仍有可信性，故可利用基准地价修正体系对估价对象各项用地条件进行分析，选用基准地价系数修正法测算地价。</w:t>
      </w:r>
    </w:p>
    <w:p w14:paraId="1D42F704">
      <w:pPr>
        <w:adjustRightInd/>
        <w:spacing w:line="300" w:lineRule="auto"/>
        <w:ind w:firstLine="560" w:firstLineChars="200"/>
        <w:rPr>
          <w:rFonts w:ascii="Arial" w:hAnsi="Arial" w:eastAsia="仿宋_GB2312" w:cs="Arial"/>
          <w:sz w:val="28"/>
          <w:szCs w:val="28"/>
          <w:highlight w:val="none"/>
        </w:rPr>
      </w:pPr>
      <w:r>
        <w:rPr>
          <w:rFonts w:ascii="Arial" w:hAnsi="Arial" w:eastAsia="仿宋_GB2312" w:cs="Arial"/>
          <w:sz w:val="28"/>
          <w:szCs w:val="28"/>
          <w:highlight w:val="none"/>
        </w:rPr>
        <w:t>（2）剩余法</w:t>
      </w:r>
    </w:p>
    <w:p w14:paraId="2D0B1545">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剩余法是指在预计开发完成后的开发价值的基础上，扣除预计正常的开发成本和利润，以价格余额来计算土地价格的方法。剩余法允许运用于以下情形：</w:t>
      </w:r>
      <w:r>
        <w:rPr>
          <w:rFonts w:hint="eastAsia" w:ascii="宋体" w:hAnsi="宋体" w:cs="宋体"/>
          <w:sz w:val="28"/>
          <w:highlight w:val="none"/>
        </w:rPr>
        <w:t>①</w:t>
      </w:r>
      <w:r>
        <w:rPr>
          <w:rFonts w:ascii="Arial" w:hAnsi="Arial" w:eastAsia="仿宋_GB2312" w:cs="Arial"/>
          <w:sz w:val="28"/>
          <w:highlight w:val="none"/>
        </w:rPr>
        <w:t>待开发房地产或待拆迁改造后再开发房地产的土地估价；</w:t>
      </w:r>
      <w:r>
        <w:rPr>
          <w:rFonts w:hint="eastAsia" w:ascii="宋体" w:hAnsi="宋体" w:cs="宋体"/>
          <w:sz w:val="28"/>
          <w:highlight w:val="none"/>
        </w:rPr>
        <w:t>②</w:t>
      </w:r>
      <w:r>
        <w:rPr>
          <w:rFonts w:ascii="Arial" w:hAnsi="Arial" w:eastAsia="仿宋_GB2312" w:cs="Arial"/>
          <w:sz w:val="28"/>
          <w:highlight w:val="none"/>
        </w:rPr>
        <w:t>仅将土地开发整理成可供直接利用的土地估价；</w:t>
      </w:r>
      <w:r>
        <w:rPr>
          <w:rFonts w:hint="eastAsia" w:ascii="宋体" w:hAnsi="宋体" w:cs="宋体"/>
          <w:sz w:val="28"/>
          <w:highlight w:val="none"/>
        </w:rPr>
        <w:t>③</w:t>
      </w:r>
      <w:r>
        <w:rPr>
          <w:rFonts w:ascii="Arial" w:hAnsi="Arial" w:eastAsia="仿宋_GB2312" w:cs="Arial"/>
          <w:sz w:val="28"/>
          <w:highlight w:val="none"/>
        </w:rPr>
        <w:t>现有房地产中地价的单独评估。</w:t>
      </w:r>
    </w:p>
    <w:p w14:paraId="1D3BB01D">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1）评估待开发土地价格的公式为：</w:t>
      </w:r>
    </w:p>
    <w:p w14:paraId="15E01D48">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待估宗地价格</w:t>
      </w:r>
      <w:r>
        <w:rPr>
          <w:rFonts w:hint="eastAsia" w:ascii="Arial" w:hAnsi="Arial" w:eastAsia="仿宋_GB2312" w:cs="Arial"/>
          <w:sz w:val="28"/>
          <w:highlight w:val="none"/>
          <w:lang w:eastAsia="zh-CN"/>
        </w:rPr>
        <w:t>＝</w:t>
      </w:r>
      <w:r>
        <w:rPr>
          <w:rFonts w:ascii="Arial" w:hAnsi="Arial" w:eastAsia="仿宋_GB2312" w:cs="Arial"/>
          <w:sz w:val="28"/>
          <w:highlight w:val="none"/>
        </w:rPr>
        <w:t>不动产总价</w:t>
      </w:r>
      <w:r>
        <w:rPr>
          <w:rFonts w:hint="eastAsia" w:ascii="Arial" w:hAnsi="Arial" w:eastAsia="仿宋_GB2312" w:cs="Arial"/>
          <w:sz w:val="28"/>
          <w:highlight w:val="none"/>
          <w:lang w:eastAsia="zh-CN"/>
        </w:rPr>
        <w:t>－</w:t>
      </w:r>
      <w:r>
        <w:rPr>
          <w:rFonts w:ascii="Arial" w:hAnsi="Arial" w:eastAsia="仿宋_GB2312" w:cs="Arial"/>
          <w:sz w:val="28"/>
          <w:highlight w:val="none"/>
        </w:rPr>
        <w:t>开发项目整体的开发成本</w:t>
      </w:r>
      <w:r>
        <w:rPr>
          <w:rFonts w:hint="eastAsia" w:ascii="Arial" w:hAnsi="Arial" w:eastAsia="仿宋_GB2312" w:cs="Arial"/>
          <w:sz w:val="28"/>
          <w:highlight w:val="none"/>
          <w:lang w:eastAsia="zh-CN"/>
        </w:rPr>
        <w:t>－</w:t>
      </w:r>
      <w:r>
        <w:rPr>
          <w:rFonts w:ascii="Arial" w:hAnsi="Arial" w:eastAsia="仿宋_GB2312" w:cs="Arial"/>
          <w:sz w:val="28"/>
          <w:highlight w:val="none"/>
        </w:rPr>
        <w:t xml:space="preserve">客观开发利润    </w:t>
      </w:r>
    </w:p>
    <w:p w14:paraId="51D01757">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2）评估现有不动产中所含土地价格的公式为：</w:t>
      </w:r>
    </w:p>
    <w:p w14:paraId="371C49AF">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待估宗地价格</w:t>
      </w:r>
      <w:r>
        <w:rPr>
          <w:rFonts w:hint="eastAsia" w:ascii="Arial" w:hAnsi="Arial" w:eastAsia="仿宋_GB2312" w:cs="Arial"/>
          <w:sz w:val="28"/>
          <w:highlight w:val="none"/>
          <w:lang w:eastAsia="zh-CN"/>
        </w:rPr>
        <w:t>＝</w:t>
      </w:r>
      <w:r>
        <w:rPr>
          <w:rFonts w:ascii="Arial" w:hAnsi="Arial" w:eastAsia="仿宋_GB2312" w:cs="Arial"/>
          <w:sz w:val="28"/>
          <w:highlight w:val="none"/>
        </w:rPr>
        <w:t>不动产交易价格</w:t>
      </w:r>
      <w:r>
        <w:rPr>
          <w:rFonts w:hint="eastAsia" w:ascii="Arial" w:hAnsi="Arial" w:eastAsia="仿宋_GB2312" w:cs="Arial"/>
          <w:sz w:val="28"/>
          <w:highlight w:val="none"/>
          <w:lang w:eastAsia="zh-CN"/>
        </w:rPr>
        <w:t>－</w:t>
      </w:r>
      <w:r>
        <w:rPr>
          <w:rFonts w:ascii="Arial" w:hAnsi="Arial" w:eastAsia="仿宋_GB2312" w:cs="Arial"/>
          <w:sz w:val="28"/>
          <w:highlight w:val="none"/>
        </w:rPr>
        <w:t>房屋现值</w:t>
      </w:r>
      <w:r>
        <w:rPr>
          <w:rFonts w:hint="eastAsia" w:ascii="Arial" w:hAnsi="Arial" w:eastAsia="仿宋_GB2312" w:cs="Arial"/>
          <w:sz w:val="28"/>
          <w:highlight w:val="none"/>
          <w:lang w:eastAsia="zh-CN"/>
        </w:rPr>
        <w:t>－</w:t>
      </w:r>
      <w:r>
        <w:rPr>
          <w:rFonts w:ascii="Arial" w:hAnsi="Arial" w:eastAsia="仿宋_GB2312" w:cs="Arial"/>
          <w:sz w:val="28"/>
          <w:highlight w:val="none"/>
        </w:rPr>
        <w:t>交易税费</w:t>
      </w:r>
    </w:p>
    <w:p w14:paraId="534399B0">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3.未选取的估价方法以及理由如下：</w:t>
      </w:r>
    </w:p>
    <w:p w14:paraId="636BC9FB">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市场比较法是以在估价期日近期有过交易的类似土地成交价格为基础，选取适当的因素，并根据因素条件对成交价格进行相应修正以求取估价对象房地产客观价格或价值的一种估价方法。但由于每个项目配建的情况不一致，难以统一价格基础，故不选用市场比较法。</w:t>
      </w:r>
    </w:p>
    <w:p w14:paraId="3930823E">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由于估价对象现状为空地，难以找到土地租赁案例，故未采用收益还原法。</w:t>
      </w:r>
    </w:p>
    <w:p w14:paraId="1501591F">
      <w:pPr>
        <w:adjustRightInd/>
        <w:spacing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成本逼近法是将构成土地成本的各项费用累加来测算土地的价值，估价对象成本资料不易获得，各项目成本内涵不一致，且土地增值额的确定没有权威依据，故未采用成本逼近法。</w:t>
      </w:r>
    </w:p>
    <w:p w14:paraId="2BC65365">
      <w:pPr>
        <w:rPr>
          <w:rFonts w:ascii="Arial" w:hAnsi="Arial" w:eastAsia="仿宋_GB2312" w:cs="Arial"/>
          <w:sz w:val="28"/>
          <w:highlight w:val="none"/>
        </w:rPr>
      </w:pPr>
      <w:r>
        <w:rPr>
          <w:rFonts w:ascii="Arial" w:hAnsi="Arial" w:eastAsia="仿宋_GB2312" w:cs="Arial"/>
          <w:sz w:val="28"/>
          <w:highlight w:val="none"/>
        </w:rPr>
        <w:br w:type="page"/>
      </w:r>
    </w:p>
    <w:p w14:paraId="6FC4B082">
      <w:pPr>
        <w:spacing w:line="300" w:lineRule="auto"/>
        <w:ind w:left="260" w:leftChars="50" w:hanging="140" w:hangingChars="50"/>
        <w:rPr>
          <w:rFonts w:ascii="Arial" w:hAnsi="Arial" w:eastAsia="仿宋_GB2312" w:cs="Arial"/>
          <w:sz w:val="28"/>
          <w:highlight w:val="none"/>
        </w:rPr>
      </w:pPr>
      <w:r>
        <w:rPr>
          <w:rFonts w:ascii="Arial" w:hAnsi="Arial" w:eastAsia="仿宋_GB2312" w:cs="Arial"/>
          <w:sz w:val="28"/>
          <w:highlight w:val="none"/>
        </w:rPr>
        <w:t>（三）估价结果</w:t>
      </w:r>
    </w:p>
    <w:p w14:paraId="67B4588B">
      <w:pPr>
        <w:spacing w:line="300" w:lineRule="auto"/>
        <w:ind w:firstLine="562" w:firstLineChars="200"/>
        <w:rPr>
          <w:rFonts w:ascii="Arial" w:hAnsi="Arial" w:eastAsia="仿宋_GB2312" w:cs="Arial"/>
          <w:kern w:val="2"/>
          <w:sz w:val="28"/>
          <w:highlight w:val="none"/>
        </w:rPr>
      </w:pPr>
      <w:r>
        <w:rPr>
          <w:rFonts w:ascii="黑体" w:hAnsi="黑体" w:eastAsia="黑体" w:cs="Arial"/>
          <w:b/>
          <w:sz w:val="28"/>
          <w:highlight w:val="none"/>
        </w:rPr>
        <w:t>估价对象位于北京市基准地价住宅</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lang w:eastAsia="zh-CN"/>
        </w:rPr>
        <w:t>其他商业服务业用地</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rPr>
        <w:t>公共服务九级（IX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范围内</w:t>
      </w:r>
      <w:r>
        <w:rPr>
          <w:rFonts w:ascii="Arial" w:hAnsi="Arial" w:eastAsia="黑体" w:cs="Arial"/>
          <w:b/>
          <w:sz w:val="28"/>
          <w:highlight w:val="none"/>
        </w:rPr>
        <w:t>。</w:t>
      </w:r>
      <w:r>
        <w:rPr>
          <w:rFonts w:ascii="Arial" w:hAnsi="Arial" w:eastAsia="仿宋_GB2312" w:cs="Arial"/>
          <w:kern w:val="2"/>
          <w:sz w:val="28"/>
          <w:highlight w:val="none"/>
        </w:rPr>
        <w:t>土地估价专业评估师根据估价的目的，</w:t>
      </w:r>
      <w:r>
        <w:rPr>
          <w:rFonts w:ascii="Arial" w:hAnsi="Arial" w:eastAsia="仿宋_GB2312" w:cs="Arial"/>
          <w:sz w:val="28"/>
          <w:highlight w:val="none"/>
        </w:rPr>
        <w:t>按照</w:t>
      </w:r>
      <w:r>
        <w:rPr>
          <w:rFonts w:ascii="Arial" w:hAnsi="Arial" w:eastAsia="仿宋_GB2312" w:cs="Arial"/>
          <w:kern w:val="2"/>
          <w:sz w:val="28"/>
          <w:highlight w:val="none"/>
        </w:rPr>
        <w:t>估价的程序，采用科学的估价方法（基准地价系数修正法和剩余法），在认真分析现有资料的基础上，通过仔细测算</w:t>
      </w:r>
      <w:r>
        <w:rPr>
          <w:rFonts w:hint="eastAsia" w:ascii="Arial" w:hAnsi="Arial" w:eastAsia="仿宋_GB2312" w:cs="Arial"/>
          <w:kern w:val="2"/>
          <w:sz w:val="28"/>
          <w:highlight w:val="none"/>
        </w:rPr>
        <w:t>，</w:t>
      </w:r>
      <w:r>
        <w:rPr>
          <w:rFonts w:ascii="Arial" w:hAnsi="Arial" w:eastAsia="仿宋_GB2312" w:cs="Arial"/>
          <w:kern w:val="2"/>
          <w:sz w:val="28"/>
          <w:highlight w:val="none"/>
        </w:rPr>
        <w:t>得出估价对象各用途</w:t>
      </w:r>
      <w:r>
        <w:rPr>
          <w:rFonts w:hint="eastAsia" w:ascii="Arial" w:hAnsi="Arial" w:eastAsia="仿宋_GB2312" w:cs="Arial"/>
          <w:kern w:val="2"/>
          <w:sz w:val="28"/>
          <w:highlight w:val="none"/>
          <w:lang w:eastAsia="zh-CN"/>
        </w:rPr>
        <w:t>楼面地价</w:t>
      </w:r>
      <w:r>
        <w:rPr>
          <w:rFonts w:hint="eastAsia" w:ascii="Arial" w:hAnsi="Arial" w:eastAsia="仿宋_GB2312" w:cs="Arial"/>
          <w:kern w:val="2"/>
          <w:sz w:val="28"/>
          <w:highlight w:val="none"/>
        </w:rPr>
        <w:t>，</w:t>
      </w:r>
      <w:r>
        <w:rPr>
          <w:rFonts w:ascii="Arial" w:hAnsi="Arial" w:eastAsia="仿宋_GB2312" w:cs="Arial"/>
          <w:kern w:val="2"/>
          <w:sz w:val="28"/>
          <w:highlight w:val="none"/>
        </w:rPr>
        <w:t>如下表所示</w:t>
      </w:r>
      <w:r>
        <w:rPr>
          <w:rFonts w:hint="eastAsia" w:ascii="Arial" w:hAnsi="Arial" w:eastAsia="仿宋_GB2312" w:cs="Arial"/>
          <w:kern w:val="2"/>
          <w:sz w:val="28"/>
          <w:highlight w:val="none"/>
        </w:rPr>
        <w:t>：</w:t>
      </w:r>
    </w:p>
    <w:tbl>
      <w:tblPr>
        <w:tblStyle w:val="34"/>
        <w:tblW w:w="9072" w:type="dxa"/>
        <w:jc w:val="center"/>
        <w:tblLayout w:type="fixed"/>
        <w:tblCellMar>
          <w:top w:w="57" w:type="dxa"/>
          <w:left w:w="28" w:type="dxa"/>
          <w:bottom w:w="57" w:type="dxa"/>
          <w:right w:w="28" w:type="dxa"/>
        </w:tblCellMar>
      </w:tblPr>
      <w:tblGrid>
        <w:gridCol w:w="1867"/>
        <w:gridCol w:w="3237"/>
        <w:gridCol w:w="3968"/>
      </w:tblGrid>
      <w:tr w14:paraId="6B3C9753">
        <w:tblPrEx>
          <w:tblCellMar>
            <w:top w:w="57" w:type="dxa"/>
            <w:left w:w="28" w:type="dxa"/>
            <w:bottom w:w="57" w:type="dxa"/>
            <w:right w:w="28" w:type="dxa"/>
          </w:tblCellMar>
        </w:tblPrEx>
        <w:trPr>
          <w:cantSplit/>
          <w:jc w:val="center"/>
        </w:trPr>
        <w:tc>
          <w:tcPr>
            <w:tcW w:w="1867" w:type="dxa"/>
            <w:tcBorders>
              <w:top w:val="single" w:color="auto" w:sz="4" w:space="0"/>
              <w:left w:val="single" w:color="auto" w:sz="4" w:space="0"/>
              <w:bottom w:val="single" w:color="auto" w:sz="4" w:space="0"/>
              <w:right w:val="single" w:color="auto" w:sz="4" w:space="0"/>
            </w:tcBorders>
            <w:shd w:val="clear" w:color="auto" w:fill="auto"/>
            <w:vAlign w:val="center"/>
          </w:tcPr>
          <w:p w14:paraId="13032CCA">
            <w:pPr>
              <w:widowControl/>
              <w:adjustRightInd/>
              <w:spacing w:line="240" w:lineRule="atLeast"/>
              <w:jc w:val="center"/>
              <w:textAlignment w:val="auto"/>
              <w:rPr>
                <w:rFonts w:ascii="Arial" w:hAnsi="Arial" w:cs="Arial"/>
                <w:b/>
                <w:bCs/>
                <w:szCs w:val="24"/>
                <w:highlight w:val="none"/>
              </w:rPr>
            </w:pPr>
            <w:r>
              <w:rPr>
                <w:rFonts w:ascii="Arial" w:hAnsi="Arial" w:eastAsia="仿宋_GB2312" w:cs="Arial"/>
                <w:b/>
                <w:bCs/>
                <w:szCs w:val="24"/>
                <w:highlight w:val="none"/>
              </w:rPr>
              <w:t>用途</w:t>
            </w:r>
          </w:p>
        </w:tc>
        <w:tc>
          <w:tcPr>
            <w:tcW w:w="3237" w:type="dxa"/>
            <w:tcBorders>
              <w:top w:val="single" w:color="auto" w:sz="4" w:space="0"/>
              <w:left w:val="nil"/>
              <w:bottom w:val="single" w:color="auto" w:sz="4" w:space="0"/>
              <w:right w:val="single" w:color="auto" w:sz="4" w:space="0"/>
            </w:tcBorders>
            <w:shd w:val="clear" w:color="auto" w:fill="auto"/>
            <w:vAlign w:val="center"/>
          </w:tcPr>
          <w:p w14:paraId="7BDA01F8">
            <w:pPr>
              <w:widowControl/>
              <w:adjustRightInd/>
              <w:spacing w:line="240" w:lineRule="atLeast"/>
              <w:jc w:val="center"/>
              <w:textAlignment w:val="auto"/>
              <w:rPr>
                <w:rFonts w:ascii="Arial" w:hAnsi="Arial" w:cs="Arial"/>
                <w:b/>
                <w:bCs/>
                <w:szCs w:val="24"/>
                <w:highlight w:val="none"/>
              </w:rPr>
            </w:pPr>
            <w:r>
              <w:rPr>
                <w:rFonts w:ascii="Arial" w:hAnsi="Arial" w:eastAsia="仿宋_GB2312" w:cs="Arial"/>
                <w:b/>
                <w:bCs/>
                <w:szCs w:val="24"/>
                <w:highlight w:val="none"/>
              </w:rPr>
              <w:t>方法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758A76F5">
            <w:pPr>
              <w:widowControl/>
              <w:adjustRightInd/>
              <w:spacing w:line="240" w:lineRule="atLeast"/>
              <w:jc w:val="center"/>
              <w:textAlignment w:val="auto"/>
              <w:rPr>
                <w:rFonts w:hint="eastAsia" w:ascii="Arial" w:hAnsi="Arial" w:eastAsia="仿宋_GB2312" w:cs="Arial"/>
                <w:b/>
                <w:bCs/>
                <w:szCs w:val="24"/>
                <w:highlight w:val="none"/>
                <w:lang w:eastAsia="zh-CN"/>
              </w:rPr>
            </w:pPr>
            <w:r>
              <w:rPr>
                <w:rFonts w:ascii="Arial" w:hAnsi="Arial" w:eastAsia="仿宋_GB2312" w:cs="Arial"/>
                <w:b/>
                <w:bCs/>
                <w:szCs w:val="24"/>
                <w:highlight w:val="none"/>
              </w:rPr>
              <w:t>熟地价</w:t>
            </w:r>
            <w:r>
              <w:rPr>
                <w:rFonts w:hint="eastAsia" w:ascii="Arial" w:hAnsi="Arial" w:eastAsia="仿宋_GB2312" w:cs="Arial"/>
                <w:b/>
                <w:bCs/>
                <w:szCs w:val="24"/>
                <w:highlight w:val="none"/>
                <w:lang w:eastAsia="zh-CN"/>
              </w:rPr>
              <w:t>楼面地价</w:t>
            </w:r>
          </w:p>
          <w:p w14:paraId="5C029C8C">
            <w:pPr>
              <w:widowControl/>
              <w:adjustRightInd/>
              <w:spacing w:line="240" w:lineRule="atLeast"/>
              <w:jc w:val="center"/>
              <w:textAlignment w:val="auto"/>
              <w:rPr>
                <w:rFonts w:ascii="Arial" w:hAnsi="Arial" w:cs="Arial"/>
                <w:b/>
                <w:bCs/>
                <w:szCs w:val="24"/>
                <w:highlight w:val="none"/>
              </w:rPr>
            </w:pPr>
            <w:r>
              <w:rPr>
                <w:rFonts w:ascii="Arial" w:hAnsi="Arial" w:eastAsia="仿宋_GB2312" w:cs="Arial"/>
                <w:b/>
                <w:bCs/>
                <w:szCs w:val="24"/>
                <w:highlight w:val="none"/>
              </w:rPr>
              <w:t>（元/平方米）</w:t>
            </w:r>
          </w:p>
        </w:tc>
      </w:tr>
      <w:tr w14:paraId="0E1F7746">
        <w:tblPrEx>
          <w:tblCellMar>
            <w:top w:w="57" w:type="dxa"/>
            <w:left w:w="28" w:type="dxa"/>
            <w:bottom w:w="57" w:type="dxa"/>
            <w:right w:w="28" w:type="dxa"/>
          </w:tblCellMar>
        </w:tblPrEx>
        <w:trPr>
          <w:cantSplit/>
          <w:jc w:val="center"/>
        </w:trPr>
        <w:tc>
          <w:tcPr>
            <w:tcW w:w="1867" w:type="dxa"/>
            <w:vMerge w:val="restart"/>
            <w:tcBorders>
              <w:top w:val="nil"/>
              <w:left w:val="single" w:color="auto" w:sz="4" w:space="0"/>
              <w:bottom w:val="single" w:color="auto" w:sz="4" w:space="0"/>
              <w:right w:val="single" w:color="auto" w:sz="4" w:space="0"/>
            </w:tcBorders>
            <w:shd w:val="clear" w:color="auto" w:fill="auto"/>
            <w:vAlign w:val="center"/>
          </w:tcPr>
          <w:p w14:paraId="0E863DA5">
            <w:pPr>
              <w:widowControl/>
              <w:adjustRightInd/>
              <w:spacing w:line="240" w:lineRule="atLeast"/>
              <w:jc w:val="center"/>
              <w:textAlignment w:val="auto"/>
              <w:rPr>
                <w:rFonts w:ascii="Arial" w:hAnsi="Arial" w:cs="Arial"/>
                <w:szCs w:val="24"/>
                <w:highlight w:val="none"/>
              </w:rPr>
            </w:pPr>
            <w:r>
              <w:rPr>
                <w:rFonts w:hint="eastAsia" w:ascii="Arial" w:hAnsi="Arial" w:eastAsia="仿宋_GB2312" w:cs="Arial"/>
                <w:szCs w:val="24"/>
                <w:highlight w:val="none"/>
              </w:rPr>
              <w:t>城镇住宅用地</w:t>
            </w:r>
          </w:p>
        </w:tc>
        <w:tc>
          <w:tcPr>
            <w:tcW w:w="3237" w:type="dxa"/>
            <w:tcBorders>
              <w:top w:val="nil"/>
              <w:left w:val="nil"/>
              <w:bottom w:val="single" w:color="auto" w:sz="4" w:space="0"/>
              <w:right w:val="single" w:color="auto" w:sz="4" w:space="0"/>
            </w:tcBorders>
            <w:shd w:val="clear" w:color="auto" w:fill="auto"/>
            <w:vAlign w:val="center"/>
          </w:tcPr>
          <w:p w14:paraId="4EF7AB65">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3968" w:type="dxa"/>
            <w:tcBorders>
              <w:top w:val="nil"/>
              <w:left w:val="nil"/>
              <w:bottom w:val="single" w:color="auto" w:sz="4" w:space="0"/>
              <w:right w:val="single" w:color="auto" w:sz="4" w:space="0"/>
            </w:tcBorders>
            <w:shd w:val="clear" w:color="auto" w:fill="auto"/>
            <w:vAlign w:val="center"/>
          </w:tcPr>
          <w:p w14:paraId="0E773456">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6689</w:t>
            </w:r>
          </w:p>
        </w:tc>
      </w:tr>
      <w:tr w14:paraId="1480D3F2">
        <w:tblPrEx>
          <w:tblCellMar>
            <w:top w:w="57" w:type="dxa"/>
            <w:left w:w="28" w:type="dxa"/>
            <w:bottom w:w="57" w:type="dxa"/>
            <w:right w:w="28" w:type="dxa"/>
          </w:tblCellMar>
        </w:tblPrEx>
        <w:trPr>
          <w:cantSplit/>
          <w:jc w:val="center"/>
        </w:trPr>
        <w:tc>
          <w:tcPr>
            <w:tcW w:w="1867" w:type="dxa"/>
            <w:vMerge w:val="continue"/>
            <w:tcBorders>
              <w:top w:val="nil"/>
              <w:left w:val="single" w:color="auto" w:sz="4" w:space="0"/>
              <w:bottom w:val="single" w:color="auto" w:sz="4" w:space="0"/>
              <w:right w:val="single" w:color="auto" w:sz="4" w:space="0"/>
            </w:tcBorders>
            <w:vAlign w:val="center"/>
          </w:tcPr>
          <w:p w14:paraId="682F7C76">
            <w:pPr>
              <w:widowControl/>
              <w:adjustRightInd/>
              <w:spacing w:line="240" w:lineRule="atLeast"/>
              <w:textAlignment w:val="auto"/>
              <w:rPr>
                <w:rFonts w:ascii="Arial" w:hAnsi="Arial" w:cs="Arial"/>
                <w:szCs w:val="24"/>
                <w:highlight w:val="none"/>
              </w:rPr>
            </w:pPr>
          </w:p>
        </w:tc>
        <w:tc>
          <w:tcPr>
            <w:tcW w:w="3237" w:type="dxa"/>
            <w:tcBorders>
              <w:top w:val="nil"/>
              <w:left w:val="nil"/>
              <w:bottom w:val="single" w:color="auto" w:sz="4" w:space="0"/>
              <w:right w:val="single" w:color="auto" w:sz="4" w:space="0"/>
            </w:tcBorders>
            <w:shd w:val="clear" w:color="auto" w:fill="auto"/>
            <w:vAlign w:val="center"/>
          </w:tcPr>
          <w:p w14:paraId="00C6B860">
            <w:pPr>
              <w:widowControl/>
              <w:adjustRightInd/>
              <w:spacing w:line="240" w:lineRule="atLeast"/>
              <w:jc w:val="center"/>
              <w:textAlignment w:val="auto"/>
              <w:rPr>
                <w:rFonts w:ascii="Arial" w:hAnsi="Arial" w:cs="Arial"/>
                <w:szCs w:val="24"/>
                <w:highlight w:val="none"/>
              </w:rPr>
            </w:pPr>
            <w:r>
              <w:rPr>
                <w:rFonts w:ascii="Arial" w:hAnsi="Arial" w:eastAsia="仿宋_GB2312" w:cs="Arial"/>
                <w:szCs w:val="24"/>
                <w:highlight w:val="none"/>
              </w:rPr>
              <w:t>剩余法</w:t>
            </w:r>
          </w:p>
        </w:tc>
        <w:tc>
          <w:tcPr>
            <w:tcW w:w="3968" w:type="dxa"/>
            <w:tcBorders>
              <w:top w:val="nil"/>
              <w:left w:val="nil"/>
              <w:bottom w:val="single" w:color="auto" w:sz="4" w:space="0"/>
              <w:right w:val="single" w:color="auto" w:sz="4" w:space="0"/>
            </w:tcBorders>
            <w:shd w:val="clear" w:color="auto" w:fill="auto"/>
            <w:vAlign w:val="center"/>
          </w:tcPr>
          <w:p w14:paraId="629BF7DD">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12765</w:t>
            </w:r>
          </w:p>
        </w:tc>
      </w:tr>
      <w:tr w14:paraId="10E47A43">
        <w:tblPrEx>
          <w:tblCellMar>
            <w:top w:w="57" w:type="dxa"/>
            <w:left w:w="28" w:type="dxa"/>
            <w:bottom w:w="57" w:type="dxa"/>
            <w:right w:w="28" w:type="dxa"/>
          </w:tblCellMar>
        </w:tblPrEx>
        <w:trPr>
          <w:cantSplit/>
          <w:jc w:val="center"/>
        </w:trPr>
        <w:tc>
          <w:tcPr>
            <w:tcW w:w="1867" w:type="dxa"/>
            <w:vMerge w:val="restart"/>
            <w:tcBorders>
              <w:top w:val="nil"/>
              <w:left w:val="single" w:color="auto" w:sz="4" w:space="0"/>
              <w:bottom w:val="single" w:color="auto" w:sz="4" w:space="0"/>
              <w:right w:val="single" w:color="auto" w:sz="4" w:space="0"/>
            </w:tcBorders>
            <w:shd w:val="clear" w:color="auto" w:fill="auto"/>
            <w:vAlign w:val="center"/>
          </w:tcPr>
          <w:p w14:paraId="6630C952">
            <w:pPr>
              <w:widowControl/>
              <w:adjustRightInd/>
              <w:spacing w:line="240" w:lineRule="atLeast"/>
              <w:jc w:val="center"/>
              <w:textAlignment w:val="auto"/>
              <w:rPr>
                <w:rFonts w:hint="eastAsia" w:ascii="Arial" w:hAnsi="Arial" w:eastAsia="仿宋_GB2312" w:cs="Arial"/>
                <w:szCs w:val="24"/>
                <w:highlight w:val="none"/>
              </w:rPr>
            </w:pPr>
            <w:r>
              <w:rPr>
                <w:rFonts w:hint="eastAsia" w:ascii="Arial" w:hAnsi="Arial" w:eastAsia="仿宋_GB2312" w:cs="Arial"/>
                <w:szCs w:val="24"/>
                <w:highlight w:val="none"/>
              </w:rPr>
              <w:t>商业服务业用地</w:t>
            </w:r>
          </w:p>
        </w:tc>
        <w:tc>
          <w:tcPr>
            <w:tcW w:w="3237" w:type="dxa"/>
            <w:tcBorders>
              <w:top w:val="nil"/>
              <w:left w:val="nil"/>
              <w:bottom w:val="single" w:color="auto" w:sz="4" w:space="0"/>
              <w:right w:val="single" w:color="auto" w:sz="4" w:space="0"/>
            </w:tcBorders>
            <w:shd w:val="clear" w:color="auto" w:fill="auto"/>
            <w:vAlign w:val="center"/>
          </w:tcPr>
          <w:p w14:paraId="78A83D4E">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3968" w:type="dxa"/>
            <w:tcBorders>
              <w:top w:val="nil"/>
              <w:left w:val="nil"/>
              <w:bottom w:val="single" w:color="auto" w:sz="4" w:space="0"/>
              <w:right w:val="single" w:color="auto" w:sz="4" w:space="0"/>
            </w:tcBorders>
            <w:shd w:val="clear" w:color="auto" w:fill="auto"/>
            <w:vAlign w:val="center"/>
          </w:tcPr>
          <w:p w14:paraId="6944D677">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4762</w:t>
            </w:r>
          </w:p>
        </w:tc>
      </w:tr>
      <w:tr w14:paraId="3C87A956">
        <w:tblPrEx>
          <w:tblCellMar>
            <w:top w:w="57" w:type="dxa"/>
            <w:left w:w="28" w:type="dxa"/>
            <w:bottom w:w="57" w:type="dxa"/>
            <w:right w:w="28" w:type="dxa"/>
          </w:tblCellMar>
        </w:tblPrEx>
        <w:trPr>
          <w:cantSplit/>
          <w:jc w:val="center"/>
        </w:trPr>
        <w:tc>
          <w:tcPr>
            <w:tcW w:w="1867" w:type="dxa"/>
            <w:vMerge w:val="continue"/>
            <w:tcBorders>
              <w:top w:val="nil"/>
              <w:left w:val="single" w:color="auto" w:sz="4" w:space="0"/>
              <w:bottom w:val="single" w:color="auto" w:sz="4" w:space="0"/>
              <w:right w:val="single" w:color="auto" w:sz="4" w:space="0"/>
            </w:tcBorders>
            <w:vAlign w:val="center"/>
          </w:tcPr>
          <w:p w14:paraId="28330674">
            <w:pPr>
              <w:widowControl/>
              <w:adjustRightInd/>
              <w:spacing w:line="240" w:lineRule="atLeast"/>
              <w:jc w:val="center"/>
              <w:textAlignment w:val="auto"/>
              <w:rPr>
                <w:rFonts w:hint="eastAsia" w:ascii="Arial" w:hAnsi="Arial" w:eastAsia="仿宋_GB2312" w:cs="Arial"/>
                <w:szCs w:val="24"/>
                <w:highlight w:val="none"/>
              </w:rPr>
            </w:pPr>
          </w:p>
        </w:tc>
        <w:tc>
          <w:tcPr>
            <w:tcW w:w="3237" w:type="dxa"/>
            <w:tcBorders>
              <w:top w:val="nil"/>
              <w:left w:val="nil"/>
              <w:bottom w:val="single" w:color="auto" w:sz="4" w:space="0"/>
              <w:right w:val="single" w:color="auto" w:sz="4" w:space="0"/>
            </w:tcBorders>
            <w:shd w:val="clear" w:color="auto" w:fill="auto"/>
            <w:vAlign w:val="center"/>
          </w:tcPr>
          <w:p w14:paraId="488B46C3">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剩余法</w:t>
            </w:r>
          </w:p>
        </w:tc>
        <w:tc>
          <w:tcPr>
            <w:tcW w:w="3968" w:type="dxa"/>
            <w:tcBorders>
              <w:top w:val="nil"/>
              <w:left w:val="nil"/>
              <w:bottom w:val="single" w:color="auto" w:sz="4" w:space="0"/>
              <w:right w:val="single" w:color="auto" w:sz="4" w:space="0"/>
            </w:tcBorders>
            <w:shd w:val="clear" w:color="auto" w:fill="auto"/>
            <w:vAlign w:val="center"/>
          </w:tcPr>
          <w:p w14:paraId="222690A4">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5524</w:t>
            </w:r>
          </w:p>
        </w:tc>
      </w:tr>
      <w:tr w14:paraId="22DA892A">
        <w:tblPrEx>
          <w:tblCellMar>
            <w:top w:w="57" w:type="dxa"/>
            <w:left w:w="28" w:type="dxa"/>
            <w:bottom w:w="57" w:type="dxa"/>
            <w:right w:w="28" w:type="dxa"/>
          </w:tblCellMar>
        </w:tblPrEx>
        <w:trPr>
          <w:cantSplit/>
          <w:jc w:val="center"/>
        </w:trPr>
        <w:tc>
          <w:tcPr>
            <w:tcW w:w="1867" w:type="dxa"/>
            <w:vMerge w:val="restart"/>
            <w:tcBorders>
              <w:top w:val="single" w:color="auto" w:sz="4" w:space="0"/>
              <w:left w:val="single" w:color="auto" w:sz="4" w:space="0"/>
              <w:right w:val="single" w:color="auto" w:sz="4" w:space="0"/>
            </w:tcBorders>
            <w:vAlign w:val="center"/>
          </w:tcPr>
          <w:p w14:paraId="3B782634">
            <w:pPr>
              <w:widowControl/>
              <w:adjustRightInd/>
              <w:spacing w:line="240" w:lineRule="atLeast"/>
              <w:jc w:val="center"/>
              <w:textAlignment w:val="auto"/>
              <w:rPr>
                <w:rFonts w:hint="eastAsia" w:ascii="Arial" w:hAnsi="Arial" w:eastAsia="仿宋_GB2312" w:cs="Arial"/>
                <w:szCs w:val="24"/>
                <w:highlight w:val="none"/>
              </w:rPr>
            </w:pPr>
            <w:r>
              <w:rPr>
                <w:rFonts w:hint="eastAsia" w:ascii="Arial" w:hAnsi="Arial" w:eastAsia="仿宋_GB2312" w:cs="Arial"/>
                <w:szCs w:val="24"/>
                <w:highlight w:val="none"/>
                <w:lang w:eastAsia="zh-CN"/>
              </w:rPr>
              <w:t>公共管理与公共服务用地</w:t>
            </w:r>
          </w:p>
        </w:tc>
        <w:tc>
          <w:tcPr>
            <w:tcW w:w="3237" w:type="dxa"/>
            <w:tcBorders>
              <w:top w:val="single" w:color="auto" w:sz="4" w:space="0"/>
              <w:left w:val="nil"/>
              <w:bottom w:val="single" w:color="auto" w:sz="4" w:space="0"/>
              <w:right w:val="single" w:color="auto" w:sz="4" w:space="0"/>
            </w:tcBorders>
            <w:shd w:val="clear" w:color="auto" w:fill="auto"/>
            <w:vAlign w:val="center"/>
          </w:tcPr>
          <w:p w14:paraId="0B5E6A31">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401C9059">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3197</w:t>
            </w:r>
          </w:p>
        </w:tc>
      </w:tr>
      <w:tr w14:paraId="552D9AE6">
        <w:tblPrEx>
          <w:tblCellMar>
            <w:top w:w="57" w:type="dxa"/>
            <w:left w:w="28" w:type="dxa"/>
            <w:bottom w:w="57" w:type="dxa"/>
            <w:right w:w="28" w:type="dxa"/>
          </w:tblCellMar>
        </w:tblPrEx>
        <w:trPr>
          <w:cantSplit/>
          <w:jc w:val="center"/>
        </w:trPr>
        <w:tc>
          <w:tcPr>
            <w:tcW w:w="1867" w:type="dxa"/>
            <w:vMerge w:val="continue"/>
            <w:tcBorders>
              <w:left w:val="single" w:color="auto" w:sz="4" w:space="0"/>
              <w:bottom w:val="single" w:color="auto" w:sz="4" w:space="0"/>
              <w:right w:val="single" w:color="auto" w:sz="4" w:space="0"/>
            </w:tcBorders>
            <w:vAlign w:val="center"/>
          </w:tcPr>
          <w:p w14:paraId="34CCDA23">
            <w:pPr>
              <w:spacing w:line="240" w:lineRule="atLeast"/>
              <w:jc w:val="center"/>
              <w:rPr>
                <w:rFonts w:ascii="Arial" w:hAnsi="Arial" w:eastAsia="仿宋_GB2312" w:cs="Arial"/>
                <w:szCs w:val="24"/>
                <w:highlight w:val="none"/>
              </w:rPr>
            </w:pPr>
          </w:p>
        </w:tc>
        <w:tc>
          <w:tcPr>
            <w:tcW w:w="3237" w:type="dxa"/>
            <w:tcBorders>
              <w:top w:val="single" w:color="auto" w:sz="4" w:space="0"/>
              <w:left w:val="nil"/>
              <w:bottom w:val="single" w:color="auto" w:sz="4" w:space="0"/>
              <w:right w:val="single" w:color="auto" w:sz="4" w:space="0"/>
            </w:tcBorders>
            <w:shd w:val="clear" w:color="auto" w:fill="auto"/>
            <w:vAlign w:val="center"/>
          </w:tcPr>
          <w:p w14:paraId="31D94E4D">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剩余法</w:t>
            </w:r>
          </w:p>
        </w:tc>
        <w:tc>
          <w:tcPr>
            <w:tcW w:w="3968" w:type="dxa"/>
            <w:tcBorders>
              <w:top w:val="single" w:color="auto" w:sz="4" w:space="0"/>
              <w:left w:val="nil"/>
              <w:bottom w:val="single" w:color="auto" w:sz="4" w:space="0"/>
              <w:right w:val="single" w:color="auto" w:sz="4" w:space="0"/>
            </w:tcBorders>
            <w:shd w:val="clear" w:color="auto" w:fill="auto"/>
            <w:vAlign w:val="center"/>
          </w:tcPr>
          <w:p w14:paraId="789DB4CA">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3301</w:t>
            </w:r>
          </w:p>
        </w:tc>
      </w:tr>
    </w:tbl>
    <w:p w14:paraId="73E63EF2">
      <w:pPr>
        <w:keepNext w:val="0"/>
        <w:keepLines w:val="0"/>
        <w:pageBreakBefore w:val="0"/>
        <w:widowControl w:val="0"/>
        <w:kinsoku/>
        <w:wordWrap/>
        <w:overflowPunct/>
        <w:topLinePunct w:val="0"/>
        <w:autoSpaceDE/>
        <w:autoSpaceDN/>
        <w:bidi w:val="0"/>
        <w:adjustRightInd w:val="0"/>
        <w:snapToGrid/>
        <w:spacing w:before="164" w:beforeLines="50" w:line="300" w:lineRule="auto"/>
        <w:ind w:firstLine="556"/>
        <w:jc w:val="both"/>
        <w:textAlignment w:val="baseline"/>
        <w:rPr>
          <w:rFonts w:ascii="Arial" w:hAnsi="Arial" w:eastAsia="仿宋_GB2312" w:cs="Arial"/>
          <w:sz w:val="28"/>
          <w:szCs w:val="28"/>
          <w:highlight w:val="none"/>
        </w:rPr>
      </w:pPr>
      <w:r>
        <w:rPr>
          <w:rFonts w:ascii="Arial" w:hAnsi="Arial" w:eastAsia="仿宋_GB2312" w:cs="Arial"/>
          <w:sz w:val="28"/>
          <w:szCs w:val="28"/>
          <w:highlight w:val="none"/>
        </w:rPr>
        <w:t>根据区域土地市场情况，并结合估价对象的具体特点及估价目的等，此次评估采用了基准地价系数修正法和剩余法确定估价对象</w:t>
      </w:r>
      <w:r>
        <w:rPr>
          <w:rFonts w:hint="eastAsia" w:ascii="Arial" w:hAnsi="Arial" w:eastAsia="仿宋" w:cs="Arial"/>
          <w:sz w:val="28"/>
          <w:szCs w:val="28"/>
          <w:highlight w:val="none"/>
          <w:lang w:eastAsia="zh-CN"/>
        </w:rPr>
        <w:t>城镇住宅用地、其他商业服务业用地、公共管理与公共服务用地</w:t>
      </w:r>
      <w:r>
        <w:rPr>
          <w:rFonts w:ascii="Arial" w:hAnsi="Arial" w:eastAsia="仿宋_GB2312" w:cs="Arial"/>
          <w:sz w:val="28"/>
          <w:szCs w:val="28"/>
          <w:highlight w:val="none"/>
        </w:rPr>
        <w:t>用途</w:t>
      </w:r>
      <w:r>
        <w:rPr>
          <w:rFonts w:hint="eastAsia" w:ascii="Arial" w:hAnsi="Arial" w:eastAsia="仿宋_GB2312" w:cs="Arial"/>
          <w:sz w:val="28"/>
          <w:szCs w:val="28"/>
          <w:highlight w:val="none"/>
          <w:lang w:eastAsia="zh-CN"/>
        </w:rPr>
        <w:t>楼面地价</w:t>
      </w:r>
      <w:r>
        <w:rPr>
          <w:rFonts w:ascii="Arial" w:hAnsi="Arial" w:eastAsia="仿宋_GB2312" w:cs="Arial"/>
          <w:sz w:val="28"/>
          <w:szCs w:val="28"/>
          <w:highlight w:val="none"/>
        </w:rPr>
        <w:t>水平，由于目前北京市以基准地价作为重要参考依据，要求地价评估必须采用基准地价系数修正法，故基准地价系数修正法是确定</w:t>
      </w:r>
      <w:r>
        <w:rPr>
          <w:rFonts w:hint="eastAsia" w:ascii="Arial" w:hAnsi="Arial" w:eastAsia="仿宋_GB2312" w:cs="Arial"/>
          <w:sz w:val="28"/>
          <w:szCs w:val="28"/>
          <w:highlight w:val="none"/>
          <w:lang w:val="en-US" w:eastAsia="zh-CN"/>
        </w:rPr>
        <w:t>熟地价水平</w:t>
      </w:r>
      <w:r>
        <w:rPr>
          <w:rFonts w:ascii="Arial" w:hAnsi="Arial" w:eastAsia="仿宋_GB2312" w:cs="Arial"/>
          <w:sz w:val="28"/>
          <w:szCs w:val="28"/>
          <w:highlight w:val="none"/>
        </w:rPr>
        <w:t>的重要依据之一；剩余法是从房地产的角度反应土地价格水平，属于对设定开发条件下的的地价单独评估的情况，能够体现土地的价格，故剩余法也是判断</w:t>
      </w:r>
      <w:r>
        <w:rPr>
          <w:rFonts w:hint="eastAsia" w:ascii="Arial" w:hAnsi="Arial" w:eastAsia="仿宋_GB2312" w:cs="Arial"/>
          <w:sz w:val="28"/>
          <w:szCs w:val="28"/>
          <w:highlight w:val="none"/>
          <w:lang w:val="en-US" w:eastAsia="zh-CN"/>
        </w:rPr>
        <w:t>熟地价水平</w:t>
      </w:r>
      <w:r>
        <w:rPr>
          <w:rFonts w:ascii="Arial" w:hAnsi="Arial" w:eastAsia="仿宋_GB2312" w:cs="Arial"/>
          <w:sz w:val="28"/>
          <w:szCs w:val="28"/>
          <w:highlight w:val="none"/>
        </w:rPr>
        <w:t>的重要依据；</w:t>
      </w:r>
      <w:r>
        <w:rPr>
          <w:rFonts w:hint="eastAsia" w:ascii="Arial" w:hAnsi="Arial" w:eastAsia="仿宋_GB2312" w:cs="Arial"/>
          <w:sz w:val="28"/>
          <w:szCs w:val="28"/>
          <w:highlight w:val="none"/>
        </w:rPr>
        <w:t>二</w:t>
      </w:r>
      <w:r>
        <w:rPr>
          <w:rFonts w:ascii="Arial" w:hAnsi="Arial" w:eastAsia="仿宋_GB2312" w:cs="Arial"/>
          <w:sz w:val="28"/>
          <w:szCs w:val="28"/>
          <w:highlight w:val="none"/>
        </w:rPr>
        <w:t>种评估方法各有其侧重，从不同的角度反映了估价对象的地价水平，定量分析如下：</w:t>
      </w:r>
    </w:p>
    <w:p w14:paraId="204FD8E8">
      <w:pPr>
        <w:rPr>
          <w:rFonts w:hint="eastAsia" w:ascii="Arial" w:hAnsi="Arial" w:eastAsia="仿宋" w:cs="Arial"/>
          <w:sz w:val="28"/>
          <w:szCs w:val="28"/>
          <w:highlight w:val="none"/>
        </w:rPr>
      </w:pPr>
      <w:r>
        <w:rPr>
          <w:rFonts w:hint="eastAsia" w:ascii="Arial" w:hAnsi="Arial" w:eastAsia="仿宋" w:cs="Arial"/>
          <w:sz w:val="28"/>
          <w:szCs w:val="28"/>
          <w:highlight w:val="none"/>
        </w:rPr>
        <w:br w:type="page"/>
      </w:r>
    </w:p>
    <w:p w14:paraId="5F0E1C00">
      <w:pPr>
        <w:spacing w:line="300" w:lineRule="auto"/>
        <w:ind w:left="260" w:leftChars="50" w:hanging="140" w:hangingChars="50"/>
        <w:jc w:val="center"/>
        <w:rPr>
          <w:rFonts w:ascii="Arial" w:hAnsi="Arial" w:eastAsia="仿宋_GB2312" w:cs="Arial"/>
          <w:sz w:val="28"/>
          <w:szCs w:val="28"/>
          <w:highlight w:val="none"/>
        </w:rPr>
      </w:pPr>
      <w:r>
        <w:rPr>
          <w:rFonts w:hint="eastAsia" w:ascii="Arial" w:hAnsi="Arial" w:eastAsia="仿宋" w:cs="Arial"/>
          <w:sz w:val="28"/>
          <w:szCs w:val="28"/>
          <w:highlight w:val="none"/>
        </w:rPr>
        <w:t>城镇住宅用地</w:t>
      </w:r>
      <w:r>
        <w:rPr>
          <w:rFonts w:hint="eastAsia" w:ascii="Arial" w:hAnsi="Arial" w:eastAsia="仿宋" w:cs="Arial"/>
          <w:sz w:val="28"/>
          <w:szCs w:val="28"/>
          <w:highlight w:val="none"/>
          <w:lang w:eastAsia="zh-CN"/>
        </w:rPr>
        <w:t>、其他商业服务业用</w:t>
      </w:r>
      <w:r>
        <w:rPr>
          <w:rFonts w:hint="eastAsia" w:ascii="Arial" w:hAnsi="Arial" w:eastAsia="仿宋" w:cs="Arial"/>
          <w:sz w:val="28"/>
          <w:szCs w:val="28"/>
          <w:highlight w:val="none"/>
          <w:lang w:val="en-US" w:eastAsia="zh-CN"/>
        </w:rPr>
        <w:t>地</w:t>
      </w:r>
      <w:r>
        <w:rPr>
          <w:rFonts w:ascii="Arial" w:hAnsi="Arial" w:eastAsia="仿宋_GB2312" w:cs="Arial"/>
          <w:sz w:val="28"/>
          <w:szCs w:val="28"/>
          <w:highlight w:val="none"/>
        </w:rPr>
        <w:t>用途权重确定打分评价体系</w:t>
      </w:r>
    </w:p>
    <w:tbl>
      <w:tblPr>
        <w:tblStyle w:val="34"/>
        <w:tblW w:w="907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990"/>
        <w:gridCol w:w="708"/>
        <w:gridCol w:w="5529"/>
        <w:gridCol w:w="992"/>
        <w:gridCol w:w="853"/>
      </w:tblGrid>
      <w:tr w14:paraId="6B841AD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990" w:type="dxa"/>
            <w:vMerge w:val="restart"/>
            <w:shd w:val="clear" w:color="auto" w:fill="auto"/>
            <w:noWrap/>
            <w:vAlign w:val="center"/>
          </w:tcPr>
          <w:p w14:paraId="3B550F81">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评价因素</w:t>
            </w:r>
          </w:p>
        </w:tc>
        <w:tc>
          <w:tcPr>
            <w:tcW w:w="708" w:type="dxa"/>
            <w:vMerge w:val="restart"/>
            <w:shd w:val="clear" w:color="auto" w:fill="auto"/>
            <w:noWrap/>
            <w:vAlign w:val="center"/>
          </w:tcPr>
          <w:p w14:paraId="4940AA18">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标准分值</w:t>
            </w:r>
          </w:p>
        </w:tc>
        <w:tc>
          <w:tcPr>
            <w:tcW w:w="5529" w:type="dxa"/>
            <w:vMerge w:val="restart"/>
            <w:shd w:val="clear" w:color="auto" w:fill="auto"/>
            <w:noWrap/>
            <w:vAlign w:val="center"/>
          </w:tcPr>
          <w:p w14:paraId="50CA3994">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打分考虑因素</w:t>
            </w:r>
          </w:p>
        </w:tc>
        <w:tc>
          <w:tcPr>
            <w:tcW w:w="1845" w:type="dxa"/>
            <w:gridSpan w:val="2"/>
            <w:shd w:val="clear" w:color="auto" w:fill="auto"/>
            <w:noWrap/>
            <w:vAlign w:val="center"/>
          </w:tcPr>
          <w:p w14:paraId="790FBAF4">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估价对象</w:t>
            </w:r>
          </w:p>
        </w:tc>
      </w:tr>
      <w:tr w14:paraId="33C349F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03" w:hRule="atLeast"/>
          <w:tblHeader/>
          <w:jc w:val="center"/>
        </w:trPr>
        <w:tc>
          <w:tcPr>
            <w:tcW w:w="990" w:type="dxa"/>
            <w:vMerge w:val="continue"/>
            <w:vAlign w:val="center"/>
          </w:tcPr>
          <w:p w14:paraId="4605F7FA">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6E071E3D">
            <w:pPr>
              <w:widowControl/>
              <w:adjustRightInd/>
              <w:spacing w:line="240" w:lineRule="atLeast"/>
              <w:textAlignment w:val="auto"/>
              <w:rPr>
                <w:rFonts w:ascii="Arial" w:hAnsi="Arial" w:eastAsia="仿宋_GB2312" w:cs="Arial"/>
                <w:szCs w:val="24"/>
                <w:highlight w:val="none"/>
              </w:rPr>
            </w:pPr>
          </w:p>
        </w:tc>
        <w:tc>
          <w:tcPr>
            <w:tcW w:w="5529" w:type="dxa"/>
            <w:vMerge w:val="continue"/>
            <w:vAlign w:val="center"/>
          </w:tcPr>
          <w:p w14:paraId="222003FF">
            <w:pPr>
              <w:widowControl/>
              <w:adjustRightInd/>
              <w:spacing w:line="240" w:lineRule="atLeast"/>
              <w:textAlignment w:val="auto"/>
              <w:rPr>
                <w:rFonts w:ascii="Arial" w:hAnsi="Arial" w:eastAsia="仿宋_GB2312" w:cs="Arial"/>
                <w:szCs w:val="24"/>
                <w:highlight w:val="none"/>
              </w:rPr>
            </w:pPr>
          </w:p>
        </w:tc>
        <w:tc>
          <w:tcPr>
            <w:tcW w:w="992" w:type="dxa"/>
            <w:shd w:val="clear" w:color="auto" w:fill="auto"/>
            <w:noWrap/>
            <w:vAlign w:val="center"/>
          </w:tcPr>
          <w:p w14:paraId="41460E9A">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853" w:type="dxa"/>
            <w:shd w:val="clear" w:color="auto" w:fill="auto"/>
            <w:noWrap/>
            <w:vAlign w:val="center"/>
          </w:tcPr>
          <w:p w14:paraId="37AAEFEE">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剩余法</w:t>
            </w:r>
          </w:p>
        </w:tc>
      </w:tr>
      <w:tr w14:paraId="136883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65F94DAA">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估价方法的代表性</w:t>
            </w:r>
          </w:p>
        </w:tc>
        <w:tc>
          <w:tcPr>
            <w:tcW w:w="708" w:type="dxa"/>
            <w:vMerge w:val="restart"/>
            <w:shd w:val="clear" w:color="auto" w:fill="auto"/>
            <w:noWrap/>
            <w:vAlign w:val="center"/>
          </w:tcPr>
          <w:p w14:paraId="282550CB">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25</w:t>
            </w:r>
          </w:p>
        </w:tc>
        <w:tc>
          <w:tcPr>
            <w:tcW w:w="5529" w:type="dxa"/>
            <w:shd w:val="clear" w:color="auto" w:fill="auto"/>
            <w:noWrap/>
            <w:vAlign w:val="center"/>
          </w:tcPr>
          <w:p w14:paraId="3A995403">
            <w:pPr>
              <w:spacing w:line="240" w:lineRule="atLeast"/>
              <w:rPr>
                <w:rFonts w:ascii="Arial" w:hAnsi="Arial" w:eastAsia="仿宋_GB2312" w:cs="Arial"/>
                <w:szCs w:val="24"/>
                <w:highlight w:val="none"/>
              </w:rPr>
            </w:pPr>
            <w:r>
              <w:rPr>
                <w:rFonts w:ascii="Arial" w:hAnsi="Arial" w:eastAsia="仿宋_GB2312" w:cs="Arial"/>
                <w:szCs w:val="24"/>
                <w:highlight w:val="none"/>
              </w:rPr>
              <w:t>1.估价方法选取分析充分、合理，取20～25分；</w:t>
            </w:r>
          </w:p>
        </w:tc>
        <w:tc>
          <w:tcPr>
            <w:tcW w:w="992" w:type="dxa"/>
            <w:vMerge w:val="restart"/>
            <w:shd w:val="clear" w:color="auto" w:fill="auto"/>
            <w:noWrap/>
            <w:vAlign w:val="center"/>
          </w:tcPr>
          <w:p w14:paraId="2738CFE2">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11</w:t>
            </w:r>
          </w:p>
        </w:tc>
        <w:tc>
          <w:tcPr>
            <w:tcW w:w="853" w:type="dxa"/>
            <w:vMerge w:val="restart"/>
            <w:shd w:val="clear" w:color="auto" w:fill="auto"/>
            <w:noWrap/>
            <w:vAlign w:val="center"/>
          </w:tcPr>
          <w:p w14:paraId="498BCDF1">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20</w:t>
            </w:r>
          </w:p>
        </w:tc>
      </w:tr>
      <w:tr w14:paraId="28B868F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2B80DD69">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09BADBD7">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609080A6">
            <w:pPr>
              <w:spacing w:line="240" w:lineRule="atLeast"/>
              <w:rPr>
                <w:rFonts w:ascii="Arial" w:hAnsi="Arial" w:eastAsia="仿宋_GB2312" w:cs="Arial"/>
                <w:szCs w:val="24"/>
                <w:highlight w:val="none"/>
              </w:rPr>
            </w:pPr>
            <w:r>
              <w:rPr>
                <w:rFonts w:ascii="Arial" w:hAnsi="Arial" w:eastAsia="仿宋_GB2312" w:cs="Arial"/>
                <w:szCs w:val="24"/>
                <w:highlight w:val="none"/>
              </w:rPr>
              <w:t>2.估价方法选取分析较充分、合理，取10～19分；</w:t>
            </w:r>
          </w:p>
        </w:tc>
        <w:tc>
          <w:tcPr>
            <w:tcW w:w="992" w:type="dxa"/>
            <w:vMerge w:val="continue"/>
            <w:vAlign w:val="center"/>
          </w:tcPr>
          <w:p w14:paraId="22A44D54">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14374E02">
            <w:pPr>
              <w:widowControl/>
              <w:adjustRightInd/>
              <w:spacing w:line="240" w:lineRule="atLeast"/>
              <w:textAlignment w:val="auto"/>
              <w:rPr>
                <w:rFonts w:ascii="Arial" w:hAnsi="Arial" w:eastAsia="仿宋_GB2312" w:cs="Arial"/>
                <w:szCs w:val="24"/>
                <w:highlight w:val="none"/>
              </w:rPr>
            </w:pPr>
          </w:p>
        </w:tc>
      </w:tr>
      <w:tr w14:paraId="33B22DB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459E7A3B">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6BC4085E">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5A81DD4E">
            <w:pPr>
              <w:spacing w:line="240" w:lineRule="atLeast"/>
              <w:rPr>
                <w:rFonts w:ascii="Arial" w:hAnsi="Arial" w:eastAsia="仿宋_GB2312" w:cs="Arial"/>
                <w:szCs w:val="24"/>
                <w:highlight w:val="none"/>
              </w:rPr>
            </w:pPr>
            <w:r>
              <w:rPr>
                <w:rFonts w:ascii="Arial" w:hAnsi="Arial" w:eastAsia="仿宋_GB2312" w:cs="Arial"/>
                <w:szCs w:val="24"/>
                <w:highlight w:val="none"/>
              </w:rPr>
              <w:t>3.估价方法选取分析较不充分，取0～9分；</w:t>
            </w:r>
          </w:p>
        </w:tc>
        <w:tc>
          <w:tcPr>
            <w:tcW w:w="992" w:type="dxa"/>
            <w:vMerge w:val="continue"/>
            <w:vAlign w:val="center"/>
          </w:tcPr>
          <w:p w14:paraId="4313ED8D">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6E8D097F">
            <w:pPr>
              <w:widowControl/>
              <w:adjustRightInd/>
              <w:spacing w:line="240" w:lineRule="atLeast"/>
              <w:textAlignment w:val="auto"/>
              <w:rPr>
                <w:rFonts w:ascii="Arial" w:hAnsi="Arial" w:eastAsia="仿宋_GB2312" w:cs="Arial"/>
                <w:szCs w:val="24"/>
                <w:highlight w:val="none"/>
              </w:rPr>
            </w:pPr>
          </w:p>
        </w:tc>
      </w:tr>
      <w:tr w14:paraId="7D7D873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5590CAED">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估价方法所要求的估价资料的完整性</w:t>
            </w:r>
          </w:p>
        </w:tc>
        <w:tc>
          <w:tcPr>
            <w:tcW w:w="708" w:type="dxa"/>
            <w:vMerge w:val="restart"/>
            <w:shd w:val="clear" w:color="auto" w:fill="auto"/>
            <w:vAlign w:val="center"/>
          </w:tcPr>
          <w:p w14:paraId="2EC5D332">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c>
          <w:tcPr>
            <w:tcW w:w="5529" w:type="dxa"/>
            <w:shd w:val="clear" w:color="auto" w:fill="auto"/>
            <w:noWrap/>
            <w:vAlign w:val="center"/>
          </w:tcPr>
          <w:p w14:paraId="7643EA9F">
            <w:pPr>
              <w:spacing w:line="240" w:lineRule="atLeast"/>
              <w:rPr>
                <w:rFonts w:ascii="Arial" w:hAnsi="Arial" w:eastAsia="仿宋_GB2312" w:cs="Arial"/>
                <w:szCs w:val="24"/>
                <w:highlight w:val="none"/>
              </w:rPr>
            </w:pPr>
            <w:r>
              <w:rPr>
                <w:rFonts w:ascii="Arial" w:hAnsi="Arial" w:eastAsia="仿宋_GB2312" w:cs="Arial"/>
                <w:szCs w:val="24"/>
                <w:highlight w:val="none"/>
              </w:rPr>
              <w:t>1.估价资料完整，来源依据充分，取10～15分；</w:t>
            </w:r>
          </w:p>
        </w:tc>
        <w:tc>
          <w:tcPr>
            <w:tcW w:w="992" w:type="dxa"/>
            <w:vMerge w:val="restart"/>
            <w:shd w:val="clear" w:color="auto" w:fill="auto"/>
            <w:noWrap/>
            <w:vAlign w:val="center"/>
          </w:tcPr>
          <w:p w14:paraId="268CBE37">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7</w:t>
            </w:r>
          </w:p>
        </w:tc>
        <w:tc>
          <w:tcPr>
            <w:tcW w:w="853" w:type="dxa"/>
            <w:vMerge w:val="restart"/>
            <w:shd w:val="clear" w:color="auto" w:fill="auto"/>
            <w:noWrap/>
            <w:vAlign w:val="center"/>
          </w:tcPr>
          <w:p w14:paraId="0069FF8D">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r>
      <w:tr w14:paraId="375DE6E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53B8E4EE">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77335D3E">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088D0B1D">
            <w:pPr>
              <w:spacing w:line="240" w:lineRule="atLeast"/>
              <w:rPr>
                <w:rFonts w:ascii="Arial" w:hAnsi="Arial" w:eastAsia="仿宋_GB2312" w:cs="Arial"/>
                <w:szCs w:val="24"/>
                <w:highlight w:val="none"/>
              </w:rPr>
            </w:pPr>
            <w:r>
              <w:rPr>
                <w:rFonts w:ascii="Arial" w:hAnsi="Arial" w:eastAsia="仿宋_GB2312" w:cs="Arial"/>
                <w:szCs w:val="24"/>
                <w:highlight w:val="none"/>
              </w:rPr>
              <w:t>2.估价资料有欠缺，来源依据较不充分，取0～9分；</w:t>
            </w:r>
          </w:p>
        </w:tc>
        <w:tc>
          <w:tcPr>
            <w:tcW w:w="992" w:type="dxa"/>
            <w:vMerge w:val="continue"/>
            <w:vAlign w:val="center"/>
          </w:tcPr>
          <w:p w14:paraId="25F0071E">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044DCA7E">
            <w:pPr>
              <w:widowControl/>
              <w:adjustRightInd/>
              <w:spacing w:line="240" w:lineRule="atLeast"/>
              <w:textAlignment w:val="auto"/>
              <w:rPr>
                <w:rFonts w:ascii="Arial" w:hAnsi="Arial" w:eastAsia="仿宋_GB2312" w:cs="Arial"/>
                <w:szCs w:val="24"/>
                <w:highlight w:val="none"/>
              </w:rPr>
            </w:pPr>
          </w:p>
        </w:tc>
      </w:tr>
      <w:tr w14:paraId="6E055F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2870801E">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参数选取的客观性</w:t>
            </w:r>
          </w:p>
        </w:tc>
        <w:tc>
          <w:tcPr>
            <w:tcW w:w="708" w:type="dxa"/>
            <w:vMerge w:val="restart"/>
            <w:shd w:val="clear" w:color="auto" w:fill="auto"/>
            <w:vAlign w:val="center"/>
          </w:tcPr>
          <w:p w14:paraId="7EEFC1F5">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c>
          <w:tcPr>
            <w:tcW w:w="5529" w:type="dxa"/>
            <w:shd w:val="clear" w:color="auto" w:fill="auto"/>
            <w:noWrap/>
            <w:vAlign w:val="center"/>
          </w:tcPr>
          <w:p w14:paraId="4EF0C3A6">
            <w:pPr>
              <w:spacing w:line="240" w:lineRule="atLeast"/>
              <w:rPr>
                <w:rFonts w:ascii="Arial" w:hAnsi="Arial" w:eastAsia="仿宋_GB2312" w:cs="Arial"/>
                <w:szCs w:val="24"/>
                <w:highlight w:val="none"/>
              </w:rPr>
            </w:pPr>
            <w:r>
              <w:rPr>
                <w:rFonts w:ascii="Arial" w:hAnsi="Arial" w:eastAsia="仿宋_GB2312" w:cs="Arial"/>
                <w:szCs w:val="24"/>
                <w:highlight w:val="none"/>
              </w:rPr>
              <w:t>1.参数从市场上获取，或从权威机构发布的信息上获取，取10～15分；</w:t>
            </w:r>
          </w:p>
        </w:tc>
        <w:tc>
          <w:tcPr>
            <w:tcW w:w="992" w:type="dxa"/>
            <w:vMerge w:val="restart"/>
            <w:shd w:val="clear" w:color="auto" w:fill="auto"/>
            <w:noWrap/>
            <w:vAlign w:val="center"/>
          </w:tcPr>
          <w:p w14:paraId="058E83A9">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8</w:t>
            </w:r>
          </w:p>
        </w:tc>
        <w:tc>
          <w:tcPr>
            <w:tcW w:w="853" w:type="dxa"/>
            <w:vMerge w:val="restart"/>
            <w:shd w:val="clear" w:color="auto" w:fill="auto"/>
            <w:noWrap/>
            <w:vAlign w:val="center"/>
          </w:tcPr>
          <w:p w14:paraId="475DA164">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r>
      <w:tr w14:paraId="06B6B11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5F3194D3">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0C27427D">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592E7519">
            <w:pPr>
              <w:spacing w:line="240" w:lineRule="atLeast"/>
              <w:rPr>
                <w:rFonts w:ascii="Arial" w:hAnsi="Arial" w:eastAsia="仿宋_GB2312" w:cs="Arial"/>
                <w:szCs w:val="24"/>
                <w:highlight w:val="none"/>
              </w:rPr>
            </w:pPr>
            <w:r>
              <w:rPr>
                <w:rFonts w:ascii="Arial" w:hAnsi="Arial" w:eastAsia="仿宋_GB2312" w:cs="Arial"/>
                <w:szCs w:val="24"/>
                <w:highlight w:val="none"/>
              </w:rPr>
              <w:t>2.部分参数为自行分析取得，理由较充分，取0～9分；</w:t>
            </w:r>
          </w:p>
        </w:tc>
        <w:tc>
          <w:tcPr>
            <w:tcW w:w="992" w:type="dxa"/>
            <w:vMerge w:val="continue"/>
            <w:vAlign w:val="center"/>
          </w:tcPr>
          <w:p w14:paraId="664F290E">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05E6EA49">
            <w:pPr>
              <w:widowControl/>
              <w:adjustRightInd/>
              <w:spacing w:line="240" w:lineRule="atLeast"/>
              <w:textAlignment w:val="auto"/>
              <w:rPr>
                <w:rFonts w:ascii="Arial" w:hAnsi="Arial" w:eastAsia="仿宋_GB2312" w:cs="Arial"/>
                <w:szCs w:val="24"/>
                <w:highlight w:val="none"/>
              </w:rPr>
            </w:pPr>
          </w:p>
        </w:tc>
      </w:tr>
      <w:tr w14:paraId="5402850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29B4662C">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参数确定的时效性</w:t>
            </w:r>
          </w:p>
        </w:tc>
        <w:tc>
          <w:tcPr>
            <w:tcW w:w="708" w:type="dxa"/>
            <w:vMerge w:val="restart"/>
            <w:shd w:val="clear" w:color="auto" w:fill="auto"/>
            <w:vAlign w:val="center"/>
          </w:tcPr>
          <w:p w14:paraId="08C05CE9">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c>
          <w:tcPr>
            <w:tcW w:w="5529" w:type="dxa"/>
            <w:shd w:val="clear" w:color="auto" w:fill="auto"/>
            <w:noWrap/>
            <w:vAlign w:val="center"/>
          </w:tcPr>
          <w:p w14:paraId="56B90F97">
            <w:pPr>
              <w:spacing w:line="240" w:lineRule="atLeast"/>
              <w:rPr>
                <w:rFonts w:ascii="Arial" w:hAnsi="Arial" w:eastAsia="仿宋_GB2312" w:cs="Arial"/>
                <w:szCs w:val="24"/>
                <w:highlight w:val="none"/>
              </w:rPr>
            </w:pPr>
            <w:r>
              <w:rPr>
                <w:rFonts w:ascii="Arial" w:hAnsi="Arial" w:eastAsia="仿宋_GB2312" w:cs="Arial"/>
                <w:szCs w:val="24"/>
                <w:highlight w:val="none"/>
              </w:rPr>
              <w:t>1.参数在规定的时效范围内，且距估价期日未超过1年，取10～15分；</w:t>
            </w:r>
          </w:p>
        </w:tc>
        <w:tc>
          <w:tcPr>
            <w:tcW w:w="992" w:type="dxa"/>
            <w:vMerge w:val="restart"/>
            <w:shd w:val="clear" w:color="auto" w:fill="auto"/>
            <w:noWrap/>
            <w:vAlign w:val="center"/>
          </w:tcPr>
          <w:p w14:paraId="1497EF7F">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8</w:t>
            </w:r>
          </w:p>
        </w:tc>
        <w:tc>
          <w:tcPr>
            <w:tcW w:w="853" w:type="dxa"/>
            <w:vMerge w:val="restart"/>
            <w:shd w:val="clear" w:color="auto" w:fill="auto"/>
            <w:noWrap/>
            <w:vAlign w:val="center"/>
          </w:tcPr>
          <w:p w14:paraId="23CB943C">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r>
      <w:tr w14:paraId="7D4FB6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7FB574F1">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6F542BDF">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0B2400A0">
            <w:pPr>
              <w:spacing w:line="240" w:lineRule="atLeast"/>
              <w:rPr>
                <w:rFonts w:ascii="Arial" w:hAnsi="Arial" w:eastAsia="仿宋_GB2312" w:cs="Arial"/>
                <w:szCs w:val="24"/>
                <w:highlight w:val="none"/>
              </w:rPr>
            </w:pPr>
            <w:r>
              <w:rPr>
                <w:rFonts w:ascii="Arial" w:hAnsi="Arial" w:eastAsia="仿宋_GB2312" w:cs="Arial"/>
                <w:szCs w:val="24"/>
                <w:highlight w:val="none"/>
              </w:rPr>
              <w:t>2.参数在规定的时效范围内，但距估价期日超过1年，取0～9分；</w:t>
            </w:r>
          </w:p>
        </w:tc>
        <w:tc>
          <w:tcPr>
            <w:tcW w:w="992" w:type="dxa"/>
            <w:vMerge w:val="continue"/>
            <w:vAlign w:val="center"/>
          </w:tcPr>
          <w:p w14:paraId="7F38C247">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3F821AEC">
            <w:pPr>
              <w:widowControl/>
              <w:adjustRightInd/>
              <w:spacing w:line="240" w:lineRule="atLeast"/>
              <w:textAlignment w:val="auto"/>
              <w:rPr>
                <w:rFonts w:ascii="Arial" w:hAnsi="Arial" w:eastAsia="仿宋_GB2312" w:cs="Arial"/>
                <w:szCs w:val="24"/>
                <w:highlight w:val="none"/>
              </w:rPr>
            </w:pPr>
          </w:p>
        </w:tc>
      </w:tr>
      <w:tr w14:paraId="0E98E17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7623274F">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估价结果的现势性</w:t>
            </w:r>
          </w:p>
        </w:tc>
        <w:tc>
          <w:tcPr>
            <w:tcW w:w="708" w:type="dxa"/>
            <w:vMerge w:val="restart"/>
            <w:shd w:val="clear" w:color="auto" w:fill="auto"/>
            <w:noWrap/>
            <w:vAlign w:val="center"/>
          </w:tcPr>
          <w:p w14:paraId="3DA80533">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30</w:t>
            </w:r>
          </w:p>
        </w:tc>
        <w:tc>
          <w:tcPr>
            <w:tcW w:w="5529" w:type="dxa"/>
            <w:shd w:val="clear" w:color="auto" w:fill="auto"/>
            <w:noWrap/>
            <w:vAlign w:val="center"/>
          </w:tcPr>
          <w:p w14:paraId="71DC46F9">
            <w:pPr>
              <w:spacing w:line="240" w:lineRule="atLeast"/>
              <w:rPr>
                <w:rFonts w:ascii="Arial" w:hAnsi="Arial" w:eastAsia="仿宋_GB2312" w:cs="Arial"/>
                <w:szCs w:val="24"/>
                <w:highlight w:val="none"/>
              </w:rPr>
            </w:pPr>
            <w:r>
              <w:rPr>
                <w:rFonts w:ascii="Arial" w:hAnsi="Arial" w:eastAsia="仿宋_GB2312" w:cs="Arial"/>
                <w:szCs w:val="24"/>
                <w:highlight w:val="none"/>
              </w:rPr>
              <w:t>1.估价结果与同类用途房地产市场价格水平一致，且考虑了房地产市场发展趋势，取20～30分；</w:t>
            </w:r>
          </w:p>
        </w:tc>
        <w:tc>
          <w:tcPr>
            <w:tcW w:w="992" w:type="dxa"/>
            <w:vMerge w:val="restart"/>
            <w:shd w:val="clear" w:color="auto" w:fill="auto"/>
            <w:noWrap/>
            <w:vAlign w:val="center"/>
          </w:tcPr>
          <w:p w14:paraId="2A9BA94E">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5</w:t>
            </w:r>
          </w:p>
        </w:tc>
        <w:tc>
          <w:tcPr>
            <w:tcW w:w="853" w:type="dxa"/>
            <w:vMerge w:val="restart"/>
            <w:shd w:val="clear" w:color="auto" w:fill="auto"/>
            <w:noWrap/>
            <w:vAlign w:val="center"/>
          </w:tcPr>
          <w:p w14:paraId="30BAF013">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2</w:t>
            </w:r>
            <w:r>
              <w:rPr>
                <w:rFonts w:hint="eastAsia" w:ascii="Arial" w:hAnsi="Arial" w:eastAsia="仿宋_GB2312" w:cs="Arial"/>
                <w:szCs w:val="24"/>
                <w:highlight w:val="none"/>
              </w:rPr>
              <w:t>6</w:t>
            </w:r>
          </w:p>
        </w:tc>
      </w:tr>
      <w:tr w14:paraId="5950CA2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1A0E86E5">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3A59D1EA">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22D6C5DE">
            <w:pPr>
              <w:spacing w:line="240" w:lineRule="atLeast"/>
              <w:rPr>
                <w:rFonts w:ascii="Arial" w:hAnsi="Arial" w:eastAsia="仿宋_GB2312" w:cs="Arial"/>
                <w:szCs w:val="24"/>
                <w:highlight w:val="none"/>
              </w:rPr>
            </w:pPr>
            <w:r>
              <w:rPr>
                <w:rFonts w:ascii="Arial" w:hAnsi="Arial" w:eastAsia="仿宋_GB2312" w:cs="Arial"/>
                <w:szCs w:val="24"/>
                <w:highlight w:val="none"/>
              </w:rPr>
              <w:t>2.估价结果与同类用途房地产价格水平基本一致，且适当考虑了房地产市场发展趋势，取10～19分；</w:t>
            </w:r>
          </w:p>
        </w:tc>
        <w:tc>
          <w:tcPr>
            <w:tcW w:w="992" w:type="dxa"/>
            <w:vMerge w:val="continue"/>
            <w:vAlign w:val="center"/>
          </w:tcPr>
          <w:p w14:paraId="2471908B">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33C2F57F">
            <w:pPr>
              <w:widowControl/>
              <w:adjustRightInd/>
              <w:spacing w:line="240" w:lineRule="atLeast"/>
              <w:textAlignment w:val="auto"/>
              <w:rPr>
                <w:rFonts w:ascii="Arial" w:hAnsi="Arial" w:eastAsia="仿宋_GB2312" w:cs="Arial"/>
                <w:szCs w:val="24"/>
                <w:highlight w:val="none"/>
              </w:rPr>
            </w:pPr>
          </w:p>
        </w:tc>
      </w:tr>
      <w:tr w14:paraId="1D31DF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B68ED4D">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53646B5A">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4E77475E">
            <w:pPr>
              <w:spacing w:line="240" w:lineRule="atLeast"/>
              <w:rPr>
                <w:rFonts w:ascii="Arial" w:hAnsi="Arial" w:eastAsia="仿宋_GB2312" w:cs="Arial"/>
                <w:szCs w:val="24"/>
                <w:highlight w:val="none"/>
              </w:rPr>
            </w:pPr>
            <w:r>
              <w:rPr>
                <w:rFonts w:ascii="Arial" w:hAnsi="Arial" w:eastAsia="仿宋_GB2312" w:cs="Arial"/>
                <w:szCs w:val="24"/>
                <w:highlight w:val="none"/>
              </w:rPr>
              <w:t>3.估价结果与同类用途房地产价格水平有一定差距，且适当考虑房地产市场发展趋势，取0～9分；</w:t>
            </w:r>
          </w:p>
        </w:tc>
        <w:tc>
          <w:tcPr>
            <w:tcW w:w="992" w:type="dxa"/>
            <w:vMerge w:val="continue"/>
            <w:vAlign w:val="center"/>
          </w:tcPr>
          <w:p w14:paraId="50F9BBA9">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17A12C6C">
            <w:pPr>
              <w:widowControl/>
              <w:adjustRightInd/>
              <w:spacing w:line="240" w:lineRule="atLeast"/>
              <w:textAlignment w:val="auto"/>
              <w:rPr>
                <w:rFonts w:ascii="Arial" w:hAnsi="Arial" w:eastAsia="仿宋_GB2312" w:cs="Arial"/>
                <w:szCs w:val="24"/>
                <w:highlight w:val="none"/>
              </w:rPr>
            </w:pPr>
          </w:p>
        </w:tc>
      </w:tr>
      <w:tr w14:paraId="114F9C5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1D595C5E">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分值</w:t>
            </w:r>
          </w:p>
        </w:tc>
        <w:tc>
          <w:tcPr>
            <w:tcW w:w="992" w:type="dxa"/>
            <w:shd w:val="clear" w:color="auto" w:fill="auto"/>
            <w:noWrap/>
            <w:vAlign w:val="center"/>
          </w:tcPr>
          <w:p w14:paraId="08395493">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39</w:t>
            </w:r>
          </w:p>
        </w:tc>
        <w:tc>
          <w:tcPr>
            <w:tcW w:w="853" w:type="dxa"/>
            <w:shd w:val="clear" w:color="auto" w:fill="auto"/>
            <w:noWrap/>
            <w:vAlign w:val="center"/>
          </w:tcPr>
          <w:p w14:paraId="1A6E3763">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9</w:t>
            </w:r>
            <w:r>
              <w:rPr>
                <w:rFonts w:hint="eastAsia" w:ascii="Arial" w:hAnsi="Arial" w:eastAsia="仿宋_GB2312" w:cs="Arial"/>
                <w:szCs w:val="24"/>
                <w:highlight w:val="none"/>
              </w:rPr>
              <w:t>1</w:t>
            </w:r>
          </w:p>
        </w:tc>
      </w:tr>
      <w:tr w14:paraId="619544A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362DAB78">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权重</w:t>
            </w:r>
          </w:p>
        </w:tc>
        <w:tc>
          <w:tcPr>
            <w:tcW w:w="992" w:type="dxa"/>
            <w:shd w:val="clear" w:color="auto" w:fill="auto"/>
            <w:noWrap/>
            <w:vAlign w:val="center"/>
          </w:tcPr>
          <w:p w14:paraId="1117E9B9">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3</w:t>
            </w:r>
            <w:r>
              <w:rPr>
                <w:rFonts w:ascii="Arial" w:hAnsi="Arial" w:eastAsia="仿宋_GB2312" w:cs="Arial"/>
                <w:szCs w:val="24"/>
                <w:highlight w:val="none"/>
              </w:rPr>
              <w:t>0%</w:t>
            </w:r>
          </w:p>
        </w:tc>
        <w:tc>
          <w:tcPr>
            <w:tcW w:w="853" w:type="dxa"/>
            <w:shd w:val="clear" w:color="auto" w:fill="auto"/>
            <w:noWrap/>
            <w:vAlign w:val="center"/>
          </w:tcPr>
          <w:p w14:paraId="5D6E0A7D">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7</w:t>
            </w:r>
            <w:r>
              <w:rPr>
                <w:rFonts w:ascii="Arial" w:hAnsi="Arial" w:eastAsia="仿宋_GB2312" w:cs="Arial"/>
                <w:szCs w:val="24"/>
                <w:highlight w:val="none"/>
              </w:rPr>
              <w:t>0%</w:t>
            </w:r>
          </w:p>
        </w:tc>
      </w:tr>
    </w:tbl>
    <w:p w14:paraId="31C3388E">
      <w:pPr>
        <w:spacing w:before="120" w:beforeLines="50" w:line="300" w:lineRule="auto"/>
        <w:jc w:val="center"/>
        <w:rPr>
          <w:rFonts w:ascii="仿宋" w:hAnsi="仿宋" w:eastAsia="仿宋" w:cs="Arial"/>
          <w:sz w:val="28"/>
          <w:szCs w:val="28"/>
          <w:highlight w:val="none"/>
        </w:rPr>
      </w:pPr>
      <w:r>
        <w:rPr>
          <w:rFonts w:ascii="Arial" w:hAnsi="Arial" w:eastAsia="仿宋_GB2312" w:cs="Arial"/>
          <w:b/>
          <w:sz w:val="28"/>
          <w:highlight w:val="none"/>
        </w:rPr>
        <w:br w:type="page"/>
      </w:r>
      <w:r>
        <w:rPr>
          <w:rFonts w:hint="eastAsia" w:ascii="仿宋" w:hAnsi="仿宋" w:eastAsia="仿宋" w:cs="Arial"/>
          <w:sz w:val="28"/>
          <w:szCs w:val="28"/>
          <w:highlight w:val="none"/>
        </w:rPr>
        <w:t>公共管理与公共服务用地</w:t>
      </w:r>
      <w:r>
        <w:rPr>
          <w:rFonts w:ascii="仿宋" w:hAnsi="仿宋" w:eastAsia="仿宋" w:cs="Arial"/>
          <w:sz w:val="28"/>
          <w:szCs w:val="28"/>
          <w:highlight w:val="none"/>
        </w:rPr>
        <w:t>权重确定打分评价体系</w:t>
      </w:r>
    </w:p>
    <w:tbl>
      <w:tblPr>
        <w:tblStyle w:val="34"/>
        <w:tblW w:w="938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149"/>
        <w:gridCol w:w="708"/>
        <w:gridCol w:w="5387"/>
        <w:gridCol w:w="1334"/>
        <w:gridCol w:w="804"/>
      </w:tblGrid>
      <w:tr w14:paraId="43333EC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tblHeader/>
          <w:jc w:val="center"/>
        </w:trPr>
        <w:tc>
          <w:tcPr>
            <w:tcW w:w="1149" w:type="dxa"/>
            <w:vMerge w:val="restart"/>
            <w:noWrap/>
            <w:vAlign w:val="center"/>
          </w:tcPr>
          <w:p w14:paraId="295D6426">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评价因素</w:t>
            </w:r>
          </w:p>
        </w:tc>
        <w:tc>
          <w:tcPr>
            <w:tcW w:w="708" w:type="dxa"/>
            <w:vMerge w:val="restart"/>
            <w:noWrap/>
            <w:vAlign w:val="center"/>
          </w:tcPr>
          <w:p w14:paraId="7ED7C0FF">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标准分值</w:t>
            </w:r>
          </w:p>
        </w:tc>
        <w:tc>
          <w:tcPr>
            <w:tcW w:w="5387" w:type="dxa"/>
            <w:vMerge w:val="restart"/>
            <w:noWrap/>
            <w:vAlign w:val="center"/>
          </w:tcPr>
          <w:p w14:paraId="3613E382">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打分考虑因素</w:t>
            </w:r>
          </w:p>
        </w:tc>
        <w:tc>
          <w:tcPr>
            <w:tcW w:w="2138" w:type="dxa"/>
            <w:gridSpan w:val="2"/>
            <w:noWrap/>
            <w:vAlign w:val="center"/>
          </w:tcPr>
          <w:p w14:paraId="340BC938">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估价对象</w:t>
            </w:r>
          </w:p>
        </w:tc>
      </w:tr>
      <w:tr w14:paraId="600D7E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63" w:hRule="atLeast"/>
          <w:tblHeader/>
          <w:jc w:val="center"/>
        </w:trPr>
        <w:tc>
          <w:tcPr>
            <w:tcW w:w="1149" w:type="dxa"/>
            <w:vMerge w:val="continue"/>
            <w:vAlign w:val="center"/>
          </w:tcPr>
          <w:p w14:paraId="1FFB9B61">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1284983B">
            <w:pPr>
              <w:widowControl/>
              <w:adjustRightInd/>
              <w:spacing w:line="240" w:lineRule="atLeast"/>
              <w:textAlignment w:val="auto"/>
              <w:rPr>
                <w:rFonts w:ascii="Arial" w:hAnsi="Arial" w:eastAsia="仿宋" w:cs="Arial"/>
                <w:szCs w:val="24"/>
                <w:highlight w:val="none"/>
              </w:rPr>
            </w:pPr>
          </w:p>
        </w:tc>
        <w:tc>
          <w:tcPr>
            <w:tcW w:w="5387" w:type="dxa"/>
            <w:vMerge w:val="continue"/>
            <w:vAlign w:val="center"/>
          </w:tcPr>
          <w:p w14:paraId="03D0C78F">
            <w:pPr>
              <w:widowControl/>
              <w:adjustRightInd/>
              <w:spacing w:line="240" w:lineRule="atLeast"/>
              <w:textAlignment w:val="auto"/>
              <w:rPr>
                <w:rFonts w:ascii="Arial" w:hAnsi="Arial" w:eastAsia="仿宋" w:cs="Arial"/>
                <w:szCs w:val="24"/>
                <w:highlight w:val="none"/>
              </w:rPr>
            </w:pPr>
          </w:p>
        </w:tc>
        <w:tc>
          <w:tcPr>
            <w:tcW w:w="1334" w:type="dxa"/>
            <w:noWrap/>
            <w:vAlign w:val="center"/>
          </w:tcPr>
          <w:p w14:paraId="7B846E4B">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基准地价系数修正法</w:t>
            </w:r>
          </w:p>
        </w:tc>
        <w:tc>
          <w:tcPr>
            <w:tcW w:w="804" w:type="dxa"/>
            <w:noWrap/>
            <w:vAlign w:val="center"/>
          </w:tcPr>
          <w:p w14:paraId="2288400A">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剩余法</w:t>
            </w:r>
          </w:p>
        </w:tc>
      </w:tr>
      <w:tr w14:paraId="00F0675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9" w:hRule="atLeast"/>
          <w:jc w:val="center"/>
        </w:trPr>
        <w:tc>
          <w:tcPr>
            <w:tcW w:w="1149" w:type="dxa"/>
            <w:vMerge w:val="restart"/>
            <w:vAlign w:val="center"/>
          </w:tcPr>
          <w:p w14:paraId="00C636AC">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估价方法的代表性</w:t>
            </w:r>
          </w:p>
        </w:tc>
        <w:tc>
          <w:tcPr>
            <w:tcW w:w="708" w:type="dxa"/>
            <w:vMerge w:val="restart"/>
            <w:noWrap/>
            <w:vAlign w:val="center"/>
          </w:tcPr>
          <w:p w14:paraId="4F2C20CD">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25</w:t>
            </w:r>
          </w:p>
        </w:tc>
        <w:tc>
          <w:tcPr>
            <w:tcW w:w="5387" w:type="dxa"/>
            <w:noWrap/>
            <w:vAlign w:val="center"/>
          </w:tcPr>
          <w:p w14:paraId="6AF33AC7">
            <w:pPr>
              <w:spacing w:line="240" w:lineRule="atLeast"/>
              <w:rPr>
                <w:rFonts w:ascii="Arial" w:hAnsi="Arial" w:eastAsia="仿宋" w:cs="Arial"/>
                <w:szCs w:val="24"/>
                <w:highlight w:val="none"/>
              </w:rPr>
            </w:pPr>
            <w:r>
              <w:rPr>
                <w:rFonts w:ascii="Arial" w:hAnsi="Arial" w:eastAsia="仿宋" w:cs="Arial"/>
                <w:szCs w:val="24"/>
                <w:highlight w:val="none"/>
              </w:rPr>
              <w:t>1.估价方法选取分析充分、合理，取20～25分；</w:t>
            </w:r>
          </w:p>
        </w:tc>
        <w:tc>
          <w:tcPr>
            <w:tcW w:w="1334" w:type="dxa"/>
            <w:vMerge w:val="restart"/>
            <w:noWrap/>
            <w:vAlign w:val="center"/>
          </w:tcPr>
          <w:p w14:paraId="1022D596">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20</w:t>
            </w:r>
          </w:p>
        </w:tc>
        <w:tc>
          <w:tcPr>
            <w:tcW w:w="804" w:type="dxa"/>
            <w:vMerge w:val="restart"/>
            <w:noWrap/>
            <w:vAlign w:val="center"/>
          </w:tcPr>
          <w:p w14:paraId="2368A78C">
            <w:pPr>
              <w:spacing w:line="240" w:lineRule="atLeast"/>
              <w:jc w:val="center"/>
              <w:rPr>
                <w:rFonts w:ascii="Arial" w:hAnsi="Arial" w:eastAsia="仿宋" w:cs="Arial"/>
                <w:szCs w:val="24"/>
                <w:highlight w:val="none"/>
              </w:rPr>
            </w:pPr>
            <w:r>
              <w:rPr>
                <w:rFonts w:ascii="Arial" w:hAnsi="Arial" w:eastAsia="仿宋" w:cs="Arial"/>
                <w:szCs w:val="24"/>
                <w:highlight w:val="none"/>
              </w:rPr>
              <w:t>20</w:t>
            </w:r>
          </w:p>
        </w:tc>
      </w:tr>
      <w:tr w14:paraId="571D4A9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21B991BB">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671888F3">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334ACBB3">
            <w:pPr>
              <w:spacing w:line="240" w:lineRule="atLeast"/>
              <w:rPr>
                <w:rFonts w:ascii="Arial" w:hAnsi="Arial" w:eastAsia="仿宋" w:cs="Arial"/>
                <w:szCs w:val="24"/>
                <w:highlight w:val="none"/>
              </w:rPr>
            </w:pPr>
            <w:r>
              <w:rPr>
                <w:rFonts w:ascii="Arial" w:hAnsi="Arial" w:eastAsia="仿宋" w:cs="Arial"/>
                <w:szCs w:val="24"/>
                <w:highlight w:val="none"/>
              </w:rPr>
              <w:t>2.估价方法选取分析较充分、合理，取10～19分；</w:t>
            </w:r>
          </w:p>
        </w:tc>
        <w:tc>
          <w:tcPr>
            <w:tcW w:w="1334" w:type="dxa"/>
            <w:vMerge w:val="continue"/>
            <w:vAlign w:val="center"/>
          </w:tcPr>
          <w:p w14:paraId="57756619">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4DDA9F47">
            <w:pPr>
              <w:widowControl/>
              <w:adjustRightInd/>
              <w:spacing w:line="240" w:lineRule="atLeast"/>
              <w:textAlignment w:val="auto"/>
              <w:rPr>
                <w:rFonts w:ascii="Arial" w:hAnsi="Arial" w:eastAsia="仿宋" w:cs="Arial"/>
                <w:szCs w:val="24"/>
                <w:highlight w:val="none"/>
              </w:rPr>
            </w:pPr>
          </w:p>
        </w:tc>
      </w:tr>
      <w:tr w14:paraId="139924C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19C3A753">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01F6E988">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7869B9BB">
            <w:pPr>
              <w:spacing w:line="240" w:lineRule="atLeast"/>
              <w:rPr>
                <w:rFonts w:ascii="Arial" w:hAnsi="Arial" w:eastAsia="仿宋" w:cs="Arial"/>
                <w:szCs w:val="24"/>
                <w:highlight w:val="none"/>
              </w:rPr>
            </w:pPr>
            <w:r>
              <w:rPr>
                <w:rFonts w:ascii="Arial" w:hAnsi="Arial" w:eastAsia="仿宋" w:cs="Arial"/>
                <w:szCs w:val="24"/>
                <w:highlight w:val="none"/>
              </w:rPr>
              <w:t>3.估价方法选取分析较不充分，取0～9分；</w:t>
            </w:r>
          </w:p>
        </w:tc>
        <w:tc>
          <w:tcPr>
            <w:tcW w:w="1334" w:type="dxa"/>
            <w:vMerge w:val="continue"/>
            <w:vAlign w:val="center"/>
          </w:tcPr>
          <w:p w14:paraId="0B07250A">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2C249C9E">
            <w:pPr>
              <w:widowControl/>
              <w:adjustRightInd/>
              <w:spacing w:line="240" w:lineRule="atLeast"/>
              <w:textAlignment w:val="auto"/>
              <w:rPr>
                <w:rFonts w:ascii="Arial" w:hAnsi="Arial" w:eastAsia="仿宋" w:cs="Arial"/>
                <w:szCs w:val="24"/>
                <w:highlight w:val="none"/>
              </w:rPr>
            </w:pPr>
          </w:p>
        </w:tc>
      </w:tr>
      <w:tr w14:paraId="7F76D2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restart"/>
            <w:vAlign w:val="center"/>
          </w:tcPr>
          <w:p w14:paraId="7524B5CA">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估价方法所要求的估价资料的完整性</w:t>
            </w:r>
          </w:p>
        </w:tc>
        <w:tc>
          <w:tcPr>
            <w:tcW w:w="708" w:type="dxa"/>
            <w:vMerge w:val="restart"/>
            <w:vAlign w:val="center"/>
          </w:tcPr>
          <w:p w14:paraId="1C5EFBDF">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15</w:t>
            </w:r>
          </w:p>
        </w:tc>
        <w:tc>
          <w:tcPr>
            <w:tcW w:w="5387" w:type="dxa"/>
            <w:noWrap/>
            <w:vAlign w:val="center"/>
          </w:tcPr>
          <w:p w14:paraId="02F16CA9">
            <w:pPr>
              <w:spacing w:line="240" w:lineRule="atLeast"/>
              <w:rPr>
                <w:rFonts w:ascii="Arial" w:hAnsi="Arial" w:eastAsia="仿宋" w:cs="Arial"/>
                <w:szCs w:val="24"/>
                <w:highlight w:val="none"/>
              </w:rPr>
            </w:pPr>
            <w:r>
              <w:rPr>
                <w:rFonts w:ascii="Arial" w:hAnsi="Arial" w:eastAsia="仿宋" w:cs="Arial"/>
                <w:szCs w:val="24"/>
                <w:highlight w:val="none"/>
              </w:rPr>
              <w:t>1.估价资料完整，来源依据充分，取10～15分；</w:t>
            </w:r>
          </w:p>
        </w:tc>
        <w:tc>
          <w:tcPr>
            <w:tcW w:w="1334" w:type="dxa"/>
            <w:vMerge w:val="restart"/>
            <w:noWrap/>
            <w:vAlign w:val="center"/>
          </w:tcPr>
          <w:p w14:paraId="02E25049">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15</w:t>
            </w:r>
          </w:p>
        </w:tc>
        <w:tc>
          <w:tcPr>
            <w:tcW w:w="804" w:type="dxa"/>
            <w:vMerge w:val="restart"/>
            <w:noWrap/>
            <w:vAlign w:val="center"/>
          </w:tcPr>
          <w:p w14:paraId="3F2EBF89">
            <w:pPr>
              <w:spacing w:line="240" w:lineRule="atLeast"/>
              <w:jc w:val="center"/>
              <w:rPr>
                <w:rFonts w:ascii="Arial" w:hAnsi="Arial" w:eastAsia="仿宋" w:cs="Arial"/>
                <w:szCs w:val="24"/>
                <w:highlight w:val="none"/>
              </w:rPr>
            </w:pPr>
            <w:r>
              <w:rPr>
                <w:rFonts w:ascii="Arial" w:hAnsi="Arial" w:eastAsia="仿宋" w:cs="Arial"/>
                <w:szCs w:val="24"/>
                <w:highlight w:val="none"/>
              </w:rPr>
              <w:t>15</w:t>
            </w:r>
          </w:p>
        </w:tc>
      </w:tr>
      <w:tr w14:paraId="64DC9F5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32" w:hRule="atLeast"/>
          <w:jc w:val="center"/>
        </w:trPr>
        <w:tc>
          <w:tcPr>
            <w:tcW w:w="1149" w:type="dxa"/>
            <w:vMerge w:val="continue"/>
            <w:vAlign w:val="center"/>
          </w:tcPr>
          <w:p w14:paraId="0C72208C">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115742A6">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5BA49F16">
            <w:pPr>
              <w:spacing w:line="240" w:lineRule="atLeast"/>
              <w:rPr>
                <w:rFonts w:ascii="Arial" w:hAnsi="Arial" w:eastAsia="仿宋" w:cs="Arial"/>
                <w:szCs w:val="24"/>
                <w:highlight w:val="none"/>
              </w:rPr>
            </w:pPr>
            <w:r>
              <w:rPr>
                <w:rFonts w:ascii="Arial" w:hAnsi="Arial" w:eastAsia="仿宋" w:cs="Arial"/>
                <w:szCs w:val="24"/>
                <w:highlight w:val="none"/>
              </w:rPr>
              <w:t>2.估价资料有欠缺，来源依据较不充分，取0～9分；</w:t>
            </w:r>
          </w:p>
        </w:tc>
        <w:tc>
          <w:tcPr>
            <w:tcW w:w="1334" w:type="dxa"/>
            <w:vMerge w:val="continue"/>
            <w:vAlign w:val="center"/>
          </w:tcPr>
          <w:p w14:paraId="55780574">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787613A5">
            <w:pPr>
              <w:widowControl/>
              <w:adjustRightInd/>
              <w:spacing w:line="240" w:lineRule="atLeast"/>
              <w:textAlignment w:val="auto"/>
              <w:rPr>
                <w:rFonts w:ascii="Arial" w:hAnsi="Arial" w:eastAsia="仿宋" w:cs="Arial"/>
                <w:szCs w:val="24"/>
                <w:highlight w:val="none"/>
              </w:rPr>
            </w:pPr>
          </w:p>
        </w:tc>
      </w:tr>
      <w:tr w14:paraId="4192B47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7ED9DD4A">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参数选取的客观性</w:t>
            </w:r>
          </w:p>
        </w:tc>
        <w:tc>
          <w:tcPr>
            <w:tcW w:w="708" w:type="dxa"/>
            <w:vMerge w:val="restart"/>
            <w:vAlign w:val="center"/>
          </w:tcPr>
          <w:p w14:paraId="070B566C">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15</w:t>
            </w:r>
          </w:p>
        </w:tc>
        <w:tc>
          <w:tcPr>
            <w:tcW w:w="5387" w:type="dxa"/>
            <w:noWrap/>
            <w:vAlign w:val="center"/>
          </w:tcPr>
          <w:p w14:paraId="58FF2E7F">
            <w:pPr>
              <w:spacing w:line="240" w:lineRule="atLeast"/>
              <w:rPr>
                <w:rFonts w:ascii="Arial" w:hAnsi="Arial" w:eastAsia="仿宋" w:cs="Arial"/>
                <w:szCs w:val="24"/>
                <w:highlight w:val="none"/>
              </w:rPr>
            </w:pPr>
            <w:r>
              <w:rPr>
                <w:rFonts w:ascii="Arial" w:hAnsi="Arial" w:eastAsia="仿宋" w:cs="Arial"/>
                <w:szCs w:val="24"/>
                <w:highlight w:val="none"/>
              </w:rPr>
              <w:t>1.参数从市场上获取，或从权威机构发布的信息上获取，取10～15分；</w:t>
            </w:r>
          </w:p>
        </w:tc>
        <w:tc>
          <w:tcPr>
            <w:tcW w:w="1334" w:type="dxa"/>
            <w:vMerge w:val="restart"/>
            <w:noWrap/>
            <w:vAlign w:val="center"/>
          </w:tcPr>
          <w:p w14:paraId="50A79FFE">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15</w:t>
            </w:r>
          </w:p>
        </w:tc>
        <w:tc>
          <w:tcPr>
            <w:tcW w:w="804" w:type="dxa"/>
            <w:vMerge w:val="restart"/>
            <w:noWrap/>
            <w:vAlign w:val="center"/>
          </w:tcPr>
          <w:p w14:paraId="49B1B5A7">
            <w:pPr>
              <w:spacing w:line="240" w:lineRule="atLeast"/>
              <w:jc w:val="center"/>
              <w:rPr>
                <w:rFonts w:ascii="Arial" w:hAnsi="Arial" w:eastAsia="仿宋" w:cs="Arial"/>
                <w:szCs w:val="24"/>
                <w:highlight w:val="none"/>
              </w:rPr>
            </w:pPr>
            <w:r>
              <w:rPr>
                <w:rFonts w:ascii="Arial" w:hAnsi="Arial" w:eastAsia="仿宋" w:cs="Arial"/>
                <w:szCs w:val="24"/>
                <w:highlight w:val="none"/>
              </w:rPr>
              <w:t>15</w:t>
            </w:r>
          </w:p>
        </w:tc>
      </w:tr>
      <w:tr w14:paraId="5A6A550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continue"/>
            <w:vAlign w:val="center"/>
          </w:tcPr>
          <w:p w14:paraId="3422092E">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18C6FC49">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24C93671">
            <w:pPr>
              <w:spacing w:line="240" w:lineRule="atLeast"/>
              <w:rPr>
                <w:rFonts w:ascii="Arial" w:hAnsi="Arial" w:eastAsia="仿宋" w:cs="Arial"/>
                <w:szCs w:val="24"/>
                <w:highlight w:val="none"/>
              </w:rPr>
            </w:pPr>
            <w:r>
              <w:rPr>
                <w:rFonts w:ascii="Arial" w:hAnsi="Arial" w:eastAsia="仿宋" w:cs="Arial"/>
                <w:szCs w:val="24"/>
                <w:highlight w:val="none"/>
              </w:rPr>
              <w:t>2.部分参数为自行分析取得，理由较充分，取0～9分；</w:t>
            </w:r>
          </w:p>
        </w:tc>
        <w:tc>
          <w:tcPr>
            <w:tcW w:w="1334" w:type="dxa"/>
            <w:vMerge w:val="continue"/>
            <w:vAlign w:val="center"/>
          </w:tcPr>
          <w:p w14:paraId="563A502F">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162311B0">
            <w:pPr>
              <w:widowControl/>
              <w:adjustRightInd/>
              <w:spacing w:line="240" w:lineRule="atLeast"/>
              <w:textAlignment w:val="auto"/>
              <w:rPr>
                <w:rFonts w:ascii="Arial" w:hAnsi="Arial" w:eastAsia="仿宋" w:cs="Arial"/>
                <w:szCs w:val="24"/>
                <w:highlight w:val="none"/>
              </w:rPr>
            </w:pPr>
          </w:p>
        </w:tc>
      </w:tr>
      <w:tr w14:paraId="7AE5DD1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3C4C709E">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参数确定的时效性</w:t>
            </w:r>
          </w:p>
        </w:tc>
        <w:tc>
          <w:tcPr>
            <w:tcW w:w="708" w:type="dxa"/>
            <w:vMerge w:val="restart"/>
            <w:vAlign w:val="center"/>
          </w:tcPr>
          <w:p w14:paraId="5B892208">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15</w:t>
            </w:r>
          </w:p>
        </w:tc>
        <w:tc>
          <w:tcPr>
            <w:tcW w:w="5387" w:type="dxa"/>
            <w:noWrap/>
            <w:vAlign w:val="center"/>
          </w:tcPr>
          <w:p w14:paraId="36EB756F">
            <w:pPr>
              <w:spacing w:line="240" w:lineRule="atLeast"/>
              <w:rPr>
                <w:rFonts w:ascii="Arial" w:hAnsi="Arial" w:eastAsia="仿宋" w:cs="Arial"/>
                <w:szCs w:val="24"/>
                <w:highlight w:val="none"/>
              </w:rPr>
            </w:pPr>
            <w:r>
              <w:rPr>
                <w:rFonts w:ascii="Arial" w:hAnsi="Arial" w:eastAsia="仿宋" w:cs="Arial"/>
                <w:szCs w:val="24"/>
                <w:highlight w:val="none"/>
              </w:rPr>
              <w:t>1.参数在规定的时效范围内，且距估价期日未超过1年，取10～15分；</w:t>
            </w:r>
          </w:p>
        </w:tc>
        <w:tc>
          <w:tcPr>
            <w:tcW w:w="1334" w:type="dxa"/>
            <w:vMerge w:val="restart"/>
            <w:noWrap/>
            <w:vAlign w:val="center"/>
          </w:tcPr>
          <w:p w14:paraId="0204E5B7">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15</w:t>
            </w:r>
          </w:p>
        </w:tc>
        <w:tc>
          <w:tcPr>
            <w:tcW w:w="804" w:type="dxa"/>
            <w:vMerge w:val="restart"/>
            <w:noWrap/>
            <w:vAlign w:val="center"/>
          </w:tcPr>
          <w:p w14:paraId="10ED4E69">
            <w:pPr>
              <w:spacing w:line="240" w:lineRule="atLeast"/>
              <w:jc w:val="center"/>
              <w:rPr>
                <w:rFonts w:ascii="Arial" w:hAnsi="Arial" w:eastAsia="仿宋" w:cs="Arial"/>
                <w:szCs w:val="24"/>
                <w:highlight w:val="none"/>
              </w:rPr>
            </w:pPr>
            <w:r>
              <w:rPr>
                <w:rFonts w:ascii="Arial" w:hAnsi="Arial" w:eastAsia="仿宋" w:cs="Arial"/>
                <w:szCs w:val="24"/>
                <w:highlight w:val="none"/>
              </w:rPr>
              <w:t>15</w:t>
            </w:r>
          </w:p>
        </w:tc>
      </w:tr>
      <w:tr w14:paraId="18B2602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5F5F04F5">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5B4E09F0">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5BE01B58">
            <w:pPr>
              <w:spacing w:line="240" w:lineRule="atLeast"/>
              <w:rPr>
                <w:rFonts w:ascii="Arial" w:hAnsi="Arial" w:eastAsia="仿宋" w:cs="Arial"/>
                <w:szCs w:val="24"/>
                <w:highlight w:val="none"/>
              </w:rPr>
            </w:pPr>
            <w:r>
              <w:rPr>
                <w:rFonts w:ascii="Arial" w:hAnsi="Arial" w:eastAsia="仿宋" w:cs="Arial"/>
                <w:szCs w:val="24"/>
                <w:highlight w:val="none"/>
              </w:rPr>
              <w:t>2.参数在规定的时效范围内，但距估价期日超过1年，取0～9分；</w:t>
            </w:r>
          </w:p>
        </w:tc>
        <w:tc>
          <w:tcPr>
            <w:tcW w:w="1334" w:type="dxa"/>
            <w:vMerge w:val="continue"/>
            <w:vAlign w:val="center"/>
          </w:tcPr>
          <w:p w14:paraId="3F85F308">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10C9619C">
            <w:pPr>
              <w:widowControl/>
              <w:adjustRightInd/>
              <w:spacing w:line="240" w:lineRule="atLeast"/>
              <w:textAlignment w:val="auto"/>
              <w:rPr>
                <w:rFonts w:ascii="Arial" w:hAnsi="Arial" w:eastAsia="仿宋" w:cs="Arial"/>
                <w:szCs w:val="24"/>
                <w:highlight w:val="none"/>
              </w:rPr>
            </w:pPr>
          </w:p>
        </w:tc>
      </w:tr>
      <w:tr w14:paraId="101FF40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0E1ED69D">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估价结果的现势性</w:t>
            </w:r>
          </w:p>
        </w:tc>
        <w:tc>
          <w:tcPr>
            <w:tcW w:w="708" w:type="dxa"/>
            <w:vMerge w:val="restart"/>
            <w:noWrap/>
            <w:vAlign w:val="center"/>
          </w:tcPr>
          <w:p w14:paraId="501C0BD7">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30</w:t>
            </w:r>
          </w:p>
        </w:tc>
        <w:tc>
          <w:tcPr>
            <w:tcW w:w="5387" w:type="dxa"/>
            <w:noWrap/>
            <w:vAlign w:val="center"/>
          </w:tcPr>
          <w:p w14:paraId="5EFF29E5">
            <w:pPr>
              <w:spacing w:line="240" w:lineRule="atLeast"/>
              <w:rPr>
                <w:rFonts w:ascii="Arial" w:hAnsi="Arial" w:eastAsia="仿宋" w:cs="Arial"/>
                <w:szCs w:val="24"/>
                <w:highlight w:val="none"/>
              </w:rPr>
            </w:pPr>
            <w:r>
              <w:rPr>
                <w:rFonts w:ascii="Arial" w:hAnsi="Arial" w:eastAsia="仿宋" w:cs="Arial"/>
                <w:szCs w:val="24"/>
                <w:highlight w:val="none"/>
              </w:rPr>
              <w:t>1.估价结果与同类用途房地产市场价格水平一致，且考虑了房地产市场发展趋势，取20～30分；</w:t>
            </w:r>
          </w:p>
        </w:tc>
        <w:tc>
          <w:tcPr>
            <w:tcW w:w="1334" w:type="dxa"/>
            <w:vMerge w:val="restart"/>
            <w:noWrap/>
            <w:vAlign w:val="center"/>
          </w:tcPr>
          <w:p w14:paraId="7DF71A84">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25</w:t>
            </w:r>
          </w:p>
        </w:tc>
        <w:tc>
          <w:tcPr>
            <w:tcW w:w="804" w:type="dxa"/>
            <w:vMerge w:val="restart"/>
            <w:noWrap/>
            <w:vAlign w:val="center"/>
          </w:tcPr>
          <w:p w14:paraId="0BC1427A">
            <w:pPr>
              <w:spacing w:line="240" w:lineRule="atLeast"/>
              <w:jc w:val="center"/>
              <w:rPr>
                <w:rFonts w:ascii="Arial" w:hAnsi="Arial" w:eastAsia="仿宋" w:cs="Arial"/>
                <w:szCs w:val="24"/>
                <w:highlight w:val="none"/>
              </w:rPr>
            </w:pPr>
            <w:r>
              <w:rPr>
                <w:rFonts w:ascii="Arial" w:hAnsi="Arial" w:eastAsia="仿宋" w:cs="Arial"/>
                <w:szCs w:val="24"/>
                <w:highlight w:val="none"/>
              </w:rPr>
              <w:t>25</w:t>
            </w:r>
          </w:p>
        </w:tc>
      </w:tr>
      <w:tr w14:paraId="6FB4A55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02" w:hRule="atLeast"/>
          <w:jc w:val="center"/>
        </w:trPr>
        <w:tc>
          <w:tcPr>
            <w:tcW w:w="1149" w:type="dxa"/>
            <w:vMerge w:val="continue"/>
            <w:vAlign w:val="center"/>
          </w:tcPr>
          <w:p w14:paraId="34E067E3">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1FFE38AC">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76D0E3B7">
            <w:pPr>
              <w:spacing w:line="240" w:lineRule="atLeast"/>
              <w:rPr>
                <w:rFonts w:ascii="Arial" w:hAnsi="Arial" w:eastAsia="仿宋" w:cs="Arial"/>
                <w:szCs w:val="24"/>
                <w:highlight w:val="none"/>
              </w:rPr>
            </w:pPr>
            <w:r>
              <w:rPr>
                <w:rFonts w:ascii="Arial" w:hAnsi="Arial" w:eastAsia="仿宋" w:cs="Arial"/>
                <w:szCs w:val="24"/>
                <w:highlight w:val="none"/>
              </w:rPr>
              <w:t>2.估价结果与同类用途房地产价格水平基本一致，且适当考虑了房地产市场发展趋势，取10～19分；</w:t>
            </w:r>
          </w:p>
        </w:tc>
        <w:tc>
          <w:tcPr>
            <w:tcW w:w="1334" w:type="dxa"/>
            <w:vMerge w:val="continue"/>
            <w:vAlign w:val="center"/>
          </w:tcPr>
          <w:p w14:paraId="46BCDD64">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56860D2F">
            <w:pPr>
              <w:widowControl/>
              <w:adjustRightInd/>
              <w:spacing w:line="240" w:lineRule="atLeast"/>
              <w:textAlignment w:val="auto"/>
              <w:rPr>
                <w:rFonts w:ascii="Arial" w:hAnsi="Arial" w:eastAsia="仿宋" w:cs="Arial"/>
                <w:szCs w:val="24"/>
                <w:highlight w:val="none"/>
              </w:rPr>
            </w:pPr>
          </w:p>
        </w:tc>
      </w:tr>
      <w:tr w14:paraId="2BCD25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00377EE1">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6C0B3ED9">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0677051F">
            <w:pPr>
              <w:spacing w:line="240" w:lineRule="atLeast"/>
              <w:rPr>
                <w:rFonts w:ascii="Arial" w:hAnsi="Arial" w:eastAsia="仿宋" w:cs="Arial"/>
                <w:szCs w:val="24"/>
                <w:highlight w:val="none"/>
              </w:rPr>
            </w:pPr>
            <w:r>
              <w:rPr>
                <w:rFonts w:ascii="Arial" w:hAnsi="Arial" w:eastAsia="仿宋" w:cs="Arial"/>
                <w:szCs w:val="24"/>
                <w:highlight w:val="none"/>
              </w:rPr>
              <w:t>3.估价结果与同类用途房地产价格水平有一定差距，且适当考虑房地产市场发展趋势，取0～9分；</w:t>
            </w:r>
          </w:p>
        </w:tc>
        <w:tc>
          <w:tcPr>
            <w:tcW w:w="1334" w:type="dxa"/>
            <w:vMerge w:val="continue"/>
            <w:vAlign w:val="center"/>
          </w:tcPr>
          <w:p w14:paraId="1F0C228C">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2F9615C0">
            <w:pPr>
              <w:widowControl/>
              <w:adjustRightInd/>
              <w:spacing w:line="240" w:lineRule="atLeast"/>
              <w:textAlignment w:val="auto"/>
              <w:rPr>
                <w:rFonts w:ascii="Arial" w:hAnsi="Arial" w:eastAsia="仿宋" w:cs="Arial"/>
                <w:szCs w:val="24"/>
                <w:highlight w:val="none"/>
              </w:rPr>
            </w:pPr>
          </w:p>
        </w:tc>
      </w:tr>
      <w:tr w14:paraId="39587CB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47" w:hRule="atLeast"/>
          <w:jc w:val="center"/>
        </w:trPr>
        <w:tc>
          <w:tcPr>
            <w:tcW w:w="7244" w:type="dxa"/>
            <w:gridSpan w:val="3"/>
            <w:noWrap/>
            <w:vAlign w:val="center"/>
          </w:tcPr>
          <w:p w14:paraId="782EA0D3">
            <w:pPr>
              <w:widowControl/>
              <w:adjustRightInd/>
              <w:spacing w:line="240" w:lineRule="atLeast"/>
              <w:jc w:val="center"/>
              <w:textAlignment w:val="auto"/>
              <w:rPr>
                <w:rFonts w:ascii="Arial" w:hAnsi="Arial" w:eastAsia="仿宋" w:cs="Arial"/>
                <w:b/>
                <w:bCs/>
                <w:szCs w:val="24"/>
                <w:highlight w:val="none"/>
              </w:rPr>
            </w:pPr>
            <w:r>
              <w:rPr>
                <w:rFonts w:ascii="Arial" w:hAnsi="Arial" w:eastAsia="仿宋" w:cs="Arial"/>
                <w:b/>
                <w:bCs/>
                <w:szCs w:val="24"/>
                <w:highlight w:val="none"/>
              </w:rPr>
              <w:t>分值</w:t>
            </w:r>
          </w:p>
        </w:tc>
        <w:tc>
          <w:tcPr>
            <w:tcW w:w="1334" w:type="dxa"/>
            <w:noWrap/>
            <w:vAlign w:val="center"/>
          </w:tcPr>
          <w:p w14:paraId="2FDCA994">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90</w:t>
            </w:r>
          </w:p>
        </w:tc>
        <w:tc>
          <w:tcPr>
            <w:tcW w:w="804" w:type="dxa"/>
            <w:noWrap/>
            <w:vAlign w:val="center"/>
          </w:tcPr>
          <w:p w14:paraId="3F624E09">
            <w:pPr>
              <w:spacing w:line="240" w:lineRule="atLeast"/>
              <w:jc w:val="center"/>
              <w:rPr>
                <w:rFonts w:ascii="Arial" w:hAnsi="Arial" w:eastAsia="仿宋" w:cs="Arial"/>
                <w:szCs w:val="24"/>
                <w:highlight w:val="none"/>
              </w:rPr>
            </w:pPr>
            <w:r>
              <w:rPr>
                <w:rFonts w:ascii="Arial" w:hAnsi="Arial" w:eastAsia="仿宋" w:cs="Arial"/>
                <w:szCs w:val="24"/>
                <w:highlight w:val="none"/>
              </w:rPr>
              <w:t>90</w:t>
            </w:r>
          </w:p>
        </w:tc>
      </w:tr>
      <w:tr w14:paraId="1C9BB2C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62" w:hRule="atLeast"/>
          <w:jc w:val="center"/>
        </w:trPr>
        <w:tc>
          <w:tcPr>
            <w:tcW w:w="7244" w:type="dxa"/>
            <w:gridSpan w:val="3"/>
            <w:noWrap/>
            <w:vAlign w:val="center"/>
          </w:tcPr>
          <w:p w14:paraId="12B67E30">
            <w:pPr>
              <w:widowControl/>
              <w:adjustRightInd/>
              <w:spacing w:line="240" w:lineRule="atLeast"/>
              <w:jc w:val="center"/>
              <w:textAlignment w:val="auto"/>
              <w:rPr>
                <w:rFonts w:ascii="Arial" w:hAnsi="Arial" w:eastAsia="仿宋" w:cs="Arial"/>
                <w:b/>
                <w:bCs/>
                <w:szCs w:val="24"/>
                <w:highlight w:val="none"/>
              </w:rPr>
            </w:pPr>
            <w:r>
              <w:rPr>
                <w:rFonts w:ascii="Arial" w:hAnsi="Arial" w:eastAsia="仿宋" w:cs="Arial"/>
                <w:b/>
                <w:bCs/>
                <w:szCs w:val="24"/>
                <w:highlight w:val="none"/>
              </w:rPr>
              <w:t>权重</w:t>
            </w:r>
          </w:p>
        </w:tc>
        <w:tc>
          <w:tcPr>
            <w:tcW w:w="1334" w:type="dxa"/>
            <w:noWrap/>
            <w:vAlign w:val="center"/>
          </w:tcPr>
          <w:p w14:paraId="7E139FE5">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5</w:t>
            </w:r>
            <w:r>
              <w:rPr>
                <w:rFonts w:ascii="Arial" w:hAnsi="Arial" w:eastAsia="仿宋" w:cs="Arial"/>
                <w:szCs w:val="24"/>
                <w:highlight w:val="none"/>
              </w:rPr>
              <w:t>0%</w:t>
            </w:r>
          </w:p>
        </w:tc>
        <w:tc>
          <w:tcPr>
            <w:tcW w:w="804" w:type="dxa"/>
            <w:noWrap/>
            <w:vAlign w:val="center"/>
          </w:tcPr>
          <w:p w14:paraId="51EA17B1">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5</w:t>
            </w:r>
            <w:r>
              <w:rPr>
                <w:rFonts w:ascii="Arial" w:hAnsi="Arial" w:eastAsia="仿宋" w:cs="Arial"/>
                <w:szCs w:val="24"/>
                <w:highlight w:val="none"/>
              </w:rPr>
              <w:t>0%</w:t>
            </w:r>
          </w:p>
        </w:tc>
      </w:tr>
    </w:tbl>
    <w:p w14:paraId="1C25343D">
      <w:pPr>
        <w:spacing w:before="120" w:beforeLines="50" w:line="300" w:lineRule="auto"/>
        <w:jc w:val="both"/>
        <w:rPr>
          <w:rFonts w:ascii="Arial" w:hAnsi="Arial" w:eastAsia="仿宋_GB2312" w:cs="Arial"/>
          <w:b/>
          <w:sz w:val="28"/>
          <w:highlight w:val="none"/>
        </w:rPr>
      </w:pPr>
    </w:p>
    <w:p w14:paraId="5A51BC62">
      <w:pPr>
        <w:spacing w:before="120" w:beforeLines="50" w:line="300" w:lineRule="auto"/>
        <w:jc w:val="both"/>
        <w:rPr>
          <w:rFonts w:ascii="Arial" w:hAnsi="Arial" w:eastAsia="仿宋_GB2312" w:cs="Arial"/>
          <w:b/>
          <w:sz w:val="28"/>
          <w:highlight w:val="none"/>
        </w:rPr>
      </w:pPr>
    </w:p>
    <w:p w14:paraId="0CB4EC99">
      <w:pPr>
        <w:spacing w:before="120" w:beforeLines="50" w:line="300" w:lineRule="auto"/>
        <w:jc w:val="both"/>
        <w:rPr>
          <w:rFonts w:ascii="Arial" w:hAnsi="Arial" w:eastAsia="仿宋_GB2312" w:cs="Arial"/>
          <w:b/>
          <w:sz w:val="28"/>
          <w:highlight w:val="none"/>
        </w:rPr>
      </w:pPr>
    </w:p>
    <w:p w14:paraId="13E559C4">
      <w:pPr>
        <w:spacing w:before="120" w:beforeLines="50" w:line="300" w:lineRule="auto"/>
        <w:jc w:val="both"/>
        <w:rPr>
          <w:rFonts w:ascii="Arial" w:hAnsi="Arial" w:eastAsia="仿宋_GB2312" w:cs="Arial"/>
          <w:b/>
          <w:sz w:val="28"/>
          <w:highlight w:val="none"/>
        </w:rPr>
      </w:pPr>
    </w:p>
    <w:p w14:paraId="60B15FCF">
      <w:pPr>
        <w:spacing w:before="120" w:beforeLines="50" w:line="300" w:lineRule="auto"/>
        <w:jc w:val="both"/>
        <w:rPr>
          <w:rFonts w:ascii="Arial" w:hAnsi="Arial" w:eastAsia="仿宋_GB2312" w:cs="Arial"/>
          <w:b/>
          <w:sz w:val="28"/>
          <w:highlight w:val="none"/>
        </w:rPr>
      </w:pPr>
    </w:p>
    <w:p w14:paraId="0FB57D77">
      <w:pPr>
        <w:spacing w:before="120" w:beforeLines="50" w:line="300" w:lineRule="auto"/>
        <w:jc w:val="both"/>
        <w:rPr>
          <w:rFonts w:ascii="Arial" w:hAnsi="Arial" w:eastAsia="仿宋_GB2312" w:cs="Arial"/>
          <w:sz w:val="28"/>
          <w:highlight w:val="none"/>
        </w:rPr>
      </w:pPr>
      <w:r>
        <w:rPr>
          <w:rFonts w:hint="eastAsia" w:ascii="Arial" w:hAnsi="Arial" w:eastAsia="仿宋_GB2312" w:cs="Arial"/>
          <w:b/>
          <w:sz w:val="28"/>
          <w:highlight w:val="none"/>
        </w:rPr>
        <w:t>则：</w:t>
      </w:r>
    </w:p>
    <w:tbl>
      <w:tblPr>
        <w:tblStyle w:val="34"/>
        <w:tblW w:w="9072" w:type="dxa"/>
        <w:jc w:val="center"/>
        <w:tblLayout w:type="fixed"/>
        <w:tblCellMar>
          <w:top w:w="57" w:type="dxa"/>
          <w:left w:w="28" w:type="dxa"/>
          <w:bottom w:w="57" w:type="dxa"/>
          <w:right w:w="28" w:type="dxa"/>
        </w:tblCellMar>
      </w:tblPr>
      <w:tblGrid>
        <w:gridCol w:w="852"/>
        <w:gridCol w:w="2551"/>
        <w:gridCol w:w="1786"/>
        <w:gridCol w:w="1375"/>
        <w:gridCol w:w="2508"/>
      </w:tblGrid>
      <w:tr w14:paraId="7A2066DE">
        <w:tblPrEx>
          <w:tblCellMar>
            <w:top w:w="57" w:type="dxa"/>
            <w:left w:w="28" w:type="dxa"/>
            <w:bottom w:w="57" w:type="dxa"/>
            <w:right w:w="28" w:type="dxa"/>
          </w:tblCellMar>
        </w:tblPrEx>
        <w:trPr>
          <w:cantSplit/>
          <w:jc w:val="center"/>
        </w:trPr>
        <w:tc>
          <w:tcPr>
            <w:tcW w:w="852" w:type="dxa"/>
            <w:tcBorders>
              <w:top w:val="single" w:color="auto" w:sz="4" w:space="0"/>
              <w:left w:val="single" w:color="auto" w:sz="4" w:space="0"/>
              <w:bottom w:val="single" w:color="auto" w:sz="4" w:space="0"/>
              <w:right w:val="single" w:color="auto" w:sz="4" w:space="0"/>
            </w:tcBorders>
            <w:shd w:val="clear" w:color="auto" w:fill="auto"/>
            <w:vAlign w:val="center"/>
          </w:tcPr>
          <w:p w14:paraId="409AFBF9">
            <w:pPr>
              <w:widowControl/>
              <w:adjustRightInd/>
              <w:spacing w:line="300" w:lineRule="auto"/>
              <w:jc w:val="center"/>
              <w:textAlignment w:val="auto"/>
              <w:rPr>
                <w:rFonts w:ascii="Arial" w:hAnsi="Arial" w:cs="Arial"/>
                <w:b/>
                <w:bCs/>
                <w:szCs w:val="24"/>
                <w:highlight w:val="none"/>
              </w:rPr>
            </w:pPr>
            <w:r>
              <w:rPr>
                <w:rFonts w:ascii="Arial" w:hAnsi="Arial" w:eastAsia="仿宋_GB2312" w:cs="Arial"/>
                <w:b/>
                <w:bCs/>
                <w:szCs w:val="24"/>
                <w:highlight w:val="none"/>
              </w:rPr>
              <w:t>用途</w:t>
            </w:r>
          </w:p>
        </w:tc>
        <w:tc>
          <w:tcPr>
            <w:tcW w:w="2551" w:type="dxa"/>
            <w:tcBorders>
              <w:top w:val="single" w:color="auto" w:sz="4" w:space="0"/>
              <w:left w:val="nil"/>
              <w:bottom w:val="single" w:color="auto" w:sz="4" w:space="0"/>
              <w:right w:val="single" w:color="auto" w:sz="4" w:space="0"/>
            </w:tcBorders>
            <w:shd w:val="clear" w:color="auto" w:fill="auto"/>
            <w:vAlign w:val="center"/>
          </w:tcPr>
          <w:p w14:paraId="14C14CB6">
            <w:pPr>
              <w:widowControl/>
              <w:adjustRightInd/>
              <w:spacing w:line="300" w:lineRule="auto"/>
              <w:jc w:val="center"/>
              <w:textAlignment w:val="auto"/>
              <w:rPr>
                <w:rFonts w:ascii="Arial" w:hAnsi="Arial" w:cs="Arial"/>
                <w:b/>
                <w:bCs/>
                <w:szCs w:val="24"/>
                <w:highlight w:val="none"/>
              </w:rPr>
            </w:pPr>
            <w:r>
              <w:rPr>
                <w:rFonts w:ascii="Arial" w:hAnsi="Arial" w:eastAsia="仿宋_GB2312" w:cs="Arial"/>
                <w:b/>
                <w:bCs/>
                <w:szCs w:val="24"/>
                <w:highlight w:val="none"/>
              </w:rPr>
              <w:t>方法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56A8A002">
            <w:pPr>
              <w:widowControl/>
              <w:adjustRightInd/>
              <w:spacing w:line="300" w:lineRule="auto"/>
              <w:jc w:val="center"/>
              <w:textAlignment w:val="auto"/>
              <w:rPr>
                <w:rFonts w:hint="eastAsia" w:ascii="Arial" w:hAnsi="Arial" w:eastAsia="仿宋_GB2312" w:cs="Arial"/>
                <w:b/>
                <w:bCs/>
                <w:szCs w:val="24"/>
                <w:highlight w:val="none"/>
                <w:lang w:eastAsia="zh-CN"/>
              </w:rPr>
            </w:pPr>
            <w:r>
              <w:rPr>
                <w:rFonts w:ascii="Arial" w:hAnsi="Arial" w:eastAsia="仿宋_GB2312" w:cs="Arial"/>
                <w:b/>
                <w:bCs/>
                <w:szCs w:val="24"/>
                <w:highlight w:val="none"/>
              </w:rPr>
              <w:t>熟地价</w:t>
            </w:r>
            <w:r>
              <w:rPr>
                <w:rFonts w:hint="eastAsia" w:ascii="Arial" w:hAnsi="Arial" w:eastAsia="仿宋_GB2312" w:cs="Arial"/>
                <w:b/>
                <w:bCs/>
                <w:szCs w:val="24"/>
                <w:highlight w:val="none"/>
                <w:lang w:eastAsia="zh-CN"/>
              </w:rPr>
              <w:t>楼面地价</w:t>
            </w:r>
          </w:p>
          <w:p w14:paraId="1E0F47EB">
            <w:pPr>
              <w:widowControl/>
              <w:adjustRightInd/>
              <w:spacing w:line="300" w:lineRule="auto"/>
              <w:jc w:val="center"/>
              <w:textAlignment w:val="auto"/>
              <w:rPr>
                <w:rFonts w:ascii="Arial" w:hAnsi="Arial" w:cs="Arial"/>
                <w:b/>
                <w:bCs/>
                <w:szCs w:val="24"/>
                <w:highlight w:val="none"/>
              </w:rPr>
            </w:pPr>
            <w:r>
              <w:rPr>
                <w:rFonts w:ascii="Arial" w:hAnsi="Arial" w:eastAsia="仿宋_GB2312" w:cs="Arial"/>
                <w:b/>
                <w:bCs/>
                <w:szCs w:val="24"/>
                <w:highlight w:val="none"/>
              </w:rPr>
              <w:t>（元/平方米）</w:t>
            </w:r>
          </w:p>
        </w:tc>
        <w:tc>
          <w:tcPr>
            <w:tcW w:w="1375" w:type="dxa"/>
            <w:tcBorders>
              <w:top w:val="single" w:color="auto" w:sz="4" w:space="0"/>
              <w:left w:val="nil"/>
              <w:bottom w:val="single" w:color="auto" w:sz="4" w:space="0"/>
              <w:right w:val="single" w:color="auto" w:sz="4" w:space="0"/>
            </w:tcBorders>
            <w:shd w:val="clear" w:color="auto" w:fill="auto"/>
            <w:vAlign w:val="center"/>
          </w:tcPr>
          <w:p w14:paraId="4B46B805">
            <w:pPr>
              <w:widowControl/>
              <w:adjustRightInd/>
              <w:spacing w:line="300" w:lineRule="auto"/>
              <w:jc w:val="center"/>
              <w:textAlignment w:val="auto"/>
              <w:rPr>
                <w:rFonts w:ascii="Arial" w:hAnsi="Arial" w:cs="Arial"/>
                <w:b/>
                <w:bCs/>
                <w:szCs w:val="24"/>
                <w:highlight w:val="none"/>
              </w:rPr>
            </w:pPr>
            <w:r>
              <w:rPr>
                <w:rFonts w:ascii="Arial" w:hAnsi="Arial" w:eastAsia="仿宋_GB2312" w:cs="Arial"/>
                <w:b/>
                <w:bCs/>
                <w:szCs w:val="24"/>
                <w:highlight w:val="none"/>
              </w:rPr>
              <w:t>权重</w:t>
            </w:r>
          </w:p>
        </w:tc>
        <w:tc>
          <w:tcPr>
            <w:tcW w:w="2508" w:type="dxa"/>
            <w:tcBorders>
              <w:top w:val="single" w:color="auto" w:sz="4" w:space="0"/>
              <w:left w:val="nil"/>
              <w:bottom w:val="single" w:color="auto" w:sz="4" w:space="0"/>
              <w:right w:val="single" w:color="auto" w:sz="4" w:space="0"/>
            </w:tcBorders>
            <w:shd w:val="clear" w:color="auto" w:fill="auto"/>
            <w:vAlign w:val="center"/>
          </w:tcPr>
          <w:p w14:paraId="730E73C0">
            <w:pPr>
              <w:widowControl/>
              <w:adjustRightInd/>
              <w:spacing w:line="300" w:lineRule="auto"/>
              <w:jc w:val="center"/>
              <w:textAlignment w:val="auto"/>
              <w:rPr>
                <w:rFonts w:hint="eastAsia" w:ascii="Arial" w:hAnsi="Arial" w:eastAsia="仿宋_GB2312" w:cs="Arial"/>
                <w:b/>
                <w:bCs/>
                <w:szCs w:val="24"/>
                <w:highlight w:val="none"/>
                <w:lang w:eastAsia="zh-CN"/>
              </w:rPr>
            </w:pPr>
            <w:r>
              <w:rPr>
                <w:rFonts w:ascii="Arial" w:hAnsi="Arial" w:eastAsia="仿宋_GB2312" w:cs="Arial"/>
                <w:b/>
                <w:bCs/>
                <w:szCs w:val="24"/>
                <w:highlight w:val="none"/>
              </w:rPr>
              <w:t>权重后熟地价</w:t>
            </w:r>
            <w:r>
              <w:rPr>
                <w:rFonts w:hint="eastAsia" w:ascii="Arial" w:hAnsi="Arial" w:eastAsia="仿宋_GB2312" w:cs="Arial"/>
                <w:b/>
                <w:bCs/>
                <w:szCs w:val="24"/>
                <w:highlight w:val="none"/>
                <w:lang w:eastAsia="zh-CN"/>
              </w:rPr>
              <w:t>楼面地价</w:t>
            </w:r>
          </w:p>
          <w:p w14:paraId="0C7B8816">
            <w:pPr>
              <w:widowControl/>
              <w:adjustRightInd/>
              <w:spacing w:line="300" w:lineRule="auto"/>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（元/平方米）</w:t>
            </w:r>
          </w:p>
        </w:tc>
      </w:tr>
      <w:tr w14:paraId="03025078">
        <w:tblPrEx>
          <w:tblCellMar>
            <w:top w:w="57" w:type="dxa"/>
            <w:left w:w="28" w:type="dxa"/>
            <w:bottom w:w="57" w:type="dxa"/>
            <w:right w:w="28" w:type="dxa"/>
          </w:tblCellMar>
        </w:tblPrEx>
        <w:trPr>
          <w:cantSplit/>
          <w:jc w:val="center"/>
        </w:trPr>
        <w:tc>
          <w:tcPr>
            <w:tcW w:w="852" w:type="dxa"/>
            <w:vMerge w:val="restart"/>
            <w:tcBorders>
              <w:top w:val="nil"/>
              <w:left w:val="single" w:color="auto" w:sz="4" w:space="0"/>
              <w:bottom w:val="single" w:color="auto" w:sz="4" w:space="0"/>
              <w:right w:val="single" w:color="auto" w:sz="4" w:space="0"/>
            </w:tcBorders>
            <w:shd w:val="clear" w:color="auto" w:fill="auto"/>
            <w:vAlign w:val="center"/>
          </w:tcPr>
          <w:p w14:paraId="4817394D">
            <w:pPr>
              <w:widowControl/>
              <w:adjustRightInd/>
              <w:spacing w:line="300" w:lineRule="auto"/>
              <w:jc w:val="center"/>
              <w:textAlignment w:val="auto"/>
              <w:rPr>
                <w:rFonts w:ascii="Arial" w:hAnsi="Arial" w:cs="Arial"/>
                <w:szCs w:val="24"/>
                <w:highlight w:val="none"/>
              </w:rPr>
            </w:pPr>
            <w:r>
              <w:rPr>
                <w:rFonts w:ascii="Arial" w:hAnsi="Arial" w:eastAsia="仿宋_GB2312" w:cs="Arial"/>
                <w:szCs w:val="24"/>
                <w:highlight w:val="none"/>
              </w:rPr>
              <w:t>住宅</w:t>
            </w:r>
          </w:p>
        </w:tc>
        <w:tc>
          <w:tcPr>
            <w:tcW w:w="2551" w:type="dxa"/>
            <w:tcBorders>
              <w:top w:val="nil"/>
              <w:left w:val="nil"/>
              <w:bottom w:val="single" w:color="auto" w:sz="4" w:space="0"/>
              <w:right w:val="single" w:color="auto" w:sz="4" w:space="0"/>
            </w:tcBorders>
            <w:shd w:val="clear" w:color="auto" w:fill="auto"/>
            <w:vAlign w:val="center"/>
          </w:tcPr>
          <w:p w14:paraId="3DFE131E">
            <w:pPr>
              <w:widowControl/>
              <w:adjustRightInd/>
              <w:spacing w:line="300" w:lineRule="auto"/>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1786" w:type="dxa"/>
            <w:tcBorders>
              <w:top w:val="nil"/>
              <w:left w:val="nil"/>
              <w:bottom w:val="single" w:color="auto" w:sz="4" w:space="0"/>
              <w:right w:val="single" w:color="auto" w:sz="4" w:space="0"/>
            </w:tcBorders>
            <w:shd w:val="clear" w:color="auto" w:fill="auto"/>
            <w:vAlign w:val="center"/>
          </w:tcPr>
          <w:p w14:paraId="57303F10">
            <w:pPr>
              <w:widowControl/>
              <w:adjustRightInd/>
              <w:spacing w:line="300" w:lineRule="auto"/>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6689</w:t>
            </w:r>
          </w:p>
        </w:tc>
        <w:tc>
          <w:tcPr>
            <w:tcW w:w="1375" w:type="dxa"/>
            <w:tcBorders>
              <w:top w:val="nil"/>
              <w:left w:val="nil"/>
              <w:bottom w:val="single" w:color="auto" w:sz="4" w:space="0"/>
              <w:right w:val="single" w:color="auto" w:sz="4" w:space="0"/>
            </w:tcBorders>
            <w:shd w:val="clear" w:color="auto" w:fill="auto"/>
            <w:vAlign w:val="center"/>
          </w:tcPr>
          <w:p w14:paraId="70F0287E">
            <w:pPr>
              <w:widowControl/>
              <w:adjustRightInd/>
              <w:spacing w:line="300" w:lineRule="auto"/>
              <w:jc w:val="center"/>
              <w:textAlignment w:val="auto"/>
              <w:rPr>
                <w:rFonts w:ascii="Arial" w:hAnsi="Arial" w:cs="Arial"/>
                <w:szCs w:val="24"/>
                <w:highlight w:val="none"/>
              </w:rPr>
            </w:pPr>
            <w:r>
              <w:rPr>
                <w:rFonts w:hint="eastAsia" w:ascii="Arial" w:hAnsi="Arial" w:cs="Arial"/>
                <w:szCs w:val="24"/>
                <w:highlight w:val="none"/>
              </w:rPr>
              <w:t>3</w:t>
            </w:r>
            <w:r>
              <w:rPr>
                <w:rFonts w:ascii="Arial" w:hAnsi="Arial" w:cs="Arial"/>
                <w:szCs w:val="24"/>
                <w:highlight w:val="none"/>
              </w:rPr>
              <w:t>0.00%</w:t>
            </w:r>
          </w:p>
        </w:tc>
        <w:tc>
          <w:tcPr>
            <w:tcW w:w="2508" w:type="dxa"/>
            <w:vMerge w:val="restart"/>
            <w:tcBorders>
              <w:top w:val="nil"/>
              <w:left w:val="single" w:color="auto" w:sz="4" w:space="0"/>
              <w:bottom w:val="single" w:color="000000" w:sz="4" w:space="0"/>
              <w:right w:val="single" w:color="auto" w:sz="4" w:space="0"/>
            </w:tcBorders>
            <w:shd w:val="clear" w:color="auto" w:fill="auto"/>
            <w:vAlign w:val="center"/>
          </w:tcPr>
          <w:p w14:paraId="484E6841">
            <w:pPr>
              <w:widowControl/>
              <w:adjustRightInd/>
              <w:spacing w:line="300" w:lineRule="auto"/>
              <w:jc w:val="center"/>
              <w:textAlignment w:val="auto"/>
              <w:rPr>
                <w:rFonts w:hint="eastAsia" w:ascii="Arial" w:hAnsi="Arial" w:eastAsia="宋体" w:cs="Arial"/>
                <w:b/>
                <w:szCs w:val="24"/>
                <w:highlight w:val="none"/>
                <w:lang w:eastAsia="zh-CN"/>
              </w:rPr>
            </w:pPr>
            <w:r>
              <w:rPr>
                <w:rFonts w:hint="eastAsia" w:ascii="Arial" w:hAnsi="Arial" w:cs="Arial"/>
                <w:b/>
                <w:szCs w:val="24"/>
                <w:highlight w:val="none"/>
                <w:lang w:eastAsia="zh-CN"/>
              </w:rPr>
              <w:t>10942</w:t>
            </w:r>
          </w:p>
        </w:tc>
      </w:tr>
      <w:tr w14:paraId="3E6AB833">
        <w:tblPrEx>
          <w:tblCellMar>
            <w:top w:w="57" w:type="dxa"/>
            <w:left w:w="28" w:type="dxa"/>
            <w:bottom w:w="57" w:type="dxa"/>
            <w:right w:w="28" w:type="dxa"/>
          </w:tblCellMar>
        </w:tblPrEx>
        <w:trPr>
          <w:cantSplit/>
          <w:jc w:val="center"/>
        </w:trPr>
        <w:tc>
          <w:tcPr>
            <w:tcW w:w="852" w:type="dxa"/>
            <w:vMerge w:val="continue"/>
            <w:tcBorders>
              <w:top w:val="nil"/>
              <w:left w:val="single" w:color="auto" w:sz="4" w:space="0"/>
              <w:bottom w:val="single" w:color="auto" w:sz="4" w:space="0"/>
              <w:right w:val="single" w:color="auto" w:sz="4" w:space="0"/>
            </w:tcBorders>
            <w:vAlign w:val="center"/>
          </w:tcPr>
          <w:p w14:paraId="0AD5D0AE">
            <w:pPr>
              <w:widowControl/>
              <w:adjustRightInd/>
              <w:spacing w:line="300" w:lineRule="auto"/>
              <w:textAlignment w:val="auto"/>
              <w:rPr>
                <w:rFonts w:ascii="Arial" w:hAnsi="Arial" w:cs="Arial"/>
                <w:szCs w:val="24"/>
                <w:highlight w:val="none"/>
              </w:rPr>
            </w:pPr>
          </w:p>
        </w:tc>
        <w:tc>
          <w:tcPr>
            <w:tcW w:w="2551" w:type="dxa"/>
            <w:tcBorders>
              <w:top w:val="nil"/>
              <w:left w:val="nil"/>
              <w:bottom w:val="single" w:color="auto" w:sz="4" w:space="0"/>
              <w:right w:val="single" w:color="auto" w:sz="4" w:space="0"/>
            </w:tcBorders>
            <w:shd w:val="clear" w:color="auto" w:fill="auto"/>
            <w:vAlign w:val="center"/>
          </w:tcPr>
          <w:p w14:paraId="47B368D2">
            <w:pPr>
              <w:widowControl/>
              <w:adjustRightInd/>
              <w:spacing w:line="300" w:lineRule="auto"/>
              <w:textAlignment w:val="auto"/>
              <w:rPr>
                <w:rFonts w:ascii="Arial" w:hAnsi="Arial" w:cs="Arial"/>
                <w:szCs w:val="24"/>
                <w:highlight w:val="none"/>
              </w:rPr>
            </w:pPr>
            <w:r>
              <w:rPr>
                <w:rFonts w:ascii="Arial" w:hAnsi="Arial" w:eastAsia="仿宋_GB2312" w:cs="Arial"/>
                <w:szCs w:val="24"/>
                <w:highlight w:val="none"/>
              </w:rPr>
              <w:t>剩余法</w:t>
            </w:r>
          </w:p>
        </w:tc>
        <w:tc>
          <w:tcPr>
            <w:tcW w:w="1786" w:type="dxa"/>
            <w:tcBorders>
              <w:top w:val="nil"/>
              <w:left w:val="nil"/>
              <w:bottom w:val="single" w:color="auto" w:sz="4" w:space="0"/>
              <w:right w:val="single" w:color="auto" w:sz="4" w:space="0"/>
            </w:tcBorders>
            <w:shd w:val="clear" w:color="auto" w:fill="auto"/>
            <w:vAlign w:val="center"/>
          </w:tcPr>
          <w:p w14:paraId="48C9274E">
            <w:pPr>
              <w:widowControl/>
              <w:adjustRightInd/>
              <w:spacing w:line="300" w:lineRule="auto"/>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12765</w:t>
            </w:r>
          </w:p>
        </w:tc>
        <w:tc>
          <w:tcPr>
            <w:tcW w:w="1375" w:type="dxa"/>
            <w:tcBorders>
              <w:top w:val="nil"/>
              <w:left w:val="nil"/>
              <w:bottom w:val="single" w:color="auto" w:sz="4" w:space="0"/>
              <w:right w:val="single" w:color="auto" w:sz="4" w:space="0"/>
            </w:tcBorders>
            <w:shd w:val="clear" w:color="auto" w:fill="auto"/>
            <w:vAlign w:val="center"/>
          </w:tcPr>
          <w:p w14:paraId="67F5C2E2">
            <w:pPr>
              <w:widowControl/>
              <w:adjustRightInd/>
              <w:spacing w:line="300" w:lineRule="auto"/>
              <w:jc w:val="center"/>
              <w:textAlignment w:val="auto"/>
              <w:rPr>
                <w:rFonts w:ascii="Arial" w:hAnsi="Arial" w:cs="Arial"/>
                <w:szCs w:val="24"/>
                <w:highlight w:val="none"/>
              </w:rPr>
            </w:pPr>
            <w:r>
              <w:rPr>
                <w:rFonts w:hint="eastAsia" w:ascii="Arial" w:hAnsi="Arial" w:cs="Arial"/>
                <w:szCs w:val="24"/>
                <w:highlight w:val="none"/>
              </w:rPr>
              <w:t>7</w:t>
            </w:r>
            <w:r>
              <w:rPr>
                <w:rFonts w:ascii="Arial" w:hAnsi="Arial" w:cs="Arial"/>
                <w:szCs w:val="24"/>
                <w:highlight w:val="none"/>
              </w:rPr>
              <w:t>0.00%</w:t>
            </w:r>
          </w:p>
        </w:tc>
        <w:tc>
          <w:tcPr>
            <w:tcW w:w="2508" w:type="dxa"/>
            <w:vMerge w:val="continue"/>
            <w:tcBorders>
              <w:top w:val="nil"/>
              <w:left w:val="single" w:color="auto" w:sz="4" w:space="0"/>
              <w:bottom w:val="single" w:color="000000" w:sz="4" w:space="0"/>
              <w:right w:val="single" w:color="auto" w:sz="4" w:space="0"/>
            </w:tcBorders>
            <w:vAlign w:val="center"/>
          </w:tcPr>
          <w:p w14:paraId="5A42595A">
            <w:pPr>
              <w:widowControl/>
              <w:adjustRightInd/>
              <w:spacing w:line="300" w:lineRule="auto"/>
              <w:textAlignment w:val="auto"/>
              <w:rPr>
                <w:rFonts w:ascii="Arial" w:hAnsi="Arial" w:cs="Arial"/>
                <w:b/>
                <w:szCs w:val="24"/>
                <w:highlight w:val="none"/>
              </w:rPr>
            </w:pPr>
          </w:p>
        </w:tc>
      </w:tr>
      <w:tr w14:paraId="7A7CF2CD">
        <w:tblPrEx>
          <w:tblCellMar>
            <w:top w:w="57" w:type="dxa"/>
            <w:left w:w="28" w:type="dxa"/>
            <w:bottom w:w="57" w:type="dxa"/>
            <w:right w:w="28" w:type="dxa"/>
          </w:tblCellMar>
        </w:tblPrEx>
        <w:trPr>
          <w:cantSplit/>
          <w:jc w:val="center"/>
        </w:trPr>
        <w:tc>
          <w:tcPr>
            <w:tcW w:w="852" w:type="dxa"/>
            <w:vMerge w:val="restart"/>
            <w:tcBorders>
              <w:top w:val="nil"/>
              <w:left w:val="single" w:color="auto" w:sz="4" w:space="0"/>
              <w:bottom w:val="single" w:color="auto" w:sz="4" w:space="0"/>
              <w:right w:val="single" w:color="auto" w:sz="4" w:space="0"/>
            </w:tcBorders>
            <w:shd w:val="clear" w:color="auto" w:fill="auto"/>
            <w:vAlign w:val="center"/>
          </w:tcPr>
          <w:p w14:paraId="1F294296">
            <w:pPr>
              <w:widowControl/>
              <w:adjustRightInd/>
              <w:spacing w:line="300" w:lineRule="auto"/>
              <w:jc w:val="center"/>
              <w:textAlignment w:val="auto"/>
              <w:rPr>
                <w:rFonts w:ascii="Arial" w:hAnsi="Arial" w:cs="Arial"/>
                <w:szCs w:val="24"/>
                <w:highlight w:val="none"/>
              </w:rPr>
            </w:pPr>
            <w:r>
              <w:rPr>
                <w:rFonts w:ascii="Arial" w:hAnsi="Arial" w:eastAsia="仿宋_GB2312" w:cs="Arial"/>
                <w:szCs w:val="24"/>
                <w:highlight w:val="none"/>
              </w:rPr>
              <w:t>商业</w:t>
            </w:r>
          </w:p>
        </w:tc>
        <w:tc>
          <w:tcPr>
            <w:tcW w:w="2551" w:type="dxa"/>
            <w:tcBorders>
              <w:top w:val="nil"/>
              <w:left w:val="nil"/>
              <w:bottom w:val="single" w:color="auto" w:sz="4" w:space="0"/>
              <w:right w:val="single" w:color="auto" w:sz="4" w:space="0"/>
            </w:tcBorders>
            <w:shd w:val="clear" w:color="auto" w:fill="auto"/>
            <w:vAlign w:val="center"/>
          </w:tcPr>
          <w:p w14:paraId="0CEC47F7">
            <w:pPr>
              <w:widowControl/>
              <w:adjustRightInd/>
              <w:spacing w:line="300" w:lineRule="auto"/>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1786" w:type="dxa"/>
            <w:tcBorders>
              <w:top w:val="nil"/>
              <w:left w:val="nil"/>
              <w:bottom w:val="single" w:color="auto" w:sz="4" w:space="0"/>
              <w:right w:val="single" w:color="auto" w:sz="4" w:space="0"/>
            </w:tcBorders>
            <w:shd w:val="clear" w:color="auto" w:fill="auto"/>
            <w:vAlign w:val="center"/>
          </w:tcPr>
          <w:p w14:paraId="5F918F8B">
            <w:pPr>
              <w:widowControl/>
              <w:adjustRightInd/>
              <w:spacing w:line="300" w:lineRule="auto"/>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4762</w:t>
            </w:r>
          </w:p>
        </w:tc>
        <w:tc>
          <w:tcPr>
            <w:tcW w:w="1375" w:type="dxa"/>
            <w:tcBorders>
              <w:top w:val="nil"/>
              <w:left w:val="nil"/>
              <w:bottom w:val="single" w:color="auto" w:sz="4" w:space="0"/>
              <w:right w:val="single" w:color="auto" w:sz="4" w:space="0"/>
            </w:tcBorders>
            <w:shd w:val="clear" w:color="auto" w:fill="auto"/>
            <w:vAlign w:val="center"/>
          </w:tcPr>
          <w:p w14:paraId="6E3CA5E7">
            <w:pPr>
              <w:widowControl/>
              <w:adjustRightInd/>
              <w:spacing w:line="300" w:lineRule="auto"/>
              <w:jc w:val="center"/>
              <w:textAlignment w:val="auto"/>
              <w:rPr>
                <w:rFonts w:ascii="Arial" w:hAnsi="Arial" w:cs="Arial"/>
                <w:szCs w:val="24"/>
                <w:highlight w:val="none"/>
              </w:rPr>
            </w:pPr>
            <w:r>
              <w:rPr>
                <w:rFonts w:hint="eastAsia" w:ascii="Arial" w:hAnsi="Arial" w:cs="Arial"/>
                <w:szCs w:val="24"/>
                <w:highlight w:val="none"/>
                <w:lang w:val="en-US" w:eastAsia="zh-CN"/>
              </w:rPr>
              <w:t>30</w:t>
            </w:r>
            <w:r>
              <w:rPr>
                <w:rFonts w:ascii="Arial" w:hAnsi="Arial" w:cs="Arial"/>
                <w:szCs w:val="24"/>
                <w:highlight w:val="none"/>
              </w:rPr>
              <w:t>.00%</w:t>
            </w:r>
          </w:p>
        </w:tc>
        <w:tc>
          <w:tcPr>
            <w:tcW w:w="2508" w:type="dxa"/>
            <w:vMerge w:val="restart"/>
            <w:tcBorders>
              <w:top w:val="nil"/>
              <w:left w:val="single" w:color="auto" w:sz="4" w:space="0"/>
              <w:bottom w:val="single" w:color="000000" w:sz="4" w:space="0"/>
              <w:right w:val="single" w:color="auto" w:sz="4" w:space="0"/>
            </w:tcBorders>
            <w:shd w:val="clear" w:color="auto" w:fill="auto"/>
            <w:vAlign w:val="center"/>
          </w:tcPr>
          <w:p w14:paraId="27B58A07">
            <w:pPr>
              <w:widowControl/>
              <w:adjustRightInd/>
              <w:spacing w:line="300" w:lineRule="auto"/>
              <w:jc w:val="center"/>
              <w:textAlignment w:val="auto"/>
              <w:rPr>
                <w:rFonts w:hint="eastAsia" w:ascii="Arial" w:hAnsi="Arial" w:eastAsia="宋体" w:cs="Arial"/>
                <w:b/>
                <w:szCs w:val="24"/>
                <w:highlight w:val="none"/>
                <w:lang w:eastAsia="zh-CN"/>
              </w:rPr>
            </w:pPr>
            <w:r>
              <w:rPr>
                <w:rFonts w:hint="eastAsia" w:ascii="Arial" w:hAnsi="Arial" w:cs="Arial"/>
                <w:b/>
                <w:szCs w:val="24"/>
                <w:highlight w:val="none"/>
                <w:lang w:eastAsia="zh-CN"/>
              </w:rPr>
              <w:t>5295</w:t>
            </w:r>
          </w:p>
        </w:tc>
      </w:tr>
      <w:tr w14:paraId="1E38CFDB">
        <w:tblPrEx>
          <w:tblCellMar>
            <w:top w:w="57" w:type="dxa"/>
            <w:left w:w="28" w:type="dxa"/>
            <w:bottom w:w="57" w:type="dxa"/>
            <w:right w:w="28" w:type="dxa"/>
          </w:tblCellMar>
        </w:tblPrEx>
        <w:trPr>
          <w:cantSplit/>
          <w:jc w:val="center"/>
        </w:trPr>
        <w:tc>
          <w:tcPr>
            <w:tcW w:w="852" w:type="dxa"/>
            <w:vMerge w:val="continue"/>
            <w:tcBorders>
              <w:top w:val="nil"/>
              <w:left w:val="single" w:color="auto" w:sz="4" w:space="0"/>
              <w:bottom w:val="single" w:color="auto" w:sz="4" w:space="0"/>
              <w:right w:val="single" w:color="auto" w:sz="4" w:space="0"/>
            </w:tcBorders>
            <w:vAlign w:val="center"/>
          </w:tcPr>
          <w:p w14:paraId="267B8E85">
            <w:pPr>
              <w:widowControl/>
              <w:adjustRightInd/>
              <w:spacing w:line="300" w:lineRule="auto"/>
              <w:textAlignment w:val="auto"/>
              <w:rPr>
                <w:rFonts w:ascii="Arial" w:hAnsi="Arial" w:cs="Arial"/>
                <w:szCs w:val="24"/>
                <w:highlight w:val="none"/>
              </w:rPr>
            </w:pPr>
          </w:p>
        </w:tc>
        <w:tc>
          <w:tcPr>
            <w:tcW w:w="2551" w:type="dxa"/>
            <w:tcBorders>
              <w:top w:val="nil"/>
              <w:left w:val="nil"/>
              <w:bottom w:val="single" w:color="auto" w:sz="4" w:space="0"/>
              <w:right w:val="single" w:color="auto" w:sz="4" w:space="0"/>
            </w:tcBorders>
            <w:shd w:val="clear" w:color="auto" w:fill="auto"/>
            <w:vAlign w:val="center"/>
          </w:tcPr>
          <w:p w14:paraId="6D175B75">
            <w:pPr>
              <w:widowControl/>
              <w:adjustRightInd/>
              <w:spacing w:line="300" w:lineRule="auto"/>
              <w:textAlignment w:val="auto"/>
              <w:rPr>
                <w:rFonts w:ascii="Arial" w:hAnsi="Arial" w:eastAsia="仿宋_GB2312" w:cs="Arial"/>
                <w:szCs w:val="24"/>
                <w:highlight w:val="none"/>
              </w:rPr>
            </w:pPr>
            <w:r>
              <w:rPr>
                <w:rFonts w:ascii="Arial" w:hAnsi="Arial" w:eastAsia="仿宋_GB2312" w:cs="Arial"/>
                <w:szCs w:val="24"/>
                <w:highlight w:val="none"/>
              </w:rPr>
              <w:t>剩余法</w:t>
            </w:r>
          </w:p>
        </w:tc>
        <w:tc>
          <w:tcPr>
            <w:tcW w:w="1786" w:type="dxa"/>
            <w:tcBorders>
              <w:top w:val="nil"/>
              <w:left w:val="nil"/>
              <w:bottom w:val="single" w:color="auto" w:sz="4" w:space="0"/>
              <w:right w:val="single" w:color="auto" w:sz="4" w:space="0"/>
            </w:tcBorders>
            <w:shd w:val="clear" w:color="auto" w:fill="auto"/>
            <w:vAlign w:val="center"/>
          </w:tcPr>
          <w:p w14:paraId="341C7ADC">
            <w:pPr>
              <w:widowControl/>
              <w:adjustRightInd/>
              <w:spacing w:line="300" w:lineRule="auto"/>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5524</w:t>
            </w:r>
          </w:p>
        </w:tc>
        <w:tc>
          <w:tcPr>
            <w:tcW w:w="1375" w:type="dxa"/>
            <w:tcBorders>
              <w:top w:val="nil"/>
              <w:left w:val="nil"/>
              <w:bottom w:val="single" w:color="auto" w:sz="4" w:space="0"/>
              <w:right w:val="single" w:color="auto" w:sz="4" w:space="0"/>
            </w:tcBorders>
            <w:shd w:val="clear" w:color="auto" w:fill="auto"/>
            <w:vAlign w:val="center"/>
          </w:tcPr>
          <w:p w14:paraId="43A21E5E">
            <w:pPr>
              <w:widowControl/>
              <w:adjustRightInd/>
              <w:spacing w:line="300" w:lineRule="auto"/>
              <w:jc w:val="center"/>
              <w:textAlignment w:val="auto"/>
              <w:rPr>
                <w:rFonts w:ascii="Arial" w:hAnsi="Arial" w:cs="Arial"/>
                <w:szCs w:val="24"/>
                <w:highlight w:val="none"/>
              </w:rPr>
            </w:pPr>
            <w:r>
              <w:rPr>
                <w:rFonts w:hint="eastAsia" w:ascii="Arial" w:hAnsi="Arial" w:cs="Arial"/>
                <w:szCs w:val="24"/>
                <w:highlight w:val="none"/>
                <w:lang w:val="en-US" w:eastAsia="zh-CN"/>
              </w:rPr>
              <w:t>7</w:t>
            </w:r>
            <w:r>
              <w:rPr>
                <w:rFonts w:ascii="Arial" w:hAnsi="Arial" w:cs="Arial"/>
                <w:szCs w:val="24"/>
                <w:highlight w:val="none"/>
              </w:rPr>
              <w:t>0.00%</w:t>
            </w:r>
          </w:p>
        </w:tc>
        <w:tc>
          <w:tcPr>
            <w:tcW w:w="2508" w:type="dxa"/>
            <w:vMerge w:val="continue"/>
            <w:tcBorders>
              <w:top w:val="nil"/>
              <w:left w:val="single" w:color="auto" w:sz="4" w:space="0"/>
              <w:bottom w:val="single" w:color="auto" w:sz="4" w:space="0"/>
              <w:right w:val="single" w:color="auto" w:sz="4" w:space="0"/>
            </w:tcBorders>
            <w:vAlign w:val="center"/>
          </w:tcPr>
          <w:p w14:paraId="3D73CAD3">
            <w:pPr>
              <w:widowControl/>
              <w:adjustRightInd/>
              <w:spacing w:line="300" w:lineRule="auto"/>
              <w:textAlignment w:val="auto"/>
              <w:rPr>
                <w:rFonts w:ascii="Arial" w:hAnsi="Arial" w:cs="Arial"/>
                <w:b/>
                <w:szCs w:val="24"/>
                <w:highlight w:val="none"/>
              </w:rPr>
            </w:pPr>
          </w:p>
        </w:tc>
      </w:tr>
      <w:tr w14:paraId="76DA3414">
        <w:tblPrEx>
          <w:tblCellMar>
            <w:top w:w="57" w:type="dxa"/>
            <w:left w:w="28" w:type="dxa"/>
            <w:bottom w:w="57" w:type="dxa"/>
            <w:right w:w="28" w:type="dxa"/>
          </w:tblCellMar>
        </w:tblPrEx>
        <w:trPr>
          <w:cantSplit/>
          <w:jc w:val="center"/>
        </w:trPr>
        <w:tc>
          <w:tcPr>
            <w:tcW w:w="852" w:type="dxa"/>
            <w:vMerge w:val="restart"/>
            <w:tcBorders>
              <w:top w:val="single" w:color="auto" w:sz="4" w:space="0"/>
              <w:left w:val="single" w:color="auto" w:sz="4" w:space="0"/>
              <w:right w:val="single" w:color="auto" w:sz="4" w:space="0"/>
            </w:tcBorders>
            <w:vAlign w:val="center"/>
          </w:tcPr>
          <w:p w14:paraId="048AB7D0">
            <w:pPr>
              <w:spacing w:line="300" w:lineRule="auto"/>
              <w:jc w:val="center"/>
              <w:rPr>
                <w:rFonts w:ascii="Arial" w:hAnsi="Arial" w:eastAsia="仿宋_GB2312" w:cs="Arial"/>
                <w:szCs w:val="24"/>
                <w:highlight w:val="none"/>
              </w:rPr>
            </w:pPr>
            <w:r>
              <w:rPr>
                <w:rFonts w:ascii="Arial" w:hAnsi="Arial" w:eastAsia="仿宋_GB2312" w:cs="Arial"/>
                <w:szCs w:val="24"/>
                <w:highlight w:val="none"/>
              </w:rPr>
              <w:t>办公</w:t>
            </w:r>
          </w:p>
        </w:tc>
        <w:tc>
          <w:tcPr>
            <w:tcW w:w="2551" w:type="dxa"/>
            <w:tcBorders>
              <w:top w:val="single" w:color="auto" w:sz="4" w:space="0"/>
              <w:left w:val="nil"/>
              <w:bottom w:val="single" w:color="auto" w:sz="4" w:space="0"/>
              <w:right w:val="single" w:color="auto" w:sz="4" w:space="0"/>
            </w:tcBorders>
            <w:shd w:val="clear" w:color="auto" w:fill="auto"/>
            <w:vAlign w:val="center"/>
          </w:tcPr>
          <w:p w14:paraId="58BA6354">
            <w:pPr>
              <w:widowControl/>
              <w:adjustRightInd/>
              <w:spacing w:line="300" w:lineRule="auto"/>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01817346">
            <w:pPr>
              <w:widowControl/>
              <w:adjustRightInd/>
              <w:spacing w:line="300" w:lineRule="auto"/>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3197</w:t>
            </w:r>
          </w:p>
        </w:tc>
        <w:tc>
          <w:tcPr>
            <w:tcW w:w="1375" w:type="dxa"/>
            <w:tcBorders>
              <w:top w:val="single" w:color="auto" w:sz="4" w:space="0"/>
              <w:left w:val="nil"/>
              <w:bottom w:val="single" w:color="auto" w:sz="4" w:space="0"/>
              <w:right w:val="single" w:color="auto" w:sz="4" w:space="0"/>
            </w:tcBorders>
            <w:shd w:val="clear" w:color="auto" w:fill="auto"/>
            <w:vAlign w:val="center"/>
          </w:tcPr>
          <w:p w14:paraId="5E2FEB2B">
            <w:pPr>
              <w:widowControl/>
              <w:adjustRightInd/>
              <w:spacing w:line="300" w:lineRule="auto"/>
              <w:jc w:val="center"/>
              <w:textAlignment w:val="auto"/>
              <w:rPr>
                <w:rFonts w:ascii="Arial" w:hAnsi="Arial" w:cs="Arial"/>
                <w:szCs w:val="24"/>
                <w:highlight w:val="none"/>
              </w:rPr>
            </w:pPr>
            <w:r>
              <w:rPr>
                <w:rFonts w:ascii="Arial" w:hAnsi="Arial" w:cs="Arial"/>
                <w:szCs w:val="24"/>
                <w:highlight w:val="none"/>
              </w:rPr>
              <w:t>50.00%</w:t>
            </w:r>
          </w:p>
        </w:tc>
        <w:tc>
          <w:tcPr>
            <w:tcW w:w="2508" w:type="dxa"/>
            <w:vMerge w:val="restart"/>
            <w:tcBorders>
              <w:top w:val="single" w:color="auto" w:sz="4" w:space="0"/>
              <w:left w:val="single" w:color="auto" w:sz="4" w:space="0"/>
              <w:right w:val="single" w:color="auto" w:sz="4" w:space="0"/>
            </w:tcBorders>
            <w:vAlign w:val="center"/>
          </w:tcPr>
          <w:p w14:paraId="6F5DA6F0">
            <w:pPr>
              <w:spacing w:line="300" w:lineRule="auto"/>
              <w:jc w:val="center"/>
              <w:rPr>
                <w:rFonts w:hint="eastAsia" w:ascii="Arial" w:hAnsi="Arial" w:eastAsia="宋体" w:cs="Arial"/>
                <w:b/>
                <w:szCs w:val="24"/>
                <w:highlight w:val="none"/>
                <w:lang w:eastAsia="zh-CN"/>
              </w:rPr>
            </w:pPr>
            <w:r>
              <w:rPr>
                <w:rFonts w:hint="eastAsia" w:ascii="Arial" w:hAnsi="Arial" w:cs="Arial"/>
                <w:b/>
                <w:szCs w:val="24"/>
                <w:highlight w:val="none"/>
                <w:lang w:eastAsia="zh-CN"/>
              </w:rPr>
              <w:t>3249</w:t>
            </w:r>
          </w:p>
        </w:tc>
      </w:tr>
      <w:tr w14:paraId="536082B3">
        <w:tblPrEx>
          <w:tblCellMar>
            <w:top w:w="57" w:type="dxa"/>
            <w:left w:w="28" w:type="dxa"/>
            <w:bottom w:w="57" w:type="dxa"/>
            <w:right w:w="28" w:type="dxa"/>
          </w:tblCellMar>
        </w:tblPrEx>
        <w:trPr>
          <w:cantSplit/>
          <w:jc w:val="center"/>
        </w:trPr>
        <w:tc>
          <w:tcPr>
            <w:tcW w:w="852" w:type="dxa"/>
            <w:vMerge w:val="continue"/>
            <w:tcBorders>
              <w:left w:val="single" w:color="auto" w:sz="4" w:space="0"/>
              <w:bottom w:val="single" w:color="auto" w:sz="4" w:space="0"/>
              <w:right w:val="single" w:color="auto" w:sz="4" w:space="0"/>
            </w:tcBorders>
            <w:vAlign w:val="center"/>
          </w:tcPr>
          <w:p w14:paraId="2C0CDCE0">
            <w:pPr>
              <w:spacing w:line="300" w:lineRule="auto"/>
              <w:jc w:val="center"/>
              <w:rPr>
                <w:rFonts w:ascii="Arial" w:hAnsi="Arial" w:eastAsia="仿宋_GB2312" w:cs="Arial"/>
                <w:szCs w:val="24"/>
                <w:highlight w:val="none"/>
              </w:rPr>
            </w:pPr>
          </w:p>
        </w:tc>
        <w:tc>
          <w:tcPr>
            <w:tcW w:w="2551" w:type="dxa"/>
            <w:tcBorders>
              <w:top w:val="single" w:color="auto" w:sz="4" w:space="0"/>
              <w:left w:val="nil"/>
              <w:bottom w:val="single" w:color="auto" w:sz="4" w:space="0"/>
              <w:right w:val="single" w:color="auto" w:sz="4" w:space="0"/>
            </w:tcBorders>
            <w:shd w:val="clear" w:color="auto" w:fill="auto"/>
            <w:vAlign w:val="center"/>
          </w:tcPr>
          <w:p w14:paraId="04824FBA">
            <w:pPr>
              <w:widowControl/>
              <w:adjustRightInd/>
              <w:spacing w:line="300" w:lineRule="auto"/>
              <w:textAlignment w:val="auto"/>
              <w:rPr>
                <w:rFonts w:ascii="Arial" w:hAnsi="Arial" w:eastAsia="仿宋_GB2312" w:cs="Arial"/>
                <w:szCs w:val="24"/>
                <w:highlight w:val="none"/>
              </w:rPr>
            </w:pPr>
            <w:r>
              <w:rPr>
                <w:rFonts w:ascii="Arial" w:hAnsi="Arial" w:eastAsia="仿宋_GB2312" w:cs="Arial"/>
                <w:szCs w:val="24"/>
                <w:highlight w:val="none"/>
              </w:rPr>
              <w:t>剩余法</w:t>
            </w:r>
          </w:p>
        </w:tc>
        <w:tc>
          <w:tcPr>
            <w:tcW w:w="1786" w:type="dxa"/>
            <w:tcBorders>
              <w:top w:val="single" w:color="auto" w:sz="4" w:space="0"/>
              <w:left w:val="nil"/>
              <w:bottom w:val="single" w:color="auto" w:sz="4" w:space="0"/>
              <w:right w:val="single" w:color="auto" w:sz="4" w:space="0"/>
            </w:tcBorders>
            <w:shd w:val="clear" w:color="auto" w:fill="auto"/>
            <w:vAlign w:val="center"/>
          </w:tcPr>
          <w:p w14:paraId="16393796">
            <w:pPr>
              <w:widowControl/>
              <w:adjustRightInd/>
              <w:spacing w:line="300" w:lineRule="auto"/>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3301</w:t>
            </w:r>
          </w:p>
        </w:tc>
        <w:tc>
          <w:tcPr>
            <w:tcW w:w="1375" w:type="dxa"/>
            <w:tcBorders>
              <w:top w:val="single" w:color="auto" w:sz="4" w:space="0"/>
              <w:left w:val="nil"/>
              <w:bottom w:val="single" w:color="auto" w:sz="4" w:space="0"/>
              <w:right w:val="single" w:color="auto" w:sz="4" w:space="0"/>
            </w:tcBorders>
            <w:shd w:val="clear" w:color="auto" w:fill="auto"/>
            <w:vAlign w:val="center"/>
          </w:tcPr>
          <w:p w14:paraId="2C1644FE">
            <w:pPr>
              <w:widowControl/>
              <w:adjustRightInd/>
              <w:spacing w:line="300" w:lineRule="auto"/>
              <w:jc w:val="center"/>
              <w:textAlignment w:val="auto"/>
              <w:rPr>
                <w:rFonts w:ascii="Arial" w:hAnsi="Arial" w:cs="Arial"/>
                <w:szCs w:val="24"/>
                <w:highlight w:val="none"/>
              </w:rPr>
            </w:pPr>
            <w:r>
              <w:rPr>
                <w:rFonts w:ascii="Arial" w:hAnsi="Arial" w:cs="Arial"/>
                <w:szCs w:val="24"/>
                <w:highlight w:val="none"/>
              </w:rPr>
              <w:t>50.00%</w:t>
            </w:r>
          </w:p>
        </w:tc>
        <w:tc>
          <w:tcPr>
            <w:tcW w:w="2508" w:type="dxa"/>
            <w:vMerge w:val="continue"/>
            <w:tcBorders>
              <w:left w:val="single" w:color="auto" w:sz="4" w:space="0"/>
              <w:bottom w:val="single" w:color="auto" w:sz="4" w:space="0"/>
              <w:right w:val="single" w:color="auto" w:sz="4" w:space="0"/>
            </w:tcBorders>
            <w:vAlign w:val="center"/>
          </w:tcPr>
          <w:p w14:paraId="6D619365">
            <w:pPr>
              <w:spacing w:line="300" w:lineRule="auto"/>
              <w:jc w:val="center"/>
              <w:rPr>
                <w:rFonts w:ascii="Arial" w:hAnsi="Arial" w:cs="Arial"/>
                <w:b/>
                <w:szCs w:val="24"/>
                <w:highlight w:val="none"/>
              </w:rPr>
            </w:pPr>
          </w:p>
        </w:tc>
      </w:tr>
    </w:tbl>
    <w:p w14:paraId="3882F45B">
      <w:pPr>
        <w:spacing w:line="300" w:lineRule="auto"/>
        <w:ind w:firstLine="560" w:firstLineChars="200"/>
        <w:jc w:val="both"/>
        <w:rPr>
          <w:rFonts w:ascii="Arial" w:hAnsi="Arial" w:eastAsia="仿宋_GB2312" w:cs="Arial"/>
          <w:sz w:val="28"/>
          <w:highlight w:val="none"/>
        </w:rPr>
      </w:pPr>
    </w:p>
    <w:p w14:paraId="0ACAE4B0">
      <w:pPr>
        <w:spacing w:line="300" w:lineRule="auto"/>
        <w:ind w:firstLine="562" w:firstLineChars="200"/>
        <w:jc w:val="both"/>
        <w:rPr>
          <w:rFonts w:ascii="Arial" w:hAnsi="Arial" w:eastAsia="仿宋_GB2312" w:cs="Arial"/>
          <w:kern w:val="2"/>
          <w:sz w:val="28"/>
          <w:highlight w:val="none"/>
        </w:rPr>
      </w:pPr>
      <w:bookmarkStart w:id="198" w:name="_Toc520261150"/>
      <w:bookmarkStart w:id="199" w:name="_Toc469066320"/>
      <w:bookmarkStart w:id="200" w:name="_Toc531701572"/>
      <w:bookmarkStart w:id="201" w:name="_Toc416783537"/>
      <w:bookmarkStart w:id="202" w:name="_Toc425250322"/>
      <w:bookmarkStart w:id="203" w:name="_Toc418750900"/>
      <w:bookmarkStart w:id="204" w:name="_Toc515458377"/>
      <w:bookmarkStart w:id="205" w:name="_Toc425250323"/>
      <w:bookmarkStart w:id="206" w:name="_Toc418750901"/>
      <w:bookmarkStart w:id="207" w:name="_Toc469066321"/>
      <w:bookmarkStart w:id="208" w:name="_Toc416783538"/>
      <w:r>
        <w:rPr>
          <w:rFonts w:ascii="黑体" w:hAnsi="黑体" w:eastAsia="黑体" w:cs="Arial"/>
          <w:b/>
          <w:sz w:val="28"/>
          <w:highlight w:val="none"/>
        </w:rPr>
        <w:t>估价对象位于北京市基准地价住宅</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lang w:eastAsia="zh-CN"/>
        </w:rPr>
        <w:t>其他商业服务业用地</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rPr>
        <w:t>公共服务九级（IX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范围内</w:t>
      </w:r>
      <w:r>
        <w:rPr>
          <w:rFonts w:ascii="Arial" w:hAnsi="Arial" w:eastAsia="黑体" w:cs="Arial"/>
          <w:b/>
          <w:sz w:val="28"/>
          <w:highlight w:val="none"/>
        </w:rPr>
        <w:t>。</w:t>
      </w:r>
      <w:r>
        <w:rPr>
          <w:rFonts w:ascii="Arial" w:hAnsi="Arial" w:eastAsia="仿宋_GB2312" w:cs="Arial"/>
          <w:kern w:val="2"/>
          <w:sz w:val="28"/>
          <w:highlight w:val="none"/>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sz w:val="28"/>
          <w:highlight w:val="none"/>
        </w:rPr>
        <w:t>土地</w:t>
      </w:r>
      <w:r>
        <w:rPr>
          <w:rFonts w:ascii="Arial" w:hAnsi="Arial" w:eastAsia="仿宋_GB2312" w:cs="Arial"/>
          <w:kern w:val="2"/>
          <w:sz w:val="28"/>
          <w:highlight w:val="none"/>
        </w:rPr>
        <w:t>价格的因素，确定</w:t>
      </w:r>
      <w:r>
        <w:rPr>
          <w:rFonts w:ascii="Arial" w:hAnsi="Arial" w:eastAsia="仿宋_GB2312" w:cs="Arial"/>
          <w:sz w:val="28"/>
          <w:highlight w:val="none"/>
        </w:rPr>
        <w:t>估价对象于估价期日</w:t>
      </w:r>
      <w:r>
        <w:rPr>
          <w:rFonts w:hint="eastAsia" w:ascii="Arial" w:hAnsi="Arial" w:eastAsia="仿宋_GB2312" w:cs="Arial"/>
          <w:sz w:val="28"/>
          <w:highlight w:val="none"/>
          <w:lang w:val="en-US" w:eastAsia="zh-CN"/>
        </w:rPr>
        <w:t>2026年3月26日</w:t>
      </w:r>
      <w:r>
        <w:rPr>
          <w:rFonts w:ascii="Arial" w:hAnsi="Arial" w:eastAsia="仿宋_GB2312" w:cs="Arial"/>
          <w:sz w:val="28"/>
          <w:highlight w:val="none"/>
        </w:rPr>
        <w:t>的</w:t>
      </w:r>
      <w:r>
        <w:rPr>
          <w:rFonts w:hint="eastAsia" w:ascii="Arial" w:hAnsi="Arial" w:eastAsia="仿宋_GB2312" w:cs="Arial"/>
          <w:kern w:val="2"/>
          <w:sz w:val="28"/>
          <w:highlight w:val="none"/>
          <w:lang w:eastAsia="zh-CN"/>
        </w:rPr>
        <w:t>楼面地价</w:t>
      </w:r>
      <w:r>
        <w:rPr>
          <w:rFonts w:ascii="Arial" w:hAnsi="Arial" w:eastAsia="仿宋_GB2312" w:cs="Arial"/>
          <w:kern w:val="2"/>
          <w:sz w:val="28"/>
          <w:highlight w:val="none"/>
        </w:rPr>
        <w:t>为：</w:t>
      </w:r>
    </w:p>
    <w:p w14:paraId="7D9FD362">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规划总建设用地面积：</w:t>
      </w:r>
      <w:r>
        <w:rPr>
          <w:rFonts w:hint="eastAsia" w:ascii="Arial" w:hAnsi="Arial" w:eastAsia="仿宋_GB2312" w:cs="Arial"/>
          <w:b w:val="0"/>
          <w:bCs w:val="0"/>
          <w:kern w:val="2"/>
          <w:sz w:val="28"/>
          <w:highlight w:val="none"/>
          <w:lang w:val="en-US" w:eastAsia="zh-CN"/>
        </w:rPr>
        <w:t>60990.43平方米</w:t>
      </w:r>
    </w:p>
    <w:p w14:paraId="568C86EB">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规划总建筑面积：</w:t>
      </w:r>
      <w:r>
        <w:rPr>
          <w:rFonts w:hint="eastAsia" w:ascii="Arial" w:hAnsi="Arial" w:eastAsia="仿宋_GB2312" w:cs="Arial"/>
          <w:b w:val="0"/>
          <w:bCs w:val="0"/>
          <w:kern w:val="2"/>
          <w:sz w:val="28"/>
          <w:highlight w:val="none"/>
          <w:lang w:val="en-US" w:eastAsia="zh-CN"/>
        </w:rPr>
        <w:t>71508.52平方米</w:t>
      </w:r>
    </w:p>
    <w:p w14:paraId="72F87646">
      <w:pPr>
        <w:snapToGrid w:val="0"/>
        <w:spacing w:before="120" w:beforeLines="50" w:line="288" w:lineRule="auto"/>
        <w:ind w:firstLine="840" w:firstLineChars="300"/>
        <w:rPr>
          <w:rFonts w:hint="eastAsia" w:ascii="Arial" w:hAnsi="Arial" w:eastAsia="仿宋_GB2312" w:cs="Arial"/>
          <w:b/>
          <w:kern w:val="2"/>
          <w:sz w:val="28"/>
          <w:highlight w:val="none"/>
          <w:lang w:val="en-US" w:eastAsia="zh-CN"/>
        </w:rPr>
      </w:pPr>
      <w:r>
        <w:rPr>
          <w:rFonts w:hint="eastAsia" w:ascii="Arial" w:hAnsi="Arial" w:eastAsia="仿宋_GB2312" w:cs="Arial"/>
          <w:b w:val="0"/>
          <w:bCs w:val="0"/>
          <w:kern w:val="2"/>
          <w:sz w:val="28"/>
          <w:highlight w:val="none"/>
          <w:lang w:val="en-US" w:eastAsia="zh-CN"/>
        </w:rPr>
        <w:t>其中，经营性建筑面积：68148.54平方米</w:t>
      </w:r>
    </w:p>
    <w:p w14:paraId="22C7EC9F">
      <w:pPr>
        <w:snapToGrid w:val="0"/>
        <w:spacing w:line="288" w:lineRule="auto"/>
        <w:ind w:firstLine="562" w:firstLineChars="200"/>
        <w:rPr>
          <w:rFonts w:ascii="Arial" w:hAnsi="Arial" w:eastAsia="仿宋_GB2312" w:cs="Arial"/>
          <w:b/>
          <w:kern w:val="2"/>
          <w:sz w:val="28"/>
          <w:highlight w:val="none"/>
        </w:rPr>
      </w:pPr>
      <w:r>
        <w:rPr>
          <w:rFonts w:ascii="Arial" w:hAnsi="Arial" w:eastAsia="仿宋_GB2312" w:cs="Arial"/>
          <w:b/>
          <w:kern w:val="2"/>
          <w:sz w:val="28"/>
          <w:highlight w:val="none"/>
        </w:rPr>
        <w:t>熟地</w:t>
      </w:r>
      <w:r>
        <w:rPr>
          <w:rFonts w:hint="eastAsia" w:ascii="Arial" w:hAnsi="Arial" w:eastAsia="仿宋_GB2312" w:cs="Arial"/>
          <w:b/>
          <w:kern w:val="2"/>
          <w:sz w:val="28"/>
          <w:highlight w:val="none"/>
          <w:lang w:val="en-US" w:eastAsia="zh-CN"/>
        </w:rPr>
        <w:t>总</w:t>
      </w:r>
      <w:r>
        <w:rPr>
          <w:rFonts w:ascii="Arial" w:hAnsi="Arial" w:eastAsia="仿宋_GB2312" w:cs="Arial"/>
          <w:b/>
          <w:kern w:val="2"/>
          <w:sz w:val="28"/>
          <w:highlight w:val="none"/>
        </w:rPr>
        <w:t>价：</w:t>
      </w:r>
    </w:p>
    <w:p w14:paraId="5C556463">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1754AF43">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42FB16D5">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422E742D">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城镇住宅用地：</w:t>
      </w:r>
    </w:p>
    <w:p w14:paraId="505D0B55">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7680E6E4">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08F72067">
      <w:pPr>
        <w:snapToGrid w:val="0"/>
        <w:spacing w:before="120" w:beforeLines="50" w:line="288" w:lineRule="auto"/>
        <w:ind w:firstLine="840" w:firstLineChars="300"/>
        <w:rPr>
          <w:rFonts w:hint="eastAsia" w:ascii="Arial" w:hAnsi="Arial" w:eastAsia="仿宋_GB2312" w:cs="Arial"/>
          <w:b w:val="0"/>
          <w:bCs w:val="0"/>
          <w:kern w:val="2"/>
          <w:sz w:val="28"/>
          <w:highlight w:val="none"/>
          <w:lang w:val="en-US" w:eastAsia="zh-CN"/>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7BE15E3F">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其他商业服务业用地</w:t>
      </w:r>
    </w:p>
    <w:p w14:paraId="566A7382">
      <w:pPr>
        <w:snapToGrid w:val="0"/>
        <w:spacing w:before="120" w:beforeLines="50" w:line="288" w:lineRule="auto"/>
        <w:ind w:firstLine="840" w:firstLineChars="300"/>
        <w:rPr>
          <w:rFonts w:hint="default"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楼面地价：5295</w:t>
      </w:r>
      <w:r>
        <w:rPr>
          <w:rFonts w:hint="eastAsia" w:ascii="Arial" w:hAnsi="Arial" w:eastAsia="仿宋_GB2312" w:cs="Arial"/>
          <w:b w:val="0"/>
          <w:bCs w:val="0"/>
          <w:kern w:val="2"/>
          <w:sz w:val="28"/>
          <w:highlight w:val="none"/>
          <w:lang w:val="en-US" w:eastAsia="zh-CN"/>
        </w:rPr>
        <w:t>元/平方米</w:t>
      </w:r>
    </w:p>
    <w:p w14:paraId="48C3003D">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公共管理与公共服务用地</w:t>
      </w:r>
    </w:p>
    <w:p w14:paraId="79F4789E">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楼面地价：3249</w:t>
      </w:r>
      <w:r>
        <w:rPr>
          <w:rFonts w:hint="eastAsia" w:ascii="Arial" w:hAnsi="Arial" w:eastAsia="仿宋_GB2312" w:cs="Arial"/>
          <w:b w:val="0"/>
          <w:bCs w:val="0"/>
          <w:kern w:val="2"/>
          <w:sz w:val="28"/>
          <w:highlight w:val="none"/>
          <w:lang w:val="en-US" w:eastAsia="zh-CN"/>
        </w:rPr>
        <w:t>元/平方米</w:t>
      </w:r>
    </w:p>
    <w:p w14:paraId="5005540A">
      <w:pPr>
        <w:snapToGrid w:val="0"/>
        <w:spacing w:before="120" w:beforeLines="50" w:line="288" w:lineRule="auto"/>
        <w:ind w:firstLine="560" w:firstLineChars="200"/>
        <w:rPr>
          <w:rFonts w:ascii="Arial" w:hAnsi="Arial" w:eastAsia="仿宋_GB2312" w:cs="Arial"/>
          <w:kern w:val="2"/>
          <w:sz w:val="28"/>
          <w:highlight w:val="none"/>
        </w:rPr>
      </w:pPr>
      <w:r>
        <w:rPr>
          <w:rFonts w:ascii="Arial" w:hAnsi="Arial" w:eastAsia="仿宋_GB2312" w:cs="Arial"/>
          <w:kern w:val="2"/>
          <w:sz w:val="28"/>
          <w:highlight w:val="none"/>
        </w:rPr>
        <w:t>详见《估价结果汇总表》</w:t>
      </w:r>
    </w:p>
    <w:p w14:paraId="67DCCDF5">
      <w:pPr>
        <w:snapToGrid w:val="0"/>
        <w:spacing w:before="120" w:beforeLines="50" w:line="300" w:lineRule="auto"/>
        <w:ind w:firstLine="562" w:firstLineChars="200"/>
        <w:rPr>
          <w:rFonts w:ascii="Arial" w:hAnsi="Arial" w:eastAsia="仿宋_GB2312" w:cs="Arial"/>
          <w:b/>
          <w:kern w:val="2"/>
          <w:sz w:val="28"/>
          <w:highlight w:val="none"/>
        </w:rPr>
      </w:pPr>
      <w:r>
        <w:rPr>
          <w:rFonts w:hint="eastAsia" w:ascii="Arial" w:hAnsi="Arial" w:eastAsia="仿宋_GB2312" w:cs="Arial"/>
          <w:b/>
          <w:kern w:val="2"/>
          <w:sz w:val="28"/>
          <w:highlight w:val="none"/>
        </w:rPr>
        <w:t>根据北京市顺义区人民政府</w:t>
      </w:r>
      <w:r>
        <w:rPr>
          <w:rFonts w:hint="eastAsia" w:ascii="Arial" w:hAnsi="Arial" w:eastAsia="仿宋_GB2312" w:cs="Arial"/>
          <w:b/>
          <w:kern w:val="2"/>
          <w:sz w:val="28"/>
          <w:highlight w:val="none"/>
          <w:lang w:eastAsia="zh-CN"/>
        </w:rPr>
        <w:t>《北京市顺义区人民政府关于顺义区高丽营镇夏县营村棚户区改造土地开发项目01－008、01－016、01－026－1、01－020地块提请地价审核有关事宜的函》</w:t>
      </w:r>
      <w:r>
        <w:rPr>
          <w:rFonts w:hint="eastAsia" w:ascii="Arial" w:hAnsi="Arial" w:eastAsia="仿宋_GB2312" w:cs="Arial"/>
          <w:b/>
          <w:kern w:val="2"/>
          <w:sz w:val="28"/>
          <w:highlight w:val="none"/>
        </w:rPr>
        <w:t>，本项目不存在回迁、回购等实物补偿内容。</w:t>
      </w:r>
    </w:p>
    <w:p w14:paraId="0979EE23">
      <w:pPr>
        <w:snapToGrid w:val="0"/>
        <w:spacing w:before="120" w:beforeLines="50" w:line="288" w:lineRule="auto"/>
        <w:ind w:firstLine="560" w:firstLineChars="200"/>
        <w:rPr>
          <w:rFonts w:hint="eastAsia" w:ascii="Arial" w:hAnsi="Arial" w:eastAsia="仿宋_GB2312" w:cs="Arial"/>
          <w:sz w:val="28"/>
          <w:szCs w:val="28"/>
          <w:highlight w:val="none"/>
          <w:lang w:val="en-US" w:eastAsia="zh-CN"/>
        </w:rPr>
      </w:pPr>
      <w:r>
        <w:rPr>
          <w:rFonts w:hint="eastAsia" w:ascii="Arial" w:hAnsi="Arial" w:eastAsia="仿宋_GB2312" w:cs="Arial"/>
          <w:sz w:val="28"/>
          <w:szCs w:val="28"/>
          <w:highlight w:val="none"/>
          <w:lang w:val="en-US" w:eastAsia="zh-CN"/>
        </w:rPr>
        <w:t>根据</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128BB43B">
      <w:pPr>
        <w:snapToGrid w:val="0"/>
        <w:spacing w:before="120" w:beforeLines="50" w:line="288" w:lineRule="auto"/>
        <w:ind w:firstLine="560" w:firstLineChars="200"/>
        <w:rPr>
          <w:rFonts w:hint="eastAsia" w:ascii="Arial" w:hAnsi="Arial" w:eastAsia="仿宋" w:cs="Arial"/>
          <w:sz w:val="28"/>
          <w:highlight w:val="none"/>
          <w:lang w:eastAsia="zh-CN"/>
        </w:rPr>
      </w:pPr>
      <w:r>
        <w:rPr>
          <w:rFonts w:hint="eastAsia" w:ascii="Arial" w:hAnsi="Arial" w:eastAsia="仿宋_GB2312" w:cs="Arial"/>
          <w:kern w:val="2"/>
          <w:sz w:val="28"/>
          <w:highlight w:val="none"/>
          <w:lang w:val="en-US" w:eastAsia="zh-CN"/>
        </w:rPr>
        <w:t>根据《北京市国有建设用地使用权出让地价评估技术导则》（2026年2月10日实施）</w:t>
      </w:r>
      <w:r>
        <w:rPr>
          <w:rFonts w:hint="eastAsia" w:ascii="Arial" w:hAnsi="Arial" w:eastAsia="仿宋" w:cs="Arial"/>
          <w:sz w:val="28"/>
          <w:szCs w:val="28"/>
          <w:highlight w:val="none"/>
          <w:lang w:val="en-US" w:eastAsia="zh-CN"/>
        </w:rPr>
        <w:t>相关</w:t>
      </w:r>
      <w:r>
        <w:rPr>
          <w:rFonts w:ascii="Arial" w:hAnsi="Arial" w:eastAsia="仿宋" w:cs="Arial"/>
          <w:sz w:val="28"/>
          <w:szCs w:val="28"/>
          <w:highlight w:val="none"/>
        </w:rPr>
        <w:t>规定</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sz w:val="28"/>
          <w:highlight w:val="none"/>
        </w:rPr>
        <w:t>。</w:t>
      </w:r>
      <w:r>
        <w:rPr>
          <w:rFonts w:hint="eastAsia" w:ascii="Arial" w:hAnsi="Arial" w:eastAsia="仿宋_GB2312" w:cs="Arial"/>
          <w:kern w:val="2"/>
          <w:sz w:val="28"/>
          <w:highlight w:val="none"/>
          <w:lang w:val="en-US" w:eastAsia="zh-CN"/>
        </w:rPr>
        <w:t>其他商服、公共服务用途统一地价水平确定其配套服务设施部分的熟地单价，按就高原则确定价格水平，后续也不涉及其他</w:t>
      </w:r>
      <w:r>
        <w:rPr>
          <w:rFonts w:hint="eastAsia" w:ascii="Arial" w:hAnsi="Arial" w:eastAsia="仿宋_GB2312" w:cs="Arial"/>
          <w:kern w:val="2"/>
          <w:sz w:val="28"/>
          <w:highlight w:val="none"/>
        </w:rPr>
        <w:t>商服及公共服务用途之间地价款调整问题。</w:t>
      </w:r>
      <w:r>
        <w:rPr>
          <w:rFonts w:hint="eastAsia" w:ascii="Arial" w:hAnsi="Arial" w:eastAsia="仿宋" w:cs="Arial"/>
          <w:sz w:val="28"/>
          <w:highlight w:val="none"/>
          <w:lang w:eastAsia="zh-CN"/>
        </w:rPr>
        <w:t>”</w:t>
      </w:r>
    </w:p>
    <w:p w14:paraId="32D1053B">
      <w:pPr>
        <w:keepNext w:val="0"/>
        <w:keepLines w:val="0"/>
        <w:pageBreakBefore w:val="0"/>
        <w:widowControl w:val="0"/>
        <w:kinsoku/>
        <w:wordWrap/>
        <w:overflowPunct/>
        <w:topLinePunct w:val="0"/>
        <w:autoSpaceDE/>
        <w:autoSpaceDN/>
        <w:bidi w:val="0"/>
        <w:adjustRightInd w:val="0"/>
        <w:snapToGrid w:val="0"/>
        <w:spacing w:before="120" w:beforeLines="50" w:after="327" w:afterLines="100" w:line="288" w:lineRule="auto"/>
        <w:ind w:firstLine="560" w:firstLineChars="200"/>
        <w:textAlignment w:val="baseline"/>
        <w:rPr>
          <w:rFonts w:hint="eastAsia"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根据本次估价目的和出让评估要求，本次评估估价对象熟地总价时按城镇住宅用地测算结果作为最终估价结果，其他商业服务业用地、公共管理与公共服务用地仅测算列示楼面地价。具体估价结果如下表所示：</w:t>
      </w:r>
    </w:p>
    <w:p w14:paraId="65950534">
      <w:pPr>
        <w:rPr>
          <w:rFonts w:hint="eastAsia"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br w:type="page"/>
      </w:r>
    </w:p>
    <w:tbl>
      <w:tblPr>
        <w:tblStyle w:val="34"/>
        <w:tblW w:w="9072" w:type="dxa"/>
        <w:jc w:val="center"/>
        <w:tblLayout w:type="fixed"/>
        <w:tblCellMar>
          <w:top w:w="0" w:type="dxa"/>
          <w:left w:w="108" w:type="dxa"/>
          <w:bottom w:w="0" w:type="dxa"/>
          <w:right w:w="108" w:type="dxa"/>
        </w:tblCellMar>
      </w:tblPr>
      <w:tblGrid>
        <w:gridCol w:w="3792"/>
        <w:gridCol w:w="1728"/>
        <w:gridCol w:w="1980"/>
        <w:gridCol w:w="1572"/>
      </w:tblGrid>
      <w:tr w14:paraId="7F9AC60F">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65643733">
            <w:pPr>
              <w:widowControl/>
              <w:adjustRightInd/>
              <w:spacing w:line="300" w:lineRule="auto"/>
              <w:jc w:val="center"/>
              <w:textAlignment w:val="auto"/>
              <w:rPr>
                <w:rFonts w:ascii="Arial" w:hAnsi="Arial" w:eastAsia="黑体" w:cs="Arial"/>
                <w:sz w:val="28"/>
                <w:szCs w:val="28"/>
                <w:highlight w:val="none"/>
              </w:rPr>
            </w:pPr>
            <w:r>
              <w:rPr>
                <w:rFonts w:hint="eastAsia" w:ascii="Arial" w:hAnsi="Arial" w:eastAsia="仿宋_GB2312" w:cs="Arial"/>
                <w:b/>
                <w:bCs/>
                <w:sz w:val="28"/>
                <w:highlight w:val="none"/>
              </w:rPr>
              <w:t>北京市顺义区高丽营镇夏县营村棚户区改造土地开发项目01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008、01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016、01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026</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1、01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020地块R2二类居住用地、A334托幼用地国有建设用地使用权</w:t>
            </w:r>
            <w:r>
              <w:rPr>
                <w:rFonts w:ascii="Arial" w:hAnsi="Arial" w:eastAsia="仿宋_GB2312" w:cs="Arial"/>
                <w:b/>
                <w:bCs/>
                <w:sz w:val="28"/>
                <w:highlight w:val="none"/>
              </w:rPr>
              <w:t>估价结果汇总表</w:t>
            </w:r>
          </w:p>
        </w:tc>
      </w:tr>
      <w:tr w14:paraId="1A73FF70">
        <w:tblPrEx>
          <w:tblCellMar>
            <w:top w:w="0" w:type="dxa"/>
            <w:left w:w="108" w:type="dxa"/>
            <w:bottom w:w="0" w:type="dxa"/>
            <w:right w:w="108" w:type="dxa"/>
          </w:tblCellMar>
        </w:tblPrEx>
        <w:trPr>
          <w:trHeight w:val="67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4D56CCDB">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地价类型</w:t>
            </w:r>
            <w:r>
              <w:rPr>
                <w:rFonts w:ascii="Arial" w:hAnsi="Arial" w:eastAsia="仿宋_GB2312" w:cs="Arial"/>
                <w:szCs w:val="24"/>
                <w:highlight w:val="none"/>
              </w:rPr>
              <w:t>　</w:t>
            </w:r>
          </w:p>
        </w:tc>
        <w:tc>
          <w:tcPr>
            <w:tcW w:w="1728" w:type="dxa"/>
            <w:tcBorders>
              <w:top w:val="nil"/>
              <w:left w:val="nil"/>
              <w:bottom w:val="single" w:color="auto" w:sz="4" w:space="0"/>
              <w:right w:val="single" w:color="auto" w:sz="4" w:space="0"/>
            </w:tcBorders>
            <w:shd w:val="clear" w:color="auto" w:fill="auto"/>
            <w:vAlign w:val="center"/>
          </w:tcPr>
          <w:p w14:paraId="7557AD15">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eastAsia="zh-CN"/>
              </w:rPr>
              <w:t>楼面地价</w:t>
            </w:r>
            <w:r>
              <w:rPr>
                <w:rFonts w:ascii="Arial" w:hAnsi="Arial" w:eastAsia="仿宋_GB2312" w:cs="Arial"/>
                <w:szCs w:val="24"/>
                <w:highlight w:val="none"/>
              </w:rPr>
              <w:br w:type="textWrapping"/>
            </w:r>
            <w:r>
              <w:rPr>
                <w:rFonts w:ascii="Arial" w:hAnsi="Arial" w:eastAsia="仿宋_GB2312" w:cs="Arial"/>
                <w:szCs w:val="24"/>
                <w:highlight w:val="none"/>
              </w:rPr>
              <w:t>（元/平方米）</w:t>
            </w:r>
          </w:p>
        </w:tc>
        <w:tc>
          <w:tcPr>
            <w:tcW w:w="1980" w:type="dxa"/>
            <w:tcBorders>
              <w:top w:val="nil"/>
              <w:left w:val="nil"/>
              <w:bottom w:val="single" w:color="auto" w:sz="4" w:space="0"/>
              <w:right w:val="single" w:color="auto" w:sz="4" w:space="0"/>
            </w:tcBorders>
            <w:shd w:val="clear" w:color="auto" w:fill="auto"/>
            <w:vAlign w:val="center"/>
          </w:tcPr>
          <w:p w14:paraId="15480854">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经营性</w:t>
            </w:r>
            <w:r>
              <w:rPr>
                <w:rFonts w:ascii="Arial" w:hAnsi="Arial" w:eastAsia="仿宋_GB2312" w:cs="Arial"/>
                <w:szCs w:val="24"/>
                <w:highlight w:val="none"/>
              </w:rPr>
              <w:t>建筑规模</w:t>
            </w:r>
            <w:r>
              <w:rPr>
                <w:rFonts w:ascii="Arial" w:hAnsi="Arial" w:eastAsia="仿宋_GB2312" w:cs="Arial"/>
                <w:szCs w:val="24"/>
                <w:highlight w:val="none"/>
              </w:rPr>
              <w:br w:type="textWrapping"/>
            </w:r>
            <w:r>
              <w:rPr>
                <w:rFonts w:ascii="Arial" w:hAnsi="Arial" w:eastAsia="仿宋_GB2312" w:cs="Arial"/>
                <w:szCs w:val="24"/>
                <w:highlight w:val="none"/>
              </w:rPr>
              <w:t>（平方米）</w:t>
            </w:r>
          </w:p>
        </w:tc>
        <w:tc>
          <w:tcPr>
            <w:tcW w:w="1572" w:type="dxa"/>
            <w:tcBorders>
              <w:top w:val="nil"/>
              <w:left w:val="nil"/>
              <w:bottom w:val="single" w:color="auto" w:sz="4" w:space="0"/>
              <w:right w:val="single" w:color="auto" w:sz="4" w:space="0"/>
            </w:tcBorders>
            <w:shd w:val="clear" w:color="auto" w:fill="auto"/>
            <w:vAlign w:val="center"/>
          </w:tcPr>
          <w:p w14:paraId="64F22D43">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熟地</w:t>
            </w:r>
            <w:r>
              <w:rPr>
                <w:rFonts w:ascii="Arial" w:hAnsi="Arial" w:eastAsia="仿宋_GB2312" w:cs="Arial"/>
                <w:szCs w:val="24"/>
                <w:highlight w:val="none"/>
              </w:rPr>
              <w:t>总价</w:t>
            </w:r>
            <w:r>
              <w:rPr>
                <w:rFonts w:ascii="Arial" w:hAnsi="Arial" w:eastAsia="仿宋_GB2312" w:cs="Arial"/>
                <w:szCs w:val="24"/>
                <w:highlight w:val="none"/>
              </w:rPr>
              <w:br w:type="textWrapping"/>
            </w:r>
            <w:r>
              <w:rPr>
                <w:rFonts w:ascii="Arial" w:hAnsi="Arial" w:eastAsia="仿宋_GB2312" w:cs="Arial"/>
                <w:szCs w:val="24"/>
                <w:highlight w:val="none"/>
              </w:rPr>
              <w:t>（万元）</w:t>
            </w:r>
          </w:p>
        </w:tc>
      </w:tr>
      <w:tr w14:paraId="4659DDFF">
        <w:tblPrEx>
          <w:tblCellMar>
            <w:top w:w="0" w:type="dxa"/>
            <w:left w:w="108" w:type="dxa"/>
            <w:bottom w:w="0" w:type="dxa"/>
            <w:right w:w="108" w:type="dxa"/>
          </w:tblCellMar>
        </w:tblPrEx>
        <w:trPr>
          <w:trHeight w:val="56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338CFDED">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城镇住宅用地熟地价</w:t>
            </w:r>
          </w:p>
        </w:tc>
        <w:tc>
          <w:tcPr>
            <w:tcW w:w="1728" w:type="dxa"/>
            <w:tcBorders>
              <w:top w:val="nil"/>
              <w:left w:val="nil"/>
              <w:bottom w:val="single" w:color="auto" w:sz="4" w:space="0"/>
              <w:right w:val="single" w:color="auto" w:sz="4" w:space="0"/>
            </w:tcBorders>
            <w:shd w:val="clear" w:color="auto" w:fill="auto"/>
            <w:vAlign w:val="center"/>
          </w:tcPr>
          <w:p w14:paraId="2248ABB9">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10942</w:t>
            </w:r>
          </w:p>
        </w:tc>
        <w:tc>
          <w:tcPr>
            <w:tcW w:w="1980" w:type="dxa"/>
            <w:tcBorders>
              <w:top w:val="nil"/>
              <w:left w:val="nil"/>
              <w:bottom w:val="single" w:color="auto" w:sz="4" w:space="0"/>
              <w:right w:val="single" w:color="auto" w:sz="4" w:space="0"/>
            </w:tcBorders>
            <w:shd w:val="clear" w:color="auto" w:fill="auto"/>
            <w:vAlign w:val="center"/>
          </w:tcPr>
          <w:p w14:paraId="6784857F">
            <w:pPr>
              <w:spacing w:line="300" w:lineRule="auto"/>
              <w:jc w:val="center"/>
              <w:rPr>
                <w:rFonts w:ascii="黑体" w:hAnsi="黑体" w:eastAsia="黑体"/>
                <w:highlight w:val="none"/>
              </w:rPr>
            </w:pPr>
            <w:r>
              <w:rPr>
                <w:rFonts w:ascii="黑体" w:hAnsi="黑体" w:eastAsia="黑体"/>
                <w:highlight w:val="none"/>
              </w:rPr>
              <w:t>68148.54</w:t>
            </w:r>
          </w:p>
        </w:tc>
        <w:tc>
          <w:tcPr>
            <w:tcW w:w="1572" w:type="dxa"/>
            <w:tcBorders>
              <w:top w:val="nil"/>
              <w:left w:val="nil"/>
              <w:bottom w:val="single" w:color="auto" w:sz="4" w:space="0"/>
              <w:right w:val="single" w:color="auto" w:sz="4" w:space="0"/>
            </w:tcBorders>
            <w:shd w:val="clear" w:color="auto" w:fill="auto"/>
            <w:vAlign w:val="center"/>
          </w:tcPr>
          <w:p w14:paraId="6F0A13D8">
            <w:pPr>
              <w:spacing w:line="300" w:lineRule="auto"/>
              <w:jc w:val="center"/>
              <w:rPr>
                <w:rFonts w:ascii="黑体" w:hAnsi="黑体" w:eastAsia="黑体" w:cs="宋体"/>
                <w:szCs w:val="24"/>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r w14:paraId="0A756D53">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199401EC">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其他商业服务业用地用途熟地价</w:t>
            </w:r>
          </w:p>
        </w:tc>
        <w:tc>
          <w:tcPr>
            <w:tcW w:w="1728" w:type="dxa"/>
            <w:tcBorders>
              <w:top w:val="nil"/>
              <w:left w:val="nil"/>
              <w:bottom w:val="single" w:color="auto" w:sz="4" w:space="0"/>
              <w:right w:val="single" w:color="auto" w:sz="4" w:space="0"/>
            </w:tcBorders>
            <w:shd w:val="clear" w:color="auto" w:fill="auto"/>
            <w:vAlign w:val="center"/>
          </w:tcPr>
          <w:p w14:paraId="5A336A23">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5295</w:t>
            </w:r>
          </w:p>
        </w:tc>
        <w:tc>
          <w:tcPr>
            <w:tcW w:w="1980" w:type="dxa"/>
            <w:tcBorders>
              <w:top w:val="nil"/>
              <w:left w:val="nil"/>
              <w:bottom w:val="single" w:color="auto" w:sz="4" w:space="0"/>
              <w:right w:val="single" w:color="auto" w:sz="4" w:space="0"/>
            </w:tcBorders>
            <w:shd w:val="clear" w:color="auto" w:fill="auto"/>
            <w:vAlign w:val="center"/>
          </w:tcPr>
          <w:p w14:paraId="14B939BE">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572" w:type="dxa"/>
            <w:tcBorders>
              <w:top w:val="nil"/>
              <w:left w:val="nil"/>
              <w:bottom w:val="single" w:color="auto" w:sz="4" w:space="0"/>
              <w:right w:val="single" w:color="auto" w:sz="4" w:space="0"/>
            </w:tcBorders>
            <w:shd w:val="clear" w:color="auto" w:fill="auto"/>
            <w:vAlign w:val="center"/>
          </w:tcPr>
          <w:p w14:paraId="3933BAAD">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4CFD3707">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nil"/>
              <w:right w:val="single" w:color="auto" w:sz="4" w:space="0"/>
            </w:tcBorders>
            <w:shd w:val="clear" w:color="auto" w:fill="auto"/>
            <w:vAlign w:val="center"/>
          </w:tcPr>
          <w:p w14:paraId="2AAB5E2A">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rPr>
              <w:t>公共</w:t>
            </w:r>
            <w:r>
              <w:rPr>
                <w:rFonts w:hint="eastAsia" w:ascii="Arial" w:hAnsi="Arial" w:eastAsia="仿宋_GB2312" w:cs="Arial"/>
                <w:szCs w:val="24"/>
                <w:highlight w:val="none"/>
                <w:lang w:val="en-US" w:eastAsia="zh-CN"/>
              </w:rPr>
              <w:t>服务用途熟地价</w:t>
            </w:r>
          </w:p>
        </w:tc>
        <w:tc>
          <w:tcPr>
            <w:tcW w:w="1728" w:type="dxa"/>
            <w:tcBorders>
              <w:top w:val="nil"/>
              <w:left w:val="nil"/>
              <w:bottom w:val="nil"/>
              <w:right w:val="single" w:color="auto" w:sz="4" w:space="0"/>
            </w:tcBorders>
            <w:shd w:val="clear" w:color="auto" w:fill="auto"/>
            <w:vAlign w:val="center"/>
          </w:tcPr>
          <w:p w14:paraId="04E1D5B4">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3249</w:t>
            </w:r>
          </w:p>
        </w:tc>
        <w:tc>
          <w:tcPr>
            <w:tcW w:w="1980" w:type="dxa"/>
            <w:tcBorders>
              <w:top w:val="nil"/>
              <w:left w:val="nil"/>
              <w:bottom w:val="nil"/>
              <w:right w:val="single" w:color="auto" w:sz="4" w:space="0"/>
            </w:tcBorders>
            <w:shd w:val="clear" w:color="auto" w:fill="auto"/>
            <w:vAlign w:val="center"/>
          </w:tcPr>
          <w:p w14:paraId="0E785E65">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572" w:type="dxa"/>
            <w:tcBorders>
              <w:top w:val="nil"/>
              <w:left w:val="nil"/>
              <w:bottom w:val="nil"/>
              <w:right w:val="single" w:color="auto" w:sz="4" w:space="0"/>
            </w:tcBorders>
            <w:shd w:val="clear" w:color="auto" w:fill="auto"/>
            <w:vAlign w:val="center"/>
          </w:tcPr>
          <w:p w14:paraId="37E06CED">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4C7E92E2">
        <w:tblPrEx>
          <w:tblCellMar>
            <w:top w:w="0" w:type="dxa"/>
            <w:left w:w="108" w:type="dxa"/>
            <w:bottom w:w="0" w:type="dxa"/>
            <w:right w:w="108" w:type="dxa"/>
          </w:tblCellMar>
        </w:tblPrEx>
        <w:trPr>
          <w:trHeight w:val="525" w:hRule="atLeast"/>
          <w:jc w:val="center"/>
        </w:trPr>
        <w:tc>
          <w:tcPr>
            <w:tcW w:w="3792" w:type="dxa"/>
            <w:tcBorders>
              <w:top w:val="nil"/>
              <w:left w:val="single" w:color="auto" w:sz="4" w:space="0"/>
              <w:bottom w:val="single" w:color="auto" w:sz="4" w:space="0"/>
              <w:right w:val="single" w:color="auto" w:sz="4" w:space="0"/>
            </w:tcBorders>
            <w:shd w:val="clear" w:color="auto" w:fill="auto"/>
            <w:vAlign w:val="center"/>
          </w:tcPr>
          <w:p w14:paraId="6E9F45C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小计</w:t>
            </w:r>
          </w:p>
        </w:tc>
        <w:tc>
          <w:tcPr>
            <w:tcW w:w="1728" w:type="dxa"/>
            <w:tcBorders>
              <w:top w:val="nil"/>
              <w:left w:val="nil"/>
              <w:bottom w:val="single" w:color="auto" w:sz="4" w:space="0"/>
              <w:right w:val="single" w:color="auto" w:sz="4" w:space="0"/>
            </w:tcBorders>
            <w:shd w:val="clear" w:color="auto" w:fill="auto"/>
            <w:vAlign w:val="center"/>
          </w:tcPr>
          <w:p w14:paraId="430388CE">
            <w:pPr>
              <w:spacing w:line="300" w:lineRule="auto"/>
              <w:jc w:val="center"/>
              <w:rPr>
                <w:rFonts w:hint="eastAsia" w:ascii="黑体" w:hAnsi="黑体" w:eastAsia="黑体"/>
                <w:highlight w:val="none"/>
                <w:lang w:val="en-US" w:eastAsia="zh-CN"/>
              </w:rPr>
            </w:pPr>
            <w:r>
              <w:rPr>
                <w:rFonts w:hint="eastAsia" w:ascii="黑体" w:hAnsi="黑体" w:eastAsia="黑体"/>
                <w:highlight w:val="none"/>
                <w:lang w:val="en-US" w:eastAsia="zh-CN"/>
              </w:rPr>
              <w:t>－</w:t>
            </w:r>
          </w:p>
        </w:tc>
        <w:tc>
          <w:tcPr>
            <w:tcW w:w="1980" w:type="dxa"/>
            <w:tcBorders>
              <w:top w:val="nil"/>
              <w:left w:val="nil"/>
              <w:bottom w:val="single" w:color="auto" w:sz="4" w:space="0"/>
              <w:right w:val="single" w:color="auto" w:sz="4" w:space="0"/>
            </w:tcBorders>
            <w:shd w:val="clear" w:color="auto" w:fill="auto"/>
            <w:vAlign w:val="center"/>
          </w:tcPr>
          <w:p w14:paraId="3D0B9B2F">
            <w:pPr>
              <w:spacing w:line="300" w:lineRule="auto"/>
              <w:jc w:val="center"/>
              <w:rPr>
                <w:rFonts w:hint="default" w:ascii="黑体" w:hAnsi="黑体" w:eastAsia="黑体"/>
                <w:highlight w:val="none"/>
                <w:lang w:val="en-US" w:eastAsia="zh-CN"/>
              </w:rPr>
            </w:pPr>
            <w:r>
              <w:rPr>
                <w:rFonts w:hint="eastAsia" w:ascii="黑体" w:hAnsi="黑体" w:eastAsia="黑体"/>
                <w:highlight w:val="none"/>
                <w:lang w:val="en-US" w:eastAsia="zh-CN"/>
              </w:rPr>
              <w:t>68148.54</w:t>
            </w:r>
          </w:p>
        </w:tc>
        <w:tc>
          <w:tcPr>
            <w:tcW w:w="1572" w:type="dxa"/>
            <w:tcBorders>
              <w:top w:val="nil"/>
              <w:left w:val="nil"/>
              <w:bottom w:val="single" w:color="auto" w:sz="4" w:space="0"/>
              <w:right w:val="single" w:color="auto" w:sz="4" w:space="0"/>
            </w:tcBorders>
            <w:shd w:val="clear" w:color="auto" w:fill="auto"/>
            <w:vAlign w:val="center"/>
          </w:tcPr>
          <w:p w14:paraId="451264EE">
            <w:pPr>
              <w:spacing w:line="300" w:lineRule="auto"/>
              <w:jc w:val="center"/>
              <w:rPr>
                <w:rFonts w:ascii="黑体" w:hAnsi="黑体" w:eastAsia="黑体"/>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bl>
    <w:p w14:paraId="1B45E495">
      <w:pPr>
        <w:rPr>
          <w:rFonts w:hint="eastAsia" w:ascii="Arial" w:hAnsi="Arial" w:eastAsia="仿宋_GB2312" w:cs="Arial"/>
          <w:b/>
          <w:kern w:val="2"/>
          <w:sz w:val="28"/>
          <w:highlight w:val="none"/>
          <w:lang w:val="en-US" w:eastAsia="zh-CN"/>
        </w:rPr>
      </w:pPr>
    </w:p>
    <w:p w14:paraId="1EFBCA73">
      <w:pPr>
        <w:rPr>
          <w:rFonts w:hint="default"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出让底价建议：</w:t>
      </w:r>
    </w:p>
    <w:p w14:paraId="4F059D89">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3A2D47CE">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根据《北京市国有建设用地使用权出让地价评估技术导则》（2026年2月10日实施）：“土地未公布协议出让最低价标准的，按拟出让土地所在级别基准地价的70%测算对比”；同时《协议出让国有土地使用权规定》（中华人民共和国国土资源部21号令，2003年8月1日实施）规定，“有基准地价的地区，协议出让最低价不得低于出让地块所在级别基准地价的70%”。北京市已公布基准地价，未公布协议出让最低价标准，因此，本次估价将熟地价与级别基准地价的70%进行对比分析。</w:t>
      </w:r>
    </w:p>
    <w:p w14:paraId="0FC63216">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估价对象所在地区属于北京市基准地价住宅、商业、公共服务类三级地价区，具体计算公式如下:</w:t>
      </w:r>
    </w:p>
    <w:p w14:paraId="037C67CC">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楼面地价（级别基准地价的70%）＝适用的基准地价×用途修正系数×期日修正系数×年期修正系数×容积率修正系数×70%</w:t>
      </w:r>
    </w:p>
    <w:p w14:paraId="350C94E6">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各用途估价结果详见下表:</w:t>
      </w:r>
    </w:p>
    <w:tbl>
      <w:tblPr>
        <w:tblStyle w:val="34"/>
        <w:tblW w:w="0" w:type="auto"/>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6"/>
        <w:gridCol w:w="2220"/>
        <w:gridCol w:w="2050"/>
        <w:gridCol w:w="1964"/>
        <w:gridCol w:w="2106"/>
      </w:tblGrid>
      <w:tr w14:paraId="1E3287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6C44FE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61697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0CCA4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居住</w:t>
            </w:r>
          </w:p>
          <w:p w14:paraId="4D4CDE3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F4CCA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商业</w:t>
            </w:r>
          </w:p>
          <w:p w14:paraId="795E13A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759CD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公共服务</w:t>
            </w:r>
          </w:p>
          <w:p w14:paraId="59029DB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r>
      <w:tr w14:paraId="6B511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DB726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7657C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4B61A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BF4C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F04A9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3170</w:t>
            </w:r>
          </w:p>
        </w:tc>
      </w:tr>
      <w:tr w14:paraId="170F17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B49461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0F234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142D8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CCE92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F690F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r>
      <w:tr w14:paraId="27C202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691A00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3D9A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A5EF6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8D7807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66DB2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2A21F4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B070A7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9030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32A3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03D62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2809E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279B8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9D42D8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068F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C9448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1CBCC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ACE22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42B9ED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FF4CD0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08ED2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44FB8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37410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A323C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0.9388</w:t>
            </w:r>
          </w:p>
        </w:tc>
      </w:tr>
      <w:tr w14:paraId="6861831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443AF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78902C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1C95C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4923D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F4D5A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1BAE8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34CA19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DC0DD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BDCC3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DCF61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D81FD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1.0678</w:t>
            </w:r>
          </w:p>
        </w:tc>
      </w:tr>
      <w:tr w14:paraId="537B588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50F4039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4DC76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5252D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FFE92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1F466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3225</w:t>
            </w:r>
          </w:p>
        </w:tc>
      </w:tr>
      <w:tr w14:paraId="7A5C9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AB435D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B26C7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56EEC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F7CE5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3E3D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2258</w:t>
            </w:r>
          </w:p>
        </w:tc>
      </w:tr>
      <w:tr w14:paraId="6900535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C94600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04D3F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44C50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50B5B2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8E78C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3249</w:t>
            </w:r>
          </w:p>
        </w:tc>
      </w:tr>
    </w:tbl>
    <w:p w14:paraId="46C21236">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经测算，本次估价求取估价对象各用途熟地价均高于协议出让最低价标准（经修正后（除因素修正外）级别基准地价的70%），因此建议该宗地以评估熟地价作为入市底价，即74568.1325万元，建议出让楼面地价为10942元/平方米（折合经营性建筑面积）。</w:t>
      </w:r>
    </w:p>
    <w:p w14:paraId="613016B0">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建议出让底价：74568.1325万元</w:t>
      </w:r>
    </w:p>
    <w:p w14:paraId="74F07690">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大写金额：柒亿肆仟伍佰陆拾捌万壹仟叁佰贰拾伍元整</w:t>
      </w:r>
    </w:p>
    <w:p w14:paraId="7F6353B7">
      <w:pPr>
        <w:snapToGrid w:val="0"/>
        <w:spacing w:before="120" w:beforeLines="50" w:line="288" w:lineRule="auto"/>
        <w:ind w:firstLine="562" w:firstLineChars="200"/>
        <w:rPr>
          <w:rFonts w:hint="default"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折合经营性建筑面积楼面地价：10942元/平方米。</w:t>
      </w:r>
    </w:p>
    <w:p w14:paraId="76E11A1E">
      <w:pPr>
        <w:spacing w:line="300" w:lineRule="auto"/>
        <w:ind w:firstLine="560" w:firstLineChars="200"/>
        <w:jc w:val="both"/>
        <w:rPr>
          <w:rFonts w:ascii="Arial" w:hAnsi="Arial" w:eastAsia="仿宋_GB2312" w:cs="Arial"/>
          <w:kern w:val="2"/>
          <w:sz w:val="28"/>
          <w:highlight w:val="none"/>
        </w:rPr>
      </w:pPr>
    </w:p>
    <w:p w14:paraId="347EF3A5">
      <w:pPr>
        <w:snapToGrid w:val="0"/>
        <w:spacing w:before="120" w:beforeLines="50" w:line="300" w:lineRule="auto"/>
        <w:ind w:firstLine="560" w:firstLineChars="200"/>
        <w:rPr>
          <w:rFonts w:ascii="Arial" w:hAnsi="Arial" w:eastAsia="仿宋_GB2312" w:cs="Arial"/>
          <w:kern w:val="2"/>
          <w:sz w:val="28"/>
          <w:highlight w:val="none"/>
        </w:rPr>
      </w:pPr>
    </w:p>
    <w:p w14:paraId="0555C3A2">
      <w:pPr>
        <w:adjustRightInd/>
        <w:spacing w:line="300" w:lineRule="auto"/>
        <w:ind w:firstLine="560" w:firstLineChars="200"/>
        <w:rPr>
          <w:rFonts w:ascii="Arial" w:hAnsi="Arial" w:eastAsia="仿宋" w:cs="Arial"/>
          <w:sz w:val="28"/>
          <w:highlight w:val="none"/>
        </w:rPr>
      </w:pPr>
      <w:r>
        <w:rPr>
          <w:rFonts w:ascii="Arial" w:hAnsi="Arial" w:eastAsia="仿宋_GB2312" w:cs="Arial"/>
          <w:sz w:val="28"/>
          <w:highlight w:val="none"/>
        </w:rPr>
        <w:br w:type="page"/>
      </w:r>
      <w:r>
        <w:rPr>
          <w:rFonts w:ascii="Arial" w:hAnsi="Arial" w:eastAsia="仿宋" w:cs="Arial"/>
          <w:sz w:val="28"/>
          <w:highlight w:val="none"/>
        </w:rPr>
        <w:t>三、估价结果和估价报告的使用</w:t>
      </w:r>
      <w:bookmarkEnd w:id="198"/>
      <w:bookmarkEnd w:id="199"/>
      <w:bookmarkEnd w:id="200"/>
      <w:bookmarkEnd w:id="201"/>
      <w:bookmarkEnd w:id="202"/>
      <w:bookmarkEnd w:id="203"/>
      <w:bookmarkEnd w:id="204"/>
    </w:p>
    <w:p w14:paraId="463EC44A">
      <w:pPr>
        <w:adjustRightInd/>
        <w:spacing w:line="300" w:lineRule="auto"/>
        <w:ind w:firstLine="560" w:firstLineChars="200"/>
        <w:jc w:val="both"/>
        <w:textAlignment w:val="bottom"/>
        <w:rPr>
          <w:rFonts w:ascii="Arial" w:hAnsi="Arial" w:eastAsia="仿宋" w:cs="Arial"/>
          <w:sz w:val="28"/>
          <w:highlight w:val="none"/>
        </w:rPr>
      </w:pPr>
      <w:bookmarkStart w:id="209" w:name="_Toc515458378"/>
      <w:bookmarkStart w:id="210" w:name="_Toc520261151"/>
      <w:bookmarkStart w:id="211" w:name="_Toc531701573"/>
      <w:r>
        <w:rPr>
          <w:rFonts w:ascii="Arial" w:hAnsi="Arial" w:eastAsia="仿宋" w:cs="Arial"/>
          <w:sz w:val="28"/>
          <w:highlight w:val="none"/>
        </w:rPr>
        <w:t>（一）估价的前提条件和假设条件</w:t>
      </w:r>
    </w:p>
    <w:p w14:paraId="70FD2BB0">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1.估价的前提条件</w:t>
      </w:r>
    </w:p>
    <w:p w14:paraId="3B81F2DA">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（1）委托估价方提供的资料属实，没有保留及隐瞒。</w:t>
      </w:r>
    </w:p>
    <w:p w14:paraId="034E6F0A">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（2）在估价期日的房地产市场为公开、平等、自愿的交易市场。</w:t>
      </w:r>
    </w:p>
    <w:p w14:paraId="73067DF0">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（3）任何有关估价对象的运作方式、程序符合国家、地方的有关法律、法规。</w:t>
      </w:r>
    </w:p>
    <w:p w14:paraId="5B1A5FF1">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（4）估价对象规划用途和周边环境维持不变，且估价对象得到最有效利用，并产生相应的土地收益。</w:t>
      </w:r>
    </w:p>
    <w:p w14:paraId="1DDF85C8">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（5）本次估价设定估价对象地上建筑物可按照预测的合理工期建设完毕。</w:t>
      </w:r>
    </w:p>
    <w:p w14:paraId="231C0C58">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6）委托估价方对所提供的资料负完全的法律责任，对所提供资料（含陈述）的完整性、合法性和真实性负责。关于估价对象的权属状况等均根据委托估价方提供的有关资料复印件得出，本估价机构未向有关部门进行核实、考证。如因委托估价方提供的资料不实，引起评估结论有误，评估机构不承担相应的法律责任。</w:t>
      </w:r>
    </w:p>
    <w:p w14:paraId="061258C6">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2.估价的假设条件</w:t>
      </w:r>
    </w:p>
    <w:p w14:paraId="08E45E61">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（1）土地权利限制：无他项权利。</w:t>
      </w:r>
    </w:p>
    <w:p w14:paraId="3C05566D">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（2）土地用途设定：按规划用途设定本次评估的使用用途。</w:t>
      </w:r>
    </w:p>
    <w:p w14:paraId="33D16D5D">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（3）土地使用年期设定：法定最高出让年限。</w:t>
      </w:r>
    </w:p>
    <w:p w14:paraId="045D537E">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（4）评估设定土地开发程度红线外市政基础设施达</w:t>
      </w:r>
      <w:r>
        <w:rPr>
          <w:rFonts w:hint="eastAsia" w:ascii="Arial" w:hAnsi="Arial" w:eastAsia="仿宋" w:cs="Arial"/>
          <w:sz w:val="28"/>
          <w:szCs w:val="28"/>
          <w:highlight w:val="none"/>
          <w:lang w:eastAsia="zh-CN"/>
        </w:rPr>
        <w:t>“七通”（通路、通上水（自来水、中水）、通下水（雨水、污水）、通电（管沟、电缆）、通讯、通燃气、通热力）</w:t>
      </w:r>
      <w:r>
        <w:rPr>
          <w:rFonts w:ascii="Arial" w:hAnsi="Arial" w:eastAsia="仿宋" w:cs="Arial"/>
          <w:sz w:val="28"/>
          <w:highlight w:val="none"/>
        </w:rPr>
        <w:t>、宗地红线内场地平整。</w:t>
      </w:r>
    </w:p>
    <w:p w14:paraId="0B58BFED">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（5）估价期日设定：按委托估价方要求的地价时点设定。</w:t>
      </w:r>
    </w:p>
    <w:p w14:paraId="66C78E95">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（二）估价结果和估价报告的使用</w:t>
      </w:r>
    </w:p>
    <w:p w14:paraId="10B5DFC5">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1.本估价报告的依据为国务院、自然资源部、住建部、北京市人民政府及有关部门颁布的有关法律、法规、政策文件、委托估价方提供的资料、受托估价方掌握的有关资料以及土地估价专业评估师实地勘察所获取的资料。</w:t>
      </w:r>
    </w:p>
    <w:p w14:paraId="2C5642CA">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2.委托估价方应对其提供的权属证明以及其他资料的真实性、完整性和合法性负责。如因资料失实或资料提供人有所隐匿而导致估价结果失真，估价机构不承担相应的责任。</w:t>
      </w:r>
    </w:p>
    <w:p w14:paraId="044CF808">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3.本报告估价结果为估价期日下的正常市场价格，随着时间的推移，该价格需要做相应的调整直至重新评估。</w:t>
      </w:r>
    </w:p>
    <w:p w14:paraId="17D40AAC">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4.本估价报告在估价机构盖章和土地估价师签字的条件下有效。</w:t>
      </w:r>
    </w:p>
    <w:p w14:paraId="3CAA3211">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5.本次评估估价报告分为“土地估价报告”和“土地估价技术报告”两部分，“土地估价报告”供委托估价方使用，“土地估价技术报告”仅供估价机构存档和作为估价结果提交房屋土地管理部门确认或备案时的附件。</w:t>
      </w:r>
    </w:p>
    <w:p w14:paraId="684F77E3">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6.本估价报告只能由估价报告载明的报告使用者使用，且只能用于本报告载明的唯一估价目的和用途。</w:t>
      </w:r>
    </w:p>
    <w:p w14:paraId="4BB724C4">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7.委托估价方或者本估价报告使用人应按照法律规定和估价报告载明的使用范围使用本估价报告。委托估价方或者估价报告使用人违反前述规定使用本估价报告的，估价机构和土地估价专业评估师不承担责任。</w:t>
      </w:r>
    </w:p>
    <w:p w14:paraId="4C0A6338">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8.除委托估价方、估价委托合同中约定的其他估价报告使用人和法律、行政法规规定的估价报告使用人之外，其他任何机构和个人不能成为估价报告的使用人。</w:t>
      </w:r>
    </w:p>
    <w:p w14:paraId="458D4A63">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9.估价报告使用人应当正确理解估价结论。估价结论不等同于估价对象可实现价格，估价结论不应当被认为是对估价对象可实现价格的保证。</w:t>
      </w:r>
    </w:p>
    <w:p w14:paraId="586B9925">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10.本估价报告自报告出具日起计算，从202</w:t>
      </w:r>
      <w:r>
        <w:rPr>
          <w:rFonts w:hint="eastAsia" w:ascii="Arial" w:hAnsi="Arial" w:eastAsia="仿宋" w:cs="Arial"/>
          <w:sz w:val="28"/>
          <w:highlight w:val="none"/>
          <w:lang w:val="en-US" w:eastAsia="zh-CN"/>
        </w:rPr>
        <w:t>6</w:t>
      </w:r>
      <w:r>
        <w:rPr>
          <w:rFonts w:ascii="Arial" w:hAnsi="Arial" w:eastAsia="仿宋" w:cs="Arial"/>
          <w:sz w:val="28"/>
          <w:highlight w:val="none"/>
        </w:rPr>
        <w:t>年</w:t>
      </w:r>
      <w:r>
        <w:rPr>
          <w:rFonts w:hint="eastAsia" w:ascii="Arial" w:hAnsi="Arial" w:eastAsia="仿宋" w:cs="Arial"/>
          <w:sz w:val="28"/>
          <w:highlight w:val="none"/>
          <w:lang w:val="en-US" w:eastAsia="zh-CN"/>
        </w:rPr>
        <w:t>3</w:t>
      </w:r>
      <w:r>
        <w:rPr>
          <w:rFonts w:ascii="Arial" w:hAnsi="Arial" w:eastAsia="仿宋" w:cs="Arial"/>
          <w:sz w:val="28"/>
          <w:highlight w:val="none"/>
        </w:rPr>
        <w:t>月</w:t>
      </w:r>
      <w:r>
        <w:rPr>
          <w:rFonts w:hint="eastAsia" w:ascii="Arial" w:hAnsi="Arial" w:eastAsia="仿宋" w:cs="Arial"/>
          <w:sz w:val="28"/>
          <w:highlight w:val="none"/>
          <w:lang w:val="en-US" w:eastAsia="zh-CN"/>
        </w:rPr>
        <w:t>31</w:t>
      </w:r>
      <w:r>
        <w:rPr>
          <w:rFonts w:ascii="Arial" w:hAnsi="Arial" w:eastAsia="仿宋" w:cs="Arial"/>
          <w:sz w:val="28"/>
          <w:highlight w:val="none"/>
        </w:rPr>
        <w:t>日至202</w:t>
      </w:r>
      <w:r>
        <w:rPr>
          <w:rFonts w:hint="eastAsia" w:ascii="Arial" w:hAnsi="Arial" w:eastAsia="仿宋" w:cs="Arial"/>
          <w:sz w:val="28"/>
          <w:highlight w:val="none"/>
          <w:lang w:val="en-US" w:eastAsia="zh-CN"/>
        </w:rPr>
        <w:t>7</w:t>
      </w:r>
      <w:r>
        <w:rPr>
          <w:rFonts w:ascii="Arial" w:hAnsi="Arial" w:eastAsia="仿宋" w:cs="Arial"/>
          <w:sz w:val="28"/>
          <w:highlight w:val="none"/>
        </w:rPr>
        <w:t>年</w:t>
      </w:r>
      <w:r>
        <w:rPr>
          <w:rFonts w:hint="eastAsia" w:ascii="Arial" w:hAnsi="Arial" w:eastAsia="仿宋" w:cs="Arial"/>
          <w:sz w:val="28"/>
          <w:highlight w:val="none"/>
          <w:lang w:val="en-US" w:eastAsia="zh-CN"/>
        </w:rPr>
        <w:t>3</w:t>
      </w:r>
      <w:r>
        <w:rPr>
          <w:rFonts w:ascii="Arial" w:hAnsi="Arial" w:eastAsia="仿宋" w:cs="Arial"/>
          <w:sz w:val="28"/>
          <w:highlight w:val="none"/>
        </w:rPr>
        <w:t>月</w:t>
      </w:r>
      <w:r>
        <w:rPr>
          <w:rFonts w:hint="eastAsia" w:ascii="Arial" w:hAnsi="Arial" w:eastAsia="仿宋" w:cs="Arial"/>
          <w:sz w:val="28"/>
          <w:highlight w:val="none"/>
          <w:lang w:val="en-US" w:eastAsia="zh-CN"/>
        </w:rPr>
        <w:t>30</w:t>
      </w:r>
      <w:r>
        <w:rPr>
          <w:rFonts w:ascii="Arial" w:hAnsi="Arial" w:eastAsia="仿宋" w:cs="Arial"/>
          <w:sz w:val="28"/>
          <w:highlight w:val="none"/>
        </w:rPr>
        <w:t>日有效。</w:t>
      </w:r>
    </w:p>
    <w:p w14:paraId="32DF10D6">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11.本次土地估价报告的使用权归委托估价方，土地估价报告由北京康正宏基房地产评估有限公司负责解释。</w:t>
      </w:r>
    </w:p>
    <w:p w14:paraId="3295A6E7">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（三）需要特殊说明的事项</w:t>
      </w:r>
    </w:p>
    <w:p w14:paraId="3230B87F">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1.资料来源说明</w:t>
      </w:r>
    </w:p>
    <w:p w14:paraId="1222AC0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（1）估价对象的土地、房屋权属资料、土地利用状况、评估项目相关资料由委托估价方提供。</w:t>
      </w:r>
    </w:p>
    <w:p w14:paraId="572ED58C">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（2）土地区位条件、地产市场交易资料、土地利用现状照片等相关资料由土地估价专业评估师实地调查取得。</w:t>
      </w:r>
    </w:p>
    <w:p w14:paraId="3AC33480">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（3）区域经济发展状况、统计数据、城市规划资料、基准地价资料等由土地估价专业评估师通过政府相关部门获取。</w:t>
      </w:r>
    </w:p>
    <w:p w14:paraId="6DC1E7C4">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（4）估价中的相关参数资料由土地估价专业评估师通过政府部门相关文件规定、公开媒体等多种途径获取。</w:t>
      </w:r>
    </w:p>
    <w:p w14:paraId="42E53F2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5）土地估价专业评估师结合执业经验，对上述相关评估资料的真实性、合法性、有效性、适用性进行了尽职核实、专业判断。委托估价方对所提供资料的真实性负责，估价机构对所收集资料的真实性、准确性负责。</w:t>
      </w:r>
    </w:p>
    <w:p w14:paraId="6FB51CED">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2.有关参数确定及使用说明</w:t>
      </w:r>
    </w:p>
    <w:p w14:paraId="122394CE">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（1）估价对象的土地面积及规划建筑规模以</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为依据</w:t>
      </w:r>
      <w:r>
        <w:rPr>
          <w:rFonts w:ascii="Arial" w:hAnsi="Arial" w:eastAsia="仿宋" w:cs="Arial"/>
          <w:sz w:val="28"/>
          <w:szCs w:val="28"/>
          <w:highlight w:val="none"/>
        </w:rPr>
        <w:t>，</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 xml:space="preserve">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w:t>
      </w:r>
      <w:r>
        <w:rPr>
          <w:rFonts w:hint="eastAsia" w:ascii="Arial" w:hAnsi="Arial" w:eastAsia="仿宋" w:cs="Arial"/>
          <w:sz w:val="28"/>
          <w:highlight w:val="none"/>
          <w:lang w:eastAsia="zh-CN"/>
        </w:rPr>
        <w:t>根据《北京市国有建设用地使用权出让地价评估技术导则》（2026年2月10日实施）中的相关规定，本次评估01－008、01－016、01－026－1地块（R2二类居住用地）容积率为1.2</w:t>
      </w:r>
      <w:r>
        <w:rPr>
          <w:rFonts w:ascii="Arial" w:hAnsi="Arial" w:eastAsia="仿宋" w:cs="Arial"/>
          <w:sz w:val="28"/>
          <w:highlight w:val="none"/>
        </w:rPr>
        <w:t>。若上述条件发生变化，本报告估价结果需做相应的调整。</w:t>
      </w:r>
    </w:p>
    <w:p w14:paraId="7A105B1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（2）根据</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，该项目合计应配建人防工程建筑面积不小于13674.6平方米，其中 01</w:t>
      </w:r>
      <w:r>
        <w:rPr>
          <w:rFonts w:hint="eastAsia" w:ascii="Arial" w:hAnsi="Arial" w:eastAsia="仿宋" w:cs="Arial"/>
          <w:sz w:val="28"/>
          <w:highlight w:val="none"/>
          <w:lang w:eastAsia="zh-CN"/>
        </w:rPr>
        <w:t>－</w:t>
      </w:r>
      <w:r>
        <w:rPr>
          <w:rFonts w:ascii="Arial" w:hAnsi="Arial" w:eastAsia="仿宋" w:cs="Arial"/>
          <w:sz w:val="28"/>
          <w:highlight w:val="none"/>
        </w:rPr>
        <w:t>008 地块应配建不小于2000平方米二等人员掩蔽所工程； 01</w:t>
      </w:r>
      <w:r>
        <w:rPr>
          <w:rFonts w:hint="eastAsia" w:ascii="Arial" w:hAnsi="Arial" w:eastAsia="仿宋" w:cs="Arial"/>
          <w:sz w:val="28"/>
          <w:highlight w:val="none"/>
          <w:lang w:eastAsia="zh-CN"/>
        </w:rPr>
        <w:t>－</w:t>
      </w:r>
      <w:r>
        <w:rPr>
          <w:rFonts w:ascii="Arial" w:hAnsi="Arial" w:eastAsia="仿宋" w:cs="Arial"/>
          <w:sz w:val="28"/>
          <w:highlight w:val="none"/>
        </w:rPr>
        <w:t>016 地块应配建不小于 3536.3平方米二等人员掩蔽所工程； 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1地块应配建不小于1261.8平方米二等人员掩蔽所工程。将 01</w:t>
      </w:r>
      <w:r>
        <w:rPr>
          <w:rFonts w:hint="eastAsia" w:ascii="Arial" w:hAnsi="Arial" w:eastAsia="仿宋" w:cs="Arial"/>
          <w:sz w:val="28"/>
          <w:highlight w:val="none"/>
          <w:lang w:eastAsia="zh-CN"/>
        </w:rPr>
        <w:t>－</w:t>
      </w:r>
      <w:r>
        <w:rPr>
          <w:rFonts w:ascii="Arial" w:hAnsi="Arial" w:eastAsia="仿宋" w:cs="Arial"/>
          <w:sz w:val="28"/>
          <w:highlight w:val="none"/>
        </w:rPr>
        <w:t>020地块统筹到 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1二等人员掩蔽所工程抗力等级为甲6级，防空专业队队员掩蔽部工程抗力等级为甲5级。</w:t>
      </w:r>
      <w:r>
        <w:rPr>
          <w:rFonts w:hint="eastAsia" w:ascii="Arial" w:hAnsi="Arial" w:eastAsia="仿宋" w:cs="Arial"/>
          <w:sz w:val="28"/>
          <w:highlight w:val="none"/>
        </w:rPr>
        <w:t>上述人防工程的建设成本在地上主用途中已考虑。</w:t>
      </w:r>
    </w:p>
    <w:p w14:paraId="60840475">
      <w:pPr>
        <w:adjustRightInd/>
        <w:spacing w:line="300" w:lineRule="auto"/>
        <w:ind w:firstLine="560" w:firstLineChars="200"/>
        <w:jc w:val="both"/>
        <w:textAlignment w:val="bottom"/>
        <w:rPr>
          <w:rFonts w:ascii="Arial" w:hAnsi="Arial" w:eastAsia="仿宋" w:cs="Arial"/>
          <w:sz w:val="28"/>
          <w:szCs w:val="28"/>
          <w:highlight w:val="none"/>
        </w:rPr>
      </w:pPr>
      <w:r>
        <w:rPr>
          <w:rFonts w:ascii="Arial" w:hAnsi="Arial" w:eastAsia="仿宋" w:cs="Arial"/>
          <w:sz w:val="28"/>
          <w:highlight w:val="none"/>
        </w:rPr>
        <w:t>（3）根据《北京市人民政府关于顺义区二〇二〇年度批次建设用地的批复》（京政地字【2020】121号），</w:t>
      </w:r>
      <w:r>
        <w:rPr>
          <w:rFonts w:hint="eastAsia" w:ascii="Arial" w:hAnsi="Arial" w:eastAsia="仿宋" w:cs="Arial"/>
          <w:sz w:val="28"/>
          <w:highlight w:val="none"/>
        </w:rPr>
        <w:t>同意</w:t>
      </w:r>
      <w:r>
        <w:rPr>
          <w:rFonts w:ascii="Arial" w:hAnsi="Arial" w:eastAsia="仿宋" w:cs="Arial"/>
          <w:sz w:val="28"/>
          <w:highlight w:val="none"/>
        </w:rPr>
        <w:t>北京中交城市开发有限公司</w:t>
      </w:r>
      <w:r>
        <w:rPr>
          <w:rFonts w:hint="eastAsia" w:ascii="Arial" w:hAnsi="Arial" w:eastAsia="仿宋" w:cs="Arial"/>
          <w:sz w:val="28"/>
          <w:highlight w:val="none"/>
        </w:rPr>
        <w:t>实施顺义区高丽营镇夏县营村棚户区改造土地开发项目</w:t>
      </w:r>
      <w:r>
        <w:rPr>
          <w:rFonts w:ascii="Arial" w:hAnsi="Arial" w:eastAsia="仿宋" w:cs="Arial"/>
          <w:sz w:val="28"/>
          <w:szCs w:val="28"/>
          <w:highlight w:val="none"/>
        </w:rPr>
        <w:t>。</w:t>
      </w:r>
    </w:p>
    <w:p w14:paraId="43ABDAD7">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4）根据《北京市人民政府关于更新出让国有建设用地使用权基准地价的通知》（京政发（2022）12号）的要求，土地估价专业评估师以北京市地价动态监测成果公布的地价增长率为准，对基准地价中的熟地价进行期日修正。</w:t>
      </w:r>
    </w:p>
    <w:p w14:paraId="535FF2AC">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（5）</w:t>
      </w:r>
      <w:r>
        <w:rPr>
          <w:rFonts w:hint="eastAsia" w:ascii="Arial" w:hAnsi="Arial" w:eastAsia="仿宋" w:cs="Arial"/>
          <w:sz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 w:cs="Arial"/>
          <w:sz w:val="28"/>
          <w:highlight w:val="none"/>
        </w:rPr>
        <w:t>，该项目规划范围内01-020地块为托幼用地，该地块由二级竞得人负责筹措资金并组织实施，并无偿移交相关部门</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即A</w:t>
      </w:r>
      <w:r>
        <w:rPr>
          <w:rFonts w:ascii="Arial" w:hAnsi="Arial" w:eastAsia="仿宋_GB2312" w:cs="Arial"/>
          <w:sz w:val="28"/>
          <w:highlight w:val="none"/>
        </w:rPr>
        <w:t>334托幼用地建筑规模</w:t>
      </w:r>
      <w:r>
        <w:rPr>
          <w:rFonts w:hint="eastAsia" w:ascii="Arial" w:hAnsi="Arial" w:eastAsia="仿宋_GB2312" w:cs="Arial"/>
          <w:sz w:val="28"/>
          <w:highlight w:val="none"/>
          <w:lang w:val="en-US" w:eastAsia="zh-CN"/>
        </w:rPr>
        <w:t>3359.98</w:t>
      </w:r>
      <w:r>
        <w:rPr>
          <w:rFonts w:ascii="Arial" w:hAnsi="Arial" w:eastAsia="仿宋_GB2312" w:cs="Arial"/>
          <w:sz w:val="28"/>
          <w:highlight w:val="none"/>
        </w:rPr>
        <w:t>平方米不出让</w:t>
      </w:r>
      <w:r>
        <w:rPr>
          <w:rFonts w:hint="eastAsia" w:ascii="Arial" w:hAnsi="Arial" w:eastAsia="仿宋_GB2312" w:cs="Arial"/>
          <w:sz w:val="28"/>
          <w:highlight w:val="none"/>
          <w:lang w:eastAsia="zh-CN"/>
        </w:rPr>
        <w:t>。</w:t>
      </w:r>
      <w:r>
        <w:rPr>
          <w:rFonts w:hint="eastAsia" w:ascii="Arial" w:hAnsi="Arial" w:eastAsia="仿宋" w:cs="Arial"/>
          <w:sz w:val="28"/>
          <w:highlight w:val="none"/>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w:t>
      </w:r>
      <w:r>
        <w:rPr>
          <w:rFonts w:hint="eastAsia" w:ascii="Arial" w:hAnsi="Arial" w:eastAsia="仿宋" w:cs="Arial"/>
          <w:sz w:val="28"/>
          <w:highlight w:val="none"/>
          <w:lang w:eastAsia="zh-CN"/>
        </w:rPr>
        <w:t>楼面地价</w:t>
      </w:r>
      <w:r>
        <w:rPr>
          <w:rFonts w:hint="eastAsia" w:ascii="Arial" w:hAnsi="Arial" w:eastAsia="仿宋" w:cs="Arial"/>
          <w:sz w:val="28"/>
          <w:highlight w:val="none"/>
        </w:rPr>
        <w:t>，并将二者的差值作为代建修正值，基准地价系数修正法测算的估价结果可按此差值进行代建情况的修正。</w:t>
      </w:r>
    </w:p>
    <w:p w14:paraId="5127A168">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（6）本估价报告中数据全部采用电算化连续计算得出，由于在报告中计算的数据均按四舍五入保留</w:t>
      </w:r>
      <w:r>
        <w:rPr>
          <w:rFonts w:hint="eastAsia" w:ascii="Arial" w:hAnsi="Arial" w:eastAsia="仿宋" w:cs="Arial"/>
          <w:sz w:val="28"/>
          <w:highlight w:val="none"/>
          <w:lang w:val="en-US" w:eastAsia="zh-CN"/>
        </w:rPr>
        <w:t>四</w:t>
      </w:r>
      <w:r>
        <w:rPr>
          <w:rFonts w:ascii="Arial" w:hAnsi="Arial" w:eastAsia="仿宋" w:cs="Arial"/>
          <w:sz w:val="28"/>
          <w:highlight w:val="none"/>
        </w:rPr>
        <w:t>位小数或取整，故可能出现个别等式左右不完全相等的情况，但不影响计算结果及最终评估结论的准确性。</w:t>
      </w:r>
    </w:p>
    <w:p w14:paraId="7867F77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3.其他说明</w:t>
      </w:r>
    </w:p>
    <w:p w14:paraId="478E2EAE">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（1）估价对象范围根据《国有建设用地使用权出让地价评估委托书》中确定。</w:t>
      </w:r>
    </w:p>
    <w:p w14:paraId="34A1B2F0">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（2）本评估报告仅为出让方通过集体决策确定土地出让底价提供参考依据，最终应缴纳的地价款以</w:t>
      </w:r>
      <w:r>
        <w:rPr>
          <w:rFonts w:hint="eastAsia" w:ascii="Arial" w:hAnsi="Arial" w:eastAsia="仿宋" w:cs="Arial"/>
          <w:sz w:val="28"/>
          <w:highlight w:val="none"/>
          <w:lang w:eastAsia="zh-CN"/>
        </w:rPr>
        <w:t>北京市规划和自然资源委员会</w:t>
      </w:r>
      <w:r>
        <w:rPr>
          <w:rFonts w:ascii="Arial" w:hAnsi="Arial" w:eastAsia="仿宋" w:cs="Arial"/>
          <w:sz w:val="28"/>
          <w:highlight w:val="none"/>
        </w:rPr>
        <w:t>公布结果为准。</w:t>
      </w:r>
    </w:p>
    <w:p w14:paraId="3A5A5FFA">
      <w:pPr>
        <w:adjustRightInd/>
        <w:spacing w:line="300" w:lineRule="auto"/>
        <w:ind w:firstLine="560" w:firstLineChars="200"/>
        <w:jc w:val="both"/>
        <w:textAlignment w:val="bottom"/>
        <w:rPr>
          <w:rFonts w:ascii="Arial" w:hAnsi="Arial" w:eastAsia="仿宋" w:cs="Arial"/>
          <w:sz w:val="28"/>
          <w:highlight w:val="none"/>
        </w:rPr>
        <w:sectPr>
          <w:headerReference r:id="rId22" w:type="first"/>
          <w:headerReference r:id="rId21" w:type="default"/>
          <w:footerReference r:id="rId23" w:type="default"/>
          <w:type w:val="nextColumn"/>
          <w:pgSz w:w="11907" w:h="16840"/>
          <w:pgMar w:top="1418" w:right="1418" w:bottom="1134" w:left="1418" w:header="794" w:footer="907" w:gutter="0"/>
          <w:pgNumType w:fmt="decimal"/>
          <w:cols w:space="425" w:num="1"/>
          <w:docGrid w:linePitch="326" w:charSpace="0"/>
        </w:sectPr>
      </w:pPr>
      <w:r>
        <w:rPr>
          <w:rFonts w:ascii="Arial" w:hAnsi="Arial" w:eastAsia="仿宋" w:cs="Arial"/>
          <w:sz w:val="28"/>
          <w:highlight w:val="none"/>
        </w:rPr>
        <w:t>（3）根据估价目的，此次评估在符合《城镇土地估价规程》（GB/T 18508</w:t>
      </w:r>
      <w:r>
        <w:rPr>
          <w:rFonts w:hint="eastAsia" w:ascii="Arial" w:hAnsi="Arial" w:eastAsia="仿宋" w:cs="Arial"/>
          <w:sz w:val="28"/>
          <w:highlight w:val="none"/>
          <w:lang w:eastAsia="zh-CN"/>
        </w:rPr>
        <w:t>－</w:t>
      </w:r>
      <w:r>
        <w:rPr>
          <w:rFonts w:ascii="Arial" w:hAnsi="Arial" w:eastAsia="仿宋" w:cs="Arial"/>
          <w:sz w:val="28"/>
          <w:highlight w:val="none"/>
        </w:rPr>
        <w:t>2014）和《国土资源部办公厅关于印发〈国有建设用地使用权出让地价评估技术规范〉的通知》（国土资厅发（2018）4号）原则性要求的基础上，还需满足《北京市人民政府关于更新出让国有建设用地使用权基准地价的通知》（京政发（2022）12号）、和《北京市国土资源局关于出让国有建设用地使用权基准地价应用有关问题的公告》的要求，故报告格式和具体表述在《城镇土地估价规程》（GB/T 18508</w:t>
      </w:r>
      <w:r>
        <w:rPr>
          <w:rFonts w:hint="eastAsia" w:ascii="Arial" w:hAnsi="Arial" w:eastAsia="仿宋" w:cs="Arial"/>
          <w:sz w:val="28"/>
          <w:highlight w:val="none"/>
          <w:lang w:eastAsia="zh-CN"/>
        </w:rPr>
        <w:t>－</w:t>
      </w:r>
      <w:r>
        <w:rPr>
          <w:rFonts w:ascii="Arial" w:hAnsi="Arial" w:eastAsia="仿宋" w:cs="Arial"/>
          <w:sz w:val="28"/>
          <w:highlight w:val="none"/>
        </w:rPr>
        <w:t>2014）规范格式基础上，有所拓展和补充。</w:t>
      </w:r>
    </w:p>
    <w:bookmarkEnd w:id="205"/>
    <w:bookmarkEnd w:id="206"/>
    <w:bookmarkEnd w:id="207"/>
    <w:bookmarkEnd w:id="208"/>
    <w:bookmarkEnd w:id="209"/>
    <w:bookmarkEnd w:id="210"/>
    <w:bookmarkEnd w:id="211"/>
    <w:p w14:paraId="3820DBE7">
      <w:pPr>
        <w:spacing w:line="300" w:lineRule="auto"/>
        <w:jc w:val="center"/>
        <w:outlineLvl w:val="0"/>
        <w:rPr>
          <w:rFonts w:ascii="Arial" w:hAnsi="Arial" w:cs="Arial"/>
          <w:b/>
          <w:sz w:val="32"/>
          <w:highlight w:val="none"/>
        </w:rPr>
      </w:pPr>
      <w:bookmarkStart w:id="212" w:name="_Toc138063009"/>
      <w:bookmarkStart w:id="213" w:name="_Toc132016738"/>
      <w:r>
        <w:rPr>
          <w:rFonts w:ascii="Arial" w:hAnsi="Arial" w:cs="Arial"/>
          <w:b/>
          <w:sz w:val="32"/>
          <w:highlight w:val="none"/>
        </w:rPr>
        <w:t>第四部分</w:t>
      </w:r>
      <w:r>
        <w:rPr>
          <w:rFonts w:ascii="Arial" w:hAnsi="Arial" w:eastAsia="仿宋_GB2312" w:cs="Arial"/>
          <w:b/>
          <w:sz w:val="32"/>
          <w:highlight w:val="none"/>
        </w:rPr>
        <w:t xml:space="preserve">  </w:t>
      </w:r>
      <w:r>
        <w:rPr>
          <w:rFonts w:ascii="Arial" w:hAnsi="Arial" w:cs="Arial"/>
          <w:b/>
          <w:sz w:val="32"/>
          <w:highlight w:val="none"/>
        </w:rPr>
        <w:t>附</w:t>
      </w:r>
      <w:r>
        <w:rPr>
          <w:rFonts w:ascii="Arial" w:hAnsi="Arial" w:eastAsia="仿宋_GB2312" w:cs="Arial"/>
          <w:b/>
          <w:sz w:val="32"/>
          <w:highlight w:val="none"/>
        </w:rPr>
        <w:t xml:space="preserve">  </w:t>
      </w:r>
      <w:r>
        <w:rPr>
          <w:rFonts w:ascii="Arial" w:hAnsi="Arial" w:cs="Arial"/>
          <w:b/>
          <w:sz w:val="32"/>
          <w:highlight w:val="none"/>
        </w:rPr>
        <w:t>件</w:t>
      </w:r>
      <w:bookmarkEnd w:id="212"/>
      <w:bookmarkEnd w:id="213"/>
    </w:p>
    <w:p w14:paraId="5FA0FDD7">
      <w:pPr>
        <w:numPr>
          <w:ilvl w:val="0"/>
          <w:numId w:val="9"/>
        </w:numPr>
        <w:spacing w:line="300" w:lineRule="auto"/>
        <w:jc w:val="both"/>
        <w:rPr>
          <w:rFonts w:ascii="Arial" w:hAnsi="Arial" w:eastAsia="仿宋_GB2312" w:cs="Arial"/>
          <w:sz w:val="28"/>
          <w:highlight w:val="none"/>
        </w:rPr>
      </w:pPr>
      <w:r>
        <w:rPr>
          <w:rFonts w:ascii="Arial" w:hAnsi="Arial" w:eastAsia="仿宋_GB2312" w:cs="Arial"/>
          <w:sz w:val="28"/>
          <w:highlight w:val="none"/>
        </w:rPr>
        <w:t>《国有建设用地使用权出让地价评估委托书》复印件</w:t>
      </w:r>
    </w:p>
    <w:p w14:paraId="3E37018A">
      <w:pPr>
        <w:numPr>
          <w:ilvl w:val="0"/>
          <w:numId w:val="9"/>
        </w:numPr>
        <w:spacing w:line="300" w:lineRule="auto"/>
        <w:jc w:val="both"/>
        <w:rPr>
          <w:rFonts w:ascii="Arial" w:hAnsi="Arial" w:eastAsia="仿宋_GB2312" w:cs="Arial"/>
          <w:sz w:val="28"/>
          <w:highlight w:val="none"/>
        </w:rPr>
      </w:pPr>
      <w:r>
        <w:rPr>
          <w:rFonts w:ascii="Arial" w:hAnsi="Arial" w:eastAsia="仿宋_GB2312" w:cs="Arial"/>
          <w:sz w:val="28"/>
          <w:highlight w:val="none"/>
        </w:rPr>
        <w:t xml:space="preserve"> 估价对象所在位置示意图</w:t>
      </w:r>
    </w:p>
    <w:p w14:paraId="5F42DC34">
      <w:pPr>
        <w:numPr>
          <w:ilvl w:val="0"/>
          <w:numId w:val="9"/>
        </w:numPr>
        <w:spacing w:line="300" w:lineRule="auto"/>
        <w:jc w:val="both"/>
        <w:rPr>
          <w:rFonts w:ascii="Arial" w:hAnsi="Arial" w:eastAsia="仿宋_GB2312" w:cs="Arial"/>
          <w:sz w:val="28"/>
          <w:highlight w:val="none"/>
        </w:rPr>
      </w:pPr>
      <w:r>
        <w:rPr>
          <w:rFonts w:ascii="Arial" w:hAnsi="Arial" w:eastAsia="仿宋_GB2312" w:cs="Arial"/>
          <w:sz w:val="28"/>
          <w:highlight w:val="none"/>
        </w:rPr>
        <w:t xml:space="preserve"> 估价对象实地勘察情况和相关照片</w:t>
      </w:r>
    </w:p>
    <w:p w14:paraId="2306A543">
      <w:pPr>
        <w:numPr>
          <w:ilvl w:val="0"/>
          <w:numId w:val="9"/>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《北京市</w:t>
      </w:r>
      <w:r>
        <w:rPr>
          <w:rFonts w:ascii="Arial" w:hAnsi="Arial" w:eastAsia="仿宋_GB2312" w:cs="Arial"/>
          <w:sz w:val="28"/>
          <w:highlight w:val="none"/>
        </w:rPr>
        <w:t>规划和</w:t>
      </w:r>
      <w:r>
        <w:rPr>
          <w:rFonts w:hint="eastAsia" w:ascii="Arial" w:hAnsi="Arial" w:eastAsia="仿宋_GB2312" w:cs="Arial"/>
          <w:sz w:val="28"/>
          <w:highlight w:val="none"/>
        </w:rPr>
        <w:t>国土</w:t>
      </w:r>
      <w:r>
        <w:rPr>
          <w:rFonts w:ascii="Arial" w:hAnsi="Arial" w:eastAsia="仿宋_GB2312" w:cs="Arial"/>
          <w:sz w:val="28"/>
          <w:highlight w:val="none"/>
        </w:rPr>
        <w:t>资源管理委员会建设项目规划条件（</w:t>
      </w:r>
      <w:r>
        <w:rPr>
          <w:rFonts w:hint="eastAsia" w:ascii="Arial" w:hAnsi="Arial" w:eastAsia="仿宋_GB2312" w:cs="Arial"/>
          <w:sz w:val="28"/>
          <w:highlight w:val="none"/>
        </w:rPr>
        <w:t>土地</w:t>
      </w:r>
      <w:r>
        <w:rPr>
          <w:rFonts w:ascii="Arial" w:hAnsi="Arial" w:eastAsia="仿宋_GB2312" w:cs="Arial"/>
          <w:sz w:val="28"/>
          <w:highlight w:val="none"/>
        </w:rPr>
        <w:t>储备</w:t>
      </w:r>
      <w:r>
        <w:rPr>
          <w:rFonts w:hint="eastAsia" w:ascii="Arial" w:hAnsi="Arial" w:eastAsia="仿宋_GB2312" w:cs="Arial"/>
          <w:sz w:val="28"/>
          <w:highlight w:val="none"/>
        </w:rPr>
        <w:t>前期</w:t>
      </w:r>
      <w:r>
        <w:rPr>
          <w:rFonts w:ascii="Arial" w:hAnsi="Arial" w:eastAsia="仿宋_GB2312" w:cs="Arial"/>
          <w:sz w:val="28"/>
          <w:highlight w:val="none"/>
        </w:rPr>
        <w:t>整理）</w:t>
      </w:r>
      <w:r>
        <w:rPr>
          <w:rFonts w:hint="eastAsia" w:ascii="Arial" w:hAnsi="Arial" w:eastAsia="仿宋_GB2312" w:cs="Arial"/>
          <w:sz w:val="28"/>
          <w:highlight w:val="none"/>
        </w:rPr>
        <w:t>》（2017规</w:t>
      </w:r>
      <w:r>
        <w:rPr>
          <w:rFonts w:ascii="Arial" w:hAnsi="Arial" w:eastAsia="仿宋_GB2312" w:cs="Arial"/>
          <w:sz w:val="28"/>
          <w:highlight w:val="none"/>
        </w:rPr>
        <w:t>（</w:t>
      </w:r>
      <w:r>
        <w:rPr>
          <w:rFonts w:hint="eastAsia" w:ascii="Arial" w:hAnsi="Arial" w:eastAsia="仿宋_GB2312" w:cs="Arial"/>
          <w:sz w:val="28"/>
          <w:highlight w:val="none"/>
        </w:rPr>
        <w:t>顺</w:t>
      </w:r>
      <w:r>
        <w:rPr>
          <w:rFonts w:ascii="Arial" w:hAnsi="Arial" w:eastAsia="仿宋_GB2312" w:cs="Arial"/>
          <w:sz w:val="28"/>
          <w:highlight w:val="none"/>
        </w:rPr>
        <w:t>）</w:t>
      </w:r>
      <w:r>
        <w:rPr>
          <w:rFonts w:hint="eastAsia" w:ascii="Arial" w:hAnsi="Arial" w:eastAsia="仿宋_GB2312" w:cs="Arial"/>
          <w:sz w:val="28"/>
          <w:highlight w:val="none"/>
        </w:rPr>
        <w:t>条</w:t>
      </w:r>
      <w:r>
        <w:rPr>
          <w:rFonts w:ascii="Arial" w:hAnsi="Arial" w:eastAsia="仿宋_GB2312" w:cs="Arial"/>
          <w:sz w:val="28"/>
          <w:highlight w:val="none"/>
        </w:rPr>
        <w:t>整字</w:t>
      </w:r>
      <w:r>
        <w:rPr>
          <w:rFonts w:hint="eastAsia" w:ascii="Arial" w:hAnsi="Arial" w:eastAsia="仿宋_GB2312" w:cs="Arial"/>
          <w:sz w:val="28"/>
          <w:highlight w:val="none"/>
        </w:rPr>
        <w:t>0006号）复印件</w:t>
      </w:r>
    </w:p>
    <w:p w14:paraId="50FEC42B">
      <w:pPr>
        <w:numPr>
          <w:ilvl w:val="0"/>
          <w:numId w:val="9"/>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《北京市</w:t>
      </w:r>
      <w:r>
        <w:rPr>
          <w:rFonts w:ascii="Arial" w:hAnsi="Arial" w:eastAsia="仿宋_GB2312" w:cs="Arial"/>
          <w:sz w:val="28"/>
          <w:highlight w:val="none"/>
        </w:rPr>
        <w:t>规划和自然资源会员会顺义分局关于顺义区高丽营镇夏县营村棚户区改造土地</w:t>
      </w:r>
      <w:r>
        <w:rPr>
          <w:rFonts w:hint="eastAsia" w:ascii="Arial" w:hAnsi="Arial" w:eastAsia="仿宋_GB2312" w:cs="Arial"/>
          <w:sz w:val="28"/>
          <w:highlight w:val="none"/>
        </w:rPr>
        <w:t>开发</w:t>
      </w:r>
      <w:r>
        <w:rPr>
          <w:rFonts w:ascii="Arial" w:hAnsi="Arial" w:eastAsia="仿宋_GB2312" w:cs="Arial"/>
          <w:sz w:val="28"/>
          <w:highlight w:val="none"/>
        </w:rPr>
        <w:t>项目调整建设项目规划条件的复函</w:t>
      </w:r>
      <w:r>
        <w:rPr>
          <w:rFonts w:hint="eastAsia" w:ascii="Arial" w:hAnsi="Arial" w:eastAsia="仿宋_GB2312" w:cs="Arial"/>
          <w:sz w:val="28"/>
          <w:highlight w:val="none"/>
        </w:rPr>
        <w:t>》（京</w:t>
      </w:r>
      <w:r>
        <w:rPr>
          <w:rFonts w:ascii="Arial" w:hAnsi="Arial" w:eastAsia="仿宋_GB2312" w:cs="Arial"/>
          <w:sz w:val="28"/>
          <w:highlight w:val="none"/>
        </w:rPr>
        <w:t>规自顺</w:t>
      </w:r>
      <w:r>
        <w:rPr>
          <w:rFonts w:hint="eastAsia" w:ascii="Arial" w:hAnsi="Arial" w:eastAsia="仿宋_GB2312" w:cs="Arial"/>
          <w:sz w:val="28"/>
          <w:highlight w:val="none"/>
        </w:rPr>
        <w:t>函</w:t>
      </w:r>
      <w:r>
        <w:rPr>
          <w:rFonts w:ascii="Arial" w:hAnsi="Arial" w:eastAsia="仿宋_GB2312" w:cs="Arial"/>
          <w:sz w:val="28"/>
          <w:highlight w:val="none"/>
        </w:rPr>
        <w:t>【</w:t>
      </w:r>
      <w:r>
        <w:rPr>
          <w:rFonts w:hint="eastAsia" w:ascii="Arial" w:hAnsi="Arial" w:eastAsia="仿宋_GB2312" w:cs="Arial"/>
          <w:sz w:val="28"/>
          <w:highlight w:val="none"/>
        </w:rPr>
        <w:t>2019</w:t>
      </w:r>
      <w:r>
        <w:rPr>
          <w:rFonts w:ascii="Arial" w:hAnsi="Arial" w:eastAsia="仿宋_GB2312" w:cs="Arial"/>
          <w:sz w:val="28"/>
          <w:highlight w:val="none"/>
        </w:rPr>
        <w:t>】</w:t>
      </w:r>
      <w:r>
        <w:rPr>
          <w:rFonts w:hint="eastAsia" w:ascii="Arial" w:hAnsi="Arial" w:eastAsia="仿宋_GB2312" w:cs="Arial"/>
          <w:sz w:val="28"/>
          <w:highlight w:val="none"/>
        </w:rPr>
        <w:t>153号）复印件</w:t>
      </w:r>
    </w:p>
    <w:p w14:paraId="58B894BD">
      <w:pPr>
        <w:numPr>
          <w:ilvl w:val="0"/>
          <w:numId w:val="9"/>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《北京市人民政府关于顺义区二</w:t>
      </w:r>
      <w:r>
        <w:rPr>
          <w:rFonts w:hint="eastAsia" w:ascii="微软雅黑" w:hAnsi="微软雅黑" w:eastAsia="微软雅黑" w:cs="微软雅黑"/>
          <w:sz w:val="28"/>
          <w:highlight w:val="none"/>
        </w:rPr>
        <w:t>〇</w:t>
      </w:r>
      <w:r>
        <w:rPr>
          <w:rFonts w:hint="eastAsia" w:ascii="Arial" w:hAnsi="Arial" w:eastAsia="仿宋_GB2312" w:cs="Arial"/>
          <w:sz w:val="28"/>
          <w:highlight w:val="none"/>
        </w:rPr>
        <w:t>二</w:t>
      </w:r>
      <w:r>
        <w:rPr>
          <w:rFonts w:hint="eastAsia" w:ascii="微软雅黑" w:hAnsi="微软雅黑" w:eastAsia="微软雅黑" w:cs="微软雅黑"/>
          <w:sz w:val="28"/>
          <w:highlight w:val="none"/>
        </w:rPr>
        <w:t>〇</w:t>
      </w:r>
      <w:r>
        <w:rPr>
          <w:rFonts w:hint="eastAsia" w:ascii="Arial" w:hAnsi="Arial" w:eastAsia="仿宋_GB2312" w:cs="Arial"/>
          <w:sz w:val="28"/>
          <w:highlight w:val="none"/>
        </w:rPr>
        <w:t>年度批次建设用地的批复》（</w:t>
      </w:r>
      <w:r>
        <w:rPr>
          <w:rFonts w:hint="eastAsia" w:ascii="仿宋_GB2312" w:hAnsi="仿宋_GB2312" w:eastAsia="仿宋_GB2312" w:cs="仿宋_GB2312"/>
          <w:spacing w:val="-6"/>
          <w:sz w:val="28"/>
          <w:highlight w:val="none"/>
        </w:rPr>
        <w:t>京政地字【</w:t>
      </w:r>
      <w:r>
        <w:rPr>
          <w:rFonts w:hint="eastAsia" w:ascii="Arial" w:hAnsi="Arial" w:eastAsia="仿宋_GB2312" w:cs="Arial"/>
          <w:sz w:val="28"/>
          <w:highlight w:val="none"/>
        </w:rPr>
        <w:t>2020】121</w:t>
      </w:r>
      <w:r>
        <w:rPr>
          <w:rFonts w:hint="eastAsia" w:ascii="仿宋_GB2312" w:hAnsi="仿宋_GB2312" w:eastAsia="仿宋_GB2312" w:cs="仿宋_GB2312"/>
          <w:spacing w:val="-6"/>
          <w:sz w:val="28"/>
          <w:highlight w:val="none"/>
        </w:rPr>
        <w:t>号）</w:t>
      </w:r>
      <w:r>
        <w:rPr>
          <w:rFonts w:hint="eastAsia" w:ascii="Arial" w:hAnsi="Arial" w:eastAsia="仿宋_GB2312" w:cs="Arial"/>
          <w:spacing w:val="-6"/>
          <w:sz w:val="28"/>
          <w:highlight w:val="none"/>
        </w:rPr>
        <w:t>复印件</w:t>
      </w:r>
    </w:p>
    <w:p w14:paraId="3C2EFED0">
      <w:pPr>
        <w:numPr>
          <w:ilvl w:val="0"/>
          <w:numId w:val="9"/>
        </w:numPr>
        <w:spacing w:line="300" w:lineRule="auto"/>
        <w:jc w:val="both"/>
        <w:rPr>
          <w:rFonts w:ascii="Arial" w:hAnsi="Arial" w:eastAsia="仿宋_GB2312" w:cs="Arial"/>
          <w:sz w:val="28"/>
          <w:highlight w:val="none"/>
        </w:rPr>
      </w:pPr>
      <w:r>
        <w:rPr>
          <w:rFonts w:ascii="Arial" w:hAnsi="Arial" w:eastAsia="仿宋_GB2312" w:cs="Arial"/>
          <w:sz w:val="28"/>
          <w:highlight w:val="none"/>
        </w:rPr>
        <w:t>《北京市顺义区人民政府关于顺义区高丽营镇夏县营村棚户区改造土地开发项目01</w:t>
      </w:r>
      <w:r>
        <w:rPr>
          <w:rFonts w:hint="eastAsia" w:ascii="Arial" w:hAnsi="Arial" w:eastAsia="仿宋_GB2312" w:cs="Arial"/>
          <w:sz w:val="28"/>
          <w:highlight w:val="none"/>
          <w:lang w:eastAsia="zh-CN"/>
        </w:rPr>
        <w:t>－</w:t>
      </w:r>
      <w:r>
        <w:rPr>
          <w:rFonts w:ascii="Arial" w:hAnsi="Arial" w:eastAsia="仿宋_GB2312" w:cs="Arial"/>
          <w:sz w:val="28"/>
          <w:highlight w:val="none"/>
        </w:rPr>
        <w:t>008、01</w:t>
      </w:r>
      <w:r>
        <w:rPr>
          <w:rFonts w:hint="eastAsia" w:ascii="Arial" w:hAnsi="Arial" w:eastAsia="仿宋_GB2312" w:cs="Arial"/>
          <w:sz w:val="28"/>
          <w:highlight w:val="none"/>
          <w:lang w:eastAsia="zh-CN"/>
        </w:rPr>
        <w:t>－</w:t>
      </w:r>
      <w:r>
        <w:rPr>
          <w:rFonts w:ascii="Arial" w:hAnsi="Arial" w:eastAsia="仿宋_GB2312" w:cs="Arial"/>
          <w:sz w:val="28"/>
          <w:highlight w:val="none"/>
        </w:rPr>
        <w:t>016、01</w:t>
      </w:r>
      <w:r>
        <w:rPr>
          <w:rFonts w:hint="eastAsia" w:ascii="Arial" w:hAnsi="Arial" w:eastAsia="仿宋_GB2312" w:cs="Arial"/>
          <w:sz w:val="28"/>
          <w:highlight w:val="none"/>
          <w:lang w:eastAsia="zh-CN"/>
        </w:rPr>
        <w:t>－</w:t>
      </w:r>
      <w:r>
        <w:rPr>
          <w:rFonts w:ascii="Arial" w:hAnsi="Arial" w:eastAsia="仿宋_GB2312" w:cs="Arial"/>
          <w:sz w:val="28"/>
          <w:highlight w:val="none"/>
        </w:rPr>
        <w:t>026</w:t>
      </w:r>
      <w:r>
        <w:rPr>
          <w:rFonts w:hint="eastAsia" w:ascii="Arial" w:hAnsi="Arial" w:eastAsia="仿宋_GB2312" w:cs="Arial"/>
          <w:sz w:val="28"/>
          <w:highlight w:val="none"/>
          <w:lang w:eastAsia="zh-CN"/>
        </w:rPr>
        <w:t>－</w:t>
      </w:r>
      <w:r>
        <w:rPr>
          <w:rFonts w:ascii="Arial" w:hAnsi="Arial" w:eastAsia="仿宋_GB2312" w:cs="Arial"/>
          <w:sz w:val="28"/>
          <w:highlight w:val="none"/>
        </w:rPr>
        <w:t>1、01</w:t>
      </w:r>
      <w:r>
        <w:rPr>
          <w:rFonts w:hint="eastAsia" w:ascii="Arial" w:hAnsi="Arial" w:eastAsia="仿宋_GB2312" w:cs="Arial"/>
          <w:sz w:val="28"/>
          <w:highlight w:val="none"/>
          <w:lang w:eastAsia="zh-CN"/>
        </w:rPr>
        <w:t>－</w:t>
      </w:r>
      <w:r>
        <w:rPr>
          <w:rFonts w:ascii="Arial" w:hAnsi="Arial" w:eastAsia="仿宋_GB2312" w:cs="Arial"/>
          <w:sz w:val="28"/>
          <w:highlight w:val="none"/>
        </w:rPr>
        <w:t>020地块提请地价审核有关事宜的函》（顺政函【2023】151号）复印件</w:t>
      </w:r>
    </w:p>
    <w:p w14:paraId="71F23778">
      <w:pPr>
        <w:numPr>
          <w:ilvl w:val="0"/>
          <w:numId w:val="9"/>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sz w:val="28"/>
          <w:highlight w:val="none"/>
        </w:rPr>
        <w:t>及规划意见附图</w:t>
      </w:r>
      <w:r>
        <w:rPr>
          <w:rFonts w:ascii="Arial" w:hAnsi="Arial" w:eastAsia="仿宋_GB2312" w:cs="Arial"/>
          <w:sz w:val="28"/>
          <w:highlight w:val="none"/>
        </w:rPr>
        <w:t>复印件</w:t>
      </w:r>
    </w:p>
    <w:p w14:paraId="7446E27D">
      <w:pPr>
        <w:numPr>
          <w:ilvl w:val="0"/>
          <w:numId w:val="9"/>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《建设工程规划用地测量成果报告书》（2021规自（顺）测字0008号）</w:t>
      </w:r>
      <w:r>
        <w:rPr>
          <w:rFonts w:ascii="Arial" w:hAnsi="Arial" w:eastAsia="仿宋_GB2312" w:cs="Arial"/>
          <w:sz w:val="28"/>
          <w:highlight w:val="none"/>
        </w:rPr>
        <w:t>复印件</w:t>
      </w:r>
    </w:p>
    <w:p w14:paraId="5E6BC4D4">
      <w:pPr>
        <w:numPr>
          <w:ilvl w:val="0"/>
          <w:numId w:val="9"/>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《关于顺义区高丽营镇夏县营村棚户区改造土地开发项目0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008</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016</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026</w:t>
      </w:r>
      <w:r>
        <w:rPr>
          <w:rFonts w:hint="eastAsia" w:ascii="Arial" w:hAnsi="Arial" w:eastAsia="仿宋_GB2312" w:cs="Arial"/>
          <w:sz w:val="28"/>
          <w:highlight w:val="none"/>
          <w:lang w:eastAsia="zh-CN"/>
        </w:rPr>
        <w:t>－</w:t>
      </w:r>
      <w:r>
        <w:rPr>
          <w:rFonts w:ascii="Arial" w:hAnsi="Arial" w:eastAsia="仿宋_GB2312" w:cs="Arial"/>
          <w:sz w:val="28"/>
          <w:highlight w:val="none"/>
        </w:rPr>
        <w:t>1</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020</w:t>
      </w:r>
      <w:r>
        <w:rPr>
          <w:rFonts w:hint="eastAsia" w:ascii="Arial" w:hAnsi="Arial" w:eastAsia="仿宋_GB2312" w:cs="Arial"/>
          <w:sz w:val="28"/>
          <w:highlight w:val="none"/>
        </w:rPr>
        <w:t>地块实物补偿内容的说明》复印件</w:t>
      </w:r>
    </w:p>
    <w:p w14:paraId="676AD6C0">
      <w:pPr>
        <w:numPr>
          <w:ilvl w:val="0"/>
          <w:numId w:val="9"/>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《关于顺义区高丽营镇夏县营村棚户区改造土地开发项目0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008</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016</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026</w:t>
      </w:r>
      <w:r>
        <w:rPr>
          <w:rFonts w:hint="eastAsia" w:ascii="Arial" w:hAnsi="Arial" w:eastAsia="仿宋_GB2312" w:cs="Arial"/>
          <w:sz w:val="28"/>
          <w:highlight w:val="none"/>
          <w:lang w:eastAsia="zh-CN"/>
        </w:rPr>
        <w:t>－</w:t>
      </w:r>
      <w:r>
        <w:rPr>
          <w:rFonts w:ascii="Arial" w:hAnsi="Arial" w:eastAsia="仿宋_GB2312" w:cs="Arial"/>
          <w:sz w:val="28"/>
          <w:highlight w:val="none"/>
        </w:rPr>
        <w:t>1</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020</w:t>
      </w:r>
      <w:r>
        <w:rPr>
          <w:rFonts w:hint="eastAsia" w:ascii="Arial" w:hAnsi="Arial" w:eastAsia="仿宋_GB2312" w:cs="Arial"/>
          <w:sz w:val="28"/>
          <w:highlight w:val="none"/>
        </w:rPr>
        <w:t>地块市政条件的说明》复印件</w:t>
      </w:r>
    </w:p>
    <w:p w14:paraId="08BD6682">
      <w:pPr>
        <w:numPr>
          <w:ilvl w:val="0"/>
          <w:numId w:val="9"/>
        </w:numPr>
        <w:spacing w:line="300" w:lineRule="auto"/>
        <w:jc w:val="both"/>
        <w:rPr>
          <w:rFonts w:ascii="Arial" w:hAnsi="Arial" w:eastAsia="仿宋_GB2312" w:cs="Arial"/>
          <w:sz w:val="28"/>
          <w:highlight w:val="none"/>
        </w:rPr>
      </w:pPr>
      <w:r>
        <w:rPr>
          <w:rFonts w:ascii="Arial" w:hAnsi="Arial" w:eastAsia="仿宋_GB2312" w:cs="Arial"/>
          <w:sz w:val="28"/>
          <w:szCs w:val="28"/>
          <w:highlight w:val="none"/>
        </w:rPr>
        <w:t>估价机构《营业执照（</w:t>
      </w:r>
      <w:r>
        <w:rPr>
          <w:rFonts w:ascii="Arial" w:hAnsi="Arial" w:eastAsia="仿宋_GB2312" w:cs="Arial"/>
          <w:sz w:val="28"/>
          <w:highlight w:val="none"/>
        </w:rPr>
        <w:t>副本）》复印件</w:t>
      </w:r>
    </w:p>
    <w:p w14:paraId="65124C23">
      <w:pPr>
        <w:numPr>
          <w:ilvl w:val="0"/>
          <w:numId w:val="9"/>
        </w:numPr>
        <w:spacing w:line="300" w:lineRule="auto"/>
        <w:jc w:val="both"/>
        <w:rPr>
          <w:rFonts w:ascii="Arial" w:hAnsi="Arial" w:eastAsia="仿宋_GB2312" w:cs="Arial"/>
          <w:sz w:val="28"/>
          <w:highlight w:val="none"/>
        </w:rPr>
      </w:pPr>
      <w:r>
        <w:rPr>
          <w:rFonts w:ascii="Arial" w:hAnsi="Arial" w:eastAsia="仿宋_GB2312" w:cs="Arial"/>
          <w:sz w:val="28"/>
          <w:highlight w:val="none"/>
        </w:rPr>
        <w:t>估价机构评估资质复印件</w:t>
      </w:r>
    </w:p>
    <w:p w14:paraId="09FFBC6D">
      <w:pPr>
        <w:numPr>
          <w:ilvl w:val="0"/>
          <w:numId w:val="9"/>
        </w:numPr>
        <w:spacing w:line="300" w:lineRule="auto"/>
        <w:jc w:val="both"/>
        <w:rPr>
          <w:rFonts w:ascii="Arial" w:hAnsi="Arial" w:eastAsia="仿宋_GB2312" w:cs="Arial"/>
          <w:sz w:val="28"/>
          <w:highlight w:val="none"/>
        </w:rPr>
      </w:pPr>
      <w:r>
        <w:rPr>
          <w:rFonts w:ascii="Arial" w:hAnsi="Arial" w:eastAsia="仿宋_GB2312" w:cs="Arial"/>
          <w:sz w:val="28"/>
          <w:highlight w:val="none"/>
        </w:rPr>
        <w:t>土地估价专业评估师资质证书复印件</w:t>
      </w:r>
    </w:p>
    <w:p w14:paraId="32EC4FAE">
      <w:pPr>
        <w:spacing w:line="300" w:lineRule="auto"/>
        <w:ind w:left="840" w:hanging="840" w:hangingChars="300"/>
        <w:jc w:val="both"/>
        <w:rPr>
          <w:rFonts w:ascii="Arial" w:hAnsi="Arial" w:eastAsia="仿宋_GB2312" w:cs="Arial"/>
          <w:sz w:val="28"/>
          <w:highlight w:val="none"/>
        </w:rPr>
        <w:sectPr>
          <w:headerReference r:id="rId24" w:type="first"/>
          <w:footerReference r:id="rId26" w:type="first"/>
          <w:footerReference r:id="rId25" w:type="default"/>
          <w:type w:val="nextColumn"/>
          <w:pgSz w:w="11907" w:h="16840"/>
          <w:pgMar w:top="1418" w:right="1418" w:bottom="1134" w:left="1418" w:header="794" w:footer="907" w:gutter="0"/>
          <w:pgNumType w:fmt="decimal"/>
          <w:cols w:space="720" w:num="1"/>
          <w:titlePg/>
          <w:docGrid w:linePitch="326" w:charSpace="0"/>
        </w:sectPr>
      </w:pPr>
    </w:p>
    <w:p w14:paraId="2EB994E3">
      <w:pPr>
        <w:spacing w:line="300" w:lineRule="auto"/>
        <w:jc w:val="center"/>
        <w:rPr>
          <w:rFonts w:ascii="Arial" w:hAnsi="Arial" w:cs="Arial"/>
          <w:b/>
          <w:sz w:val="44"/>
          <w:highlight w:val="none"/>
        </w:rPr>
      </w:pPr>
      <w:bookmarkStart w:id="214" w:name="_Toc416783539"/>
      <w:bookmarkStart w:id="215" w:name="_Toc416783635"/>
      <w:bookmarkStart w:id="216" w:name="_Toc418750902"/>
    </w:p>
    <w:p w14:paraId="209197AB">
      <w:pPr>
        <w:spacing w:line="300" w:lineRule="auto"/>
        <w:jc w:val="center"/>
        <w:rPr>
          <w:rFonts w:ascii="Arial" w:hAnsi="Arial" w:cs="Arial"/>
          <w:b/>
          <w:sz w:val="44"/>
          <w:highlight w:val="none"/>
        </w:rPr>
      </w:pPr>
    </w:p>
    <w:p w14:paraId="0C742E60">
      <w:pPr>
        <w:spacing w:line="300" w:lineRule="auto"/>
        <w:jc w:val="center"/>
        <w:rPr>
          <w:rFonts w:ascii="Arial" w:hAnsi="Arial" w:cs="Arial"/>
          <w:b/>
          <w:sz w:val="44"/>
          <w:highlight w:val="none"/>
        </w:rPr>
      </w:pPr>
      <w:r>
        <w:rPr>
          <w:rFonts w:ascii="Arial" w:hAnsi="Arial" w:cs="Arial"/>
          <w:b/>
          <w:sz w:val="44"/>
          <w:highlight w:val="none"/>
        </w:rPr>
        <w:t>土</w:t>
      </w:r>
      <w:r>
        <w:rPr>
          <w:rFonts w:ascii="Arial" w:hAnsi="Arial" w:eastAsia="仿宋_GB2312" w:cs="Arial"/>
          <w:b/>
          <w:sz w:val="44"/>
          <w:highlight w:val="none"/>
        </w:rPr>
        <w:t xml:space="preserve"> </w:t>
      </w:r>
      <w:r>
        <w:rPr>
          <w:rFonts w:ascii="Arial" w:hAnsi="Arial" w:cs="Arial"/>
          <w:b/>
          <w:sz w:val="44"/>
          <w:highlight w:val="none"/>
        </w:rPr>
        <w:t>地</w:t>
      </w:r>
      <w:r>
        <w:rPr>
          <w:rFonts w:ascii="Arial" w:hAnsi="Arial" w:eastAsia="仿宋_GB2312" w:cs="Arial"/>
          <w:b/>
          <w:sz w:val="44"/>
          <w:highlight w:val="none"/>
        </w:rPr>
        <w:t xml:space="preserve"> </w:t>
      </w:r>
      <w:r>
        <w:rPr>
          <w:rFonts w:ascii="Arial" w:hAnsi="Arial" w:cs="Arial"/>
          <w:b/>
          <w:sz w:val="44"/>
          <w:highlight w:val="none"/>
        </w:rPr>
        <w:t>估</w:t>
      </w:r>
      <w:r>
        <w:rPr>
          <w:rFonts w:ascii="Arial" w:hAnsi="Arial" w:eastAsia="仿宋_GB2312" w:cs="Arial"/>
          <w:b/>
          <w:sz w:val="44"/>
          <w:highlight w:val="none"/>
        </w:rPr>
        <w:t xml:space="preserve"> </w:t>
      </w:r>
      <w:r>
        <w:rPr>
          <w:rFonts w:ascii="Arial" w:hAnsi="Arial" w:cs="Arial"/>
          <w:b/>
          <w:sz w:val="44"/>
          <w:highlight w:val="none"/>
        </w:rPr>
        <w:t>价</w:t>
      </w:r>
      <w:r>
        <w:rPr>
          <w:rFonts w:ascii="Arial" w:hAnsi="Arial" w:eastAsia="仿宋_GB2312" w:cs="Arial"/>
          <w:b/>
          <w:sz w:val="44"/>
          <w:highlight w:val="none"/>
        </w:rPr>
        <w:t xml:space="preserve"> </w:t>
      </w:r>
      <w:r>
        <w:rPr>
          <w:rFonts w:ascii="Arial" w:hAnsi="Arial" w:cs="Arial"/>
          <w:b/>
          <w:sz w:val="44"/>
          <w:highlight w:val="none"/>
        </w:rPr>
        <w:t>技</w:t>
      </w:r>
      <w:r>
        <w:rPr>
          <w:rFonts w:ascii="Arial" w:hAnsi="Arial" w:eastAsia="仿宋_GB2312" w:cs="Arial"/>
          <w:b/>
          <w:sz w:val="44"/>
          <w:highlight w:val="none"/>
        </w:rPr>
        <w:t xml:space="preserve"> </w:t>
      </w:r>
      <w:r>
        <w:rPr>
          <w:rFonts w:ascii="Arial" w:hAnsi="Arial" w:cs="Arial"/>
          <w:b/>
          <w:sz w:val="44"/>
          <w:highlight w:val="none"/>
        </w:rPr>
        <w:t>术</w:t>
      </w:r>
      <w:r>
        <w:rPr>
          <w:rFonts w:ascii="Arial" w:hAnsi="Arial" w:eastAsia="仿宋_GB2312" w:cs="Arial"/>
          <w:b/>
          <w:sz w:val="44"/>
          <w:highlight w:val="none"/>
        </w:rPr>
        <w:t xml:space="preserve"> </w:t>
      </w:r>
      <w:r>
        <w:rPr>
          <w:rFonts w:ascii="Arial" w:hAnsi="Arial" w:cs="Arial"/>
          <w:b/>
          <w:sz w:val="44"/>
          <w:highlight w:val="none"/>
        </w:rPr>
        <w:t>报</w:t>
      </w:r>
      <w:r>
        <w:rPr>
          <w:rFonts w:ascii="Arial" w:hAnsi="Arial" w:eastAsia="仿宋_GB2312" w:cs="Arial"/>
          <w:b/>
          <w:sz w:val="44"/>
          <w:highlight w:val="none"/>
        </w:rPr>
        <w:t xml:space="preserve"> </w:t>
      </w:r>
      <w:r>
        <w:rPr>
          <w:rFonts w:ascii="Arial" w:hAnsi="Arial" w:cs="Arial"/>
          <w:b/>
          <w:sz w:val="44"/>
          <w:highlight w:val="none"/>
        </w:rPr>
        <w:t>告</w:t>
      </w:r>
      <w:bookmarkEnd w:id="214"/>
      <w:bookmarkEnd w:id="215"/>
      <w:bookmarkEnd w:id="216"/>
    </w:p>
    <w:p w14:paraId="6023D5A4">
      <w:pPr>
        <w:spacing w:line="300" w:lineRule="auto"/>
        <w:jc w:val="center"/>
        <w:rPr>
          <w:rFonts w:ascii="Arial" w:hAnsi="Arial" w:cs="Arial"/>
          <w:sz w:val="44"/>
          <w:highlight w:val="none"/>
        </w:rPr>
      </w:pPr>
      <w:r>
        <w:rPr>
          <w:rFonts w:hint="eastAsia" w:ascii="Arial" w:hAnsi="Arial" w:cs="Arial"/>
          <w:sz w:val="44"/>
          <w:highlight w:val="none"/>
        </w:rPr>
        <w:t>（</w:t>
      </w:r>
      <w:r>
        <w:rPr>
          <w:rFonts w:hint="eastAsia" w:ascii="宋体" w:hAnsi="宋体" w:cs="Arial"/>
          <w:b/>
          <w:sz w:val="44"/>
          <w:highlight w:val="none"/>
        </w:rPr>
        <w:t>评估工作底稿</w:t>
      </w:r>
      <w:r>
        <w:rPr>
          <w:rFonts w:hint="eastAsia" w:ascii="Arial" w:hAnsi="Arial" w:cs="Arial"/>
          <w:sz w:val="44"/>
          <w:highlight w:val="none"/>
        </w:rPr>
        <w:t>）</w:t>
      </w:r>
    </w:p>
    <w:p w14:paraId="59C7DA54">
      <w:pPr>
        <w:spacing w:line="300" w:lineRule="auto"/>
        <w:jc w:val="center"/>
        <w:rPr>
          <w:rFonts w:ascii="Arial" w:hAnsi="Arial" w:eastAsia="楷体_GB2312" w:cs="Arial"/>
          <w:bCs/>
          <w:sz w:val="32"/>
          <w:highlight w:val="none"/>
        </w:rPr>
      </w:pPr>
    </w:p>
    <w:p w14:paraId="630FBBFA">
      <w:pPr>
        <w:spacing w:line="300" w:lineRule="auto"/>
        <w:ind w:left="2201" w:hanging="2201" w:hangingChars="685"/>
        <w:jc w:val="both"/>
        <w:rPr>
          <w:rFonts w:ascii="Arial" w:hAnsi="Arial" w:eastAsia="楷体_GB2312" w:cs="Arial"/>
          <w:bCs/>
          <w:i/>
          <w:sz w:val="32"/>
          <w:highlight w:val="none"/>
        </w:rPr>
      </w:pPr>
      <w:r>
        <w:rPr>
          <w:rFonts w:ascii="Arial" w:hAnsi="Arial" w:eastAsia="楷体_GB2312" w:cs="Arial"/>
          <w:b/>
          <w:sz w:val="32"/>
          <w:highlight w:val="none"/>
        </w:rPr>
        <w:t>项</w:t>
      </w:r>
      <w:r>
        <w:rPr>
          <w:rFonts w:ascii="Arial" w:hAnsi="Arial" w:eastAsia="仿宋_GB2312" w:cs="Arial"/>
          <w:b/>
          <w:sz w:val="32"/>
          <w:highlight w:val="none"/>
        </w:rPr>
        <w:t xml:space="preserve">  </w:t>
      </w:r>
      <w:r>
        <w:rPr>
          <w:rFonts w:ascii="Arial" w:hAnsi="Arial" w:eastAsia="楷体_GB2312" w:cs="Arial"/>
          <w:b/>
          <w:sz w:val="32"/>
          <w:highlight w:val="none"/>
        </w:rPr>
        <w:t>目</w:t>
      </w:r>
      <w:r>
        <w:rPr>
          <w:rFonts w:ascii="Arial" w:hAnsi="Arial" w:eastAsia="仿宋_GB2312" w:cs="Arial"/>
          <w:b/>
          <w:sz w:val="32"/>
          <w:highlight w:val="none"/>
        </w:rPr>
        <w:t xml:space="preserve"> </w:t>
      </w:r>
      <w:r>
        <w:rPr>
          <w:rFonts w:ascii="Arial" w:hAnsi="Arial" w:eastAsia="楷体_GB2312" w:cs="Arial"/>
          <w:b/>
          <w:sz w:val="32"/>
          <w:highlight w:val="none"/>
        </w:rPr>
        <w:t>名</w:t>
      </w:r>
      <w:r>
        <w:rPr>
          <w:rFonts w:ascii="Arial" w:hAnsi="Arial" w:eastAsia="仿宋_GB2312" w:cs="Arial"/>
          <w:b/>
          <w:sz w:val="32"/>
          <w:highlight w:val="none"/>
        </w:rPr>
        <w:t xml:space="preserve"> </w:t>
      </w:r>
      <w:r>
        <w:rPr>
          <w:rFonts w:ascii="Arial" w:hAnsi="Arial" w:eastAsia="楷体_GB2312" w:cs="Arial"/>
          <w:b/>
          <w:sz w:val="32"/>
          <w:highlight w:val="none"/>
        </w:rPr>
        <w:t>称：</w:t>
      </w:r>
      <w:r>
        <w:rPr>
          <w:rFonts w:hint="eastAsia" w:ascii="Arial" w:hAnsi="Arial" w:eastAsia="楷体_GB2312" w:cs="Arial"/>
          <w:b/>
          <w:sz w:val="32"/>
          <w:highlight w:val="none"/>
        </w:rPr>
        <w:t>北京市顺义区高丽营镇夏县营村棚户区改造土地开发项目01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008、01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016、01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026</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1、01</w:t>
      </w:r>
      <w:r>
        <w:rPr>
          <w:rFonts w:hint="eastAsia" w:ascii="Arial" w:hAnsi="Arial" w:eastAsia="楷体_GB2312" w:cs="Arial"/>
          <w:b/>
          <w:sz w:val="32"/>
          <w:highlight w:val="none"/>
          <w:lang w:eastAsia="zh-CN"/>
        </w:rPr>
        <w:t>－</w:t>
      </w:r>
      <w:r>
        <w:rPr>
          <w:rFonts w:hint="eastAsia" w:ascii="Arial" w:hAnsi="Arial" w:eastAsia="楷体_GB2312" w:cs="Arial"/>
          <w:b/>
          <w:sz w:val="32"/>
          <w:highlight w:val="none"/>
        </w:rPr>
        <w:t>020地块R2二类居住用地、A334托幼用地国有建设用地使用权项目</w:t>
      </w:r>
      <w:r>
        <w:rPr>
          <w:rFonts w:ascii="Arial" w:hAnsi="Arial" w:eastAsia="楷体_GB2312" w:cs="Arial"/>
          <w:b/>
          <w:sz w:val="32"/>
          <w:highlight w:val="none"/>
        </w:rPr>
        <w:t>国有建设用地使用权出让价格评估</w:t>
      </w:r>
      <w:r>
        <w:rPr>
          <w:rFonts w:hint="eastAsia" w:ascii="Arial" w:hAnsi="Arial" w:eastAsia="楷体_GB2312" w:cs="Arial"/>
          <w:b/>
          <w:sz w:val="32"/>
          <w:highlight w:val="none"/>
        </w:rPr>
        <w:t>（北京市顺义区）</w:t>
      </w:r>
    </w:p>
    <w:p w14:paraId="6DAB6280">
      <w:pPr>
        <w:spacing w:line="300" w:lineRule="auto"/>
        <w:jc w:val="both"/>
        <w:rPr>
          <w:rFonts w:ascii="Arial" w:hAnsi="Arial" w:eastAsia="楷体_GB2312" w:cs="Arial"/>
          <w:b/>
          <w:sz w:val="28"/>
          <w:szCs w:val="28"/>
          <w:highlight w:val="none"/>
        </w:rPr>
      </w:pPr>
    </w:p>
    <w:p w14:paraId="62EEABEE">
      <w:pPr>
        <w:spacing w:line="300" w:lineRule="auto"/>
        <w:rPr>
          <w:rFonts w:ascii="Arial" w:hAnsi="Arial" w:eastAsia="楷体_GB2312" w:cs="Arial"/>
          <w:b/>
          <w:bCs/>
          <w:sz w:val="32"/>
          <w:highlight w:val="none"/>
        </w:rPr>
      </w:pPr>
      <w:r>
        <w:rPr>
          <w:rFonts w:ascii="Arial" w:hAnsi="Arial" w:eastAsia="楷体_GB2312" w:cs="Arial"/>
          <w:b/>
          <w:sz w:val="32"/>
          <w:highlight w:val="none"/>
        </w:rPr>
        <w:t>受托估价单位：北京康正宏基房地产评估有限公司</w:t>
      </w:r>
    </w:p>
    <w:p w14:paraId="7946A4CC">
      <w:pPr>
        <w:spacing w:line="300" w:lineRule="auto"/>
        <w:ind w:right="-327"/>
        <w:rPr>
          <w:rFonts w:ascii="Arial" w:hAnsi="Arial" w:eastAsia="楷体_GB2312" w:cs="Arial"/>
          <w:b/>
          <w:bCs/>
          <w:sz w:val="32"/>
          <w:highlight w:val="none"/>
        </w:rPr>
      </w:pPr>
      <w:bookmarkStart w:id="217" w:name="_Toc416783540"/>
      <w:bookmarkStart w:id="218" w:name="_Toc416783636"/>
    </w:p>
    <w:bookmarkEnd w:id="217"/>
    <w:bookmarkEnd w:id="218"/>
    <w:p w14:paraId="262D100F">
      <w:pPr>
        <w:spacing w:line="300" w:lineRule="auto"/>
        <w:jc w:val="both"/>
        <w:rPr>
          <w:rFonts w:ascii="Arial" w:hAnsi="Arial" w:eastAsia="楷体_GB2312" w:cs="Arial"/>
          <w:b/>
          <w:sz w:val="32"/>
          <w:highlight w:val="none"/>
        </w:rPr>
      </w:pPr>
      <w:bookmarkStart w:id="219" w:name="_Toc418750903"/>
      <w:r>
        <w:rPr>
          <w:rFonts w:ascii="Arial" w:hAnsi="Arial" w:eastAsia="楷体_GB2312" w:cs="Arial"/>
          <w:b/>
          <w:sz w:val="32"/>
          <w:highlight w:val="none"/>
        </w:rPr>
        <w:t>土地估价报告编号：</w:t>
      </w:r>
      <w:bookmarkEnd w:id="219"/>
      <w:r>
        <w:rPr>
          <w:rFonts w:ascii="Arial" w:hAnsi="Arial" w:eastAsia="楷体_GB2312" w:cs="Arial"/>
          <w:b/>
          <w:sz w:val="32"/>
          <w:highlight w:val="none"/>
        </w:rPr>
        <w:t>北京康正202</w:t>
      </w:r>
      <w:r>
        <w:rPr>
          <w:rFonts w:hint="eastAsia" w:ascii="Arial" w:hAnsi="Arial" w:eastAsia="楷体_GB2312" w:cs="Arial"/>
          <w:b/>
          <w:sz w:val="32"/>
          <w:highlight w:val="none"/>
          <w:lang w:val="en-US" w:eastAsia="zh-CN"/>
        </w:rPr>
        <w:t>6</w:t>
      </w:r>
      <w:r>
        <w:rPr>
          <w:rFonts w:ascii="Arial" w:hAnsi="Arial" w:eastAsia="楷体_GB2312" w:cs="Arial"/>
          <w:b/>
          <w:sz w:val="32"/>
          <w:highlight w:val="none"/>
        </w:rPr>
        <w:t>（估）字第000</w:t>
      </w:r>
      <w:r>
        <w:rPr>
          <w:rFonts w:hint="eastAsia" w:ascii="Arial" w:hAnsi="Arial" w:eastAsia="楷体_GB2312" w:cs="Arial"/>
          <w:b/>
          <w:sz w:val="32"/>
          <w:highlight w:val="none"/>
          <w:lang w:val="en-US" w:eastAsia="zh-CN"/>
        </w:rPr>
        <w:t>1</w:t>
      </w:r>
      <w:r>
        <w:rPr>
          <w:rFonts w:ascii="Arial" w:hAnsi="Arial" w:eastAsia="楷体_GB2312" w:cs="Arial"/>
          <w:b/>
          <w:sz w:val="32"/>
          <w:highlight w:val="none"/>
        </w:rPr>
        <w:t>号</w:t>
      </w:r>
    </w:p>
    <w:p w14:paraId="5A9597E6">
      <w:pPr>
        <w:spacing w:line="300" w:lineRule="auto"/>
        <w:ind w:right="-207"/>
        <w:rPr>
          <w:rFonts w:ascii="Arial" w:hAnsi="Arial" w:eastAsia="楷体_GB2312" w:cs="Arial"/>
          <w:b/>
          <w:bCs/>
          <w:spacing w:val="-10"/>
          <w:sz w:val="32"/>
          <w:highlight w:val="none"/>
        </w:rPr>
      </w:pPr>
      <w:bookmarkStart w:id="220" w:name="_Toc416783637"/>
      <w:bookmarkStart w:id="221" w:name="_Toc416783541"/>
    </w:p>
    <w:p w14:paraId="37F142B9">
      <w:pPr>
        <w:spacing w:line="300" w:lineRule="auto"/>
        <w:jc w:val="both"/>
        <w:rPr>
          <w:rFonts w:ascii="Arial" w:hAnsi="Arial" w:eastAsia="楷体_GB2312" w:cs="Arial"/>
          <w:b/>
          <w:sz w:val="32"/>
          <w:highlight w:val="none"/>
        </w:rPr>
      </w:pPr>
      <w:bookmarkStart w:id="222" w:name="_Toc418750904"/>
      <w:r>
        <w:rPr>
          <w:rFonts w:ascii="Arial" w:hAnsi="Arial" w:eastAsia="楷体_GB2312" w:cs="Arial"/>
          <w:b/>
          <w:bCs/>
          <w:spacing w:val="-10"/>
          <w:sz w:val="32"/>
          <w:highlight w:val="none"/>
        </w:rPr>
        <w:t>土地估价技术报告编号：</w:t>
      </w:r>
      <w:bookmarkEnd w:id="220"/>
      <w:bookmarkEnd w:id="221"/>
      <w:bookmarkEnd w:id="222"/>
      <w:r>
        <w:rPr>
          <w:rFonts w:ascii="Arial" w:hAnsi="Arial" w:eastAsia="楷体_GB2312" w:cs="Arial"/>
          <w:b/>
          <w:sz w:val="32"/>
          <w:highlight w:val="none"/>
        </w:rPr>
        <w:t>北京康正202</w:t>
      </w:r>
      <w:r>
        <w:rPr>
          <w:rFonts w:hint="eastAsia" w:ascii="Arial" w:hAnsi="Arial" w:eastAsia="楷体_GB2312" w:cs="Arial"/>
          <w:b/>
          <w:sz w:val="32"/>
          <w:highlight w:val="none"/>
          <w:lang w:val="en-US" w:eastAsia="zh-CN"/>
        </w:rPr>
        <w:t>6</w:t>
      </w:r>
      <w:r>
        <w:rPr>
          <w:rFonts w:ascii="Arial" w:hAnsi="Arial" w:eastAsia="楷体_GB2312" w:cs="Arial"/>
          <w:b/>
          <w:sz w:val="32"/>
          <w:highlight w:val="none"/>
        </w:rPr>
        <w:t>（</w:t>
      </w:r>
      <w:r>
        <w:rPr>
          <w:rFonts w:hint="eastAsia" w:ascii="Arial" w:hAnsi="Arial" w:eastAsia="楷体_GB2312" w:cs="Arial"/>
          <w:b/>
          <w:sz w:val="32"/>
          <w:highlight w:val="none"/>
          <w:lang w:val="en-US" w:eastAsia="zh-CN"/>
        </w:rPr>
        <w:t>技</w:t>
      </w:r>
      <w:r>
        <w:rPr>
          <w:rFonts w:ascii="Arial" w:hAnsi="Arial" w:eastAsia="楷体_GB2312" w:cs="Arial"/>
          <w:b/>
          <w:sz w:val="32"/>
          <w:highlight w:val="none"/>
        </w:rPr>
        <w:t>）字第000</w:t>
      </w:r>
      <w:r>
        <w:rPr>
          <w:rFonts w:hint="eastAsia" w:ascii="Arial" w:hAnsi="Arial" w:eastAsia="楷体_GB2312" w:cs="Arial"/>
          <w:b/>
          <w:sz w:val="32"/>
          <w:highlight w:val="none"/>
          <w:lang w:val="en-US" w:eastAsia="zh-CN"/>
        </w:rPr>
        <w:t>1</w:t>
      </w:r>
      <w:r>
        <w:rPr>
          <w:rFonts w:ascii="Arial" w:hAnsi="Arial" w:eastAsia="楷体_GB2312" w:cs="Arial"/>
          <w:b/>
          <w:sz w:val="32"/>
          <w:highlight w:val="none"/>
        </w:rPr>
        <w:t>号</w:t>
      </w:r>
    </w:p>
    <w:p w14:paraId="46493C98">
      <w:pPr>
        <w:spacing w:line="300" w:lineRule="auto"/>
        <w:rPr>
          <w:rFonts w:ascii="Arial" w:hAnsi="Arial" w:eastAsia="楷体_GB2312" w:cs="Arial"/>
          <w:b/>
          <w:sz w:val="32"/>
          <w:highlight w:val="none"/>
        </w:rPr>
      </w:pPr>
    </w:p>
    <w:p w14:paraId="02A65E00">
      <w:pPr>
        <w:spacing w:line="300" w:lineRule="auto"/>
        <w:rPr>
          <w:rFonts w:ascii="Arial" w:hAnsi="Arial" w:eastAsia="楷体_GB2312" w:cs="Arial"/>
          <w:b/>
          <w:bCs/>
          <w:spacing w:val="-20"/>
          <w:sz w:val="32"/>
          <w:highlight w:val="none"/>
        </w:rPr>
      </w:pPr>
      <w:r>
        <w:rPr>
          <w:rFonts w:ascii="Arial" w:hAnsi="Arial" w:eastAsia="楷体_GB2312" w:cs="Arial"/>
          <w:b/>
          <w:bCs/>
          <w:sz w:val="32"/>
          <w:highlight w:val="none"/>
        </w:rPr>
        <w:t>提交估价报告日期</w:t>
      </w:r>
      <w:r>
        <w:rPr>
          <w:rFonts w:hint="eastAsia" w:ascii="Arial" w:hAnsi="Arial" w:eastAsia="楷体_GB2312" w:cs="Arial"/>
          <w:b/>
          <w:bCs/>
          <w:sz w:val="32"/>
          <w:highlight w:val="none"/>
        </w:rPr>
        <w:t>：</w:t>
      </w:r>
      <w:r>
        <w:rPr>
          <w:rFonts w:ascii="Arial" w:hAnsi="Arial" w:eastAsia="楷体_GB2312" w:cs="Arial"/>
          <w:b/>
          <w:sz w:val="32"/>
          <w:highlight w:val="none"/>
        </w:rPr>
        <w:t>202</w:t>
      </w:r>
      <w:r>
        <w:rPr>
          <w:rFonts w:hint="eastAsia" w:ascii="Arial" w:hAnsi="Arial" w:eastAsia="楷体_GB2312" w:cs="Arial"/>
          <w:b/>
          <w:sz w:val="32"/>
          <w:highlight w:val="none"/>
          <w:lang w:val="en-US" w:eastAsia="zh-CN"/>
        </w:rPr>
        <w:t>6</w:t>
      </w:r>
      <w:r>
        <w:rPr>
          <w:rFonts w:ascii="Arial" w:hAnsi="Arial" w:eastAsia="楷体_GB2312" w:cs="Arial"/>
          <w:b/>
          <w:sz w:val="32"/>
          <w:highlight w:val="none"/>
        </w:rPr>
        <w:t>年</w:t>
      </w:r>
      <w:r>
        <w:rPr>
          <w:rFonts w:hint="eastAsia" w:ascii="Arial" w:hAnsi="Arial" w:eastAsia="楷体_GB2312" w:cs="Arial"/>
          <w:b/>
          <w:sz w:val="32"/>
          <w:highlight w:val="none"/>
          <w:lang w:val="en-US" w:eastAsia="zh-CN"/>
        </w:rPr>
        <w:t>3</w:t>
      </w:r>
      <w:r>
        <w:rPr>
          <w:rFonts w:ascii="Arial" w:hAnsi="Arial" w:eastAsia="楷体_GB2312" w:cs="Arial"/>
          <w:b/>
          <w:sz w:val="32"/>
          <w:highlight w:val="none"/>
        </w:rPr>
        <w:t>月</w:t>
      </w:r>
      <w:r>
        <w:rPr>
          <w:rFonts w:hint="eastAsia" w:ascii="Arial" w:hAnsi="Arial" w:eastAsia="楷体_GB2312" w:cs="Arial"/>
          <w:b/>
          <w:sz w:val="32"/>
          <w:highlight w:val="none"/>
          <w:lang w:val="en-US" w:eastAsia="zh-CN"/>
        </w:rPr>
        <w:t>31</w:t>
      </w:r>
      <w:r>
        <w:rPr>
          <w:rFonts w:ascii="Arial" w:hAnsi="Arial" w:eastAsia="楷体_GB2312" w:cs="Arial"/>
          <w:b/>
          <w:sz w:val="32"/>
          <w:highlight w:val="none"/>
        </w:rPr>
        <w:t>日</w:t>
      </w:r>
    </w:p>
    <w:p w14:paraId="4370E41E">
      <w:pPr>
        <w:spacing w:line="300" w:lineRule="auto"/>
        <w:rPr>
          <w:rFonts w:ascii="Arial" w:hAnsi="Arial" w:eastAsia="楷体_GB2312" w:cs="Arial"/>
          <w:b/>
          <w:bCs/>
          <w:sz w:val="32"/>
          <w:highlight w:val="none"/>
        </w:rPr>
      </w:pPr>
    </w:p>
    <w:p w14:paraId="5CEC1CA1">
      <w:pPr>
        <w:spacing w:line="300" w:lineRule="auto"/>
        <w:rPr>
          <w:rFonts w:ascii="Arial" w:hAnsi="Arial" w:eastAsia="楷体_GB2312" w:cs="Arial"/>
          <w:b/>
          <w:bCs/>
          <w:sz w:val="32"/>
          <w:highlight w:val="none"/>
        </w:rPr>
      </w:pPr>
      <w:r>
        <w:rPr>
          <w:rFonts w:ascii="Arial" w:hAnsi="Arial" w:eastAsia="楷体_GB2312" w:cs="Arial"/>
          <w:b/>
          <w:bCs/>
          <w:sz w:val="32"/>
          <w:highlight w:val="none"/>
        </w:rPr>
        <w:t>关键词：北京市、</w:t>
      </w:r>
      <w:r>
        <w:rPr>
          <w:rFonts w:hint="eastAsia" w:ascii="Arial" w:hAnsi="Arial" w:eastAsia="楷体_GB2312" w:cs="Arial"/>
          <w:b/>
          <w:bCs/>
          <w:sz w:val="32"/>
          <w:highlight w:val="none"/>
        </w:rPr>
        <w:t>顺义</w:t>
      </w:r>
      <w:r>
        <w:rPr>
          <w:rFonts w:ascii="Arial" w:hAnsi="Arial" w:eastAsia="楷体_GB2312" w:cs="Arial"/>
          <w:b/>
          <w:bCs/>
          <w:sz w:val="32"/>
          <w:highlight w:val="none"/>
        </w:rPr>
        <w:t>区</w:t>
      </w:r>
    </w:p>
    <w:p w14:paraId="69133323">
      <w:pPr>
        <w:spacing w:line="300" w:lineRule="auto"/>
        <w:rPr>
          <w:rFonts w:ascii="Arial" w:hAnsi="Arial" w:eastAsia="楷体_GB2312" w:cs="Arial"/>
          <w:b/>
          <w:bCs/>
          <w:sz w:val="32"/>
          <w:highlight w:val="none"/>
        </w:rPr>
      </w:pPr>
      <w:r>
        <w:rPr>
          <w:rFonts w:ascii="Arial" w:hAnsi="Arial" w:eastAsia="楷体_GB2312" w:cs="Arial"/>
          <w:b/>
          <w:bCs/>
          <w:sz w:val="32"/>
          <w:highlight w:val="none"/>
        </w:rPr>
        <w:t xml:space="preserve">        出让</w:t>
      </w:r>
    </w:p>
    <w:p w14:paraId="209DC013">
      <w:pPr>
        <w:spacing w:line="300" w:lineRule="auto"/>
        <w:ind w:firstLine="1285" w:firstLineChars="400"/>
        <w:rPr>
          <w:rFonts w:ascii="Arial" w:hAnsi="Arial" w:eastAsia="楷体_GB2312" w:cs="Arial"/>
          <w:b/>
          <w:bCs/>
          <w:sz w:val="32"/>
          <w:highlight w:val="none"/>
        </w:rPr>
      </w:pPr>
      <w:r>
        <w:rPr>
          <w:rFonts w:ascii="Arial" w:hAnsi="Arial" w:eastAsia="楷体_GB2312" w:cs="Arial"/>
          <w:b/>
          <w:bCs/>
          <w:sz w:val="32"/>
          <w:highlight w:val="none"/>
        </w:rPr>
        <w:t>北京康正宏基房地产评估有限公司</w:t>
      </w:r>
    </w:p>
    <w:p w14:paraId="5EDE6421">
      <w:pPr>
        <w:spacing w:line="300" w:lineRule="auto"/>
        <w:rPr>
          <w:rFonts w:ascii="Arial" w:hAnsi="Arial" w:eastAsia="楷体_GB2312" w:cs="Arial"/>
          <w:b/>
          <w:bCs/>
          <w:spacing w:val="-20"/>
          <w:sz w:val="32"/>
          <w:highlight w:val="none"/>
        </w:rPr>
      </w:pPr>
      <w:r>
        <w:rPr>
          <w:rFonts w:ascii="Arial" w:hAnsi="Arial" w:eastAsia="仿宋_GB2312" w:cs="Arial"/>
          <w:b/>
          <w:bCs/>
          <w:sz w:val="32"/>
          <w:highlight w:val="none"/>
        </w:rPr>
        <w:t xml:space="preserve">        </w:t>
      </w:r>
      <w:r>
        <w:rPr>
          <w:rFonts w:ascii="Arial" w:hAnsi="Arial" w:eastAsia="楷体_GB2312" w:cs="Arial"/>
          <w:b/>
          <w:bCs/>
          <w:sz w:val="32"/>
          <w:highlight w:val="none"/>
        </w:rPr>
        <w:t>二Ｏ</w:t>
      </w:r>
      <w:r>
        <w:rPr>
          <w:rFonts w:hint="eastAsia" w:ascii="Arial" w:hAnsi="Arial" w:eastAsia="楷体_GB2312" w:cs="Arial"/>
          <w:b/>
          <w:bCs/>
          <w:sz w:val="32"/>
          <w:highlight w:val="none"/>
        </w:rPr>
        <w:t>二</w:t>
      </w:r>
      <w:r>
        <w:rPr>
          <w:rFonts w:hint="eastAsia" w:ascii="Arial" w:hAnsi="Arial" w:eastAsia="楷体_GB2312" w:cs="Arial"/>
          <w:b/>
          <w:bCs/>
          <w:sz w:val="32"/>
          <w:highlight w:val="none"/>
          <w:lang w:val="en-US" w:eastAsia="zh-CN"/>
        </w:rPr>
        <w:t>六</w:t>
      </w:r>
      <w:r>
        <w:rPr>
          <w:rFonts w:ascii="Arial" w:hAnsi="Arial" w:eastAsia="楷体_GB2312" w:cs="Arial"/>
          <w:b/>
          <w:bCs/>
          <w:sz w:val="32"/>
          <w:highlight w:val="none"/>
        </w:rPr>
        <w:t>年</w:t>
      </w:r>
    </w:p>
    <w:p w14:paraId="14B42DEB">
      <w:pPr>
        <w:pStyle w:val="22"/>
        <w:spacing w:line="300" w:lineRule="auto"/>
        <w:rPr>
          <w:rFonts w:ascii="Arial" w:cs="Arial"/>
          <w:b/>
          <w:sz w:val="32"/>
          <w:szCs w:val="32"/>
          <w:highlight w:val="none"/>
        </w:rPr>
      </w:pPr>
      <w:r>
        <w:rPr>
          <w:rFonts w:ascii="Arial" w:cs="Arial"/>
          <w:b/>
          <w:sz w:val="32"/>
          <w:szCs w:val="32"/>
          <w:highlight w:val="none"/>
        </w:rPr>
        <w:br w:type="page"/>
      </w:r>
      <w:r>
        <w:rPr>
          <w:rFonts w:ascii="Arial" w:cs="Arial"/>
          <w:b/>
          <w:sz w:val="32"/>
          <w:szCs w:val="32"/>
          <w:highlight w:val="none"/>
        </w:rPr>
        <w:t>目录</w:t>
      </w:r>
    </w:p>
    <w:p w14:paraId="5F52415F">
      <w:pPr>
        <w:pStyle w:val="22"/>
        <w:rPr>
          <w:rFonts w:ascii="Arial" w:eastAsia="宋体"/>
          <w:kern w:val="2"/>
          <w:sz w:val="21"/>
          <w:szCs w:val="22"/>
          <w:highlight w:val="none"/>
        </w:rPr>
      </w:pPr>
      <w:r>
        <w:rPr>
          <w:rStyle w:val="40"/>
          <w:rFonts w:ascii="Arial" w:cs="Arial"/>
          <w:b/>
          <w:color w:val="auto"/>
          <w:sz w:val="24"/>
          <w:szCs w:val="24"/>
          <w:highlight w:val="none"/>
        </w:rPr>
        <w:fldChar w:fldCharType="begin"/>
      </w:r>
      <w:r>
        <w:rPr>
          <w:rStyle w:val="40"/>
          <w:rFonts w:ascii="Arial" w:cs="Arial"/>
          <w:b/>
          <w:color w:val="auto"/>
          <w:sz w:val="24"/>
          <w:szCs w:val="24"/>
          <w:highlight w:val="none"/>
        </w:rPr>
        <w:instrText xml:space="preserve"> TOC \o "1-2" \h \z \u </w:instrText>
      </w:r>
      <w:r>
        <w:rPr>
          <w:rStyle w:val="40"/>
          <w:rFonts w:ascii="Arial" w:cs="Arial"/>
          <w:b/>
          <w:color w:val="auto"/>
          <w:sz w:val="24"/>
          <w:szCs w:val="24"/>
          <w:highlight w:val="none"/>
        </w:rPr>
        <w:fldChar w:fldCharType="separate"/>
      </w:r>
    </w:p>
    <w:p w14:paraId="71A2D1C5">
      <w:pPr>
        <w:pStyle w:val="22"/>
        <w:rPr>
          <w:rFonts w:hint="default" w:ascii="Arial" w:hAnsi="Arial" w:eastAsia="宋体"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"_Toc132016739" </w:instrText>
      </w:r>
      <w:r>
        <w:rPr>
          <w:rFonts w:hint="default" w:ascii="Arial" w:hAnsi="Arial" w:cs="Arial"/>
          <w:b/>
          <w:bCs/>
          <w:sz w:val="28"/>
          <w:szCs w:val="28"/>
          <w:highlight w:val="none"/>
        </w:rPr>
        <w:fldChar w:fldCharType="separate"/>
      </w:r>
      <w:r>
        <w:rPr>
          <w:rStyle w:val="40"/>
          <w:rFonts w:hint="default" w:ascii="Arial" w:hAnsi="Arial" w:cs="Arial"/>
          <w:b/>
          <w:bCs/>
          <w:color w:val="auto"/>
          <w:sz w:val="28"/>
          <w:szCs w:val="28"/>
          <w:highlight w:val="none"/>
        </w:rPr>
        <w:t>第一部分  总  述</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_Toc132016739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0E5660DD">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"_Toc132016740"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一、估价项目名称</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_Toc132016740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2CEC026">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"_Toc132016741"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二、委托估价方</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_Toc132016741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70AE3EAE">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"_Toc132016742"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三、受托估价方</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_Toc132016742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7A780FC">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"_Toc132016743"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四、估价目的</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_Toc132016743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00C336B">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"_Toc132016744"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五、估价依据</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_Toc132016744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3</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0F1D4A9E">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"_Toc132016745"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六、估价期日</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_Toc132016745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71C45275">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"_Toc132016746"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七、估价日期</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_Toc132016746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139C4226">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"_Toc132016747"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八、地价定义</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_Toc132016747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CA27827">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"_Toc132016748"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九、估价结果</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_Toc132016748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14</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FE873E5">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"_Toc132016749"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十、需要特殊说明的事项</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_Toc132016749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20</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03B2D842">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"_Toc132016750"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十一、土地估价专业评估师签字</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_Toc132016750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25</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7F1F1B10">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"_Toc132016751"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十二、土地估价机构</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_Toc132016751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25</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75E32C4">
      <w:pPr>
        <w:pStyle w:val="22"/>
        <w:rPr>
          <w:rFonts w:hint="default" w:ascii="Arial" w:hAnsi="Arial" w:eastAsia="宋体"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"_Toc132016752" </w:instrText>
      </w:r>
      <w:r>
        <w:rPr>
          <w:rFonts w:hint="default" w:ascii="Arial" w:hAnsi="Arial" w:cs="Arial"/>
          <w:b/>
          <w:bCs/>
          <w:sz w:val="28"/>
          <w:szCs w:val="28"/>
          <w:highlight w:val="none"/>
        </w:rPr>
        <w:fldChar w:fldCharType="separate"/>
      </w:r>
      <w:r>
        <w:rPr>
          <w:rStyle w:val="40"/>
          <w:rFonts w:hint="default" w:ascii="Arial" w:hAnsi="Arial" w:cs="Arial"/>
          <w:b/>
          <w:bCs/>
          <w:color w:val="auto"/>
          <w:sz w:val="28"/>
          <w:szCs w:val="28"/>
          <w:highlight w:val="none"/>
        </w:rPr>
        <w:t>第二部分  估价对象描述及土地价格影响因素分析</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_Toc132016752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26</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23CE7015">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"_Toc132016753"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一、估价对象描述</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_Toc132016753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26</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41AE982A">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"_Toc132016754"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二、地价影响因素分析</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_Toc132016754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29</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210687C">
      <w:pPr>
        <w:pStyle w:val="22"/>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"_Toc132016755" </w:instrText>
      </w:r>
      <w:r>
        <w:rPr>
          <w:rFonts w:hint="default" w:ascii="Arial" w:hAnsi="Arial" w:cs="Arial"/>
          <w:b/>
          <w:bCs/>
          <w:sz w:val="28"/>
          <w:szCs w:val="28"/>
          <w:highlight w:val="none"/>
        </w:rPr>
        <w:fldChar w:fldCharType="separate"/>
      </w:r>
      <w:r>
        <w:rPr>
          <w:rStyle w:val="40"/>
          <w:rFonts w:hint="default" w:ascii="Arial" w:hAnsi="Arial" w:cs="Arial"/>
          <w:b/>
          <w:bCs/>
          <w:color w:val="auto"/>
          <w:sz w:val="28"/>
          <w:szCs w:val="28"/>
          <w:highlight w:val="none"/>
        </w:rPr>
        <w:t>第三部分  土地估价</w:t>
      </w:r>
      <w:r>
        <w:rPr>
          <w:rFonts w:hint="default" w:ascii="Arial" w:hAnsi="Arial" w:cs="Arial"/>
          <w:b/>
          <w:bCs/>
          <w:sz w:val="28"/>
          <w:szCs w:val="28"/>
          <w:highlight w:val="none"/>
        </w:rPr>
        <w:tab/>
      </w:r>
      <w:r>
        <w:rPr>
          <w:rFonts w:hint="default" w:ascii="Arial" w:hAnsi="Arial" w:cs="Arial"/>
          <w:b/>
          <w:bCs/>
          <w:sz w:val="28"/>
          <w:szCs w:val="28"/>
          <w:highlight w:val="none"/>
        </w:rPr>
        <w:t>4</w:t>
      </w:r>
      <w:r>
        <w:rPr>
          <w:rFonts w:hint="default" w:ascii="Arial" w:hAnsi="Arial" w:cs="Arial"/>
          <w:b/>
          <w:bCs/>
          <w:sz w:val="28"/>
          <w:szCs w:val="28"/>
          <w:highlight w:val="none"/>
        </w:rPr>
        <w:fldChar w:fldCharType="end"/>
      </w:r>
      <w:r>
        <w:rPr>
          <w:rFonts w:hint="default" w:ascii="Arial" w:hAnsi="Arial" w:cs="Arial"/>
          <w:b/>
          <w:bCs/>
          <w:sz w:val="28"/>
          <w:szCs w:val="28"/>
          <w:highlight w:val="none"/>
        </w:rPr>
        <w:t>0</w:t>
      </w:r>
    </w:p>
    <w:p w14:paraId="2A854619">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"_Toc132016756"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一、估价原则</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_Toc132016756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61</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55DEF9E2">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"_Toc132016757"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二、估价方法与估价过程</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_Toc132016757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64</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662533E8">
      <w:pPr>
        <w:pStyle w:val="27"/>
        <w:tabs>
          <w:tab w:val="right" w:leader="dot" w:pos="8654"/>
        </w:tabs>
        <w:rPr>
          <w:rFonts w:hint="default" w:ascii="Arial" w:hAnsi="Arial" w:cs="Arial"/>
          <w:b/>
          <w:bCs/>
          <w:kern w:val="2"/>
          <w:sz w:val="28"/>
          <w:szCs w:val="28"/>
          <w:highlight w:val="none"/>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"_Toc132016758" </w:instrText>
      </w:r>
      <w:r>
        <w:rPr>
          <w:rFonts w:hint="default" w:ascii="Arial" w:hAnsi="Arial" w:cs="Arial"/>
          <w:b/>
          <w:bCs/>
          <w:sz w:val="28"/>
          <w:szCs w:val="28"/>
          <w:highlight w:val="none"/>
        </w:rPr>
        <w:fldChar w:fldCharType="separate"/>
      </w:r>
      <w:r>
        <w:rPr>
          <w:rStyle w:val="40"/>
          <w:rFonts w:hint="default" w:ascii="Arial" w:hAnsi="Arial" w:eastAsia="仿宋_GB2312" w:cs="Arial"/>
          <w:b/>
          <w:bCs/>
          <w:color w:val="auto"/>
          <w:sz w:val="28"/>
          <w:szCs w:val="28"/>
          <w:highlight w:val="none"/>
        </w:rPr>
        <w:t>三、求取估价对象各用途</w:t>
      </w:r>
      <w:r>
        <w:rPr>
          <w:rStyle w:val="40"/>
          <w:rFonts w:hint="default" w:ascii="Arial" w:hAnsi="Arial" w:eastAsia="仿宋_GB2312" w:cs="Arial"/>
          <w:b/>
          <w:bCs/>
          <w:color w:val="auto"/>
          <w:sz w:val="28"/>
          <w:szCs w:val="28"/>
          <w:highlight w:val="none"/>
          <w:lang w:eastAsia="zh-CN"/>
        </w:rPr>
        <w:t>楼面地价</w:t>
      </w:r>
      <w:r>
        <w:rPr>
          <w:rFonts w:hint="default" w:ascii="Arial" w:hAnsi="Arial" w:cs="Arial"/>
          <w:b/>
          <w:bCs/>
          <w:sz w:val="28"/>
          <w:szCs w:val="28"/>
          <w:highlight w:val="none"/>
        </w:rPr>
        <w:tab/>
      </w: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PAGEREF _Toc132016758 \h </w:instrText>
      </w:r>
      <w:r>
        <w:rPr>
          <w:rFonts w:hint="default" w:ascii="Arial" w:hAnsi="Arial" w:cs="Arial"/>
          <w:b/>
          <w:bCs/>
          <w:sz w:val="28"/>
          <w:szCs w:val="28"/>
          <w:highlight w:val="none"/>
        </w:rPr>
        <w:fldChar w:fldCharType="separate"/>
      </w:r>
      <w:r>
        <w:rPr>
          <w:rFonts w:hint="default" w:ascii="Arial" w:hAnsi="Arial" w:cs="Arial"/>
          <w:b/>
          <w:bCs/>
          <w:sz w:val="28"/>
          <w:szCs w:val="28"/>
          <w:highlight w:val="none"/>
        </w:rPr>
        <w:t>154</w:t>
      </w:r>
      <w:r>
        <w:rPr>
          <w:rFonts w:hint="default" w:ascii="Arial" w:hAnsi="Arial" w:cs="Arial"/>
          <w:b/>
          <w:bCs/>
          <w:sz w:val="28"/>
          <w:szCs w:val="28"/>
          <w:highlight w:val="none"/>
        </w:rPr>
        <w:fldChar w:fldCharType="end"/>
      </w:r>
      <w:r>
        <w:rPr>
          <w:rFonts w:hint="default" w:ascii="Arial" w:hAnsi="Arial" w:cs="Arial"/>
          <w:b/>
          <w:bCs/>
          <w:sz w:val="28"/>
          <w:szCs w:val="28"/>
          <w:highlight w:val="none"/>
        </w:rPr>
        <w:fldChar w:fldCharType="end"/>
      </w:r>
    </w:p>
    <w:p w14:paraId="10D133C6">
      <w:pPr>
        <w:pStyle w:val="22"/>
        <w:rPr>
          <w:rFonts w:hint="default" w:ascii="Arial" w:hAnsi="Arial" w:eastAsia="仿宋_GB2312" w:cs="Arial"/>
          <w:b/>
          <w:bCs/>
          <w:kern w:val="2"/>
          <w:sz w:val="28"/>
          <w:szCs w:val="28"/>
          <w:highlight w:val="none"/>
          <w:lang w:val="en-US" w:eastAsia="zh-CN"/>
        </w:rPr>
      </w:pPr>
      <w:r>
        <w:rPr>
          <w:rFonts w:hint="default" w:ascii="Arial" w:hAnsi="Arial" w:cs="Arial"/>
          <w:b/>
          <w:bCs/>
          <w:sz w:val="28"/>
          <w:szCs w:val="28"/>
          <w:highlight w:val="none"/>
        </w:rPr>
        <w:fldChar w:fldCharType="begin"/>
      </w:r>
      <w:r>
        <w:rPr>
          <w:rFonts w:hint="default" w:ascii="Arial" w:hAnsi="Arial" w:cs="Arial"/>
          <w:b/>
          <w:bCs/>
          <w:sz w:val="28"/>
          <w:szCs w:val="28"/>
          <w:highlight w:val="none"/>
        </w:rPr>
        <w:instrText xml:space="preserve"> HYPERLINK \l "_Toc132016762" </w:instrText>
      </w:r>
      <w:r>
        <w:rPr>
          <w:rFonts w:hint="default" w:ascii="Arial" w:hAnsi="Arial" w:cs="Arial"/>
          <w:b/>
          <w:bCs/>
          <w:sz w:val="28"/>
          <w:szCs w:val="28"/>
          <w:highlight w:val="none"/>
        </w:rPr>
        <w:fldChar w:fldCharType="separate"/>
      </w:r>
      <w:r>
        <w:rPr>
          <w:rStyle w:val="40"/>
          <w:rFonts w:hint="default" w:ascii="Arial" w:hAnsi="Arial" w:cs="Arial"/>
          <w:b/>
          <w:bCs/>
          <w:color w:val="auto"/>
          <w:sz w:val="28"/>
          <w:szCs w:val="28"/>
          <w:highlight w:val="none"/>
        </w:rPr>
        <w:t>第四部分  附  件</w:t>
      </w:r>
      <w:r>
        <w:rPr>
          <w:rFonts w:hint="default" w:ascii="Arial" w:hAnsi="Arial" w:cs="Arial"/>
          <w:b/>
          <w:bCs/>
          <w:sz w:val="28"/>
          <w:szCs w:val="28"/>
          <w:highlight w:val="none"/>
        </w:rPr>
        <w:tab/>
      </w:r>
      <w:r>
        <w:rPr>
          <w:rFonts w:hint="default" w:ascii="Arial" w:hAnsi="Arial" w:cs="Arial"/>
          <w:b/>
          <w:bCs/>
          <w:sz w:val="28"/>
          <w:szCs w:val="28"/>
          <w:highlight w:val="none"/>
        </w:rPr>
        <w:t>1</w:t>
      </w:r>
      <w:r>
        <w:rPr>
          <w:rFonts w:hint="default" w:ascii="Arial" w:hAnsi="Arial" w:cs="Arial"/>
          <w:b/>
          <w:bCs/>
          <w:sz w:val="28"/>
          <w:szCs w:val="28"/>
          <w:highlight w:val="none"/>
        </w:rPr>
        <w:fldChar w:fldCharType="end"/>
      </w:r>
      <w:r>
        <w:rPr>
          <w:rFonts w:hint="eastAsia" w:ascii="Arial" w:hAnsi="Arial" w:cs="Arial"/>
          <w:b/>
          <w:bCs/>
          <w:sz w:val="28"/>
          <w:szCs w:val="28"/>
          <w:highlight w:val="none"/>
          <w:lang w:val="en-US" w:eastAsia="zh-CN"/>
        </w:rPr>
        <w:t>61</w:t>
      </w:r>
    </w:p>
    <w:p w14:paraId="44BBDA6B">
      <w:pPr>
        <w:pStyle w:val="27"/>
        <w:tabs>
          <w:tab w:val="right" w:leader="dot" w:pos="8654"/>
        </w:tabs>
        <w:spacing w:line="300" w:lineRule="auto"/>
        <w:rPr>
          <w:rFonts w:ascii="Arial" w:hAnsi="Arial" w:eastAsia="楷体" w:cs="Arial"/>
          <w:b/>
          <w:sz w:val="32"/>
          <w:highlight w:val="none"/>
        </w:rPr>
        <w:sectPr>
          <w:headerReference r:id="rId27" w:type="first"/>
          <w:footerReference r:id="rId29" w:type="first"/>
          <w:footerReference r:id="rId28" w:type="default"/>
          <w:type w:val="nextColumn"/>
          <w:pgSz w:w="11907" w:h="16840"/>
          <w:pgMar w:top="1418" w:right="1418" w:bottom="1134" w:left="1418" w:header="794" w:footer="907" w:gutter="0"/>
          <w:pgNumType w:fmt="decimal" w:start="0"/>
          <w:cols w:space="720" w:num="1"/>
          <w:titlePg/>
          <w:docGrid w:linePitch="326" w:charSpace="0"/>
        </w:sectPr>
      </w:pPr>
      <w:r>
        <w:rPr>
          <w:rStyle w:val="40"/>
          <w:rFonts w:ascii="Arial" w:hAnsi="Arial" w:eastAsia="仿宋_GB2312" w:cs="Arial"/>
          <w:b/>
          <w:color w:val="auto"/>
          <w:szCs w:val="24"/>
          <w:highlight w:val="none"/>
        </w:rPr>
        <w:fldChar w:fldCharType="end"/>
      </w:r>
    </w:p>
    <w:p w14:paraId="75B70A24">
      <w:pPr>
        <w:spacing w:line="300" w:lineRule="auto"/>
        <w:jc w:val="center"/>
        <w:rPr>
          <w:rFonts w:ascii="Arial" w:hAnsi="Arial" w:cs="Arial"/>
          <w:sz w:val="32"/>
          <w:highlight w:val="none"/>
        </w:rPr>
      </w:pPr>
      <w:bookmarkStart w:id="223" w:name="_Toc416783638"/>
      <w:bookmarkStart w:id="224" w:name="_Toc416783542"/>
      <w:r>
        <w:rPr>
          <w:rFonts w:ascii="Arial" w:hAnsi="Arial" w:cs="Arial"/>
          <w:b/>
          <w:sz w:val="32"/>
          <w:highlight w:val="none"/>
        </w:rPr>
        <w:t>土</w:t>
      </w:r>
      <w:r>
        <w:rPr>
          <w:rFonts w:ascii="Arial" w:hAnsi="Arial" w:eastAsia="仿宋_GB2312" w:cs="Arial"/>
          <w:b/>
          <w:sz w:val="32"/>
          <w:highlight w:val="none"/>
        </w:rPr>
        <w:t xml:space="preserve"> </w:t>
      </w:r>
      <w:r>
        <w:rPr>
          <w:rFonts w:ascii="Arial" w:hAnsi="Arial" w:cs="Arial"/>
          <w:b/>
          <w:sz w:val="32"/>
          <w:highlight w:val="none"/>
        </w:rPr>
        <w:t>地</w:t>
      </w:r>
      <w:r>
        <w:rPr>
          <w:rFonts w:ascii="Arial" w:hAnsi="Arial" w:eastAsia="仿宋_GB2312" w:cs="Arial"/>
          <w:b/>
          <w:sz w:val="32"/>
          <w:highlight w:val="none"/>
        </w:rPr>
        <w:t xml:space="preserve"> </w:t>
      </w:r>
      <w:r>
        <w:rPr>
          <w:rFonts w:ascii="Arial" w:hAnsi="Arial" w:cs="Arial"/>
          <w:b/>
          <w:sz w:val="32"/>
          <w:highlight w:val="none"/>
        </w:rPr>
        <w:t>估</w:t>
      </w:r>
      <w:r>
        <w:rPr>
          <w:rFonts w:ascii="Arial" w:hAnsi="Arial" w:eastAsia="仿宋_GB2312" w:cs="Arial"/>
          <w:b/>
          <w:sz w:val="32"/>
          <w:highlight w:val="none"/>
        </w:rPr>
        <w:t xml:space="preserve"> </w:t>
      </w:r>
      <w:r>
        <w:rPr>
          <w:rFonts w:ascii="Arial" w:hAnsi="Arial" w:cs="Arial"/>
          <w:b/>
          <w:sz w:val="32"/>
          <w:highlight w:val="none"/>
        </w:rPr>
        <w:t>价</w:t>
      </w:r>
      <w:r>
        <w:rPr>
          <w:rFonts w:ascii="Arial" w:hAnsi="Arial" w:eastAsia="仿宋_GB2312" w:cs="Arial"/>
          <w:b/>
          <w:sz w:val="32"/>
          <w:highlight w:val="none"/>
        </w:rPr>
        <w:t xml:space="preserve"> </w:t>
      </w:r>
      <w:r>
        <w:rPr>
          <w:rFonts w:ascii="Arial" w:hAnsi="Arial" w:cs="Arial"/>
          <w:b/>
          <w:sz w:val="32"/>
          <w:highlight w:val="none"/>
        </w:rPr>
        <w:t>技</w:t>
      </w:r>
      <w:r>
        <w:rPr>
          <w:rFonts w:ascii="Arial" w:hAnsi="Arial" w:eastAsia="仿宋_GB2312" w:cs="Arial"/>
          <w:b/>
          <w:sz w:val="32"/>
          <w:highlight w:val="none"/>
        </w:rPr>
        <w:t xml:space="preserve"> </w:t>
      </w:r>
      <w:r>
        <w:rPr>
          <w:rFonts w:ascii="Arial" w:hAnsi="Arial" w:cs="Arial"/>
          <w:b/>
          <w:sz w:val="32"/>
          <w:highlight w:val="none"/>
        </w:rPr>
        <w:t>术</w:t>
      </w:r>
      <w:r>
        <w:rPr>
          <w:rFonts w:ascii="Arial" w:hAnsi="Arial" w:eastAsia="仿宋_GB2312" w:cs="Arial"/>
          <w:b/>
          <w:sz w:val="32"/>
          <w:highlight w:val="none"/>
        </w:rPr>
        <w:t xml:space="preserve"> </w:t>
      </w:r>
      <w:r>
        <w:rPr>
          <w:rFonts w:ascii="Arial" w:hAnsi="Arial" w:cs="Arial"/>
          <w:b/>
          <w:sz w:val="32"/>
          <w:highlight w:val="none"/>
        </w:rPr>
        <w:t>报</w:t>
      </w:r>
      <w:r>
        <w:rPr>
          <w:rFonts w:ascii="Arial" w:hAnsi="Arial" w:eastAsia="仿宋_GB2312" w:cs="Arial"/>
          <w:b/>
          <w:sz w:val="32"/>
          <w:highlight w:val="none"/>
        </w:rPr>
        <w:t xml:space="preserve"> </w:t>
      </w:r>
      <w:r>
        <w:rPr>
          <w:rFonts w:ascii="Arial" w:hAnsi="Arial" w:cs="Arial"/>
          <w:b/>
          <w:sz w:val="32"/>
          <w:highlight w:val="none"/>
        </w:rPr>
        <w:t>告</w:t>
      </w:r>
      <w:bookmarkEnd w:id="223"/>
      <w:bookmarkEnd w:id="224"/>
    </w:p>
    <w:p w14:paraId="0A0D0E07">
      <w:pPr>
        <w:spacing w:line="300" w:lineRule="auto"/>
        <w:jc w:val="center"/>
        <w:rPr>
          <w:rFonts w:ascii="Arial" w:hAnsi="Arial" w:cs="Arial"/>
          <w:sz w:val="32"/>
          <w:highlight w:val="none"/>
        </w:rPr>
      </w:pPr>
    </w:p>
    <w:p w14:paraId="31DFDB44">
      <w:pPr>
        <w:spacing w:line="300" w:lineRule="auto"/>
        <w:jc w:val="center"/>
        <w:outlineLvl w:val="0"/>
        <w:rPr>
          <w:rFonts w:ascii="Arial" w:hAnsi="Arial" w:cs="Arial"/>
          <w:sz w:val="32"/>
          <w:highlight w:val="none"/>
        </w:rPr>
      </w:pPr>
      <w:bookmarkStart w:id="225" w:name="_Toc469066149"/>
      <w:bookmarkStart w:id="226" w:name="_Toc416783639"/>
      <w:bookmarkStart w:id="227" w:name="_Toc416783543"/>
      <w:bookmarkStart w:id="228" w:name="_Toc132016622"/>
      <w:bookmarkStart w:id="229" w:name="_Toc138063010"/>
      <w:bookmarkStart w:id="230" w:name="_Toc132016739"/>
      <w:bookmarkStart w:id="231" w:name="_Toc516488179"/>
      <w:bookmarkStart w:id="232" w:name="_Toc515457801"/>
      <w:r>
        <w:rPr>
          <w:rFonts w:ascii="Arial" w:hAnsi="Arial" w:cs="Arial"/>
          <w:b/>
          <w:sz w:val="32"/>
          <w:highlight w:val="none"/>
        </w:rPr>
        <w:t>第一部分</w:t>
      </w:r>
      <w:r>
        <w:rPr>
          <w:rFonts w:ascii="Arial" w:hAnsi="Arial" w:eastAsia="仿宋_GB2312" w:cs="Arial"/>
          <w:b/>
          <w:sz w:val="32"/>
          <w:highlight w:val="none"/>
        </w:rPr>
        <w:t xml:space="preserve">  </w:t>
      </w:r>
      <w:r>
        <w:rPr>
          <w:rFonts w:ascii="Arial" w:hAnsi="Arial" w:cs="Arial"/>
          <w:b/>
          <w:sz w:val="32"/>
          <w:highlight w:val="none"/>
        </w:rPr>
        <w:t>总</w:t>
      </w:r>
      <w:r>
        <w:rPr>
          <w:rFonts w:ascii="Arial" w:hAnsi="Arial" w:eastAsia="仿宋_GB2312" w:cs="Arial"/>
          <w:b/>
          <w:sz w:val="32"/>
          <w:highlight w:val="none"/>
        </w:rPr>
        <w:t xml:space="preserve">  </w:t>
      </w:r>
      <w:r>
        <w:rPr>
          <w:rFonts w:ascii="Arial" w:hAnsi="Arial" w:cs="Arial"/>
          <w:b/>
          <w:sz w:val="32"/>
          <w:highlight w:val="none"/>
        </w:rPr>
        <w:t>述</w:t>
      </w:r>
      <w:bookmarkEnd w:id="225"/>
      <w:bookmarkEnd w:id="226"/>
      <w:bookmarkEnd w:id="227"/>
      <w:bookmarkEnd w:id="228"/>
      <w:bookmarkEnd w:id="229"/>
      <w:bookmarkEnd w:id="230"/>
      <w:bookmarkEnd w:id="231"/>
      <w:bookmarkEnd w:id="232"/>
    </w:p>
    <w:p w14:paraId="73EB866F">
      <w:pPr>
        <w:spacing w:line="300" w:lineRule="auto"/>
        <w:jc w:val="center"/>
        <w:rPr>
          <w:rFonts w:ascii="Arial" w:hAnsi="Arial" w:eastAsia="仿宋_GB2312" w:cs="Arial"/>
          <w:sz w:val="28"/>
          <w:highlight w:val="none"/>
        </w:rPr>
      </w:pPr>
    </w:p>
    <w:p w14:paraId="2D913C26">
      <w:pPr>
        <w:spacing w:line="300" w:lineRule="auto"/>
        <w:outlineLvl w:val="1"/>
        <w:rPr>
          <w:rFonts w:ascii="Arial" w:hAnsi="Arial" w:eastAsia="仿宋_GB2312" w:cs="Arial"/>
          <w:b/>
          <w:sz w:val="28"/>
          <w:highlight w:val="none"/>
        </w:rPr>
      </w:pPr>
      <w:bookmarkStart w:id="233" w:name="_Toc515457802"/>
      <w:bookmarkStart w:id="234" w:name="_Toc416783544"/>
      <w:bookmarkStart w:id="235" w:name="_Toc132016740"/>
      <w:bookmarkStart w:id="236" w:name="_Toc132016623"/>
      <w:bookmarkStart w:id="237" w:name="_Toc138063011"/>
      <w:bookmarkStart w:id="238" w:name="_Toc416783640"/>
      <w:bookmarkStart w:id="239" w:name="_Toc469066150"/>
      <w:bookmarkStart w:id="240" w:name="_Toc516488180"/>
      <w:r>
        <w:rPr>
          <w:rFonts w:ascii="Arial" w:hAnsi="Arial" w:eastAsia="仿宋_GB2312" w:cs="Arial"/>
          <w:b/>
          <w:sz w:val="28"/>
          <w:highlight w:val="none"/>
        </w:rPr>
        <w:t>一、估价项目名称</w:t>
      </w:r>
      <w:bookmarkEnd w:id="233"/>
      <w:bookmarkEnd w:id="234"/>
      <w:bookmarkEnd w:id="235"/>
      <w:bookmarkEnd w:id="236"/>
      <w:bookmarkEnd w:id="237"/>
      <w:bookmarkEnd w:id="238"/>
      <w:bookmarkEnd w:id="239"/>
      <w:bookmarkEnd w:id="240"/>
    </w:p>
    <w:p w14:paraId="37BD3FF8">
      <w:pPr>
        <w:spacing w:line="300" w:lineRule="auto"/>
        <w:ind w:firstLine="557" w:firstLineChars="199"/>
        <w:jc w:val="both"/>
        <w:rPr>
          <w:rFonts w:ascii="Arial" w:hAnsi="Arial" w:eastAsia="仿宋_GB2312" w:cs="Arial"/>
          <w:sz w:val="28"/>
          <w:highlight w:val="none"/>
        </w:rPr>
      </w:pPr>
      <w:r>
        <w:rPr>
          <w:rFonts w:hint="eastAsia" w:ascii="Arial" w:hAnsi="Arial" w:eastAsia="仿宋_GB2312" w:cs="Arial"/>
          <w:sz w:val="28"/>
          <w:highlight w:val="none"/>
        </w:rPr>
        <w:t>北京市顺义区高丽营镇夏县营村棚户区改造土地开发项目01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008、01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016、01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026</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1、01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020地块R2二类居住用地、A334托幼用地</w:t>
      </w:r>
      <w:r>
        <w:rPr>
          <w:rFonts w:ascii="Arial" w:hAnsi="Arial" w:eastAsia="仿宋_GB2312" w:cs="Arial"/>
          <w:sz w:val="28"/>
          <w:highlight w:val="none"/>
        </w:rPr>
        <w:t>国有建设用地使用权出让价格评估</w:t>
      </w:r>
    </w:p>
    <w:p w14:paraId="724BCF7A">
      <w:pPr>
        <w:spacing w:line="300" w:lineRule="auto"/>
        <w:ind w:right="-327"/>
        <w:rPr>
          <w:rFonts w:ascii="Arial" w:hAnsi="Arial" w:eastAsia="仿宋_GB2312" w:cs="Arial"/>
          <w:sz w:val="28"/>
          <w:highlight w:val="none"/>
        </w:rPr>
      </w:pPr>
    </w:p>
    <w:p w14:paraId="616378F9">
      <w:pPr>
        <w:spacing w:line="300" w:lineRule="auto"/>
        <w:outlineLvl w:val="1"/>
        <w:rPr>
          <w:rFonts w:ascii="Arial" w:hAnsi="Arial" w:eastAsia="仿宋_GB2312" w:cs="Arial"/>
          <w:b/>
          <w:sz w:val="28"/>
          <w:highlight w:val="none"/>
        </w:rPr>
      </w:pPr>
      <w:bookmarkStart w:id="241" w:name="_Toc416783546"/>
      <w:bookmarkStart w:id="242" w:name="_Toc138063012"/>
      <w:bookmarkStart w:id="243" w:name="_Toc132016741"/>
      <w:bookmarkStart w:id="244" w:name="_Toc469066151"/>
      <w:bookmarkStart w:id="245" w:name="_Toc132016624"/>
      <w:bookmarkStart w:id="246" w:name="_Toc515457803"/>
      <w:bookmarkStart w:id="247" w:name="_Toc516488181"/>
      <w:bookmarkStart w:id="248" w:name="_Toc416783642"/>
      <w:r>
        <w:rPr>
          <w:rFonts w:ascii="Arial" w:hAnsi="Arial" w:eastAsia="仿宋_GB2312" w:cs="Arial"/>
          <w:b/>
          <w:sz w:val="28"/>
          <w:highlight w:val="none"/>
        </w:rPr>
        <w:t>二、委托估价方</w:t>
      </w:r>
      <w:bookmarkEnd w:id="241"/>
      <w:bookmarkEnd w:id="242"/>
      <w:bookmarkEnd w:id="243"/>
      <w:bookmarkEnd w:id="244"/>
      <w:bookmarkEnd w:id="245"/>
      <w:bookmarkEnd w:id="246"/>
      <w:bookmarkEnd w:id="247"/>
      <w:bookmarkEnd w:id="248"/>
    </w:p>
    <w:p w14:paraId="60FAD07B">
      <w:pPr>
        <w:spacing w:line="300" w:lineRule="auto"/>
        <w:ind w:firstLine="560" w:firstLineChars="200"/>
        <w:jc w:val="both"/>
        <w:rPr>
          <w:rFonts w:hint="eastAsia" w:ascii="Arial" w:hAnsi="Arial" w:eastAsia="仿宋" w:cs="Arial"/>
          <w:bCs/>
          <w:sz w:val="28"/>
          <w:szCs w:val="28"/>
          <w:highlight w:val="none"/>
          <w:lang w:eastAsia="zh-CN"/>
        </w:rPr>
      </w:pPr>
      <w:r>
        <w:rPr>
          <w:rFonts w:hint="eastAsia" w:ascii="Arial" w:hAnsi="Arial" w:eastAsia="仿宋" w:cs="Arial"/>
          <w:bCs/>
          <w:sz w:val="28"/>
          <w:szCs w:val="28"/>
          <w:highlight w:val="none"/>
        </w:rPr>
        <w:t>单位名称</w:t>
      </w:r>
      <w:r>
        <w:rPr>
          <w:rFonts w:hint="eastAsia" w:ascii="Arial" w:hAnsi="Arial" w:eastAsia="仿宋" w:cs="Arial"/>
          <w:bCs/>
          <w:sz w:val="28"/>
          <w:szCs w:val="28"/>
          <w:highlight w:val="none"/>
          <w:lang w:eastAsia="zh-CN"/>
        </w:rPr>
        <w:t>：北京市规划和自然资源委员会</w:t>
      </w:r>
    </w:p>
    <w:p w14:paraId="77A9C35C">
      <w:pPr>
        <w:spacing w:line="300" w:lineRule="auto"/>
        <w:ind w:firstLine="560" w:firstLineChars="200"/>
        <w:jc w:val="both"/>
        <w:rPr>
          <w:rFonts w:hint="eastAsia" w:ascii="Arial" w:hAnsi="Arial" w:eastAsia="仿宋" w:cs="Arial"/>
          <w:bCs/>
          <w:sz w:val="28"/>
          <w:szCs w:val="28"/>
          <w:highlight w:val="none"/>
        </w:rPr>
      </w:pPr>
      <w:r>
        <w:rPr>
          <w:rFonts w:hint="eastAsia" w:ascii="Arial" w:hAnsi="Arial" w:eastAsia="仿宋" w:cs="Arial"/>
          <w:bCs/>
          <w:sz w:val="28"/>
          <w:szCs w:val="28"/>
          <w:highlight w:val="none"/>
        </w:rPr>
        <w:t>地址</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北京市通州区承安街1号院</w:t>
      </w:r>
    </w:p>
    <w:p w14:paraId="473F2D50">
      <w:pPr>
        <w:spacing w:line="300" w:lineRule="auto"/>
        <w:ind w:firstLine="560" w:firstLineChars="200"/>
        <w:jc w:val="both"/>
        <w:rPr>
          <w:rFonts w:hint="default" w:ascii="Arial" w:hAnsi="Arial" w:eastAsia="仿宋" w:cs="Arial"/>
          <w:bCs/>
          <w:sz w:val="28"/>
          <w:szCs w:val="28"/>
          <w:highlight w:val="none"/>
          <w:lang w:val="en-US" w:eastAsia="zh-CN"/>
        </w:rPr>
      </w:pPr>
      <w:r>
        <w:rPr>
          <w:rFonts w:hint="eastAsia" w:ascii="Arial" w:hAnsi="Arial" w:eastAsia="仿宋" w:cs="Arial"/>
          <w:bCs/>
          <w:sz w:val="28"/>
          <w:szCs w:val="28"/>
          <w:highlight w:val="none"/>
        </w:rPr>
        <w:t>联系人</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lang w:val="en-US" w:eastAsia="zh-CN"/>
        </w:rPr>
        <w:t>李德润</w:t>
      </w:r>
    </w:p>
    <w:p w14:paraId="4024D9D3">
      <w:pPr>
        <w:spacing w:line="300" w:lineRule="auto"/>
        <w:ind w:firstLine="560" w:firstLineChars="200"/>
        <w:jc w:val="both"/>
        <w:rPr>
          <w:rFonts w:ascii="Arial" w:hAnsi="Arial" w:eastAsia="仿宋_GB2312" w:cs="Arial"/>
          <w:bCs/>
          <w:sz w:val="28"/>
          <w:highlight w:val="none"/>
        </w:rPr>
      </w:pPr>
      <w:r>
        <w:rPr>
          <w:rFonts w:hint="eastAsia" w:ascii="Arial" w:hAnsi="Arial" w:eastAsia="仿宋" w:cs="Arial"/>
          <w:bCs/>
          <w:sz w:val="28"/>
          <w:szCs w:val="28"/>
          <w:highlight w:val="none"/>
        </w:rPr>
        <w:t>联系电话</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010</w:t>
      </w:r>
      <w:r>
        <w:rPr>
          <w:rFonts w:hint="eastAsia" w:ascii="Arial" w:hAnsi="Arial" w:eastAsia="仿宋" w:cs="Arial"/>
          <w:bCs/>
          <w:sz w:val="28"/>
          <w:szCs w:val="28"/>
          <w:highlight w:val="none"/>
          <w:lang w:eastAsia="zh-CN"/>
        </w:rPr>
        <w:t>－</w:t>
      </w:r>
      <w:r>
        <w:rPr>
          <w:rFonts w:hint="eastAsia" w:ascii="Arial" w:hAnsi="Arial" w:eastAsia="仿宋" w:cs="Arial"/>
          <w:bCs/>
          <w:sz w:val="28"/>
          <w:szCs w:val="28"/>
          <w:highlight w:val="none"/>
        </w:rPr>
        <w:t>55595171</w:t>
      </w:r>
      <w:r>
        <w:rPr>
          <w:rFonts w:ascii="Arial" w:hAnsi="Arial" w:eastAsia="仿宋_GB2312" w:cs="Arial"/>
          <w:bCs/>
          <w:sz w:val="28"/>
          <w:highlight w:val="none"/>
        </w:rPr>
        <w:t xml:space="preserve"> </w:t>
      </w:r>
    </w:p>
    <w:p w14:paraId="60C546AC">
      <w:pPr>
        <w:spacing w:line="300" w:lineRule="auto"/>
        <w:rPr>
          <w:rFonts w:ascii="Arial" w:hAnsi="Arial" w:eastAsia="仿宋_GB2312" w:cs="Arial"/>
          <w:b/>
          <w:sz w:val="28"/>
          <w:highlight w:val="none"/>
        </w:rPr>
      </w:pPr>
    </w:p>
    <w:p w14:paraId="0B351838">
      <w:pPr>
        <w:spacing w:line="300" w:lineRule="auto"/>
        <w:outlineLvl w:val="1"/>
        <w:rPr>
          <w:rFonts w:ascii="Arial" w:hAnsi="Arial" w:eastAsia="仿宋_GB2312" w:cs="Arial"/>
          <w:b/>
          <w:sz w:val="28"/>
          <w:highlight w:val="none"/>
        </w:rPr>
      </w:pPr>
      <w:bookmarkStart w:id="249" w:name="_Toc416783547"/>
      <w:bookmarkStart w:id="250" w:name="_Toc516488182"/>
      <w:bookmarkStart w:id="251" w:name="_Toc416783643"/>
      <w:bookmarkStart w:id="252" w:name="_Toc515457804"/>
      <w:bookmarkStart w:id="253" w:name="_Toc132016625"/>
      <w:bookmarkStart w:id="254" w:name="_Toc132016742"/>
      <w:bookmarkStart w:id="255" w:name="_Toc138063013"/>
      <w:bookmarkStart w:id="256" w:name="_Toc469066152"/>
      <w:r>
        <w:rPr>
          <w:rFonts w:ascii="Arial" w:hAnsi="Arial" w:eastAsia="仿宋_GB2312" w:cs="Arial"/>
          <w:b/>
          <w:sz w:val="28"/>
          <w:highlight w:val="none"/>
        </w:rPr>
        <w:t>三、受托估价方</w:t>
      </w:r>
      <w:bookmarkEnd w:id="249"/>
      <w:bookmarkEnd w:id="250"/>
      <w:bookmarkEnd w:id="251"/>
      <w:bookmarkEnd w:id="252"/>
      <w:bookmarkEnd w:id="253"/>
      <w:bookmarkEnd w:id="254"/>
      <w:bookmarkEnd w:id="255"/>
      <w:bookmarkEnd w:id="256"/>
    </w:p>
    <w:p w14:paraId="0EEEC6C2">
      <w:pPr>
        <w:spacing w:line="300" w:lineRule="auto"/>
        <w:ind w:firstLine="570"/>
        <w:jc w:val="both"/>
        <w:rPr>
          <w:rFonts w:ascii="Arial" w:hAnsi="Arial" w:eastAsia="仿宋_GB2312" w:cs="Arial"/>
          <w:sz w:val="28"/>
          <w:highlight w:val="none"/>
        </w:rPr>
      </w:pPr>
      <w:bookmarkStart w:id="257" w:name="_Toc416783548"/>
      <w:bookmarkStart w:id="258" w:name="_Toc416783644"/>
      <w:r>
        <w:rPr>
          <w:rFonts w:ascii="Arial" w:hAnsi="Arial" w:eastAsia="仿宋_GB2312" w:cs="Arial"/>
          <w:sz w:val="28"/>
          <w:highlight w:val="none"/>
        </w:rPr>
        <w:t>受托机构：北京康正宏基房地产评估有限公司</w:t>
      </w:r>
      <w:bookmarkEnd w:id="257"/>
      <w:bookmarkEnd w:id="258"/>
    </w:p>
    <w:p w14:paraId="794BAC9B">
      <w:pPr>
        <w:spacing w:line="300" w:lineRule="auto"/>
        <w:ind w:left="1960" w:hanging="1960" w:hangingChars="700"/>
        <w:rPr>
          <w:rFonts w:ascii="Arial" w:hAnsi="Arial" w:eastAsia="仿宋_GB2312" w:cs="Arial"/>
          <w:sz w:val="28"/>
          <w:highlight w:val="none"/>
        </w:rPr>
      </w:pPr>
      <w:r>
        <w:rPr>
          <w:rFonts w:ascii="Arial" w:hAnsi="Arial" w:eastAsia="仿宋_GB2312" w:cs="Arial"/>
          <w:sz w:val="28"/>
          <w:highlight w:val="none"/>
        </w:rPr>
        <w:t xml:space="preserve">    地    址：北京市朝阳区裕民路12号中国国际科技会展中心B 座10层1003室</w:t>
      </w:r>
    </w:p>
    <w:p w14:paraId="6729B5FC">
      <w:pPr>
        <w:spacing w:line="300" w:lineRule="auto"/>
        <w:ind w:firstLine="540"/>
        <w:rPr>
          <w:rFonts w:ascii="Arial" w:hAnsi="Arial" w:eastAsia="仿宋_GB2312" w:cs="Arial"/>
          <w:sz w:val="28"/>
          <w:highlight w:val="none"/>
        </w:rPr>
      </w:pPr>
      <w:r>
        <w:rPr>
          <w:rFonts w:ascii="Arial" w:hAnsi="Arial" w:eastAsia="仿宋_GB2312" w:cs="Arial"/>
          <w:sz w:val="28"/>
          <w:highlight w:val="none"/>
        </w:rPr>
        <w:t>资质级别：在全国范围内从事土地估价业务</w:t>
      </w:r>
    </w:p>
    <w:p w14:paraId="4637722B">
      <w:pPr>
        <w:spacing w:line="300" w:lineRule="auto"/>
        <w:ind w:firstLine="540"/>
        <w:rPr>
          <w:rFonts w:ascii="Arial" w:hAnsi="Arial" w:eastAsia="仿宋_GB2312" w:cs="Arial"/>
          <w:sz w:val="28"/>
          <w:highlight w:val="none"/>
        </w:rPr>
      </w:pPr>
      <w:r>
        <w:rPr>
          <w:rFonts w:hint="eastAsia" w:ascii="Arial" w:hAnsi="Arial" w:eastAsia="仿宋_GB2312" w:cs="Arial"/>
          <w:sz w:val="28"/>
          <w:highlight w:val="none"/>
        </w:rPr>
        <w:t>土地估价机构备案函获得时间：2021年4月30日</w:t>
      </w:r>
    </w:p>
    <w:p w14:paraId="5823AB7E">
      <w:pPr>
        <w:spacing w:line="300" w:lineRule="auto"/>
        <w:rPr>
          <w:rFonts w:ascii="Arial" w:hAnsi="Arial" w:eastAsia="仿宋_GB2312" w:cs="Arial"/>
          <w:sz w:val="28"/>
          <w:highlight w:val="none"/>
        </w:rPr>
      </w:pPr>
      <w:r>
        <w:rPr>
          <w:rFonts w:ascii="Arial" w:hAnsi="Arial" w:eastAsia="仿宋_GB2312" w:cs="Arial"/>
          <w:sz w:val="28"/>
          <w:highlight w:val="none"/>
        </w:rPr>
        <w:t xml:space="preserve">    资质证书号：A201111009</w:t>
      </w:r>
    </w:p>
    <w:p w14:paraId="6B76F2BD">
      <w:pPr>
        <w:spacing w:line="300" w:lineRule="auto"/>
        <w:rPr>
          <w:rFonts w:ascii="Arial" w:hAnsi="Arial" w:eastAsia="仿宋_GB2312" w:cs="Arial"/>
          <w:sz w:val="28"/>
          <w:highlight w:val="none"/>
        </w:rPr>
      </w:pPr>
      <w:r>
        <w:rPr>
          <w:rFonts w:ascii="Arial" w:hAnsi="Arial" w:eastAsia="仿宋_GB2312" w:cs="Arial"/>
          <w:sz w:val="28"/>
          <w:highlight w:val="none"/>
        </w:rPr>
        <w:t xml:space="preserve">    法人代表：齐  宏</w:t>
      </w:r>
    </w:p>
    <w:p w14:paraId="4D4B2110">
      <w:pPr>
        <w:spacing w:line="300" w:lineRule="auto"/>
        <w:rPr>
          <w:rFonts w:ascii="Arial" w:hAnsi="Arial" w:eastAsia="仿宋_GB2312" w:cs="Arial"/>
          <w:sz w:val="28"/>
          <w:highlight w:val="none"/>
        </w:rPr>
      </w:pPr>
      <w:r>
        <w:rPr>
          <w:rFonts w:ascii="Arial" w:hAnsi="Arial" w:eastAsia="仿宋_GB2312" w:cs="Arial"/>
          <w:sz w:val="28"/>
          <w:highlight w:val="none"/>
        </w:rPr>
        <w:t xml:space="preserve">    </w:t>
      </w:r>
      <w:r>
        <w:rPr>
          <w:rFonts w:ascii="Arial" w:hAnsi="Arial" w:eastAsia="仿宋_GB2312" w:cs="Arial"/>
          <w:spacing w:val="38"/>
          <w:sz w:val="28"/>
          <w:highlight w:val="none"/>
        </w:rPr>
        <w:t>联系人：</w:t>
      </w:r>
      <w:r>
        <w:rPr>
          <w:rFonts w:hint="eastAsia" w:ascii="Arial" w:hAnsi="Arial" w:eastAsia="仿宋_GB2312" w:cs="Arial"/>
          <w:sz w:val="28"/>
          <w:highlight w:val="none"/>
        </w:rPr>
        <w:t>叶  凌</w:t>
      </w:r>
    </w:p>
    <w:p w14:paraId="56404BF0">
      <w:pPr>
        <w:spacing w:line="300" w:lineRule="auto"/>
        <w:ind w:firstLine="600"/>
        <w:jc w:val="both"/>
        <w:rPr>
          <w:rFonts w:ascii="Arial" w:hAnsi="Arial" w:eastAsia="仿宋_GB2312" w:cs="Arial"/>
          <w:sz w:val="28"/>
          <w:highlight w:val="none"/>
        </w:rPr>
      </w:pPr>
      <w:r>
        <w:rPr>
          <w:rFonts w:ascii="Arial" w:hAnsi="Arial" w:eastAsia="仿宋_GB2312" w:cs="Arial"/>
          <w:sz w:val="28"/>
          <w:highlight w:val="none"/>
        </w:rPr>
        <w:t>联系电话：010</w:t>
      </w:r>
      <w:r>
        <w:rPr>
          <w:rFonts w:hint="eastAsia" w:ascii="Arial" w:hAnsi="Arial" w:eastAsia="仿宋_GB2312" w:cs="Arial"/>
          <w:sz w:val="28"/>
          <w:highlight w:val="none"/>
          <w:lang w:eastAsia="zh-CN"/>
        </w:rPr>
        <w:t>－</w:t>
      </w:r>
      <w:r>
        <w:rPr>
          <w:rFonts w:ascii="Arial" w:hAnsi="Arial" w:eastAsia="仿宋_GB2312" w:cs="Arial"/>
          <w:sz w:val="28"/>
          <w:highlight w:val="none"/>
        </w:rPr>
        <w:t>82253558、</w:t>
      </w:r>
      <w:r>
        <w:rPr>
          <w:rFonts w:ascii="Arial" w:hAnsi="Arial" w:eastAsia="仿宋" w:cs="Arial"/>
          <w:sz w:val="28"/>
          <w:szCs w:val="28"/>
          <w:highlight w:val="none"/>
        </w:rPr>
        <w:t>13801277006</w:t>
      </w:r>
    </w:p>
    <w:p w14:paraId="7BAE09F4">
      <w:pPr>
        <w:spacing w:line="300" w:lineRule="auto"/>
        <w:ind w:firstLine="600"/>
        <w:jc w:val="both"/>
        <w:rPr>
          <w:rFonts w:ascii="Arial" w:hAnsi="Arial" w:eastAsia="仿宋_GB2312" w:cs="Arial"/>
          <w:sz w:val="28"/>
          <w:highlight w:val="none"/>
        </w:rPr>
      </w:pPr>
    </w:p>
    <w:p w14:paraId="5EC0D8B0">
      <w:pPr>
        <w:spacing w:line="300" w:lineRule="auto"/>
        <w:outlineLvl w:val="1"/>
        <w:rPr>
          <w:rFonts w:ascii="Arial" w:hAnsi="Arial" w:eastAsia="仿宋_GB2312" w:cs="Arial"/>
          <w:b/>
          <w:sz w:val="28"/>
          <w:highlight w:val="none"/>
        </w:rPr>
      </w:pPr>
      <w:bookmarkStart w:id="259" w:name="_Toc516488183"/>
      <w:bookmarkStart w:id="260" w:name="_Toc469066153"/>
      <w:bookmarkStart w:id="261" w:name="_Toc132016743"/>
      <w:bookmarkStart w:id="262" w:name="_Toc132016626"/>
      <w:bookmarkStart w:id="263" w:name="_Toc416783645"/>
      <w:bookmarkStart w:id="264" w:name="_Toc515457805"/>
      <w:bookmarkStart w:id="265" w:name="_Toc416783549"/>
      <w:bookmarkStart w:id="266" w:name="_Toc138063014"/>
      <w:r>
        <w:rPr>
          <w:rFonts w:ascii="Arial" w:hAnsi="Arial" w:eastAsia="仿宋_GB2312" w:cs="Arial"/>
          <w:b/>
          <w:sz w:val="28"/>
          <w:highlight w:val="none"/>
        </w:rPr>
        <w:t>四、估价目的</w:t>
      </w:r>
      <w:bookmarkEnd w:id="259"/>
      <w:bookmarkEnd w:id="260"/>
      <w:bookmarkEnd w:id="261"/>
      <w:bookmarkEnd w:id="262"/>
      <w:bookmarkEnd w:id="263"/>
      <w:bookmarkEnd w:id="264"/>
      <w:bookmarkEnd w:id="265"/>
      <w:bookmarkEnd w:id="266"/>
    </w:p>
    <w:p w14:paraId="012D5F6A">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w:t>
      </w:r>
      <w:r>
        <w:rPr>
          <w:rFonts w:hint="eastAsia" w:ascii="Arial" w:hAnsi="Arial" w:eastAsia="仿宋_GB2312" w:cs="Arial"/>
          <w:sz w:val="28"/>
          <w:highlight w:val="none"/>
        </w:rPr>
        <w:t>北京市顺义区高丽营镇夏县营村棚户区改造土地开发项目01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008、01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016、01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026</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1、01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020地块R2二类居住用地、A334托幼用地</w:t>
      </w:r>
      <w:r>
        <w:rPr>
          <w:rFonts w:ascii="Arial" w:hAnsi="Arial" w:eastAsia="仿宋" w:cs="Arial"/>
          <w:sz w:val="28"/>
          <w:szCs w:val="28"/>
          <w:highlight w:val="none"/>
        </w:rPr>
        <w:t>位于</w:t>
      </w:r>
      <w:r>
        <w:rPr>
          <w:rFonts w:ascii="Arial" w:hAnsi="Arial" w:eastAsia="仿宋" w:cs="Arial"/>
          <w:sz w:val="28"/>
          <w:highlight w:val="none"/>
        </w:rPr>
        <w:t>顺义</w:t>
      </w:r>
      <w:r>
        <w:rPr>
          <w:rFonts w:ascii="Arial" w:hAnsi="Arial" w:eastAsia="仿宋" w:cs="Arial"/>
          <w:sz w:val="28"/>
          <w:szCs w:val="28"/>
          <w:highlight w:val="none"/>
        </w:rPr>
        <w:t>区</w:t>
      </w:r>
      <w:r>
        <w:rPr>
          <w:rFonts w:ascii="Arial" w:hAnsi="Arial" w:eastAsia="仿宋" w:cs="Arial"/>
          <w:sz w:val="28"/>
          <w:highlight w:val="none"/>
        </w:rPr>
        <w:t>高丽营</w:t>
      </w:r>
      <w:r>
        <w:rPr>
          <w:rFonts w:ascii="Arial" w:hAnsi="Arial" w:eastAsia="仿宋" w:cs="Arial"/>
          <w:sz w:val="28"/>
          <w:szCs w:val="28"/>
          <w:highlight w:val="none"/>
        </w:rPr>
        <w:t>镇夏县营村，</w:t>
      </w:r>
      <w:r>
        <w:rPr>
          <w:rFonts w:hint="eastAsia" w:ascii="Arial" w:hAnsi="Arial" w:eastAsia="仿宋" w:cs="Arial"/>
          <w:sz w:val="28"/>
          <w:szCs w:val="28"/>
          <w:highlight w:val="none"/>
          <w:lang w:eastAsia="zh-CN"/>
        </w:rPr>
        <w:t>东至火寺路，西至喜行路，南至丽喜花园，北至鑫鼎街</w:t>
      </w:r>
      <w:r>
        <w:rPr>
          <w:rFonts w:ascii="Arial" w:hAnsi="Arial" w:eastAsia="仿宋" w:cs="Arial"/>
          <w:sz w:val="28"/>
          <w:szCs w:val="28"/>
          <w:highlight w:val="none"/>
        </w:rPr>
        <w:t>。该宗地已取得</w:t>
      </w:r>
      <w:r>
        <w:rPr>
          <w:rFonts w:ascii="Arial" w:hAnsi="Arial" w:eastAsia="仿宋" w:cs="Arial"/>
          <w:sz w:val="28"/>
          <w:highlight w:val="none"/>
        </w:rPr>
        <w:t>《北京市人民政府关于顺义区二〇二〇年度批次建设用地的批复》（京政地字【2020】121号）</w:t>
      </w:r>
      <w:r>
        <w:rPr>
          <w:rFonts w:ascii="Arial" w:hAnsi="Arial" w:eastAsia="仿宋" w:cs="Arial"/>
          <w:sz w:val="28"/>
          <w:szCs w:val="28"/>
          <w:highlight w:val="none"/>
        </w:rPr>
        <w:t>，同意</w:t>
      </w:r>
      <w:r>
        <w:rPr>
          <w:rFonts w:ascii="Arial" w:hAnsi="Arial" w:eastAsia="仿宋" w:cs="Arial"/>
          <w:sz w:val="28"/>
          <w:highlight w:val="none"/>
        </w:rPr>
        <w:t>北京中交城市开发有限公司</w:t>
      </w:r>
      <w:r>
        <w:rPr>
          <w:rFonts w:ascii="Arial" w:hAnsi="Arial" w:eastAsia="仿宋" w:cs="Arial"/>
          <w:sz w:val="28"/>
          <w:szCs w:val="28"/>
          <w:highlight w:val="none"/>
        </w:rPr>
        <w:t>实施</w:t>
      </w:r>
      <w:r>
        <w:rPr>
          <w:rFonts w:ascii="Arial" w:hAnsi="Arial" w:eastAsia="仿宋" w:cs="Arial"/>
          <w:sz w:val="28"/>
          <w:highlight w:val="none"/>
        </w:rPr>
        <w:t>顺义</w:t>
      </w:r>
      <w:r>
        <w:rPr>
          <w:rFonts w:ascii="Arial" w:hAnsi="Arial" w:eastAsia="仿宋" w:cs="Arial"/>
          <w:sz w:val="28"/>
          <w:szCs w:val="28"/>
          <w:highlight w:val="none"/>
        </w:rPr>
        <w:t>区高丽营镇夏县营村棚户区</w:t>
      </w:r>
      <w:r>
        <w:rPr>
          <w:rFonts w:ascii="Arial" w:hAnsi="Arial" w:eastAsia="仿宋" w:cs="Arial"/>
          <w:sz w:val="28"/>
          <w:highlight w:val="none"/>
        </w:rPr>
        <w:t>改造土地开发项目</w:t>
      </w:r>
      <w:r>
        <w:rPr>
          <w:rFonts w:ascii="Arial" w:hAnsi="Arial" w:eastAsia="仿宋" w:cs="Arial"/>
          <w:sz w:val="28"/>
          <w:szCs w:val="28"/>
          <w:highlight w:val="none"/>
        </w:rPr>
        <w:t>，其中经营性建设用地入市公开交易。根据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,估价对象规划建设用地性质为</w:t>
      </w:r>
      <w:r>
        <w:rPr>
          <w:rFonts w:ascii="Arial" w:hAnsi="Arial" w:eastAsia="仿宋" w:cs="Arial"/>
          <w:sz w:val="28"/>
          <w:highlight w:val="none"/>
        </w:rPr>
        <w:t>R2二类居住用地及A334托幼</w:t>
      </w:r>
      <w:r>
        <w:rPr>
          <w:rFonts w:ascii="Arial" w:hAnsi="Arial" w:eastAsia="仿宋" w:cs="Arial"/>
          <w:sz w:val="28"/>
          <w:szCs w:val="28"/>
          <w:highlight w:val="none"/>
        </w:rPr>
        <w:t>用地，</w:t>
      </w:r>
      <w:r>
        <w:rPr>
          <w:rFonts w:hint="eastAsia" w:ascii="Arial" w:hAnsi="Arial" w:eastAsia="仿宋" w:cs="Arial"/>
          <w:bCs/>
          <w:sz w:val="28"/>
          <w:szCs w:val="28"/>
          <w:highlight w:val="none"/>
          <w:lang w:eastAsia="zh-CN"/>
        </w:rPr>
        <w:t>北京市规划和自然资源委员会</w:t>
      </w:r>
      <w:r>
        <w:rPr>
          <w:rFonts w:ascii="Arial" w:hAnsi="Arial" w:eastAsia="仿宋" w:cs="Arial"/>
          <w:sz w:val="28"/>
          <w:szCs w:val="28"/>
          <w:highlight w:val="none"/>
        </w:rPr>
        <w:t>拟按照规划用途对估价对象实施挂牌供应。</w:t>
      </w:r>
    </w:p>
    <w:p w14:paraId="5C083504">
      <w:pPr>
        <w:snapToGrid w:val="0"/>
        <w:spacing w:line="300" w:lineRule="auto"/>
        <w:ind w:firstLine="556"/>
        <w:jc w:val="both"/>
        <w:rPr>
          <w:rFonts w:ascii="Arial" w:hAnsi="Arial" w:eastAsia="仿宋_GB2312" w:cs="Arial"/>
          <w:sz w:val="28"/>
          <w:highlight w:val="none"/>
        </w:rPr>
      </w:pPr>
      <w:r>
        <w:rPr>
          <w:rFonts w:ascii="Arial" w:hAnsi="Arial" w:eastAsia="仿宋" w:cs="Arial"/>
          <w:sz w:val="28"/>
          <w:highlight w:val="none"/>
        </w:rPr>
        <w:t>根据《招标拍卖挂牌出让国有建设用地使用权规定》（国土资源部令第39号）及《国土资源部办公厅关于发布&lt;国有建设用地使用权出让地价评估技术规范&gt;的通知》（国土资厅发（2018）4号）的有关规定，受</w:t>
      </w:r>
      <w:r>
        <w:rPr>
          <w:rFonts w:hint="eastAsia" w:ascii="Arial" w:hAnsi="Arial" w:eastAsia="仿宋" w:cs="Arial"/>
          <w:bCs/>
          <w:sz w:val="28"/>
          <w:szCs w:val="28"/>
          <w:highlight w:val="none"/>
          <w:lang w:eastAsia="zh-CN"/>
        </w:rPr>
        <w:t>北京市规划和自然资源委员会</w:t>
      </w:r>
      <w:r>
        <w:rPr>
          <w:rFonts w:ascii="Arial" w:hAnsi="Arial" w:eastAsia="仿宋" w:cs="Arial"/>
          <w:sz w:val="28"/>
          <w:highlight w:val="none"/>
        </w:rPr>
        <w:t>委托评估该</w:t>
      </w:r>
      <w:r>
        <w:rPr>
          <w:rFonts w:hint="eastAsia" w:ascii="Arial" w:hAnsi="Arial" w:eastAsia="仿宋" w:cs="Arial"/>
          <w:sz w:val="28"/>
          <w:highlight w:val="none"/>
          <w:lang w:val="en-US" w:eastAsia="zh-CN"/>
        </w:rPr>
        <w:t>项目</w:t>
      </w:r>
      <w:r>
        <w:rPr>
          <w:rFonts w:ascii="Arial" w:hAnsi="Arial" w:eastAsia="仿宋" w:cs="Arial"/>
          <w:sz w:val="28"/>
          <w:highlight w:val="none"/>
        </w:rPr>
        <w:t>（北京市顺义区高丽营镇夏县营村棚户区改造土地开发项目01</w:t>
      </w:r>
      <w:r>
        <w:rPr>
          <w:rFonts w:hint="eastAsia" w:ascii="Arial" w:hAnsi="Arial" w:eastAsia="仿宋" w:cs="Arial"/>
          <w:sz w:val="28"/>
          <w:highlight w:val="none"/>
          <w:lang w:eastAsia="zh-CN"/>
        </w:rPr>
        <w:t>－</w:t>
      </w:r>
      <w:r>
        <w:rPr>
          <w:rFonts w:ascii="Arial" w:hAnsi="Arial" w:eastAsia="仿宋" w:cs="Arial"/>
          <w:sz w:val="28"/>
          <w:highlight w:val="none"/>
        </w:rPr>
        <w:t>008、01</w:t>
      </w:r>
      <w:r>
        <w:rPr>
          <w:rFonts w:hint="eastAsia" w:ascii="Arial" w:hAnsi="Arial" w:eastAsia="仿宋" w:cs="Arial"/>
          <w:sz w:val="28"/>
          <w:highlight w:val="none"/>
          <w:lang w:eastAsia="zh-CN"/>
        </w:rPr>
        <w:t>－</w:t>
      </w:r>
      <w:r>
        <w:rPr>
          <w:rFonts w:ascii="Arial" w:hAnsi="Arial" w:eastAsia="仿宋" w:cs="Arial"/>
          <w:sz w:val="28"/>
          <w:highlight w:val="none"/>
        </w:rPr>
        <w:t>016、01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1、01</w:t>
      </w:r>
      <w:r>
        <w:rPr>
          <w:rFonts w:hint="eastAsia" w:ascii="Arial" w:hAnsi="Arial" w:eastAsia="仿宋" w:cs="Arial"/>
          <w:sz w:val="28"/>
          <w:highlight w:val="none"/>
          <w:lang w:eastAsia="zh-CN"/>
        </w:rPr>
        <w:t>－</w:t>
      </w:r>
      <w:r>
        <w:rPr>
          <w:rFonts w:ascii="Arial" w:hAnsi="Arial" w:eastAsia="仿宋" w:cs="Arial"/>
          <w:sz w:val="28"/>
          <w:highlight w:val="none"/>
        </w:rPr>
        <w:t>020地块R2二类居住用地、A334托幼用地）国有建设用地使用权价格，为出让方通过集体决策确定</w:t>
      </w:r>
      <w:r>
        <w:rPr>
          <w:rFonts w:ascii="Arial" w:hAnsi="Arial" w:eastAsia="仿宋_GB2312" w:cs="Arial"/>
          <w:sz w:val="28"/>
          <w:highlight w:val="none"/>
        </w:rPr>
        <w:t>土地出让底价提供参考依据。</w:t>
      </w:r>
    </w:p>
    <w:p w14:paraId="23A47A6B">
      <w:pPr>
        <w:spacing w:line="300" w:lineRule="auto"/>
        <w:jc w:val="both"/>
        <w:rPr>
          <w:rFonts w:ascii="Arial" w:hAnsi="Arial" w:eastAsia="仿宋_GB2312" w:cs="Arial"/>
          <w:sz w:val="28"/>
          <w:highlight w:val="none"/>
        </w:rPr>
      </w:pPr>
    </w:p>
    <w:p w14:paraId="77F91443">
      <w:pPr>
        <w:spacing w:line="300" w:lineRule="auto"/>
        <w:outlineLvl w:val="1"/>
        <w:rPr>
          <w:rFonts w:ascii="Arial" w:hAnsi="Arial" w:eastAsia="仿宋_GB2312" w:cs="Arial"/>
          <w:b/>
          <w:sz w:val="28"/>
          <w:highlight w:val="none"/>
        </w:rPr>
      </w:pPr>
      <w:bookmarkStart w:id="267" w:name="_Toc138063015"/>
      <w:bookmarkStart w:id="268" w:name="_Toc515457806"/>
      <w:bookmarkStart w:id="269" w:name="_Toc469066154"/>
      <w:bookmarkStart w:id="270" w:name="_Toc132016627"/>
      <w:bookmarkStart w:id="271" w:name="_Toc132016744"/>
      <w:bookmarkStart w:id="272" w:name="_Toc516488184"/>
      <w:bookmarkStart w:id="273" w:name="_Toc416783649"/>
      <w:bookmarkStart w:id="274" w:name="_Toc416783553"/>
      <w:r>
        <w:rPr>
          <w:rFonts w:ascii="Arial" w:hAnsi="Arial" w:eastAsia="仿宋_GB2312" w:cs="Arial"/>
          <w:b/>
          <w:sz w:val="28"/>
          <w:highlight w:val="none"/>
        </w:rPr>
        <w:t>五、估价依据</w:t>
      </w:r>
      <w:bookmarkEnd w:id="267"/>
      <w:bookmarkEnd w:id="268"/>
      <w:bookmarkEnd w:id="269"/>
      <w:bookmarkEnd w:id="270"/>
      <w:bookmarkEnd w:id="271"/>
      <w:bookmarkEnd w:id="272"/>
      <w:bookmarkEnd w:id="273"/>
      <w:bookmarkEnd w:id="274"/>
    </w:p>
    <w:p w14:paraId="298B53CA">
      <w:pPr>
        <w:adjustRightInd/>
        <w:spacing w:line="300" w:lineRule="auto"/>
        <w:ind w:firstLine="560" w:firstLineChars="200"/>
        <w:jc w:val="both"/>
        <w:rPr>
          <w:rFonts w:ascii="Arial" w:hAnsi="Arial" w:eastAsia="仿宋" w:cs="Arial"/>
          <w:sz w:val="28"/>
          <w:szCs w:val="28"/>
          <w:highlight w:val="none"/>
        </w:rPr>
      </w:pPr>
      <w:bookmarkStart w:id="275" w:name="_Toc469066155"/>
      <w:bookmarkStart w:id="276" w:name="_Toc516488185"/>
      <w:bookmarkStart w:id="277" w:name="_Toc515457807"/>
      <w:bookmarkStart w:id="278" w:name="_Toc416783574"/>
      <w:bookmarkStart w:id="279" w:name="_Toc416783670"/>
      <w:r>
        <w:rPr>
          <w:rFonts w:ascii="Arial" w:hAnsi="Arial" w:eastAsia="仿宋" w:cs="Arial"/>
          <w:sz w:val="28"/>
          <w:szCs w:val="28"/>
          <w:highlight w:val="none"/>
        </w:rPr>
        <w:t>（一）有关的法律、法规、行政规章及估价对象所在省市的有关法律法规和政策</w:t>
      </w:r>
    </w:p>
    <w:p w14:paraId="3DABF6CA">
      <w:pPr>
        <w:numPr>
          <w:ilvl w:val="0"/>
          <w:numId w:val="10"/>
        </w:numPr>
        <w:adjustRightInd/>
        <w:snapToGrid w:val="0"/>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土地管理法》（1986年6月25日第六届全国人民代表大会常务委员会第十六次会议通过，中华人民共和国主席令第41号公布，1987年1月1日起施行；1988年12月29日第七届全国人民代表大会常务委员会第五次会议第一次修正通过，自1988年12月29日起施行；1998年8月29日第九届全国人民代表大会常务委员会第四次会议修订通过，中华人民共和国主席令第8号公布，自1999年1月1日起施行；2004年8月28日第十届全国人民代表大会常务委员会第十一次会议第二次修正通过，中华人民共和国主席令第28号公布，自公布起日起施行；2019年8月26日第十三届全国人民代表大会常务委员会第十二次会议第三次修正通过，自2020年1月1日起施行）</w:t>
      </w:r>
    </w:p>
    <w:p w14:paraId="325B10EA">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城市房地产管理法》（1994年7月5日第八届全国人民代表大会常务委员会第八次会议通过，中华人民共和国主席令第29号公布，自1995年1月1日起施行；2007年8月30日第十届全国人民代表大会常务委员会第二十九次会议通过第一次修正通过，中华人民共和国主席令第72号公布，自公布之日起施行；2009年8月27日第十一届全国人民代表大会常务委员会第十次会议第二次修正通过，中华人民共和国主席令第18号公布，自公布之日起施行；2019年8月26日第十三届全国人大常委会第十二次会议通过第三次修正，自2020年1月1日起施行）</w:t>
      </w:r>
    </w:p>
    <w:p w14:paraId="23C188A1">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城乡规划法》（2007年10月28日第十届全国人民代表大会常务委员会第三十次会议通过；根据2015年4月24日第十二届全国人民代表大会常务委员会第十四次会议《关于修改〈中华人民共和国港口法〉等七部法律的决定》第一次修正，公布之日起施行；根据2019年4月23日第十三届全国人民代表大会常务委员会第十次会议《关于修改〈中华人民共和国建筑法〉等八部法律的决定》第二次修正自，公布之日起施行）</w:t>
      </w:r>
    </w:p>
    <w:p w14:paraId="2C36360B">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《中华人民共和国资产评估法》（2016年7月2日第十二届全国人民代表大会常务委员会第二十一次会议通过，2016年3月16日中华人民共和国主席令第46号公布，自2016年12月1日起施行）</w:t>
      </w:r>
    </w:p>
    <w:p w14:paraId="5684E7AC">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《中华人民共和国民法典》（2020年5月28日第十三届全国人大三次会议表决通过，自2021年1月1日起施行）</w:t>
      </w:r>
    </w:p>
    <w:p w14:paraId="2BCDE3A7">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城镇国有土地使用权出让和转让暂行条例》（1990年5月19日中华人民共和国国务院令第55号发布，自发布之日起施行；根据2020年11月29日中华人民共和国国务院令第732号公布的《国务院关于修改和废止部分行政法规的决定》修订，自公布之日起施行）</w:t>
      </w:r>
    </w:p>
    <w:p w14:paraId="427E6DA8">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《中华人民共和国土地管理法实施条例》（1998年12月24日国务院第12次常务会议通过 ，1998年12月27日中华人民共和国国务院令第256号发布，自1999年1月1日起施行；2010年12月29日国务院第138次常务会议第一次修正通过，2011年1月8日中华人民共和国国务院令第588号发布，自发布之日起施行；2014年7月9日国务院第54次常务会议第二次修正通过，2014年7月29日中华人民共和国国务院令第653号公布，自公布之日起施行；2021年4月21日国务院第132次会议第三次修订通过，2021年7月2日中华人民共和国国务院令第743号公布，自2021年9月1日起施行）；</w:t>
      </w:r>
    </w:p>
    <w:p w14:paraId="3FA6EDE3">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不动产登记暂行条例》〔2014年11月24日中华人民共和国国务院令第656号公布，自2015年3月1日起施行；根据2019年3月24日中华人民共和国国务院令第710号公布的《国务院关于修改部分行政法规的决定》修订，自公布之日起施行〕；</w:t>
      </w:r>
    </w:p>
    <w:p w14:paraId="61EDB173">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不动产登记暂行条例实施细则》（2015年6月29日国土资源部第3次部务会议通过，自2016年1月1日起施行；根据2019年7月16日自然资源部第2次部务会议审议通过《自然资源部关于第一批废止和修改的部门规章的决定》（中华人民共和国自然资源部令第5号）修订，自公布之日起施行）</w:t>
      </w:r>
    </w:p>
    <w:p w14:paraId="0BB4FF8A">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不动产登记资料查询暂行办法》（2018年3月2日国土资源部令第80号公布；根据2019年7月16日自然资源部第2次部务会《自然资源部关于废止和修改的第一批部门规章的决定》（中华人民共和国自然资源部令第5号）修订，自公布之日起施行）</w:t>
      </w:r>
    </w:p>
    <w:p w14:paraId="033F752E">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《国务院关于加强国有土地资产管理的通知》〔国发〔2001〕15号，2001年4月30日〕；</w:t>
      </w:r>
    </w:p>
    <w:p w14:paraId="7991D9FE">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《国务院关于深化改革严格土地管理的决定》〔国发〔2004〕28号，2004年10月21日〕；</w:t>
      </w:r>
    </w:p>
    <w:p w14:paraId="6B1AB32C">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《国务院关于加强土地调控有关问题的通知》〔国发 （2006） 31号，2006年8月31日发布〕；</w:t>
      </w:r>
    </w:p>
    <w:p w14:paraId="09E46D41">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《国务院关于促进节约集约用地的通知》〔国发〔2008〕3号，2008年1月3日发布〕；</w:t>
      </w:r>
    </w:p>
    <w:p w14:paraId="661B0226">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《协议出让国有土地使用权规定》〔国土资源部令第21号，自2003年8月1日起施行〕；</w:t>
      </w:r>
    </w:p>
    <w:p w14:paraId="29CC9CF0">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《招标拍卖挂牌出让国有建设用地使用权规定》〔国土资源部令第39号，2007年9月21日原国土资源部第3次部务会议审议通过〕；</w:t>
      </w:r>
    </w:p>
    <w:p w14:paraId="49D67E7A">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《节约集约利用土地规定》〔国土资源部令第61号，2014年5月22日公布；根据2019年7月16日自然资源部第2次部务会议《自然资源部关于第一批废止和修改的部门规章的决定》修正 自2014年9月1日起实施〕；</w:t>
      </w:r>
    </w:p>
    <w:p w14:paraId="0F579F46">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《国土资源部关于推进土地节约集约利用的指导意见》〔国土资发（2014）119号，2014年9月12日发布〕；</w:t>
      </w:r>
    </w:p>
    <w:p w14:paraId="266A283B">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《国土资源部&lt;关于坚持和完善土地招标拍卖挂牌出让制度的意见&gt;》〔国土资发〔2011〕63号，2011年5月13日〕；</w:t>
      </w:r>
    </w:p>
    <w:p w14:paraId="65BF9BBF">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《国土资源部办公厅&lt;关于实行电子化备案完善土地估价报告备案制度的通知&gt;》〔国土资厅发〔2012〕35号，2012年6月14日发布〕</w:t>
      </w:r>
    </w:p>
    <w:p w14:paraId="3D7567E2">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实施&lt;中华人民共和国城镇国有土地使用权出让和转让暂行条例&gt;办法》（1992年5月27日北京市人民政府第11号令发布；根据1993年5月18日北京市人民政府第6号令第一次修改；根据2002年2月11日北京市人民政府第92号令第二次修改；根据2007年11月23日北京市人民政府第200号令第三次修改）</w:t>
      </w:r>
    </w:p>
    <w:p w14:paraId="58EA18CB">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《北京市城市房地产转让管理办法》（北京市人民政府令第135号，经2003年8月26日市人民政府第13次常务会议通过，自2003年12月1日起施行，2008年12月6日北京市人民政府令第209号修正）</w:t>
      </w:r>
    </w:p>
    <w:p w14:paraId="27A677CE">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《北京市城乡规划条例》（2009年5月22日北京市第十三届人民代表大会常务委员会第十一次会议通过；2019年3月29日北京市第十五届人民代表大会常务委员会第十二次会议修订，自2019年4月28日起施行）</w:t>
      </w:r>
    </w:p>
    <w:p w14:paraId="08D5FDAF">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bCs/>
          <w:sz w:val="28"/>
          <w:szCs w:val="28"/>
          <w:highlight w:val="none"/>
        </w:rPr>
        <w:t>《北京市实施</w:t>
      </w:r>
      <w:r>
        <w:rPr>
          <w:rFonts w:ascii="Arial" w:hAnsi="Arial" w:eastAsia="仿宋" w:cs="Arial"/>
          <w:sz w:val="28"/>
          <w:szCs w:val="28"/>
          <w:highlight w:val="none"/>
        </w:rPr>
        <w:t>&lt;</w:t>
      </w:r>
      <w:r>
        <w:rPr>
          <w:rFonts w:ascii="Arial" w:hAnsi="Arial" w:eastAsia="仿宋" w:cs="Arial"/>
          <w:bCs/>
          <w:sz w:val="28"/>
          <w:szCs w:val="28"/>
          <w:highlight w:val="none"/>
        </w:rPr>
        <w:t>中华人民共和国城镇土地使用税暂行条例</w:t>
      </w:r>
      <w:r>
        <w:rPr>
          <w:rFonts w:ascii="Arial" w:hAnsi="Arial" w:eastAsia="仿宋" w:cs="Arial"/>
          <w:sz w:val="28"/>
          <w:szCs w:val="28"/>
          <w:highlight w:val="none"/>
        </w:rPr>
        <w:t>&gt;</w:t>
      </w:r>
      <w:r>
        <w:rPr>
          <w:rFonts w:ascii="Arial" w:hAnsi="Arial" w:eastAsia="仿宋" w:cs="Arial"/>
          <w:bCs/>
          <w:sz w:val="28"/>
          <w:szCs w:val="28"/>
          <w:highlight w:val="none"/>
        </w:rPr>
        <w:t>办法》（</w:t>
      </w:r>
      <w:r>
        <w:rPr>
          <w:rFonts w:ascii="Arial" w:hAnsi="Arial" w:eastAsia="仿宋" w:cs="Arial"/>
          <w:sz w:val="28"/>
          <w:szCs w:val="28"/>
          <w:highlight w:val="none"/>
        </w:rPr>
        <w:t>1988年12月30日北京市人民政府京政发〔1988〕115号文件发布；根据1998年6月12日北京市人民政府第6号令第一次修改；根据2007年4月27日北京市人民政府第188号令第二次修改</w:t>
      </w:r>
      <w:r>
        <w:rPr>
          <w:rFonts w:ascii="Arial" w:hAnsi="Arial" w:eastAsia="仿宋" w:cs="Arial"/>
          <w:bCs/>
          <w:sz w:val="28"/>
          <w:szCs w:val="28"/>
          <w:highlight w:val="none"/>
        </w:rPr>
        <w:t>）</w:t>
      </w:r>
    </w:p>
    <w:p w14:paraId="6E67E29B">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《北京市人民政府关于印发北京市国有建设用地供应办法（试行）的通知》（京政发（2005）6号）</w:t>
      </w:r>
    </w:p>
    <w:p w14:paraId="31FEB6D7">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《北京市人民政府关于修订〈北京市国有建设用地供应办法（试行）〉的决定》（京政发〔2021〕12号）</w:t>
      </w:r>
    </w:p>
    <w:p w14:paraId="5CA01164">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《关于印发北京市出让国有土地使用权招标拍卖挂牌办法的通知》（京国土市（2005）302号）</w:t>
      </w:r>
    </w:p>
    <w:p w14:paraId="100E774D">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《国家税务总局关于发布</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纳税人转让不动产增值税征收管理暂行办法</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的公告》</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国家税务总局公告2016年第14号</w:t>
      </w:r>
      <w:r>
        <w:rPr>
          <w:rFonts w:hint="eastAsia" w:ascii="Arial" w:hAnsi="Arial" w:eastAsia="仿宋" w:cs="Arial"/>
          <w:sz w:val="28"/>
          <w:szCs w:val="28"/>
          <w:highlight w:val="none"/>
          <w:lang w:eastAsia="zh-CN"/>
        </w:rPr>
        <w:t>）</w:t>
      </w:r>
    </w:p>
    <w:p w14:paraId="328FEA2C">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《中华人民共和国增值税法》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2024年12月25日第十四届全国人民代表大会常务委员会第十三次会议通过自2026年1月1日起施行</w:t>
      </w:r>
      <w:r>
        <w:rPr>
          <w:rFonts w:hint="eastAsia" w:ascii="Arial" w:hAnsi="Arial" w:eastAsia="仿宋" w:cs="Arial"/>
          <w:sz w:val="28"/>
          <w:szCs w:val="28"/>
          <w:highlight w:val="none"/>
          <w:lang w:eastAsia="zh-CN"/>
        </w:rPr>
        <w:t>）</w:t>
      </w:r>
    </w:p>
    <w:p w14:paraId="0BEB5948">
      <w:pPr>
        <w:numPr>
          <w:ilvl w:val="0"/>
          <w:numId w:val="10"/>
        </w:numPr>
        <w:adjustRightInd/>
        <w:spacing w:line="300" w:lineRule="auto"/>
        <w:ind w:left="0" w:firstLine="560" w:firstLineChars="200"/>
        <w:jc w:val="both"/>
        <w:rPr>
          <w:rFonts w:hint="eastAsia" w:ascii="Arial" w:hAnsi="Arial" w:eastAsia="仿宋" w:cs="Arial"/>
          <w:sz w:val="28"/>
          <w:szCs w:val="28"/>
          <w:highlight w:val="none"/>
        </w:rPr>
      </w:pPr>
      <w:r>
        <w:rPr>
          <w:rFonts w:hint="eastAsia" w:ascii="Arial" w:hAnsi="Arial" w:eastAsia="仿宋" w:cs="Arial"/>
          <w:sz w:val="28"/>
          <w:szCs w:val="28"/>
          <w:highlight w:val="none"/>
        </w:rPr>
        <w:t>《中华人民共和国增值税法实施条例》(经2025年12月19日 国务院第75次常务会议通过，自2026年1月1日起施行)。</w:t>
      </w:r>
    </w:p>
    <w:p w14:paraId="3E46D577">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中华人民共和国契税法》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2020年8月11日第十三届全国人民代表大会常务委员会第二十一次会议通过，自2021年9月1日起施行</w:t>
      </w:r>
      <w:r>
        <w:rPr>
          <w:rFonts w:hint="eastAsia" w:ascii="Arial" w:hAnsi="Arial" w:eastAsia="仿宋" w:cs="Arial"/>
          <w:sz w:val="28"/>
          <w:szCs w:val="28"/>
          <w:highlight w:val="none"/>
          <w:lang w:eastAsia="zh-CN"/>
        </w:rPr>
        <w:t>）</w:t>
      </w:r>
    </w:p>
    <w:p w14:paraId="679E37B6">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《中华人民共和国印花税法》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2021年6月10日第十三届全国人民代表大会常务委员会第二十九次会议通过,自2022年7月1日起施行</w:t>
      </w:r>
      <w:r>
        <w:rPr>
          <w:rFonts w:hint="eastAsia" w:ascii="Arial" w:hAnsi="Arial" w:eastAsia="仿宋" w:cs="Arial"/>
          <w:sz w:val="28"/>
          <w:szCs w:val="28"/>
          <w:highlight w:val="none"/>
          <w:lang w:eastAsia="zh-CN"/>
        </w:rPr>
        <w:t>）</w:t>
      </w:r>
    </w:p>
    <w:p w14:paraId="7D9FB3DF">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《中华人民共和国城市维护建设税法》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2020年8月11日第十三届全国人民代表大会常务委员会第二十一次会议通过，自2021年9月1日</w:t>
      </w:r>
      <w:r>
        <w:rPr>
          <w:rFonts w:hint="eastAsia" w:ascii="Arial" w:hAnsi="Arial" w:eastAsia="仿宋" w:cs="Arial"/>
          <w:sz w:val="28"/>
          <w:szCs w:val="28"/>
          <w:highlight w:val="none"/>
          <w:lang w:val="en-US" w:eastAsia="zh-CN"/>
        </w:rPr>
        <w:t>起施行）</w:t>
      </w:r>
    </w:p>
    <w:p w14:paraId="6D95DCC0">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《国务院关于修改</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征收教育费附加的暂行条例</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的决定》</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2011年第三次修订</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1986年4月28日中华人民共和国国务院令第448号发布;根据1990年6月7日《国务院关于修改〈征收教育费附加的暂行规定</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的决定》第一次修订</w:t>
      </w:r>
      <w:r>
        <w:rPr>
          <w:rFonts w:hint="eastAsia" w:ascii="Arial" w:hAnsi="Arial" w:eastAsia="仿宋" w:cs="Arial"/>
          <w:sz w:val="28"/>
          <w:szCs w:val="28"/>
          <w:highlight w:val="none"/>
          <w:lang w:val="en-US" w:eastAsia="zh-CN"/>
        </w:rPr>
        <w:t>;</w:t>
      </w:r>
      <w:r>
        <w:rPr>
          <w:rFonts w:hint="eastAsia" w:ascii="Arial" w:hAnsi="Arial" w:eastAsia="仿宋" w:cs="Arial"/>
          <w:sz w:val="28"/>
          <w:szCs w:val="28"/>
          <w:highlight w:val="none"/>
        </w:rPr>
        <w:t>根据2005年8月20日《国务院关于修改</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征收教育费附加的暂行规定</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的决定》第二次修订</w:t>
      </w:r>
      <w:r>
        <w:rPr>
          <w:rFonts w:hint="eastAsia" w:ascii="Arial" w:hAnsi="Arial" w:eastAsia="仿宋" w:cs="Arial"/>
          <w:sz w:val="28"/>
          <w:szCs w:val="28"/>
          <w:highlight w:val="none"/>
          <w:lang w:val="en-US" w:eastAsia="zh-CN"/>
        </w:rPr>
        <w:t>:</w:t>
      </w:r>
      <w:r>
        <w:rPr>
          <w:rFonts w:hint="eastAsia" w:ascii="Arial" w:hAnsi="Arial" w:eastAsia="仿宋" w:cs="Arial"/>
          <w:sz w:val="28"/>
          <w:szCs w:val="28"/>
          <w:highlight w:val="none"/>
        </w:rPr>
        <w:t>根据2011年1月8日《国务院关于废止和修改部分行政法规的决定》第三次修订并施行</w:t>
      </w:r>
      <w:r>
        <w:rPr>
          <w:rFonts w:hint="eastAsia" w:ascii="Arial" w:hAnsi="Arial" w:eastAsia="仿宋" w:cs="Arial"/>
          <w:sz w:val="28"/>
          <w:szCs w:val="28"/>
          <w:highlight w:val="none"/>
          <w:lang w:eastAsia="zh-CN"/>
        </w:rPr>
        <w:t>）</w:t>
      </w:r>
    </w:p>
    <w:p w14:paraId="030DD9BB">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《北京市国土资源局、北京市发展和改革委员会关于印发北京市国有土地使用权招标拍卖挂牌出让底价确定办法（试行）的通知》（ 京国土用〔2005〕533号）</w:t>
      </w:r>
    </w:p>
    <w:p w14:paraId="0884FE95">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《北京市顺义区人民政府关于印发&lt;顺义区征收城市基础设施建设费暂行办法&gt;的通知》</w:t>
      </w:r>
      <w:r>
        <w:rPr>
          <w:rFonts w:hint="eastAsia" w:ascii="Arial" w:hAnsi="Arial" w:eastAsia="仿宋" w:cs="Arial"/>
          <w:sz w:val="28"/>
          <w:szCs w:val="28"/>
          <w:highlight w:val="none"/>
          <w:lang w:eastAsia="zh-CN"/>
        </w:rPr>
        <w:t>（</w:t>
      </w:r>
      <w:r>
        <w:rPr>
          <w:rFonts w:ascii="Arial" w:hAnsi="Arial" w:eastAsia="仿宋" w:cs="Arial"/>
          <w:sz w:val="28"/>
          <w:szCs w:val="28"/>
          <w:highlight w:val="none"/>
        </w:rPr>
        <w:t>自2022年6月6日起实施</w:t>
      </w:r>
      <w:r>
        <w:rPr>
          <w:rFonts w:hint="eastAsia" w:ascii="Arial" w:hAnsi="Arial" w:eastAsia="仿宋" w:cs="Arial"/>
          <w:sz w:val="28"/>
          <w:szCs w:val="28"/>
          <w:highlight w:val="none"/>
          <w:lang w:eastAsia="zh-CN"/>
        </w:rPr>
        <w:t>）</w:t>
      </w:r>
    </w:p>
    <w:p w14:paraId="5BB16364">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自然资源部办公厅关于加强城镇建设用地基准地价管理的通知》（自然资办发（2024）45号）</w:t>
      </w:r>
    </w:p>
    <w:p w14:paraId="44C8DA77">
      <w:pPr>
        <w:numPr>
          <w:ilvl w:val="0"/>
          <w:numId w:val="10"/>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 国家林业和草原局关于进一步做好自然资源要素保障的通知》（自然资办发（2026）38号）</w:t>
      </w:r>
    </w:p>
    <w:p w14:paraId="0F8003E8">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（二）采用的技术标准</w:t>
      </w:r>
    </w:p>
    <w:p w14:paraId="3D22A0D1">
      <w:pPr>
        <w:numPr>
          <w:ilvl w:val="0"/>
          <w:numId w:val="11"/>
        </w:numPr>
        <w:adjustRightInd/>
        <w:spacing w:line="300" w:lineRule="auto"/>
        <w:jc w:val="both"/>
        <w:rPr>
          <w:rFonts w:ascii="Arial" w:hAnsi="Arial" w:eastAsia="仿宋" w:cs="Arial"/>
          <w:sz w:val="28"/>
          <w:szCs w:val="28"/>
          <w:highlight w:val="none"/>
        </w:rPr>
      </w:pPr>
      <w:r>
        <w:rPr>
          <w:rFonts w:ascii="Arial" w:hAnsi="Arial" w:eastAsia="仿宋" w:cs="Arial"/>
          <w:sz w:val="28"/>
          <w:szCs w:val="28"/>
          <w:highlight w:val="none"/>
        </w:rPr>
        <w:t>《城镇土地估价规程》（GB/T 18508</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2014）</w:t>
      </w:r>
    </w:p>
    <w:p w14:paraId="74803AFA">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《城镇土地分等定级规程》</w:t>
      </w:r>
      <w:r>
        <w:rPr>
          <w:rFonts w:ascii="Arial" w:hAnsi="Arial" w:eastAsia="仿宋" w:cs="Arial"/>
          <w:sz w:val="28"/>
          <w:szCs w:val="28"/>
          <w:highlight w:val="none"/>
        </w:rPr>
        <w:fldChar w:fldCharType="begin"/>
      </w:r>
      <w:r>
        <w:rPr>
          <w:rFonts w:ascii="Arial" w:hAnsi="Arial" w:eastAsia="仿宋" w:cs="Arial"/>
          <w:sz w:val="28"/>
          <w:szCs w:val="28"/>
          <w:highlight w:val="none"/>
        </w:rPr>
        <w:instrText xml:space="preserve"> HYPERLINK "http://www.baidu.com/link?url=WR4ik0HfoP3GU1rlTYIFq3n2WBRxMHa-d8GcgMgJUtKKn1Pe8laCRZpZkd9wT3bWx0Da0HhCv5MAzf-34H8xnjpEjz3Kk8n4fMGDiYPYgW3" \t "_blank" </w:instrText>
      </w:r>
      <w:r>
        <w:rPr>
          <w:rFonts w:ascii="Arial" w:hAnsi="Arial" w:eastAsia="仿宋" w:cs="Arial"/>
          <w:sz w:val="28"/>
          <w:szCs w:val="28"/>
          <w:highlight w:val="none"/>
        </w:rPr>
        <w:fldChar w:fldCharType="separate"/>
      </w:r>
      <w:r>
        <w:rPr>
          <w:rFonts w:ascii="Arial" w:hAnsi="Arial" w:eastAsia="仿宋" w:cs="Arial"/>
          <w:sz w:val="28"/>
          <w:szCs w:val="28"/>
          <w:highlight w:val="none"/>
        </w:rPr>
        <w:t>（GB/T 18507</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2014）</w:t>
      </w:r>
      <w:r>
        <w:rPr>
          <w:rFonts w:ascii="Arial" w:hAnsi="Arial" w:eastAsia="仿宋" w:cs="Arial"/>
          <w:sz w:val="28"/>
          <w:szCs w:val="28"/>
          <w:highlight w:val="none"/>
        </w:rPr>
        <w:fldChar w:fldCharType="end"/>
      </w:r>
    </w:p>
    <w:p w14:paraId="76638CD7">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《土地利用现状分类》（ GB/T 21010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2017）</w:t>
      </w:r>
    </w:p>
    <w:p w14:paraId="641F1667">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《城市用地分类与规划建设用地标准》（GB50137</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2011）</w:t>
      </w:r>
    </w:p>
    <w:p w14:paraId="17AB68D4">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《自然资源分等定级通则》（TD/T 1060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2021）</w:t>
      </w:r>
    </w:p>
    <w:p w14:paraId="25E146B6">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《自然资源价格评估通则》（TD/T 1061</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2021）</w:t>
      </w:r>
    </w:p>
    <w:p w14:paraId="4E6288B6">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《城市地价动态监测技术规范》（TD/T1009</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2007）</w:t>
      </w:r>
    </w:p>
    <w:p w14:paraId="35238ABB">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《自然资源部办公厅关于印发《国土空间调查、规划、用途管制用地用海分类指南（试行）》的通知》（自然资办发〔2020〕51号）</w:t>
      </w:r>
    </w:p>
    <w:p w14:paraId="2F8DEEE4">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《国土资源部办公厅关于发布&lt;国有建设用地使用权出让地价评估技术规范&gt;的通知》（国土资厅发（2018）4号）</w:t>
      </w:r>
    </w:p>
    <w:p w14:paraId="73127B30">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《自然资源部公共服务厅关于做好2021年度自然资源评价评估有关工作的通知》（自然资办发（2021）39号）</w:t>
      </w:r>
    </w:p>
    <w:p w14:paraId="270CE2E4">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《财政部 国家税务总局&lt;关于全面推开营业税改正增值税试点的通知&gt;》（财税（2016）36号）</w:t>
      </w:r>
    </w:p>
    <w:p w14:paraId="34690172">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《北京市人民政府关于更新出让国有建设用地使用权基准地价的通知》（京政发（2022）12号）</w:t>
      </w:r>
    </w:p>
    <w:p w14:paraId="3B694A3B">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《北京市国土空间调查、规划、用途管制用地分类指南（试行）》</w:t>
      </w:r>
    </w:p>
    <w:p w14:paraId="51518EC7">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《北京市城乡规划与土地利用用地分类对应指南（试行）》（市规划国土发（2017）316号）</w:t>
      </w:r>
    </w:p>
    <w:p w14:paraId="1896F5B0">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北京市地方标准《国土空间调查、规划、用途管制用地分类标准》</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DB11/T996</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2024，2024年6月28日发布，2025年1月1日实施</w:t>
      </w:r>
      <w:r>
        <w:rPr>
          <w:rFonts w:hint="eastAsia" w:ascii="Arial" w:hAnsi="Arial" w:eastAsia="仿宋" w:cs="Arial"/>
          <w:sz w:val="28"/>
          <w:szCs w:val="28"/>
          <w:highlight w:val="none"/>
          <w:lang w:eastAsia="zh-CN"/>
        </w:rPr>
        <w:t>）</w:t>
      </w:r>
    </w:p>
    <w:p w14:paraId="40DF3DDD">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《北京市地方税务局关于调整北京市城镇土地纳税等级分级范围的公告》（2015年第10号）</w:t>
      </w:r>
    </w:p>
    <w:p w14:paraId="4F550B65">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《北京市国有建设用地使用权出让地价评估技术导则》（2026年2月10日实施）</w:t>
      </w:r>
    </w:p>
    <w:p w14:paraId="0CA2FFCE">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《北京市建设工程计价依据</w:t>
      </w:r>
      <w:r>
        <w:rPr>
          <w:rFonts w:hint="eastAsia" w:ascii="Arial" w:hAnsi="Arial" w:eastAsia="仿宋" w:cs="Arial"/>
          <w:sz w:val="28"/>
          <w:szCs w:val="28"/>
          <w:highlight w:val="none"/>
          <w:lang w:eastAsia="zh-CN"/>
        </w:rPr>
        <w:t>－</w:t>
      </w:r>
      <w:r>
        <w:rPr>
          <w:rFonts w:ascii="Arial" w:hAnsi="Arial" w:eastAsia="仿宋" w:cs="Arial"/>
          <w:sz w:val="28"/>
          <w:szCs w:val="28"/>
          <w:highlight w:val="none"/>
        </w:rPr>
        <w:t>预算定额》（2012）及动态调整</w:t>
      </w:r>
    </w:p>
    <w:p w14:paraId="643C3AB4">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《北京工程造价信息》〔北京市建设工程造价管理处定期发布〕</w:t>
      </w:r>
    </w:p>
    <w:p w14:paraId="75A5066C">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《北京市统计年鉴》</w:t>
      </w:r>
    </w:p>
    <w:p w14:paraId="17461FFE">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北京市规划和自然资源委员会北京市发展和改革委员会北京市财政局 北京市住房和城乡建设委员会《关于印发&lt;北京市国有自然资源</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建设用地</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使用权有偿配置价格评审规定&gt;的通知》</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京规自发</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2024</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282号</w:t>
      </w:r>
      <w:r>
        <w:rPr>
          <w:rFonts w:hint="eastAsia" w:ascii="Arial" w:hAnsi="Arial" w:eastAsia="仿宋" w:cs="Arial"/>
          <w:sz w:val="28"/>
          <w:szCs w:val="28"/>
          <w:highlight w:val="none"/>
          <w:lang w:eastAsia="zh-CN"/>
        </w:rPr>
        <w:t>）</w:t>
      </w:r>
    </w:p>
    <w:p w14:paraId="3DDD51DE">
      <w:pPr>
        <w:numPr>
          <w:ilvl w:val="0"/>
          <w:numId w:val="11"/>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北京市人民政府《关于印发</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北京市居住公共服务设施配置指标</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和</w:t>
      </w:r>
      <w:r>
        <w:rPr>
          <w:rFonts w:hint="eastAsia" w:ascii="Arial" w:hAnsi="Arial" w:eastAsia="仿宋" w:cs="Arial"/>
          <w:sz w:val="28"/>
          <w:szCs w:val="28"/>
          <w:highlight w:val="none"/>
          <w:lang w:val="en-US" w:eastAsia="zh-CN"/>
        </w:rPr>
        <w:t>&lt;</w:t>
      </w:r>
      <w:r>
        <w:rPr>
          <w:rFonts w:hint="eastAsia" w:ascii="Arial" w:hAnsi="Arial" w:eastAsia="仿宋" w:cs="Arial"/>
          <w:sz w:val="28"/>
          <w:szCs w:val="28"/>
          <w:highlight w:val="none"/>
        </w:rPr>
        <w:t>北京市居住公共服务设施配置指标实施意见</w:t>
      </w:r>
      <w:r>
        <w:rPr>
          <w:rFonts w:hint="eastAsia" w:ascii="Arial" w:hAnsi="Arial" w:eastAsia="仿宋" w:cs="Arial"/>
          <w:sz w:val="28"/>
          <w:szCs w:val="28"/>
          <w:highlight w:val="none"/>
          <w:lang w:val="en-US" w:eastAsia="zh-CN"/>
        </w:rPr>
        <w:t>&gt;</w:t>
      </w:r>
      <w:r>
        <w:rPr>
          <w:rFonts w:hint="eastAsia" w:ascii="Arial" w:hAnsi="Arial" w:eastAsia="仿宋" w:cs="Arial"/>
          <w:sz w:val="28"/>
          <w:szCs w:val="28"/>
          <w:highlight w:val="none"/>
        </w:rPr>
        <w:t>的通知》</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京政发</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2025</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25 号</w:t>
      </w:r>
      <w:r>
        <w:rPr>
          <w:rFonts w:hint="eastAsia" w:ascii="Arial" w:hAnsi="Arial" w:eastAsia="仿宋" w:cs="Arial"/>
          <w:sz w:val="28"/>
          <w:szCs w:val="28"/>
          <w:highlight w:val="none"/>
          <w:lang w:eastAsia="zh-CN"/>
        </w:rPr>
        <w:t>）</w:t>
      </w:r>
    </w:p>
    <w:p w14:paraId="191D5872">
      <w:pPr>
        <w:numPr>
          <w:ilvl w:val="0"/>
          <w:numId w:val="7"/>
        </w:numPr>
        <w:adjustRightInd/>
        <w:spacing w:line="300" w:lineRule="auto"/>
        <w:ind w:left="0"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土地估价参数调查测算指引</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 xml:space="preserve">T/CREVA 1101—2023  </w:t>
      </w:r>
      <w:r>
        <w:rPr>
          <w:rFonts w:hint="eastAsia" w:ascii="Arial" w:hAnsi="Arial" w:eastAsia="仿宋" w:cs="Arial"/>
          <w:sz w:val="28"/>
          <w:szCs w:val="28"/>
          <w:highlight w:val="none"/>
          <w:lang w:eastAsia="zh-CN"/>
        </w:rPr>
        <w:t>）</w:t>
      </w:r>
    </w:p>
    <w:p w14:paraId="56F440D0">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（三） 委托估价方提供的资料</w:t>
      </w:r>
    </w:p>
    <w:p w14:paraId="736754D5">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《国有建设用地使用权出让地价评估委托书》</w:t>
      </w:r>
    </w:p>
    <w:p w14:paraId="5E2E7772">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《北京市规划和国土资源管理委员会建设项目规划条件（土地储备前期整理）》（2017规（顺）条整字0006号）复印件</w:t>
      </w:r>
    </w:p>
    <w:p w14:paraId="37A94B39">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《北京市规划和自然资源会员会顺义分局关于顺义区高丽营镇夏县营村棚户区改造土地开发项目调整建设项目规划条件的复函》（京规自顺函【2019】153号）复印件</w:t>
      </w:r>
    </w:p>
    <w:p w14:paraId="74B79861">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《北京市人民政府关于顺义区二〇二〇年度批次建设用地的批复》</w:t>
      </w:r>
      <w:r>
        <w:rPr>
          <w:rFonts w:ascii="Arial" w:hAnsi="Arial" w:eastAsia="仿宋" w:cs="Arial"/>
          <w:spacing w:val="-6"/>
          <w:sz w:val="28"/>
          <w:szCs w:val="28"/>
          <w:highlight w:val="none"/>
        </w:rPr>
        <w:t>（京政地字【</w:t>
      </w:r>
      <w:r>
        <w:rPr>
          <w:rFonts w:ascii="Arial" w:hAnsi="Arial" w:eastAsia="仿宋" w:cs="Arial"/>
          <w:sz w:val="28"/>
          <w:szCs w:val="28"/>
          <w:highlight w:val="none"/>
        </w:rPr>
        <w:t>2020】121</w:t>
      </w:r>
      <w:r>
        <w:rPr>
          <w:rFonts w:ascii="Arial" w:hAnsi="Arial" w:eastAsia="仿宋" w:cs="Arial"/>
          <w:spacing w:val="-6"/>
          <w:sz w:val="28"/>
          <w:szCs w:val="28"/>
          <w:highlight w:val="none"/>
        </w:rPr>
        <w:t>号）复印件</w:t>
      </w:r>
    </w:p>
    <w:p w14:paraId="425DB6CD">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《北京市顺义区人民政府关于顺义区高丽营镇夏县营村棚户区改造土地开发项目01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020地块提请地价审核有关事宜的函》（顺政函【2023】151号）复印件</w:t>
      </w:r>
    </w:p>
    <w:p w14:paraId="203AB02A">
      <w:pPr>
        <w:numPr>
          <w:ilvl w:val="1"/>
          <w:numId w:val="12"/>
        </w:numPr>
        <w:adjustRightInd/>
        <w:spacing w:line="300" w:lineRule="auto"/>
        <w:ind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及规划意见附图复印件</w:t>
      </w:r>
    </w:p>
    <w:p w14:paraId="0684FEFF">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《建设工程规划用地测量成果报告书》（2021规自（顺）测字0008号）复印件</w:t>
      </w:r>
    </w:p>
    <w:p w14:paraId="373737E8">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020地块实物补偿内容的说明》复印件</w:t>
      </w:r>
    </w:p>
    <w:p w14:paraId="5C688CC1">
      <w:pPr>
        <w:numPr>
          <w:ilvl w:val="1"/>
          <w:numId w:val="12"/>
        </w:num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020地块市政条件的说明》复印件</w:t>
      </w:r>
    </w:p>
    <w:p w14:paraId="31ECC146">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（四）受托估价方掌握的有关资料和土地估价专业评估师实地勘察、调查所获取的资料</w:t>
      </w:r>
    </w:p>
    <w:p w14:paraId="62BF6941">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1.估价对象所在位置示意图</w:t>
      </w:r>
    </w:p>
    <w:p w14:paraId="6435BFBF">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2.估价对象实地勘察相关照片</w:t>
      </w:r>
    </w:p>
    <w:p w14:paraId="7D09FA1E">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3.区域因素及个别因素状况等资料</w:t>
      </w:r>
    </w:p>
    <w:p w14:paraId="02CD5B25">
      <w:pPr>
        <w:spacing w:line="300" w:lineRule="auto"/>
        <w:ind w:firstLine="565" w:firstLineChars="202"/>
        <w:jc w:val="both"/>
        <w:rPr>
          <w:rFonts w:ascii="Arial" w:hAnsi="Arial" w:eastAsia="仿宋_GB2312" w:cs="Arial"/>
          <w:sz w:val="28"/>
          <w:highlight w:val="none"/>
        </w:rPr>
      </w:pPr>
      <w:r>
        <w:rPr>
          <w:rFonts w:ascii="Arial" w:hAnsi="Arial" w:eastAsia="仿宋" w:cs="Arial"/>
          <w:sz w:val="28"/>
          <w:szCs w:val="28"/>
          <w:highlight w:val="none"/>
        </w:rPr>
        <w:t>4.土地估价专业评估师现场调查收集的其他相关资</w:t>
      </w:r>
      <w:r>
        <w:rPr>
          <w:rFonts w:ascii="Arial" w:hAnsi="Arial" w:eastAsia="仿宋_GB2312" w:cs="Arial"/>
          <w:sz w:val="28"/>
          <w:highlight w:val="none"/>
        </w:rPr>
        <w:t>料</w:t>
      </w:r>
    </w:p>
    <w:p w14:paraId="1B2E52DD">
      <w:pPr>
        <w:spacing w:line="300" w:lineRule="auto"/>
        <w:ind w:firstLine="562" w:firstLineChars="200"/>
        <w:jc w:val="both"/>
        <w:rPr>
          <w:rFonts w:ascii="Arial" w:hAnsi="Arial" w:eastAsia="仿宋_GB2312" w:cs="Arial"/>
          <w:b/>
          <w:sz w:val="28"/>
          <w:highlight w:val="none"/>
        </w:rPr>
      </w:pPr>
    </w:p>
    <w:p w14:paraId="230F2FD1">
      <w:pPr>
        <w:rPr>
          <w:rFonts w:ascii="Arial" w:hAnsi="Arial" w:eastAsia="仿宋_GB2312" w:cs="Arial"/>
          <w:b/>
          <w:sz w:val="28"/>
          <w:highlight w:val="none"/>
        </w:rPr>
      </w:pPr>
      <w:bookmarkStart w:id="280" w:name="_Toc132016745"/>
      <w:bookmarkStart w:id="281" w:name="_Toc132016628"/>
      <w:bookmarkStart w:id="282" w:name="_Toc138063016"/>
      <w:r>
        <w:rPr>
          <w:rFonts w:ascii="Arial" w:hAnsi="Arial" w:eastAsia="仿宋_GB2312" w:cs="Arial"/>
          <w:b/>
          <w:sz w:val="28"/>
          <w:highlight w:val="none"/>
        </w:rPr>
        <w:br w:type="page"/>
      </w:r>
    </w:p>
    <w:p w14:paraId="5B2DB982">
      <w:pPr>
        <w:spacing w:line="300" w:lineRule="auto"/>
        <w:outlineLvl w:val="1"/>
        <w:rPr>
          <w:rFonts w:ascii="Arial" w:hAnsi="Arial" w:eastAsia="仿宋_GB2312" w:cs="Arial"/>
          <w:b/>
          <w:sz w:val="28"/>
          <w:highlight w:val="none"/>
        </w:rPr>
      </w:pPr>
      <w:r>
        <w:rPr>
          <w:rFonts w:ascii="Arial" w:hAnsi="Arial" w:eastAsia="仿宋_GB2312" w:cs="Arial"/>
          <w:b/>
          <w:sz w:val="28"/>
          <w:highlight w:val="none"/>
        </w:rPr>
        <w:t>六、估价期日</w:t>
      </w:r>
      <w:bookmarkEnd w:id="275"/>
      <w:bookmarkEnd w:id="276"/>
      <w:bookmarkEnd w:id="277"/>
      <w:bookmarkEnd w:id="280"/>
      <w:bookmarkEnd w:id="281"/>
      <w:bookmarkEnd w:id="282"/>
    </w:p>
    <w:bookmarkEnd w:id="278"/>
    <w:bookmarkEnd w:id="279"/>
    <w:p w14:paraId="4C3230E1">
      <w:pPr>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lang w:eastAsia="zh-CN"/>
        </w:rPr>
        <w:t>2026年3月26日</w:t>
      </w:r>
      <w:r>
        <w:rPr>
          <w:rFonts w:ascii="Arial" w:hAnsi="Arial" w:eastAsia="仿宋_GB2312" w:cs="Arial"/>
          <w:sz w:val="28"/>
          <w:highlight w:val="none"/>
        </w:rPr>
        <w:t>（</w:t>
      </w:r>
      <w:r>
        <w:rPr>
          <w:rFonts w:ascii="Arial" w:hAnsi="Arial" w:eastAsia="仿宋_GB2312" w:cs="Arial"/>
          <w:sz w:val="28"/>
          <w:szCs w:val="28"/>
          <w:highlight w:val="none"/>
        </w:rPr>
        <w:t>根据《国有建设用地使用权出让地价评估委托书》确定</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为估价师实地查勘日</w:t>
      </w:r>
      <w:r>
        <w:rPr>
          <w:rFonts w:ascii="Arial" w:hAnsi="Arial" w:eastAsia="仿宋_GB2312" w:cs="Arial"/>
          <w:sz w:val="28"/>
          <w:highlight w:val="none"/>
        </w:rPr>
        <w:t>）</w:t>
      </w:r>
      <w:bookmarkStart w:id="283" w:name="_Toc469066156"/>
      <w:bookmarkStart w:id="284" w:name="_Toc138063017"/>
      <w:bookmarkStart w:id="285" w:name="_Toc515457808"/>
      <w:bookmarkStart w:id="286" w:name="_Toc132016629"/>
      <w:bookmarkStart w:id="287" w:name="_Toc132016746"/>
      <w:bookmarkStart w:id="288" w:name="_Toc516488186"/>
      <w:bookmarkStart w:id="289" w:name="_Toc416783575"/>
      <w:bookmarkStart w:id="290" w:name="_Toc416783671"/>
    </w:p>
    <w:p w14:paraId="25CD8943">
      <w:pPr>
        <w:spacing w:line="300" w:lineRule="auto"/>
        <w:ind w:firstLine="560" w:firstLineChars="200"/>
        <w:jc w:val="both"/>
        <w:rPr>
          <w:rFonts w:ascii="Arial" w:hAnsi="Arial" w:eastAsia="仿宋_GB2312" w:cs="Arial"/>
          <w:sz w:val="28"/>
          <w:highlight w:val="none"/>
        </w:rPr>
      </w:pPr>
    </w:p>
    <w:p w14:paraId="2143FB58">
      <w:pPr>
        <w:spacing w:line="300" w:lineRule="auto"/>
        <w:outlineLvl w:val="1"/>
        <w:rPr>
          <w:rFonts w:ascii="Arial" w:hAnsi="Arial" w:eastAsia="仿宋_GB2312" w:cs="Arial"/>
          <w:b/>
          <w:bCs/>
          <w:sz w:val="28"/>
          <w:highlight w:val="none"/>
        </w:rPr>
      </w:pPr>
      <w:r>
        <w:rPr>
          <w:rFonts w:ascii="Arial" w:hAnsi="Arial" w:eastAsia="仿宋_GB2312" w:cs="Arial"/>
          <w:b/>
          <w:bCs/>
          <w:sz w:val="28"/>
          <w:highlight w:val="none"/>
        </w:rPr>
        <w:t>七、估价日期</w:t>
      </w:r>
      <w:bookmarkEnd w:id="283"/>
      <w:bookmarkEnd w:id="284"/>
      <w:bookmarkEnd w:id="285"/>
      <w:bookmarkEnd w:id="286"/>
      <w:bookmarkEnd w:id="287"/>
      <w:bookmarkEnd w:id="288"/>
    </w:p>
    <w:bookmarkEnd w:id="289"/>
    <w:bookmarkEnd w:id="290"/>
    <w:p w14:paraId="480E19A3">
      <w:pPr>
        <w:spacing w:line="300" w:lineRule="auto"/>
        <w:ind w:firstLine="560" w:firstLineChars="200"/>
        <w:rPr>
          <w:rFonts w:hint="eastAsia" w:ascii="Arial" w:hAnsi="Arial" w:eastAsia="仿宋_GB2312" w:cs="Arial"/>
          <w:sz w:val="28"/>
          <w:highlight w:val="none"/>
          <w:lang w:eastAsia="zh-CN"/>
        </w:rPr>
      </w:pPr>
      <w:r>
        <w:rPr>
          <w:rFonts w:hint="eastAsia" w:ascii="Arial" w:hAnsi="Arial" w:eastAsia="仿宋_GB2312" w:cs="Arial"/>
          <w:sz w:val="28"/>
          <w:highlight w:val="none"/>
          <w:lang w:eastAsia="zh-CN"/>
        </w:rPr>
        <w:t>2026年3月26日至2026年3月</w:t>
      </w:r>
      <w:r>
        <w:rPr>
          <w:rFonts w:hint="eastAsia" w:ascii="Arial" w:hAnsi="Arial" w:eastAsia="仿宋_GB2312" w:cs="Arial"/>
          <w:sz w:val="28"/>
          <w:highlight w:val="none"/>
          <w:lang w:val="en-US" w:eastAsia="zh-CN"/>
        </w:rPr>
        <w:t>31</w:t>
      </w:r>
      <w:r>
        <w:rPr>
          <w:rFonts w:hint="eastAsia" w:ascii="Arial" w:hAnsi="Arial" w:eastAsia="仿宋_GB2312" w:cs="Arial"/>
          <w:sz w:val="28"/>
          <w:highlight w:val="none"/>
          <w:lang w:eastAsia="zh-CN"/>
        </w:rPr>
        <w:t>日</w:t>
      </w:r>
    </w:p>
    <w:p w14:paraId="5FFA64AB">
      <w:pPr>
        <w:spacing w:line="300" w:lineRule="auto"/>
        <w:ind w:firstLine="560" w:firstLineChars="200"/>
        <w:rPr>
          <w:rFonts w:ascii="Arial" w:hAnsi="Arial" w:eastAsia="仿宋_GB2312" w:cs="Arial"/>
          <w:sz w:val="28"/>
          <w:highlight w:val="none"/>
        </w:rPr>
      </w:pPr>
    </w:p>
    <w:p w14:paraId="23F4E7E3">
      <w:pPr>
        <w:pStyle w:val="10"/>
        <w:spacing w:line="300" w:lineRule="auto"/>
        <w:ind w:left="1405" w:hanging="1405" w:hangingChars="500"/>
        <w:jc w:val="left"/>
        <w:outlineLvl w:val="1"/>
        <w:rPr>
          <w:rFonts w:ascii="Arial" w:eastAsia="仿宋_GB2312" w:cs="Arial"/>
          <w:b/>
          <w:bCs/>
          <w:sz w:val="28"/>
          <w:highlight w:val="none"/>
        </w:rPr>
      </w:pPr>
      <w:bookmarkStart w:id="291" w:name="_Toc515457809"/>
      <w:bookmarkStart w:id="292" w:name="_Toc132016747"/>
      <w:bookmarkStart w:id="293" w:name="_Toc138063018"/>
      <w:bookmarkStart w:id="294" w:name="_Toc132016630"/>
      <w:bookmarkStart w:id="295" w:name="_Toc469066157"/>
      <w:bookmarkStart w:id="296" w:name="_Toc516488187"/>
      <w:r>
        <w:rPr>
          <w:rFonts w:ascii="Arial" w:eastAsia="仿宋_GB2312" w:cs="Arial"/>
          <w:b/>
          <w:bCs/>
          <w:sz w:val="28"/>
          <w:highlight w:val="none"/>
        </w:rPr>
        <w:t>八、地价定义</w:t>
      </w:r>
      <w:bookmarkEnd w:id="291"/>
      <w:bookmarkEnd w:id="292"/>
      <w:bookmarkEnd w:id="293"/>
      <w:bookmarkEnd w:id="294"/>
      <w:bookmarkEnd w:id="295"/>
      <w:bookmarkEnd w:id="296"/>
    </w:p>
    <w:p w14:paraId="1225CE09">
      <w:pPr>
        <w:adjustRightInd/>
        <w:spacing w:line="300" w:lineRule="auto"/>
        <w:ind w:firstLine="560" w:firstLineChars="200"/>
        <w:rPr>
          <w:rFonts w:ascii="Arial" w:hAnsi="Arial" w:eastAsia="仿宋" w:cs="Arial"/>
          <w:sz w:val="28"/>
          <w:highlight w:val="none"/>
        </w:rPr>
      </w:pPr>
      <w:r>
        <w:rPr>
          <w:rFonts w:ascii="Arial" w:hAnsi="Arial" w:eastAsia="仿宋" w:cs="Arial"/>
          <w:sz w:val="28"/>
          <w:highlight w:val="none"/>
        </w:rPr>
        <w:t>土地估价专业评估师根据地价评估的技术规程、方法和项目的具体要求，参照正常市场价格水平，评估拟出让宗地国有建设用地使用权价格。</w:t>
      </w:r>
    </w:p>
    <w:p w14:paraId="3B78993E">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熟地价是在公开市场条件下形成的客观合理价格，即估价对象在设定土地用途、</w:t>
      </w:r>
      <w:r>
        <w:rPr>
          <w:rFonts w:hint="eastAsia" w:ascii="Arial" w:hAnsi="Arial" w:eastAsia="仿宋" w:cs="Arial"/>
          <w:sz w:val="28"/>
          <w:highlight w:val="none"/>
          <w:lang w:eastAsia="zh-CN"/>
        </w:rPr>
        <w:t>土地使用权类型</w:t>
      </w:r>
      <w:r>
        <w:rPr>
          <w:rFonts w:ascii="Arial" w:hAnsi="Arial" w:eastAsia="仿宋" w:cs="Arial"/>
          <w:sz w:val="28"/>
          <w:highlight w:val="none"/>
        </w:rPr>
        <w:t>、开发程度、使用年期及规划利用条件下，于估价期日的出让国有建设用地使用权价格。</w:t>
      </w:r>
    </w:p>
    <w:p w14:paraId="5DE11B27">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根据《城镇土地估价规程》（GB/T 18508</w:t>
      </w:r>
      <w:r>
        <w:rPr>
          <w:rFonts w:hint="eastAsia" w:ascii="Arial" w:hAnsi="Arial" w:eastAsia="仿宋" w:cs="Arial"/>
          <w:sz w:val="28"/>
          <w:highlight w:val="none"/>
          <w:lang w:eastAsia="zh-CN"/>
        </w:rPr>
        <w:t>－</w:t>
      </w:r>
      <w:r>
        <w:rPr>
          <w:rFonts w:ascii="Arial" w:hAnsi="Arial" w:eastAsia="仿宋" w:cs="Arial"/>
          <w:sz w:val="28"/>
          <w:highlight w:val="none"/>
        </w:rPr>
        <w:t>2014）</w:t>
      </w:r>
      <w:r>
        <w:rPr>
          <w:rFonts w:hint="eastAsia" w:ascii="Arial" w:hAnsi="Arial" w:eastAsia="仿宋" w:cs="Arial"/>
          <w:sz w:val="28"/>
          <w:highlight w:val="none"/>
          <w:lang w:eastAsia="zh-CN"/>
        </w:rPr>
        <w:t>、</w:t>
      </w:r>
      <w:r>
        <w:rPr>
          <w:rFonts w:ascii="Arial" w:hAnsi="Arial" w:eastAsia="仿宋" w:cs="Arial"/>
          <w:sz w:val="28"/>
          <w:highlight w:val="none"/>
        </w:rPr>
        <w:t>《国土资源部办公厅关于发布&lt;国有建设用地使用权出让地价评估技术规范&gt;的通知》（国土资厅发（2018）4号），对有关事项做出以下设定：</w:t>
      </w:r>
    </w:p>
    <w:p w14:paraId="2652691B">
      <w:pPr>
        <w:pStyle w:val="90"/>
        <w:numPr>
          <w:ilvl w:val="0"/>
          <w:numId w:val="13"/>
        </w:numPr>
        <w:adjustRightInd/>
        <w:spacing w:line="300" w:lineRule="auto"/>
        <w:ind w:left="0" w:firstLine="560"/>
        <w:jc w:val="both"/>
        <w:textAlignment w:val="auto"/>
        <w:rPr>
          <w:rFonts w:ascii="Arial" w:hAnsi="Arial" w:eastAsia="仿宋" w:cs="Arial"/>
          <w:sz w:val="28"/>
          <w:highlight w:val="none"/>
        </w:rPr>
      </w:pPr>
      <w:r>
        <w:rPr>
          <w:rFonts w:ascii="Arial" w:hAnsi="Arial" w:eastAsia="仿宋" w:cs="Arial"/>
          <w:sz w:val="28"/>
          <w:highlight w:val="none"/>
        </w:rPr>
        <w:t>土地用途设定：</w:t>
      </w:r>
    </w:p>
    <w:p w14:paraId="3FF04509">
      <w:pPr>
        <w:adjustRightInd/>
        <w:spacing w:line="300" w:lineRule="auto"/>
        <w:ind w:firstLine="560" w:firstLineChars="200"/>
        <w:jc w:val="both"/>
        <w:rPr>
          <w:rFonts w:hint="eastAsia" w:ascii="Arial" w:hAnsi="Arial" w:eastAsia="仿宋" w:cs="Arial"/>
          <w:sz w:val="28"/>
          <w:highlight w:val="none"/>
          <w:lang w:eastAsia="zh-CN"/>
        </w:rPr>
      </w:pPr>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w:t>
      </w:r>
      <w:r>
        <w:rPr>
          <w:rFonts w:ascii="Arial" w:hAnsi="Arial" w:eastAsia="仿宋" w:cs="Arial"/>
          <w:sz w:val="28"/>
          <w:highlight w:val="none"/>
        </w:rPr>
        <w:t>估价对象规划用途为R2二类居住用地及A334托幼用地，其中A334托幼用地不出让。</w:t>
      </w:r>
      <w:r>
        <w:rPr>
          <w:rFonts w:ascii="Arial" w:hAnsi="Arial" w:eastAsia="仿宋" w:cs="Arial"/>
          <w:sz w:val="28"/>
          <w:szCs w:val="28"/>
          <w:highlight w:val="none"/>
        </w:rPr>
        <w:t>根据《北京市城乡规划与土地利用用地分类对应指南（试行）》（市规划国土发（2017）316号），R2二类居住用地是设施较齐全、环境良好、以多中高层住宅为主用地，可对应土地利用现状分类城镇住宅用地（指城镇用于生活居住的各类房屋用地及附属设施用地）。结合《自然资源部办公厅关于印发〈国土空间调查、规划、用途管制用地用海分类指南（试行）〉的办通知》（自然资办（2020）51号）、《土地利用现状分类》（GB/T21010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2017）、《北京市人民政府关于更新出让国有建设用地使用权基准地价的通知》（京政发（2022）12号），按照</w:t>
      </w:r>
      <w:r>
        <w:rPr>
          <w:rFonts w:hint="eastAsia" w:ascii="Arial" w:hAnsi="Arial" w:eastAsia="仿宋" w:cs="Arial"/>
          <w:sz w:val="28"/>
          <w:szCs w:val="28"/>
          <w:highlight w:val="none"/>
          <w:lang w:eastAsia="zh-CN"/>
        </w:rPr>
        <w:t>《北京市国有建设用地使用权出让地价评估技术导则》（2026年2月10日实施）</w:t>
      </w:r>
      <w:r>
        <w:rPr>
          <w:rFonts w:hint="eastAsia" w:ascii="Arial" w:hAnsi="Arial" w:eastAsia="仿宋" w:cs="Arial"/>
          <w:sz w:val="28"/>
          <w:szCs w:val="28"/>
          <w:highlight w:val="none"/>
          <w:lang w:val="en-US" w:eastAsia="zh-CN"/>
        </w:rPr>
        <w:t>相关</w:t>
      </w:r>
      <w:r>
        <w:rPr>
          <w:rFonts w:ascii="Arial" w:hAnsi="Arial" w:eastAsia="仿宋" w:cs="Arial"/>
          <w:sz w:val="28"/>
          <w:szCs w:val="28"/>
          <w:highlight w:val="none"/>
        </w:rPr>
        <w:t>规定</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sz w:val="28"/>
          <w:highlight w:val="none"/>
        </w:rPr>
        <w:t>。</w:t>
      </w:r>
      <w:r>
        <w:rPr>
          <w:rFonts w:hint="eastAsia" w:ascii="Arial" w:hAnsi="Arial" w:eastAsia="仿宋" w:cs="Arial"/>
          <w:sz w:val="28"/>
          <w:highlight w:val="none"/>
          <w:lang w:eastAsia="zh-CN"/>
        </w:rPr>
        <w:t>”</w:t>
      </w:r>
    </w:p>
    <w:p w14:paraId="3D7CE332">
      <w:pPr>
        <w:adjustRightInd/>
        <w:spacing w:line="300" w:lineRule="auto"/>
        <w:ind w:firstLine="560" w:firstLineChars="200"/>
        <w:jc w:val="both"/>
        <w:rPr>
          <w:rFonts w:ascii="Arial" w:hAnsi="Arial" w:eastAsia="仿宋" w:cs="Arial"/>
          <w:sz w:val="28"/>
          <w:highlight w:val="none"/>
        </w:rPr>
      </w:pPr>
      <w:r>
        <w:rPr>
          <w:rFonts w:hint="eastAsia" w:ascii="Arial" w:hAnsi="Arial" w:eastAsia="仿宋" w:cs="Arial"/>
          <w:sz w:val="28"/>
          <w:highlight w:val="none"/>
        </w:rPr>
        <w:t>综上所述，根据本次估价目的及估价对象实际情况，结合出让评估要求，本次需同时评估城镇住宅用地、其他商业服务业用地、公共管理与公共服务用地熟地价。本次评估估价对象熟地总价时，按城镇住宅用地测算结果作为最终估价结果，其他商业服务业用地、公共管理与公共服务用地仅测算列示</w:t>
      </w:r>
      <w:r>
        <w:rPr>
          <w:rFonts w:hint="eastAsia" w:ascii="Arial" w:hAnsi="Arial" w:eastAsia="仿宋" w:cs="Arial"/>
          <w:sz w:val="28"/>
          <w:highlight w:val="none"/>
          <w:lang w:eastAsia="zh-CN"/>
        </w:rPr>
        <w:t>楼面地价</w:t>
      </w:r>
      <w:r>
        <w:rPr>
          <w:rFonts w:hint="eastAsia" w:ascii="Arial" w:hAnsi="Arial" w:eastAsia="仿宋" w:cs="Arial"/>
          <w:sz w:val="28"/>
          <w:highlight w:val="none"/>
        </w:rPr>
        <w:t>。</w:t>
      </w:r>
    </w:p>
    <w:p w14:paraId="359BE35A">
      <w:pPr>
        <w:pStyle w:val="90"/>
        <w:numPr>
          <w:ilvl w:val="0"/>
          <w:numId w:val="13"/>
        </w:numPr>
        <w:adjustRightInd/>
        <w:spacing w:line="300" w:lineRule="auto"/>
        <w:ind w:left="0" w:firstLine="560"/>
        <w:jc w:val="both"/>
        <w:textAlignment w:val="auto"/>
        <w:rPr>
          <w:rFonts w:ascii="Arial" w:hAnsi="Arial" w:eastAsia="仿宋" w:cs="Arial"/>
          <w:sz w:val="28"/>
          <w:highlight w:val="none"/>
        </w:rPr>
      </w:pPr>
      <w:r>
        <w:rPr>
          <w:rFonts w:hint="eastAsia" w:ascii="Arial" w:hAnsi="Arial" w:eastAsia="仿宋" w:cs="Arial"/>
          <w:sz w:val="28"/>
          <w:highlight w:val="none"/>
          <w:lang w:eastAsia="zh-CN"/>
        </w:rPr>
        <w:t>土地使用权类型</w:t>
      </w:r>
      <w:r>
        <w:rPr>
          <w:rFonts w:ascii="Arial" w:hAnsi="Arial" w:eastAsia="仿宋" w:cs="Arial"/>
          <w:sz w:val="28"/>
          <w:highlight w:val="none"/>
        </w:rPr>
        <w:t>：</w:t>
      </w:r>
    </w:p>
    <w:p w14:paraId="7D7711A0">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根据《北京市人民政府关于顺义区二〇二〇年度批次建设用地的批复》（京政地字【2020】121号）、</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，于估价期日估价对象为建设用地，故本次评估设定</w:t>
      </w:r>
      <w:r>
        <w:rPr>
          <w:rFonts w:hint="eastAsia" w:ascii="Arial" w:hAnsi="Arial" w:eastAsia="仿宋" w:cs="Arial"/>
          <w:sz w:val="28"/>
          <w:highlight w:val="none"/>
          <w:lang w:eastAsia="zh-CN"/>
        </w:rPr>
        <w:t>土地使用权类型</w:t>
      </w:r>
      <w:r>
        <w:rPr>
          <w:rFonts w:ascii="Arial" w:hAnsi="Arial" w:eastAsia="仿宋" w:cs="Arial"/>
          <w:sz w:val="28"/>
          <w:highlight w:val="none"/>
        </w:rPr>
        <w:t xml:space="preserve">为出让国有建设用地使用权。 </w:t>
      </w:r>
    </w:p>
    <w:p w14:paraId="5A99D0F9">
      <w:pPr>
        <w:pStyle w:val="90"/>
        <w:numPr>
          <w:ilvl w:val="0"/>
          <w:numId w:val="13"/>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土地开发程度设定：</w:t>
      </w:r>
    </w:p>
    <w:p w14:paraId="285944A3">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根据委托估价方介绍及土地估价专业评估师实地查勘，本次评估估价对象实际土地开发程度为红线外市政基础设施达</w:t>
      </w:r>
      <w:r>
        <w:rPr>
          <w:rFonts w:hint="eastAsia" w:ascii="Arial" w:hAnsi="Arial" w:eastAsia="仿宋" w:cs="Arial"/>
          <w:sz w:val="28"/>
          <w:szCs w:val="28"/>
          <w:highlight w:val="none"/>
          <w:lang w:eastAsia="zh-CN"/>
        </w:rPr>
        <w:t>“七通”（通路、通上水（自来水、中水）、通下水（雨水、污水）、通电（管沟、电缆）、通讯、通燃气、通热力）</w:t>
      </w:r>
      <w:r>
        <w:rPr>
          <w:rFonts w:ascii="Arial" w:hAnsi="Arial" w:eastAsia="仿宋" w:cs="Arial"/>
          <w:sz w:val="28"/>
          <w:highlight w:val="none"/>
        </w:rPr>
        <w:t>、宗地红线内场地平整。</w:t>
      </w:r>
      <w:r>
        <w:rPr>
          <w:rFonts w:ascii="Arial" w:hAnsi="Arial" w:eastAsia="仿宋" w:cs="Arial"/>
          <w:sz w:val="28"/>
          <w:szCs w:val="28"/>
          <w:highlight w:val="none"/>
        </w:rPr>
        <w:t>根据《北京市顺义区人民政府关于顺义区高丽营镇夏县营村棚户区改造土地开发项目01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020地块提请地价审核有关事宜的函》记载</w:t>
      </w:r>
      <w:r>
        <w:rPr>
          <w:rFonts w:ascii="Arial" w:hAnsi="Arial" w:eastAsia="仿宋" w:cs="Arial"/>
          <w:sz w:val="28"/>
          <w:highlight w:val="none"/>
        </w:rPr>
        <w:t>，估价对象供地条件为宗地外</w:t>
      </w:r>
      <w:r>
        <w:rPr>
          <w:rFonts w:hint="eastAsia" w:ascii="Arial" w:hAnsi="Arial" w:eastAsia="仿宋" w:cs="Arial"/>
          <w:sz w:val="28"/>
          <w:szCs w:val="28"/>
          <w:highlight w:val="none"/>
          <w:lang w:eastAsia="zh-CN"/>
        </w:rPr>
        <w:t>“七通”（通路、通上水（自来水、中水）、通下水（雨水、污水）、通电、通讯、通燃气、通热力）</w:t>
      </w:r>
      <w:r>
        <w:rPr>
          <w:rFonts w:ascii="Arial" w:hAnsi="Arial" w:eastAsia="仿宋" w:cs="Arial"/>
          <w:sz w:val="28"/>
          <w:highlight w:val="none"/>
        </w:rPr>
        <w:t>、宗地红线内场地平整。本次评估设定土地开发程度即为实际开发程度红线外市政基础设施达</w:t>
      </w:r>
      <w:r>
        <w:rPr>
          <w:rFonts w:hint="eastAsia" w:ascii="Arial" w:hAnsi="Arial" w:eastAsia="仿宋" w:cs="Arial"/>
          <w:sz w:val="28"/>
          <w:szCs w:val="28"/>
          <w:highlight w:val="none"/>
          <w:lang w:eastAsia="zh-CN"/>
        </w:rPr>
        <w:t>“七通”</w:t>
      </w:r>
      <w:r>
        <w:rPr>
          <w:rFonts w:ascii="Arial" w:hAnsi="Arial" w:eastAsia="仿宋" w:cs="Arial"/>
          <w:sz w:val="28"/>
          <w:highlight w:val="none"/>
        </w:rPr>
        <w:t>、宗地红线内场地平整。</w:t>
      </w:r>
    </w:p>
    <w:p w14:paraId="07F1DEF8">
      <w:pPr>
        <w:pStyle w:val="90"/>
        <w:numPr>
          <w:ilvl w:val="0"/>
          <w:numId w:val="13"/>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土地使用权年限设定：</w:t>
      </w:r>
    </w:p>
    <w:p w14:paraId="077441DE">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估价对象于估价期日为拟出让国有建设用地使用权。考虑到本次估价目的，根据《中华人民共和国城镇国有土地使用权出让和转让暂行条例》（国务院令第55号）、</w:t>
      </w:r>
      <w:r>
        <w:rPr>
          <w:rFonts w:ascii="Arial" w:hAnsi="Arial" w:eastAsia="仿宋" w:cs="Arial"/>
          <w:sz w:val="28"/>
          <w:highlight w:val="none"/>
        </w:rPr>
        <w:t>《北京市人民政府关于更新出让国有建设用地使用权基准地价的通知》（京政发（2022）12号）</w:t>
      </w:r>
      <w:r>
        <w:rPr>
          <w:rFonts w:ascii="Arial" w:hAnsi="Arial" w:eastAsia="仿宋" w:cs="Arial"/>
          <w:sz w:val="28"/>
          <w:szCs w:val="28"/>
          <w:highlight w:val="none"/>
        </w:rPr>
        <w:t>的有关规定，本次评估设定土地使用年限为法定最高使用年限</w:t>
      </w:r>
      <w:r>
        <w:rPr>
          <w:rFonts w:hint="eastAsia" w:ascii="Arial" w:hAnsi="Arial" w:eastAsia="仿宋" w:cs="Arial"/>
          <w:sz w:val="28"/>
          <w:szCs w:val="28"/>
          <w:highlight w:val="none"/>
          <w:lang w:eastAsia="zh-CN"/>
        </w:rPr>
        <w:t>，即城镇住宅用地70年、其他商业服务业用地40年、</w:t>
      </w:r>
      <w:r>
        <w:rPr>
          <w:rFonts w:ascii="Arial" w:hAnsi="Arial" w:eastAsia="仿宋" w:cs="Arial"/>
          <w:sz w:val="28"/>
          <w:highlight w:val="none"/>
        </w:rPr>
        <w:t>公共</w:t>
      </w:r>
      <w:r>
        <w:rPr>
          <w:rFonts w:hint="eastAsia" w:ascii="Arial" w:hAnsi="Arial" w:eastAsia="仿宋" w:cs="Arial"/>
          <w:sz w:val="28"/>
          <w:highlight w:val="none"/>
          <w:lang w:val="en-US" w:eastAsia="zh-CN"/>
        </w:rPr>
        <w:t>管理与公共</w:t>
      </w:r>
      <w:r>
        <w:rPr>
          <w:rFonts w:ascii="Arial" w:hAnsi="Arial" w:eastAsia="仿宋" w:cs="Arial"/>
          <w:sz w:val="28"/>
          <w:highlight w:val="none"/>
        </w:rPr>
        <w:t>服务</w:t>
      </w:r>
      <w:r>
        <w:rPr>
          <w:rFonts w:hint="eastAsia" w:ascii="Arial" w:hAnsi="Arial" w:eastAsia="仿宋" w:cs="Arial"/>
          <w:sz w:val="28"/>
          <w:highlight w:val="none"/>
          <w:lang w:val="en-US" w:eastAsia="zh-CN"/>
        </w:rPr>
        <w:t>用地</w:t>
      </w:r>
      <w:r>
        <w:rPr>
          <w:rFonts w:ascii="Arial" w:hAnsi="Arial" w:eastAsia="仿宋" w:cs="Arial"/>
          <w:sz w:val="28"/>
          <w:szCs w:val="28"/>
          <w:highlight w:val="none"/>
        </w:rPr>
        <w:t xml:space="preserve">50年。 </w:t>
      </w:r>
    </w:p>
    <w:p w14:paraId="687C1DC2">
      <w:pPr>
        <w:pStyle w:val="90"/>
        <w:numPr>
          <w:ilvl w:val="0"/>
          <w:numId w:val="13"/>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规划利用条件设定：</w:t>
      </w:r>
    </w:p>
    <w:p w14:paraId="76698636">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根据</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 xml:space="preserve">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020地块（A334托幼用地，不出让）建设用地规模为4199.98平方米，地上建筑规模为3359.98平方米，容积率为0.8。根据《</w:t>
      </w:r>
      <w:r>
        <w:rPr>
          <w:rFonts w:hint="eastAsia" w:ascii="Arial" w:hAnsi="Arial" w:eastAsia="仿宋" w:cs="Arial"/>
          <w:sz w:val="28"/>
          <w:highlight w:val="none"/>
          <w:lang w:val="en-US" w:eastAsia="zh-CN"/>
        </w:rPr>
        <w:t>北京市国有建设用地使用权出让地价评估技术导则</w:t>
      </w:r>
      <w:r>
        <w:rPr>
          <w:rFonts w:ascii="Arial" w:hAnsi="Arial" w:eastAsia="仿宋" w:cs="Arial"/>
          <w:sz w:val="28"/>
          <w:highlight w:val="none"/>
        </w:rPr>
        <w:t>》（</w:t>
      </w:r>
      <w:r>
        <w:rPr>
          <w:rFonts w:hint="eastAsia" w:ascii="Arial" w:hAnsi="Arial" w:eastAsia="仿宋" w:cs="Arial"/>
          <w:sz w:val="28"/>
          <w:highlight w:val="none"/>
          <w:lang w:val="en-US" w:eastAsia="zh-CN"/>
        </w:rPr>
        <w:t>2026年2月10日实施</w:t>
      </w:r>
      <w:r>
        <w:rPr>
          <w:rFonts w:ascii="Arial" w:hAnsi="Arial" w:eastAsia="仿宋" w:cs="Arial"/>
          <w:sz w:val="28"/>
          <w:highlight w:val="none"/>
        </w:rPr>
        <w:t>）中的相关规定，本次评估01</w:t>
      </w:r>
      <w:r>
        <w:rPr>
          <w:rFonts w:hint="eastAsia" w:ascii="Arial" w:hAnsi="Arial" w:eastAsia="仿宋" w:cs="Arial"/>
          <w:sz w:val="28"/>
          <w:highlight w:val="none"/>
          <w:lang w:eastAsia="zh-CN"/>
        </w:rPr>
        <w:t>－</w:t>
      </w:r>
      <w:r>
        <w:rPr>
          <w:rFonts w:ascii="Arial" w:hAnsi="Arial" w:eastAsia="仿宋" w:cs="Arial"/>
          <w:sz w:val="28"/>
          <w:highlight w:val="none"/>
        </w:rPr>
        <w:t>008、01</w:t>
      </w:r>
      <w:r>
        <w:rPr>
          <w:rFonts w:hint="eastAsia" w:ascii="Arial" w:hAnsi="Arial" w:eastAsia="仿宋" w:cs="Arial"/>
          <w:sz w:val="28"/>
          <w:highlight w:val="none"/>
          <w:lang w:eastAsia="zh-CN"/>
        </w:rPr>
        <w:t>－</w:t>
      </w:r>
      <w:r>
        <w:rPr>
          <w:rFonts w:ascii="Arial" w:hAnsi="Arial" w:eastAsia="仿宋" w:cs="Arial"/>
          <w:sz w:val="28"/>
          <w:highlight w:val="none"/>
        </w:rPr>
        <w:t>016、01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1地块（R2二类居住用地）容积率为1.2。</w:t>
      </w:r>
    </w:p>
    <w:p w14:paraId="39A0980B">
      <w:pPr>
        <w:pStyle w:val="90"/>
        <w:numPr>
          <w:ilvl w:val="0"/>
          <w:numId w:val="13"/>
        </w:numPr>
        <w:adjustRightInd/>
        <w:spacing w:line="300" w:lineRule="auto"/>
        <w:ind w:left="0" w:firstLine="560"/>
        <w:jc w:val="both"/>
        <w:textAlignment w:val="auto"/>
        <w:rPr>
          <w:rFonts w:ascii="Arial" w:hAnsi="Arial" w:eastAsia="仿宋" w:cs="Arial"/>
          <w:sz w:val="28"/>
          <w:szCs w:val="28"/>
          <w:highlight w:val="none"/>
        </w:rPr>
      </w:pPr>
      <w:r>
        <w:rPr>
          <w:rFonts w:ascii="Arial" w:hAnsi="Arial" w:eastAsia="仿宋" w:cs="Arial"/>
          <w:sz w:val="28"/>
          <w:szCs w:val="28"/>
          <w:highlight w:val="none"/>
        </w:rPr>
        <w:t>地价内涵：</w:t>
      </w:r>
    </w:p>
    <w:p w14:paraId="4621056F">
      <w:pPr>
        <w:snapToGrid w:val="0"/>
        <w:spacing w:line="300" w:lineRule="auto"/>
        <w:ind w:firstLine="556"/>
        <w:jc w:val="both"/>
        <w:rPr>
          <w:rFonts w:ascii="Arial" w:hAnsi="Arial" w:eastAsia="仿宋_GB2312" w:cs="Arial"/>
          <w:sz w:val="28"/>
          <w:szCs w:val="28"/>
          <w:highlight w:val="none"/>
        </w:rPr>
      </w:pPr>
      <w:r>
        <w:rPr>
          <w:rFonts w:ascii="Arial" w:hAnsi="Arial" w:eastAsia="仿宋" w:cs="Arial"/>
          <w:sz w:val="28"/>
          <w:highlight w:val="none"/>
        </w:rPr>
        <w:t>本报告所评估的熟地价为：在公开市场条件下，估价对象宗地在估价期日</w:t>
      </w:r>
      <w:r>
        <w:rPr>
          <w:rFonts w:hint="eastAsia" w:ascii="Arial" w:hAnsi="Arial" w:eastAsia="仿宋" w:cs="Arial"/>
          <w:sz w:val="28"/>
          <w:highlight w:val="none"/>
          <w:lang w:eastAsia="zh-CN"/>
        </w:rPr>
        <w:t>2026年3月26日</w:t>
      </w:r>
      <w:r>
        <w:rPr>
          <w:rFonts w:ascii="Arial" w:hAnsi="Arial" w:eastAsia="仿宋" w:cs="Arial"/>
          <w:sz w:val="28"/>
          <w:highlight w:val="none"/>
        </w:rPr>
        <w:t>，在北京市基准地价住宅类九级IX</w:t>
      </w:r>
      <w:r>
        <w:rPr>
          <w:rFonts w:hint="eastAsia" w:ascii="Arial" w:hAnsi="Arial" w:eastAsia="仿宋" w:cs="Arial"/>
          <w:sz w:val="28"/>
          <w:highlight w:val="none"/>
          <w:lang w:eastAsia="zh-CN"/>
        </w:rPr>
        <w:t>－</w:t>
      </w:r>
      <w:r>
        <w:rPr>
          <w:rFonts w:ascii="Arial" w:hAnsi="Arial" w:eastAsia="仿宋" w:cs="Arial"/>
          <w:sz w:val="28"/>
          <w:highlight w:val="none"/>
        </w:rPr>
        <w:t>顺5区片、商服类九级IX</w:t>
      </w:r>
      <w:r>
        <w:rPr>
          <w:rFonts w:hint="eastAsia" w:ascii="Arial" w:hAnsi="Arial" w:eastAsia="仿宋" w:cs="Arial"/>
          <w:sz w:val="28"/>
          <w:highlight w:val="none"/>
          <w:lang w:eastAsia="zh-CN"/>
        </w:rPr>
        <w:t>－</w:t>
      </w:r>
      <w:r>
        <w:rPr>
          <w:rFonts w:ascii="Arial" w:hAnsi="Arial" w:eastAsia="仿宋" w:cs="Arial"/>
          <w:sz w:val="28"/>
          <w:highlight w:val="none"/>
        </w:rPr>
        <w:t>顺5区片、公共服务类九级IX</w:t>
      </w:r>
      <w:r>
        <w:rPr>
          <w:rFonts w:hint="eastAsia" w:ascii="Arial" w:hAnsi="Arial" w:eastAsia="仿宋" w:cs="Arial"/>
          <w:sz w:val="28"/>
          <w:highlight w:val="none"/>
          <w:lang w:eastAsia="zh-CN"/>
        </w:rPr>
        <w:t>－</w:t>
      </w:r>
      <w:r>
        <w:rPr>
          <w:rFonts w:ascii="Arial" w:hAnsi="Arial" w:eastAsia="仿宋" w:cs="Arial"/>
          <w:sz w:val="28"/>
          <w:highlight w:val="none"/>
        </w:rPr>
        <w:t>顺5区片，宗地实际开发程度为宗地外</w:t>
      </w:r>
      <w:r>
        <w:rPr>
          <w:rFonts w:hint="eastAsia" w:ascii="Arial" w:hAnsi="Arial" w:eastAsia="仿宋" w:cs="Arial"/>
          <w:sz w:val="28"/>
          <w:highlight w:val="none"/>
          <w:lang w:eastAsia="zh-CN"/>
        </w:rPr>
        <w:t>“七通”（通路、通上水（自来水、中水）、通下水（雨水、污水）、通电（管沟、电缆）、通讯、通燃气、通热力）</w:t>
      </w:r>
      <w:r>
        <w:rPr>
          <w:rFonts w:ascii="Arial" w:hAnsi="Arial" w:eastAsia="仿宋" w:cs="Arial"/>
          <w:sz w:val="28"/>
          <w:highlight w:val="none"/>
        </w:rPr>
        <w:t>，宗地红线内场地平整；根据</w:t>
      </w:r>
      <w:r>
        <w:rPr>
          <w:rFonts w:hint="eastAsia" w:ascii="Arial" w:hAnsi="Arial" w:eastAsia="仿宋_GB2312" w:cs="Arial"/>
          <w:sz w:val="28"/>
          <w:szCs w:val="28"/>
          <w:highlight w:val="none"/>
        </w:rPr>
        <w:t>《北京市顺义区人民政府关于顺义区高丽营镇夏县营村棚户区改造土地开发项目01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008、01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016、01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026</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1、01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020地块提请地价审核有关事宜的函》</w:t>
      </w:r>
      <w:r>
        <w:rPr>
          <w:rFonts w:ascii="Arial" w:hAnsi="Arial" w:eastAsia="仿宋" w:cs="Arial"/>
          <w:sz w:val="28"/>
          <w:highlight w:val="none"/>
        </w:rPr>
        <w:t>，评估设定土地开发程度为宗地外</w:t>
      </w:r>
      <w:r>
        <w:rPr>
          <w:rFonts w:hint="eastAsia" w:ascii="Arial" w:hAnsi="Arial" w:eastAsia="仿宋" w:cs="Arial"/>
          <w:sz w:val="28"/>
          <w:highlight w:val="none"/>
          <w:lang w:eastAsia="zh-CN"/>
        </w:rPr>
        <w:t>“七通”（通路、通上水（自来水、中水）、通下水（雨水、污水）、通电、通讯、通燃气、通热力）</w:t>
      </w:r>
      <w:r>
        <w:rPr>
          <w:rFonts w:ascii="Arial" w:hAnsi="Arial" w:eastAsia="仿宋" w:cs="Arial"/>
          <w:sz w:val="28"/>
          <w:highlight w:val="none"/>
        </w:rPr>
        <w:t>，宗地红线内场地平整，规划用地性质为R2二类居住用地，评估设定用途为</w:t>
      </w:r>
      <w:r>
        <w:rPr>
          <w:rFonts w:hint="eastAsia" w:ascii="Arial" w:hAnsi="Arial" w:eastAsia="仿宋" w:cs="Arial"/>
          <w:sz w:val="28"/>
          <w:highlight w:val="none"/>
          <w:lang w:eastAsia="zh-CN"/>
        </w:rPr>
        <w:t>城镇住宅用地、其他商业服务业用地及公共管理与公共服务用地</w:t>
      </w:r>
      <w:r>
        <w:rPr>
          <w:rFonts w:ascii="Arial" w:hAnsi="Arial" w:eastAsia="仿宋" w:cs="Arial"/>
          <w:sz w:val="28"/>
          <w:highlight w:val="none"/>
        </w:rPr>
        <w:t>，</w:t>
      </w:r>
      <w:r>
        <w:rPr>
          <w:rFonts w:ascii="Arial" w:hAnsi="Arial" w:eastAsia="仿宋" w:cs="Arial"/>
          <w:sz w:val="28"/>
          <w:szCs w:val="28"/>
          <w:highlight w:val="none"/>
        </w:rPr>
        <w:t>评估设定土地使用年限为法定最高使用年限</w:t>
      </w:r>
      <w:r>
        <w:rPr>
          <w:rFonts w:hint="eastAsia" w:ascii="Arial" w:hAnsi="Arial" w:eastAsia="仿宋" w:cs="Arial"/>
          <w:sz w:val="28"/>
          <w:szCs w:val="28"/>
          <w:highlight w:val="none"/>
          <w:lang w:eastAsia="zh-CN"/>
        </w:rPr>
        <w:t>，即城镇住宅用地70年、其他商业服务业用地40年、</w:t>
      </w:r>
      <w:r>
        <w:rPr>
          <w:rFonts w:ascii="Arial" w:hAnsi="Arial" w:eastAsia="仿宋" w:cs="Arial"/>
          <w:sz w:val="28"/>
          <w:highlight w:val="none"/>
        </w:rPr>
        <w:t>公共</w:t>
      </w:r>
      <w:r>
        <w:rPr>
          <w:rFonts w:hint="eastAsia" w:ascii="Arial" w:hAnsi="Arial" w:eastAsia="仿宋" w:cs="Arial"/>
          <w:sz w:val="28"/>
          <w:highlight w:val="none"/>
          <w:lang w:val="en-US" w:eastAsia="zh-CN"/>
        </w:rPr>
        <w:t>管理与公共</w:t>
      </w:r>
      <w:r>
        <w:rPr>
          <w:rFonts w:ascii="Arial" w:hAnsi="Arial" w:eastAsia="仿宋" w:cs="Arial"/>
          <w:sz w:val="28"/>
          <w:highlight w:val="none"/>
        </w:rPr>
        <w:t>服务</w:t>
      </w:r>
      <w:r>
        <w:rPr>
          <w:rFonts w:hint="eastAsia" w:ascii="Arial" w:hAnsi="Arial" w:eastAsia="仿宋" w:cs="Arial"/>
          <w:sz w:val="28"/>
          <w:highlight w:val="none"/>
          <w:lang w:val="en-US" w:eastAsia="zh-CN"/>
        </w:rPr>
        <w:t>用地</w:t>
      </w:r>
      <w:r>
        <w:rPr>
          <w:rFonts w:ascii="Arial" w:hAnsi="Arial" w:eastAsia="仿宋" w:cs="Arial"/>
          <w:sz w:val="28"/>
          <w:szCs w:val="28"/>
          <w:highlight w:val="none"/>
        </w:rPr>
        <w:t>50年</w:t>
      </w:r>
      <w:r>
        <w:rPr>
          <w:rFonts w:ascii="Arial" w:hAnsi="Arial" w:eastAsia="仿宋" w:cs="Arial"/>
          <w:sz w:val="28"/>
          <w:highlight w:val="none"/>
        </w:rPr>
        <w:t>，土地面积为</w:t>
      </w:r>
      <w:r>
        <w:rPr>
          <w:rFonts w:hint="eastAsia" w:ascii="Arial" w:hAnsi="Arial" w:eastAsia="仿宋" w:cs="Arial"/>
          <w:sz w:val="28"/>
          <w:highlight w:val="none"/>
          <w:lang w:eastAsia="zh-CN"/>
        </w:rPr>
        <w:t>56790.45</w:t>
      </w:r>
      <w:r>
        <w:rPr>
          <w:rFonts w:ascii="Arial" w:hAnsi="Arial" w:eastAsia="仿宋" w:cs="Arial"/>
          <w:sz w:val="28"/>
          <w:highlight w:val="none"/>
        </w:rPr>
        <w:t>平方米，01</w:t>
      </w:r>
      <w:r>
        <w:rPr>
          <w:rFonts w:hint="eastAsia" w:ascii="Arial" w:hAnsi="Arial" w:eastAsia="仿宋" w:cs="Arial"/>
          <w:sz w:val="28"/>
          <w:highlight w:val="none"/>
          <w:lang w:eastAsia="zh-CN"/>
        </w:rPr>
        <w:t>－</w:t>
      </w:r>
      <w:r>
        <w:rPr>
          <w:rFonts w:ascii="Arial" w:hAnsi="Arial" w:eastAsia="仿宋" w:cs="Arial"/>
          <w:sz w:val="28"/>
          <w:highlight w:val="none"/>
        </w:rPr>
        <w:t>008、01</w:t>
      </w:r>
      <w:r>
        <w:rPr>
          <w:rFonts w:hint="eastAsia" w:ascii="Arial" w:hAnsi="Arial" w:eastAsia="仿宋" w:cs="Arial"/>
          <w:sz w:val="28"/>
          <w:highlight w:val="none"/>
          <w:lang w:eastAsia="zh-CN"/>
        </w:rPr>
        <w:t>－</w:t>
      </w:r>
      <w:r>
        <w:rPr>
          <w:rFonts w:ascii="Arial" w:hAnsi="Arial" w:eastAsia="仿宋" w:cs="Arial"/>
          <w:sz w:val="28"/>
          <w:highlight w:val="none"/>
        </w:rPr>
        <w:t>016、01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1地块（R2二类居住用地）容积率为1.2；</w:t>
      </w:r>
      <w:r>
        <w:rPr>
          <w:rFonts w:hint="eastAsia" w:ascii="Arial" w:hAnsi="Arial" w:eastAsia="仿宋" w:cs="Arial"/>
          <w:sz w:val="28"/>
          <w:highlight w:val="none"/>
          <w:lang w:val="en-US" w:eastAsia="zh-CN"/>
        </w:rPr>
        <w:t>无他项权利限制，</w:t>
      </w:r>
      <w:r>
        <w:rPr>
          <w:rFonts w:ascii="Arial" w:hAnsi="Arial" w:eastAsia="仿宋" w:cs="Arial"/>
          <w:sz w:val="28"/>
          <w:highlight w:val="none"/>
        </w:rPr>
        <w:t>在规划利用条件下的出让国有建设用地使用权价格。</w:t>
      </w:r>
    </w:p>
    <w:p w14:paraId="4017EB69">
      <w:pPr>
        <w:snapToGrid w:val="0"/>
        <w:spacing w:line="300" w:lineRule="auto"/>
        <w:ind w:firstLine="556"/>
        <w:jc w:val="both"/>
        <w:rPr>
          <w:rFonts w:ascii="Arial" w:hAnsi="Arial" w:eastAsia="仿宋_GB2312" w:cs="Arial"/>
          <w:sz w:val="28"/>
          <w:szCs w:val="28"/>
          <w:highlight w:val="none"/>
        </w:rPr>
      </w:pPr>
    </w:p>
    <w:p w14:paraId="70AF040B">
      <w:pPr>
        <w:spacing w:line="300" w:lineRule="auto"/>
        <w:jc w:val="both"/>
        <w:outlineLvl w:val="1"/>
        <w:rPr>
          <w:rFonts w:ascii="Arial" w:hAnsi="Arial" w:eastAsia="仿宋_GB2312" w:cs="Arial"/>
          <w:sz w:val="28"/>
          <w:highlight w:val="none"/>
        </w:rPr>
      </w:pPr>
      <w:bookmarkStart w:id="297" w:name="_Toc469066158"/>
      <w:bookmarkStart w:id="298" w:name="_Toc132016631"/>
      <w:bookmarkStart w:id="299" w:name="_Toc416783576"/>
      <w:bookmarkStart w:id="300" w:name="_Toc515457810"/>
      <w:bookmarkStart w:id="301" w:name="_Toc138063019"/>
      <w:bookmarkStart w:id="302" w:name="_Toc132016748"/>
      <w:bookmarkStart w:id="303" w:name="_Toc516488188"/>
      <w:bookmarkStart w:id="304" w:name="_Toc416783672"/>
      <w:r>
        <w:rPr>
          <w:rFonts w:ascii="Arial" w:hAnsi="Arial" w:eastAsia="仿宋_GB2312" w:cs="Arial"/>
          <w:b/>
          <w:sz w:val="28"/>
          <w:highlight w:val="none"/>
        </w:rPr>
        <w:t>九、估价结果</w:t>
      </w:r>
      <w:bookmarkEnd w:id="297"/>
      <w:bookmarkEnd w:id="298"/>
      <w:bookmarkEnd w:id="299"/>
      <w:bookmarkEnd w:id="300"/>
      <w:bookmarkEnd w:id="301"/>
      <w:bookmarkEnd w:id="302"/>
      <w:bookmarkEnd w:id="303"/>
      <w:bookmarkEnd w:id="304"/>
    </w:p>
    <w:p w14:paraId="31907F0C">
      <w:pPr>
        <w:spacing w:line="300" w:lineRule="auto"/>
        <w:ind w:firstLine="562" w:firstLineChars="200"/>
        <w:jc w:val="both"/>
        <w:rPr>
          <w:rFonts w:ascii="Arial" w:hAnsi="Arial" w:eastAsia="仿宋_GB2312" w:cs="Arial"/>
          <w:kern w:val="2"/>
          <w:sz w:val="28"/>
          <w:highlight w:val="none"/>
        </w:rPr>
      </w:pPr>
      <w:bookmarkStart w:id="305" w:name="_Toc416783676"/>
      <w:bookmarkStart w:id="306" w:name="_Toc416783580"/>
      <w:r>
        <w:rPr>
          <w:rFonts w:ascii="黑体" w:hAnsi="黑体" w:eastAsia="黑体" w:cs="Arial"/>
          <w:b/>
          <w:sz w:val="28"/>
          <w:highlight w:val="none"/>
        </w:rPr>
        <w:t>估价对象位于北京市基准地价住宅</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lang w:eastAsia="zh-CN"/>
        </w:rPr>
        <w:t>其他商业服务业用地</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rPr>
        <w:t>公共服务九级（IX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范围内</w:t>
      </w:r>
      <w:r>
        <w:rPr>
          <w:rFonts w:ascii="Arial" w:hAnsi="Arial" w:eastAsia="黑体" w:cs="Arial"/>
          <w:b/>
          <w:sz w:val="28"/>
          <w:highlight w:val="none"/>
        </w:rPr>
        <w:t>。</w:t>
      </w:r>
      <w:r>
        <w:rPr>
          <w:rFonts w:ascii="Arial" w:hAnsi="Arial" w:eastAsia="仿宋_GB2312" w:cs="Arial"/>
          <w:kern w:val="2"/>
          <w:sz w:val="28"/>
          <w:highlight w:val="none"/>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sz w:val="28"/>
          <w:highlight w:val="none"/>
        </w:rPr>
        <w:t>土地</w:t>
      </w:r>
      <w:r>
        <w:rPr>
          <w:rFonts w:ascii="Arial" w:hAnsi="Arial" w:eastAsia="仿宋_GB2312" w:cs="Arial"/>
          <w:kern w:val="2"/>
          <w:sz w:val="28"/>
          <w:highlight w:val="none"/>
        </w:rPr>
        <w:t>价格的因素，确定</w:t>
      </w:r>
      <w:r>
        <w:rPr>
          <w:rFonts w:ascii="Arial" w:hAnsi="Arial" w:eastAsia="仿宋_GB2312" w:cs="Arial"/>
          <w:sz w:val="28"/>
          <w:highlight w:val="none"/>
        </w:rPr>
        <w:t>估价对象于估价期日</w:t>
      </w:r>
      <w:r>
        <w:rPr>
          <w:rFonts w:hint="eastAsia" w:ascii="Arial" w:hAnsi="Arial" w:eastAsia="仿宋_GB2312" w:cs="Arial"/>
          <w:sz w:val="28"/>
          <w:highlight w:val="none"/>
          <w:lang w:val="en-US" w:eastAsia="zh-CN"/>
        </w:rPr>
        <w:t>2026年3月26日</w:t>
      </w:r>
      <w:r>
        <w:rPr>
          <w:rFonts w:ascii="Arial" w:hAnsi="Arial" w:eastAsia="仿宋_GB2312" w:cs="Arial"/>
          <w:sz w:val="28"/>
          <w:highlight w:val="none"/>
        </w:rPr>
        <w:t>的</w:t>
      </w:r>
      <w:r>
        <w:rPr>
          <w:rFonts w:hint="eastAsia" w:ascii="Arial" w:hAnsi="Arial" w:eastAsia="仿宋_GB2312" w:cs="Arial"/>
          <w:kern w:val="2"/>
          <w:sz w:val="28"/>
          <w:highlight w:val="none"/>
          <w:lang w:eastAsia="zh-CN"/>
        </w:rPr>
        <w:t>楼面地价</w:t>
      </w:r>
      <w:r>
        <w:rPr>
          <w:rFonts w:ascii="Arial" w:hAnsi="Arial" w:eastAsia="仿宋_GB2312" w:cs="Arial"/>
          <w:kern w:val="2"/>
          <w:sz w:val="28"/>
          <w:highlight w:val="none"/>
        </w:rPr>
        <w:t>为：</w:t>
      </w:r>
    </w:p>
    <w:p w14:paraId="456B9B95">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规划总建设用地面积：</w:t>
      </w:r>
      <w:r>
        <w:rPr>
          <w:rFonts w:hint="eastAsia" w:ascii="Arial" w:hAnsi="Arial" w:eastAsia="仿宋_GB2312" w:cs="Arial"/>
          <w:b w:val="0"/>
          <w:bCs w:val="0"/>
          <w:kern w:val="2"/>
          <w:sz w:val="28"/>
          <w:highlight w:val="none"/>
          <w:lang w:val="en-US" w:eastAsia="zh-CN"/>
        </w:rPr>
        <w:t>60990.43平方米</w:t>
      </w:r>
    </w:p>
    <w:p w14:paraId="32285772">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规划总建筑面积：</w:t>
      </w:r>
      <w:r>
        <w:rPr>
          <w:rFonts w:hint="eastAsia" w:ascii="Arial" w:hAnsi="Arial" w:eastAsia="仿宋_GB2312" w:cs="Arial"/>
          <w:b w:val="0"/>
          <w:bCs w:val="0"/>
          <w:kern w:val="2"/>
          <w:sz w:val="28"/>
          <w:highlight w:val="none"/>
          <w:lang w:val="en-US" w:eastAsia="zh-CN"/>
        </w:rPr>
        <w:t>71508.52平方米</w:t>
      </w:r>
    </w:p>
    <w:p w14:paraId="4051AB21">
      <w:pPr>
        <w:snapToGrid w:val="0"/>
        <w:spacing w:before="120" w:beforeLines="50" w:line="288" w:lineRule="auto"/>
        <w:ind w:firstLine="840" w:firstLineChars="300"/>
        <w:rPr>
          <w:rFonts w:hint="eastAsia" w:ascii="Arial" w:hAnsi="Arial" w:eastAsia="仿宋_GB2312" w:cs="Arial"/>
          <w:b/>
          <w:kern w:val="2"/>
          <w:sz w:val="28"/>
          <w:highlight w:val="none"/>
          <w:lang w:val="en-US" w:eastAsia="zh-CN"/>
        </w:rPr>
      </w:pPr>
      <w:r>
        <w:rPr>
          <w:rFonts w:hint="eastAsia" w:ascii="Arial" w:hAnsi="Arial" w:eastAsia="仿宋_GB2312" w:cs="Arial"/>
          <w:b w:val="0"/>
          <w:bCs w:val="0"/>
          <w:kern w:val="2"/>
          <w:sz w:val="28"/>
          <w:highlight w:val="none"/>
          <w:lang w:val="en-US" w:eastAsia="zh-CN"/>
        </w:rPr>
        <w:t>其中，经营性建筑面积：68148.54平方米</w:t>
      </w:r>
    </w:p>
    <w:p w14:paraId="2B64C461">
      <w:pPr>
        <w:snapToGrid w:val="0"/>
        <w:spacing w:line="288" w:lineRule="auto"/>
        <w:ind w:firstLine="562" w:firstLineChars="200"/>
        <w:rPr>
          <w:rFonts w:ascii="Arial" w:hAnsi="Arial" w:eastAsia="仿宋_GB2312" w:cs="Arial"/>
          <w:b/>
          <w:kern w:val="2"/>
          <w:sz w:val="28"/>
          <w:highlight w:val="none"/>
        </w:rPr>
      </w:pPr>
      <w:r>
        <w:rPr>
          <w:rFonts w:ascii="Arial" w:hAnsi="Arial" w:eastAsia="仿宋_GB2312" w:cs="Arial"/>
          <w:b/>
          <w:kern w:val="2"/>
          <w:sz w:val="28"/>
          <w:highlight w:val="none"/>
        </w:rPr>
        <w:t>熟地</w:t>
      </w:r>
      <w:r>
        <w:rPr>
          <w:rFonts w:hint="eastAsia" w:ascii="Arial" w:hAnsi="Arial" w:eastAsia="仿宋_GB2312" w:cs="Arial"/>
          <w:b/>
          <w:kern w:val="2"/>
          <w:sz w:val="28"/>
          <w:highlight w:val="none"/>
          <w:lang w:val="en-US" w:eastAsia="zh-CN"/>
        </w:rPr>
        <w:t>总</w:t>
      </w:r>
      <w:r>
        <w:rPr>
          <w:rFonts w:ascii="Arial" w:hAnsi="Arial" w:eastAsia="仿宋_GB2312" w:cs="Arial"/>
          <w:b/>
          <w:kern w:val="2"/>
          <w:sz w:val="28"/>
          <w:highlight w:val="none"/>
        </w:rPr>
        <w:t>价：</w:t>
      </w:r>
    </w:p>
    <w:p w14:paraId="327B5ECF">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2C35E458">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3107B24F">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20B9BBAD">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城镇住宅用地：</w:t>
      </w:r>
    </w:p>
    <w:p w14:paraId="1531ADE8">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75634FAC">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0E6AC86F">
      <w:pPr>
        <w:snapToGrid w:val="0"/>
        <w:spacing w:before="120" w:beforeLines="50" w:line="288" w:lineRule="auto"/>
        <w:ind w:firstLine="840" w:firstLineChars="300"/>
        <w:rPr>
          <w:rFonts w:hint="eastAsia" w:ascii="Arial" w:hAnsi="Arial" w:eastAsia="仿宋_GB2312" w:cs="Arial"/>
          <w:b w:val="0"/>
          <w:bCs w:val="0"/>
          <w:kern w:val="2"/>
          <w:sz w:val="28"/>
          <w:highlight w:val="none"/>
          <w:lang w:val="en-US" w:eastAsia="zh-CN"/>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4BBF98ED">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其他商业服务业用地</w:t>
      </w:r>
    </w:p>
    <w:p w14:paraId="7A56C31C">
      <w:pPr>
        <w:snapToGrid w:val="0"/>
        <w:spacing w:before="120" w:beforeLines="50" w:line="288" w:lineRule="auto"/>
        <w:ind w:firstLine="840" w:firstLineChars="300"/>
        <w:rPr>
          <w:rFonts w:hint="default"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楼面地价：5295</w:t>
      </w:r>
      <w:r>
        <w:rPr>
          <w:rFonts w:hint="eastAsia" w:ascii="Arial" w:hAnsi="Arial" w:eastAsia="仿宋_GB2312" w:cs="Arial"/>
          <w:b w:val="0"/>
          <w:bCs w:val="0"/>
          <w:kern w:val="2"/>
          <w:sz w:val="28"/>
          <w:highlight w:val="none"/>
          <w:lang w:val="en-US" w:eastAsia="zh-CN"/>
        </w:rPr>
        <w:t>元/平方米</w:t>
      </w:r>
    </w:p>
    <w:p w14:paraId="28B64D80">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公共管理与公共服务用地</w:t>
      </w:r>
    </w:p>
    <w:p w14:paraId="15BD1B76">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楼面地价：3249</w:t>
      </w:r>
      <w:r>
        <w:rPr>
          <w:rFonts w:hint="eastAsia" w:ascii="Arial" w:hAnsi="Arial" w:eastAsia="仿宋_GB2312" w:cs="Arial"/>
          <w:b w:val="0"/>
          <w:bCs w:val="0"/>
          <w:kern w:val="2"/>
          <w:sz w:val="28"/>
          <w:highlight w:val="none"/>
          <w:lang w:val="en-US" w:eastAsia="zh-CN"/>
        </w:rPr>
        <w:t>元/平方米</w:t>
      </w:r>
    </w:p>
    <w:p w14:paraId="0139F114">
      <w:pPr>
        <w:snapToGrid w:val="0"/>
        <w:spacing w:before="120" w:beforeLines="50" w:line="288" w:lineRule="auto"/>
        <w:ind w:firstLine="560" w:firstLineChars="200"/>
        <w:rPr>
          <w:rFonts w:ascii="Arial" w:hAnsi="Arial" w:eastAsia="仿宋_GB2312" w:cs="Arial"/>
          <w:kern w:val="2"/>
          <w:sz w:val="28"/>
          <w:highlight w:val="none"/>
        </w:rPr>
      </w:pPr>
      <w:r>
        <w:rPr>
          <w:rFonts w:ascii="Arial" w:hAnsi="Arial" w:eastAsia="仿宋_GB2312" w:cs="Arial"/>
          <w:kern w:val="2"/>
          <w:sz w:val="28"/>
          <w:highlight w:val="none"/>
        </w:rPr>
        <w:t>详见《估价结果汇总表》</w:t>
      </w:r>
    </w:p>
    <w:p w14:paraId="62E163C2">
      <w:pPr>
        <w:snapToGrid w:val="0"/>
        <w:spacing w:before="120" w:beforeLines="50" w:line="300" w:lineRule="auto"/>
        <w:ind w:firstLine="562" w:firstLineChars="200"/>
        <w:rPr>
          <w:rFonts w:hint="eastAsia" w:ascii="Arial" w:hAnsi="Arial" w:eastAsia="仿宋_GB2312" w:cs="Arial"/>
          <w:b/>
          <w:kern w:val="2"/>
          <w:sz w:val="28"/>
          <w:highlight w:val="none"/>
        </w:rPr>
      </w:pPr>
      <w:r>
        <w:rPr>
          <w:rFonts w:hint="eastAsia" w:ascii="Arial" w:hAnsi="Arial" w:eastAsia="仿宋_GB2312" w:cs="Arial"/>
          <w:b/>
          <w:kern w:val="2"/>
          <w:sz w:val="28"/>
          <w:highlight w:val="none"/>
        </w:rPr>
        <w:t>根据北京市顺义区人民政府</w:t>
      </w:r>
      <w:r>
        <w:rPr>
          <w:rFonts w:hint="eastAsia" w:ascii="Arial" w:hAnsi="Arial" w:eastAsia="仿宋_GB2312" w:cs="Arial"/>
          <w:b/>
          <w:kern w:val="2"/>
          <w:sz w:val="28"/>
          <w:highlight w:val="none"/>
          <w:lang w:eastAsia="zh-CN"/>
        </w:rPr>
        <w:t>《北京市顺义区人民政府关于顺义区高丽营镇夏县营村棚户区改造土地开发项目01－008、01－016、01－026－1、01－020地块提请地价审核有关事宜的函》</w:t>
      </w:r>
      <w:r>
        <w:rPr>
          <w:rFonts w:hint="eastAsia" w:ascii="Arial" w:hAnsi="Arial" w:eastAsia="仿宋_GB2312" w:cs="Arial"/>
          <w:b/>
          <w:kern w:val="2"/>
          <w:sz w:val="28"/>
          <w:highlight w:val="none"/>
        </w:rPr>
        <w:t>，本项目不存在回迁、回购等实物补偿内容。</w:t>
      </w:r>
    </w:p>
    <w:p w14:paraId="4D1E2018">
      <w:pPr>
        <w:snapToGrid w:val="0"/>
        <w:spacing w:before="120" w:beforeLines="50" w:line="300" w:lineRule="auto"/>
        <w:ind w:firstLine="560" w:firstLineChars="200"/>
        <w:rPr>
          <w:rFonts w:hint="eastAsia" w:ascii="Arial" w:hAnsi="Arial" w:eastAsia="仿宋_GB2312" w:cs="Arial"/>
          <w:b/>
          <w:kern w:val="2"/>
          <w:sz w:val="28"/>
          <w:highlight w:val="none"/>
        </w:rPr>
      </w:pPr>
      <w:r>
        <w:rPr>
          <w:rFonts w:hint="eastAsia" w:ascii="Arial" w:hAnsi="Arial" w:eastAsia="仿宋_GB2312" w:cs="Arial"/>
          <w:sz w:val="28"/>
          <w:szCs w:val="28"/>
          <w:highlight w:val="none"/>
          <w:lang w:val="en-US" w:eastAsia="zh-CN"/>
        </w:rPr>
        <w:t>根据</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13C3169B">
      <w:pPr>
        <w:snapToGrid w:val="0"/>
        <w:spacing w:before="120" w:beforeLines="50" w:line="288" w:lineRule="auto"/>
        <w:ind w:firstLine="560" w:firstLineChars="200"/>
        <w:jc w:val="both"/>
        <w:rPr>
          <w:rFonts w:hint="eastAsia" w:ascii="Arial" w:hAnsi="Arial" w:eastAsia="仿宋" w:cs="Arial"/>
          <w:sz w:val="28"/>
          <w:highlight w:val="none"/>
          <w:lang w:eastAsia="zh-CN"/>
        </w:rPr>
      </w:pPr>
      <w:r>
        <w:rPr>
          <w:rFonts w:hint="eastAsia" w:ascii="Arial" w:hAnsi="Arial" w:eastAsia="仿宋_GB2312" w:cs="Arial"/>
          <w:kern w:val="2"/>
          <w:sz w:val="28"/>
          <w:highlight w:val="none"/>
          <w:lang w:val="en-US" w:eastAsia="zh-CN"/>
        </w:rPr>
        <w:t>根据《北京市国有建设用地使用权出让地价评估技术导则》（2026年2月10日实施）</w:t>
      </w:r>
      <w:r>
        <w:rPr>
          <w:rFonts w:hint="eastAsia" w:ascii="Arial" w:hAnsi="Arial" w:eastAsia="仿宋" w:cs="Arial"/>
          <w:sz w:val="28"/>
          <w:szCs w:val="28"/>
          <w:highlight w:val="none"/>
          <w:lang w:val="en-US" w:eastAsia="zh-CN"/>
        </w:rPr>
        <w:t>相关</w:t>
      </w:r>
      <w:r>
        <w:rPr>
          <w:rFonts w:ascii="Arial" w:hAnsi="Arial" w:eastAsia="仿宋" w:cs="Arial"/>
          <w:sz w:val="28"/>
          <w:szCs w:val="28"/>
          <w:highlight w:val="none"/>
        </w:rPr>
        <w:t>规定</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sz w:val="28"/>
          <w:highlight w:val="none"/>
        </w:rPr>
        <w:t>。</w:t>
      </w:r>
      <w:r>
        <w:rPr>
          <w:rFonts w:hint="eastAsia" w:ascii="Arial" w:hAnsi="Arial" w:eastAsia="仿宋_GB2312" w:cs="Arial"/>
          <w:kern w:val="2"/>
          <w:sz w:val="28"/>
          <w:highlight w:val="none"/>
          <w:lang w:val="en-US" w:eastAsia="zh-CN"/>
        </w:rPr>
        <w:t>其他商服、公共服务用途统一地价水平确定其配套服务设施部分的熟地单价，按就高原则确定价格水平，后续也不涉及其他</w:t>
      </w:r>
      <w:r>
        <w:rPr>
          <w:rFonts w:hint="eastAsia" w:ascii="Arial" w:hAnsi="Arial" w:eastAsia="仿宋_GB2312" w:cs="Arial"/>
          <w:kern w:val="2"/>
          <w:sz w:val="28"/>
          <w:highlight w:val="none"/>
        </w:rPr>
        <w:t>商服及公共服务用途之间地价款调整问题。</w:t>
      </w:r>
      <w:r>
        <w:rPr>
          <w:rFonts w:hint="eastAsia" w:ascii="Arial" w:hAnsi="Arial" w:eastAsia="仿宋" w:cs="Arial"/>
          <w:sz w:val="28"/>
          <w:highlight w:val="none"/>
          <w:lang w:eastAsia="zh-CN"/>
        </w:rPr>
        <w:t>”</w:t>
      </w:r>
    </w:p>
    <w:p w14:paraId="7CA037BD">
      <w:pPr>
        <w:snapToGrid w:val="0"/>
        <w:spacing w:before="120" w:beforeLines="50" w:line="288" w:lineRule="auto"/>
        <w:ind w:firstLine="560" w:firstLineChars="200"/>
        <w:jc w:val="both"/>
        <w:rPr>
          <w:rFonts w:hint="eastAsia"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根据本次估价目的和出让评估要求，本次评估估价对象熟地总价时按城镇住宅用地测算结果作为最终估价结果，其他商业服务业用地、公共管理与公共服务用地仅测算列示楼面地价。具体估价结果如下表所示：</w:t>
      </w:r>
    </w:p>
    <w:p w14:paraId="7C6F16B1">
      <w:pPr>
        <w:rPr>
          <w:rFonts w:hint="eastAsia"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br w:type="page"/>
      </w:r>
    </w:p>
    <w:tbl>
      <w:tblPr>
        <w:tblStyle w:val="34"/>
        <w:tblW w:w="9072" w:type="dxa"/>
        <w:jc w:val="center"/>
        <w:tblLayout w:type="fixed"/>
        <w:tblCellMar>
          <w:top w:w="0" w:type="dxa"/>
          <w:left w:w="108" w:type="dxa"/>
          <w:bottom w:w="0" w:type="dxa"/>
          <w:right w:w="108" w:type="dxa"/>
        </w:tblCellMar>
      </w:tblPr>
      <w:tblGrid>
        <w:gridCol w:w="3710"/>
        <w:gridCol w:w="1848"/>
        <w:gridCol w:w="1932"/>
        <w:gridCol w:w="1582"/>
      </w:tblGrid>
      <w:tr w14:paraId="5B20ADEB">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11E9FD35">
            <w:pPr>
              <w:widowControl/>
              <w:adjustRightInd/>
              <w:spacing w:line="300" w:lineRule="auto"/>
              <w:jc w:val="both"/>
              <w:textAlignment w:val="auto"/>
              <w:rPr>
                <w:rFonts w:ascii="Arial" w:hAnsi="Arial" w:eastAsia="黑体" w:cs="Arial"/>
                <w:sz w:val="28"/>
                <w:szCs w:val="28"/>
                <w:highlight w:val="none"/>
              </w:rPr>
            </w:pPr>
            <w:r>
              <w:rPr>
                <w:rFonts w:hint="eastAsia" w:ascii="Arial" w:hAnsi="Arial" w:eastAsia="仿宋_GB2312" w:cs="Arial"/>
                <w:b/>
                <w:bCs/>
                <w:sz w:val="28"/>
                <w:highlight w:val="none"/>
              </w:rPr>
              <w:t>北京市顺义区高丽营镇夏县营村棚户区改造土地开发项目01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008、01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016、01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026</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1、01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020地块R2二类居住用地、A334托幼用地国有建设用地使用权</w:t>
            </w:r>
            <w:r>
              <w:rPr>
                <w:rFonts w:ascii="Arial" w:hAnsi="Arial" w:eastAsia="仿宋_GB2312" w:cs="Arial"/>
                <w:b/>
                <w:bCs/>
                <w:sz w:val="28"/>
                <w:highlight w:val="none"/>
              </w:rPr>
              <w:t>估价结果汇总表</w:t>
            </w:r>
          </w:p>
        </w:tc>
      </w:tr>
      <w:tr w14:paraId="16E2DA01">
        <w:tblPrEx>
          <w:tblCellMar>
            <w:top w:w="0" w:type="dxa"/>
            <w:left w:w="108" w:type="dxa"/>
            <w:bottom w:w="0" w:type="dxa"/>
            <w:right w:w="108" w:type="dxa"/>
          </w:tblCellMar>
        </w:tblPrEx>
        <w:trPr>
          <w:trHeight w:val="67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457A1CE8">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地价类型</w:t>
            </w:r>
            <w:r>
              <w:rPr>
                <w:rFonts w:ascii="Arial" w:hAnsi="Arial" w:eastAsia="仿宋_GB2312" w:cs="Arial"/>
                <w:szCs w:val="24"/>
                <w:highlight w:val="none"/>
              </w:rPr>
              <w:t>　</w:t>
            </w:r>
          </w:p>
        </w:tc>
        <w:tc>
          <w:tcPr>
            <w:tcW w:w="1848" w:type="dxa"/>
            <w:tcBorders>
              <w:top w:val="nil"/>
              <w:left w:val="nil"/>
              <w:bottom w:val="single" w:color="auto" w:sz="4" w:space="0"/>
              <w:right w:val="single" w:color="auto" w:sz="4" w:space="0"/>
            </w:tcBorders>
            <w:shd w:val="clear" w:color="auto" w:fill="auto"/>
            <w:vAlign w:val="center"/>
          </w:tcPr>
          <w:p w14:paraId="7A5AFCF1">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eastAsia="zh-CN"/>
              </w:rPr>
              <w:t>楼面地价</w:t>
            </w:r>
            <w:r>
              <w:rPr>
                <w:rFonts w:ascii="Arial" w:hAnsi="Arial" w:eastAsia="仿宋_GB2312" w:cs="Arial"/>
                <w:szCs w:val="24"/>
                <w:highlight w:val="none"/>
              </w:rPr>
              <w:br w:type="textWrapping"/>
            </w:r>
            <w:r>
              <w:rPr>
                <w:rFonts w:ascii="Arial" w:hAnsi="Arial" w:eastAsia="仿宋_GB2312" w:cs="Arial"/>
                <w:szCs w:val="24"/>
                <w:highlight w:val="none"/>
              </w:rPr>
              <w:t>（元/平方米）</w:t>
            </w:r>
          </w:p>
        </w:tc>
        <w:tc>
          <w:tcPr>
            <w:tcW w:w="1932" w:type="dxa"/>
            <w:tcBorders>
              <w:top w:val="nil"/>
              <w:left w:val="nil"/>
              <w:bottom w:val="single" w:color="auto" w:sz="4" w:space="0"/>
              <w:right w:val="single" w:color="auto" w:sz="4" w:space="0"/>
            </w:tcBorders>
            <w:shd w:val="clear" w:color="auto" w:fill="auto"/>
            <w:vAlign w:val="center"/>
          </w:tcPr>
          <w:p w14:paraId="398CAE8C">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经营性</w:t>
            </w:r>
            <w:r>
              <w:rPr>
                <w:rFonts w:ascii="Arial" w:hAnsi="Arial" w:eastAsia="仿宋_GB2312" w:cs="Arial"/>
                <w:szCs w:val="24"/>
                <w:highlight w:val="none"/>
              </w:rPr>
              <w:t>建筑规模</w:t>
            </w:r>
            <w:r>
              <w:rPr>
                <w:rFonts w:ascii="Arial" w:hAnsi="Arial" w:eastAsia="仿宋_GB2312" w:cs="Arial"/>
                <w:szCs w:val="24"/>
                <w:highlight w:val="none"/>
              </w:rPr>
              <w:br w:type="textWrapping"/>
            </w:r>
            <w:r>
              <w:rPr>
                <w:rFonts w:ascii="Arial" w:hAnsi="Arial" w:eastAsia="仿宋_GB2312" w:cs="Arial"/>
                <w:szCs w:val="24"/>
                <w:highlight w:val="none"/>
              </w:rPr>
              <w:t>（平方米）</w:t>
            </w:r>
          </w:p>
        </w:tc>
        <w:tc>
          <w:tcPr>
            <w:tcW w:w="1582" w:type="dxa"/>
            <w:tcBorders>
              <w:top w:val="nil"/>
              <w:left w:val="nil"/>
              <w:bottom w:val="single" w:color="auto" w:sz="4" w:space="0"/>
              <w:right w:val="single" w:color="auto" w:sz="4" w:space="0"/>
            </w:tcBorders>
            <w:shd w:val="clear" w:color="auto" w:fill="auto"/>
            <w:vAlign w:val="center"/>
          </w:tcPr>
          <w:p w14:paraId="60F4F360">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熟地</w:t>
            </w:r>
            <w:r>
              <w:rPr>
                <w:rFonts w:ascii="Arial" w:hAnsi="Arial" w:eastAsia="仿宋_GB2312" w:cs="Arial"/>
                <w:szCs w:val="24"/>
                <w:highlight w:val="none"/>
              </w:rPr>
              <w:t>总价</w:t>
            </w:r>
            <w:r>
              <w:rPr>
                <w:rFonts w:ascii="Arial" w:hAnsi="Arial" w:eastAsia="仿宋_GB2312" w:cs="Arial"/>
                <w:szCs w:val="24"/>
                <w:highlight w:val="none"/>
              </w:rPr>
              <w:br w:type="textWrapping"/>
            </w:r>
            <w:r>
              <w:rPr>
                <w:rFonts w:ascii="Arial" w:hAnsi="Arial" w:eastAsia="仿宋_GB2312" w:cs="Arial"/>
                <w:szCs w:val="24"/>
                <w:highlight w:val="none"/>
              </w:rPr>
              <w:t>（万元）</w:t>
            </w:r>
          </w:p>
        </w:tc>
      </w:tr>
      <w:tr w14:paraId="55D9D73B">
        <w:tblPrEx>
          <w:tblCellMar>
            <w:top w:w="0" w:type="dxa"/>
            <w:left w:w="108" w:type="dxa"/>
            <w:bottom w:w="0" w:type="dxa"/>
            <w:right w:w="108" w:type="dxa"/>
          </w:tblCellMar>
        </w:tblPrEx>
        <w:trPr>
          <w:trHeight w:val="56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69E8FB62">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城镇住宅用地熟地价</w:t>
            </w:r>
          </w:p>
        </w:tc>
        <w:tc>
          <w:tcPr>
            <w:tcW w:w="1848" w:type="dxa"/>
            <w:tcBorders>
              <w:top w:val="nil"/>
              <w:left w:val="nil"/>
              <w:bottom w:val="single" w:color="auto" w:sz="4" w:space="0"/>
              <w:right w:val="single" w:color="auto" w:sz="4" w:space="0"/>
            </w:tcBorders>
            <w:shd w:val="clear" w:color="auto" w:fill="auto"/>
            <w:vAlign w:val="center"/>
          </w:tcPr>
          <w:p w14:paraId="5EADDF4F">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10942</w:t>
            </w:r>
          </w:p>
        </w:tc>
        <w:tc>
          <w:tcPr>
            <w:tcW w:w="1932" w:type="dxa"/>
            <w:tcBorders>
              <w:top w:val="nil"/>
              <w:left w:val="nil"/>
              <w:bottom w:val="single" w:color="auto" w:sz="4" w:space="0"/>
              <w:right w:val="single" w:color="auto" w:sz="4" w:space="0"/>
            </w:tcBorders>
            <w:shd w:val="clear" w:color="auto" w:fill="auto"/>
            <w:vAlign w:val="center"/>
          </w:tcPr>
          <w:p w14:paraId="045AE198">
            <w:pPr>
              <w:spacing w:line="300" w:lineRule="auto"/>
              <w:jc w:val="center"/>
              <w:rPr>
                <w:rFonts w:ascii="黑体" w:hAnsi="黑体" w:eastAsia="黑体"/>
                <w:highlight w:val="none"/>
              </w:rPr>
            </w:pPr>
            <w:r>
              <w:rPr>
                <w:rFonts w:ascii="黑体" w:hAnsi="黑体" w:eastAsia="黑体"/>
                <w:highlight w:val="none"/>
              </w:rPr>
              <w:t>68148.54</w:t>
            </w:r>
          </w:p>
        </w:tc>
        <w:tc>
          <w:tcPr>
            <w:tcW w:w="1582" w:type="dxa"/>
            <w:tcBorders>
              <w:top w:val="nil"/>
              <w:left w:val="nil"/>
              <w:bottom w:val="single" w:color="auto" w:sz="4" w:space="0"/>
              <w:right w:val="single" w:color="auto" w:sz="4" w:space="0"/>
            </w:tcBorders>
            <w:shd w:val="clear" w:color="auto" w:fill="auto"/>
            <w:vAlign w:val="center"/>
          </w:tcPr>
          <w:p w14:paraId="1A43C7FE">
            <w:pPr>
              <w:spacing w:line="300" w:lineRule="auto"/>
              <w:jc w:val="center"/>
              <w:rPr>
                <w:rFonts w:ascii="黑体" w:hAnsi="黑体" w:eastAsia="黑体" w:cs="宋体"/>
                <w:szCs w:val="24"/>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r w14:paraId="11EAC67D">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7091EEB1">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其他商业服务业用地用途熟地价</w:t>
            </w:r>
          </w:p>
        </w:tc>
        <w:tc>
          <w:tcPr>
            <w:tcW w:w="1848" w:type="dxa"/>
            <w:tcBorders>
              <w:top w:val="nil"/>
              <w:left w:val="nil"/>
              <w:bottom w:val="single" w:color="auto" w:sz="4" w:space="0"/>
              <w:right w:val="single" w:color="auto" w:sz="4" w:space="0"/>
            </w:tcBorders>
            <w:shd w:val="clear" w:color="auto" w:fill="auto"/>
            <w:vAlign w:val="center"/>
          </w:tcPr>
          <w:p w14:paraId="4C77BABD">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5295</w:t>
            </w:r>
          </w:p>
        </w:tc>
        <w:tc>
          <w:tcPr>
            <w:tcW w:w="1932" w:type="dxa"/>
            <w:tcBorders>
              <w:top w:val="nil"/>
              <w:left w:val="nil"/>
              <w:bottom w:val="single" w:color="auto" w:sz="4" w:space="0"/>
              <w:right w:val="single" w:color="auto" w:sz="4" w:space="0"/>
            </w:tcBorders>
            <w:shd w:val="clear" w:color="auto" w:fill="auto"/>
            <w:vAlign w:val="center"/>
          </w:tcPr>
          <w:p w14:paraId="63BD11A8">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582" w:type="dxa"/>
            <w:tcBorders>
              <w:top w:val="nil"/>
              <w:left w:val="nil"/>
              <w:bottom w:val="single" w:color="auto" w:sz="4" w:space="0"/>
              <w:right w:val="single" w:color="auto" w:sz="4" w:space="0"/>
            </w:tcBorders>
            <w:shd w:val="clear" w:color="auto" w:fill="auto"/>
            <w:vAlign w:val="center"/>
          </w:tcPr>
          <w:p w14:paraId="755A0BB6">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74C81A37">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nil"/>
              <w:right w:val="single" w:color="auto" w:sz="4" w:space="0"/>
            </w:tcBorders>
            <w:shd w:val="clear" w:color="auto" w:fill="auto"/>
            <w:vAlign w:val="center"/>
          </w:tcPr>
          <w:p w14:paraId="7ACE7091">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rPr>
              <w:t>公共</w:t>
            </w:r>
            <w:r>
              <w:rPr>
                <w:rFonts w:hint="eastAsia" w:ascii="Arial" w:hAnsi="Arial" w:eastAsia="仿宋_GB2312" w:cs="Arial"/>
                <w:szCs w:val="24"/>
                <w:highlight w:val="none"/>
                <w:lang w:val="en-US" w:eastAsia="zh-CN"/>
              </w:rPr>
              <w:t>服务用途熟地价</w:t>
            </w:r>
          </w:p>
        </w:tc>
        <w:tc>
          <w:tcPr>
            <w:tcW w:w="1848" w:type="dxa"/>
            <w:tcBorders>
              <w:top w:val="nil"/>
              <w:left w:val="nil"/>
              <w:bottom w:val="nil"/>
              <w:right w:val="single" w:color="auto" w:sz="4" w:space="0"/>
            </w:tcBorders>
            <w:shd w:val="clear" w:color="auto" w:fill="auto"/>
            <w:vAlign w:val="center"/>
          </w:tcPr>
          <w:p w14:paraId="4A1A0BC2">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3249</w:t>
            </w:r>
          </w:p>
        </w:tc>
        <w:tc>
          <w:tcPr>
            <w:tcW w:w="1932" w:type="dxa"/>
            <w:tcBorders>
              <w:top w:val="nil"/>
              <w:left w:val="nil"/>
              <w:bottom w:val="nil"/>
              <w:right w:val="single" w:color="auto" w:sz="4" w:space="0"/>
            </w:tcBorders>
            <w:shd w:val="clear" w:color="auto" w:fill="auto"/>
            <w:vAlign w:val="center"/>
          </w:tcPr>
          <w:p w14:paraId="25506CAC">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582" w:type="dxa"/>
            <w:tcBorders>
              <w:top w:val="nil"/>
              <w:left w:val="nil"/>
              <w:bottom w:val="nil"/>
              <w:right w:val="single" w:color="auto" w:sz="4" w:space="0"/>
            </w:tcBorders>
            <w:shd w:val="clear" w:color="auto" w:fill="auto"/>
            <w:vAlign w:val="center"/>
          </w:tcPr>
          <w:p w14:paraId="78B757B2">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441A97F5">
        <w:tblPrEx>
          <w:tblCellMar>
            <w:top w:w="0" w:type="dxa"/>
            <w:left w:w="108" w:type="dxa"/>
            <w:bottom w:w="0" w:type="dxa"/>
            <w:right w:w="108" w:type="dxa"/>
          </w:tblCellMar>
        </w:tblPrEx>
        <w:trPr>
          <w:trHeight w:val="525" w:hRule="atLeast"/>
          <w:jc w:val="center"/>
        </w:trPr>
        <w:tc>
          <w:tcPr>
            <w:tcW w:w="3710" w:type="dxa"/>
            <w:tcBorders>
              <w:top w:val="nil"/>
              <w:left w:val="single" w:color="auto" w:sz="4" w:space="0"/>
              <w:bottom w:val="single" w:color="auto" w:sz="4" w:space="0"/>
              <w:right w:val="single" w:color="auto" w:sz="4" w:space="0"/>
            </w:tcBorders>
            <w:shd w:val="clear" w:color="auto" w:fill="auto"/>
            <w:vAlign w:val="center"/>
          </w:tcPr>
          <w:p w14:paraId="4F11516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小计</w:t>
            </w:r>
          </w:p>
        </w:tc>
        <w:tc>
          <w:tcPr>
            <w:tcW w:w="1848" w:type="dxa"/>
            <w:tcBorders>
              <w:top w:val="nil"/>
              <w:left w:val="nil"/>
              <w:bottom w:val="single" w:color="auto" w:sz="4" w:space="0"/>
              <w:right w:val="single" w:color="auto" w:sz="4" w:space="0"/>
            </w:tcBorders>
            <w:shd w:val="clear" w:color="auto" w:fill="auto"/>
            <w:vAlign w:val="center"/>
          </w:tcPr>
          <w:p w14:paraId="11FB2F14">
            <w:pPr>
              <w:spacing w:line="300" w:lineRule="auto"/>
              <w:jc w:val="center"/>
              <w:rPr>
                <w:rFonts w:hint="eastAsia" w:ascii="黑体" w:hAnsi="黑体" w:eastAsia="黑体"/>
                <w:highlight w:val="none"/>
                <w:lang w:val="en-US" w:eastAsia="zh-CN"/>
              </w:rPr>
            </w:pPr>
            <w:r>
              <w:rPr>
                <w:rFonts w:hint="eastAsia" w:ascii="黑体" w:hAnsi="黑体" w:eastAsia="黑体"/>
                <w:highlight w:val="none"/>
                <w:lang w:val="en-US" w:eastAsia="zh-CN"/>
              </w:rPr>
              <w:t>－</w:t>
            </w:r>
          </w:p>
        </w:tc>
        <w:tc>
          <w:tcPr>
            <w:tcW w:w="1932" w:type="dxa"/>
            <w:tcBorders>
              <w:top w:val="nil"/>
              <w:left w:val="nil"/>
              <w:bottom w:val="single" w:color="auto" w:sz="4" w:space="0"/>
              <w:right w:val="single" w:color="auto" w:sz="4" w:space="0"/>
            </w:tcBorders>
            <w:shd w:val="clear" w:color="auto" w:fill="auto"/>
            <w:vAlign w:val="center"/>
          </w:tcPr>
          <w:p w14:paraId="5C1390F0">
            <w:pPr>
              <w:spacing w:line="300" w:lineRule="auto"/>
              <w:jc w:val="center"/>
              <w:rPr>
                <w:rFonts w:hint="default" w:ascii="黑体" w:hAnsi="黑体" w:eastAsia="黑体"/>
                <w:highlight w:val="none"/>
                <w:lang w:val="en-US" w:eastAsia="zh-CN"/>
              </w:rPr>
            </w:pPr>
            <w:r>
              <w:rPr>
                <w:rFonts w:hint="eastAsia" w:ascii="黑体" w:hAnsi="黑体" w:eastAsia="黑体"/>
                <w:highlight w:val="none"/>
                <w:lang w:val="en-US" w:eastAsia="zh-CN"/>
              </w:rPr>
              <w:t>68148.54</w:t>
            </w:r>
          </w:p>
        </w:tc>
        <w:tc>
          <w:tcPr>
            <w:tcW w:w="1582" w:type="dxa"/>
            <w:tcBorders>
              <w:top w:val="nil"/>
              <w:left w:val="nil"/>
              <w:bottom w:val="single" w:color="auto" w:sz="4" w:space="0"/>
              <w:right w:val="single" w:color="auto" w:sz="4" w:space="0"/>
            </w:tcBorders>
            <w:shd w:val="clear" w:color="auto" w:fill="auto"/>
            <w:vAlign w:val="center"/>
          </w:tcPr>
          <w:p w14:paraId="44E85292">
            <w:pPr>
              <w:spacing w:line="300" w:lineRule="auto"/>
              <w:jc w:val="center"/>
              <w:rPr>
                <w:rFonts w:ascii="黑体" w:hAnsi="黑体" w:eastAsia="黑体"/>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bl>
    <w:p w14:paraId="5D1A5CC4">
      <w:pPr>
        <w:snapToGrid w:val="0"/>
        <w:spacing w:before="120" w:beforeLines="50" w:line="288" w:lineRule="auto"/>
        <w:rPr>
          <w:rFonts w:hint="default"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出让底价建议：</w:t>
      </w:r>
    </w:p>
    <w:p w14:paraId="3748DA7B">
      <w:pPr>
        <w:snapToGrid w:val="0"/>
        <w:spacing w:before="120" w:beforeLines="50" w:line="288" w:lineRule="auto"/>
        <w:ind w:firstLine="560" w:firstLineChars="200"/>
        <w:rPr>
          <w:rFonts w:hint="default" w:ascii="Arial" w:hAnsi="Arial" w:eastAsia="仿宋" w:cs="Arial"/>
          <w:sz w:val="28"/>
          <w:highlight w:val="none"/>
          <w:lang w:val="en-US" w:eastAsia="zh-CN"/>
        </w:rPr>
      </w:pPr>
      <w:r>
        <w:rPr>
          <w:rFonts w:hint="eastAsia" w:ascii="Arial" w:hAnsi="Arial" w:eastAsia="仿宋" w:cs="Arial"/>
          <w:sz w:val="28"/>
          <w:highlight w:val="none"/>
          <w:lang w:val="en-US" w:eastAsia="zh-CN"/>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5C0148BD">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根据《北京市国有建设用地使用权出让地价评估技术导则》（2026年2月10日实施）：“土地未公布协议出让最低价标准的，按拟出让土地所在级别基准地价的70%测算对比”；同时《协议出让国有土地使用权规定》（中华人民共和国国土资源部21号令，2003年8月1日实施）规定，“有基准地价的地区，协议出让最低价不得低于出让地块所在级别基准地价的70%”。北京市已公布基准地价，未公布协议出让最低价标准，因此，本次估价将熟地价与级别基准地价的70%进行对比分析。</w:t>
      </w:r>
    </w:p>
    <w:p w14:paraId="5D769E50">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估价对象所在地区属于北京市基准地价住宅、商业、公共服务类三级地价区，具体计算公式如下:</w:t>
      </w:r>
    </w:p>
    <w:p w14:paraId="54E2D484">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楼面地价（级别基准地价的70%）＝适用的基准地价×用途修正系数×期日修正系数×年期修正系数×容积率修正系数×70%</w:t>
      </w:r>
    </w:p>
    <w:p w14:paraId="17B9C6DB">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各用途估价结果详见下表:</w:t>
      </w:r>
    </w:p>
    <w:tbl>
      <w:tblPr>
        <w:tblStyle w:val="34"/>
        <w:tblW w:w="0" w:type="auto"/>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6"/>
        <w:gridCol w:w="2220"/>
        <w:gridCol w:w="2050"/>
        <w:gridCol w:w="1964"/>
        <w:gridCol w:w="2106"/>
      </w:tblGrid>
      <w:tr w14:paraId="5A38F96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F5D4B8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496E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CAC0D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住宅</w:t>
            </w:r>
          </w:p>
          <w:p w14:paraId="7B8F37F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5D6F3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商业</w:t>
            </w:r>
          </w:p>
          <w:p w14:paraId="5899A98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ACB23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公共服务</w:t>
            </w:r>
          </w:p>
          <w:p w14:paraId="239042C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r>
      <w:tr w14:paraId="3771A38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C5B23E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4D20F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3766C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442FF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797C9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3170</w:t>
            </w:r>
          </w:p>
        </w:tc>
      </w:tr>
      <w:tr w14:paraId="51BB0C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174F6BD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058EE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0EEC2D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6D4FE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360DF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r>
      <w:tr w14:paraId="276FFA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6ABC53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CAD7C9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D4004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6FCC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4977D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5D304E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E75BA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7AF5A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84478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BAA9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DD3DD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06F750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3FB593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B61E4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D06F4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74926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5DB49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5E419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191B7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DAB3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B4F96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FA386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D8576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0.9388</w:t>
            </w:r>
          </w:p>
        </w:tc>
      </w:tr>
      <w:tr w14:paraId="6421D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A6D8F7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E85D9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C02A3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A0FB9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EE6DF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6DCAC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261A86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F9F12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4D44B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64021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EFF82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1.0678</w:t>
            </w:r>
          </w:p>
        </w:tc>
      </w:tr>
      <w:tr w14:paraId="3F64EC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B9925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72F0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42BEF7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75FF1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B9EAF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3225</w:t>
            </w:r>
          </w:p>
        </w:tc>
      </w:tr>
      <w:tr w14:paraId="6E26571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C6EF2D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A001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0A8D8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3510C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AA25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2258</w:t>
            </w:r>
          </w:p>
        </w:tc>
      </w:tr>
      <w:tr w14:paraId="6C4C52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5204E2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500F8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D4276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96D5E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1972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3249</w:t>
            </w:r>
          </w:p>
        </w:tc>
      </w:tr>
    </w:tbl>
    <w:p w14:paraId="6FF84C53">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经测算，本次估价求取估价对象各用途熟地价均高于协议出让最低价标准（经修正后（除因素修正外）级别基准地价的70%），因此建议该宗地以评估熟地价作为入市底价，即74568.1325万元，建议出让楼面地价为10942元/平方米（折合经营性建筑面积）。</w:t>
      </w:r>
    </w:p>
    <w:p w14:paraId="2453B3A1">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建议出让底价：74568.1325万元</w:t>
      </w:r>
    </w:p>
    <w:p w14:paraId="73F43888">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大写金额：柒亿肆仟伍佰陆拾捌万壹仟叁佰贰拾伍元整</w:t>
      </w:r>
    </w:p>
    <w:p w14:paraId="4943F779">
      <w:pPr>
        <w:snapToGrid w:val="0"/>
        <w:spacing w:before="120" w:beforeLines="50" w:line="300" w:lineRule="auto"/>
        <w:ind w:firstLine="562" w:firstLineChars="200"/>
        <w:rPr>
          <w:rFonts w:hint="eastAsia" w:ascii="Arial" w:hAnsi="Arial" w:eastAsia="仿宋" w:cs="Arial"/>
          <w:b/>
          <w:bCs/>
          <w:sz w:val="28"/>
          <w:highlight w:val="none"/>
          <w:lang w:val="en-US" w:eastAsia="zh-CN"/>
        </w:rPr>
        <w:sectPr>
          <w:headerReference r:id="rId31" w:type="first"/>
          <w:headerReference r:id="rId30" w:type="default"/>
          <w:footerReference r:id="rId32" w:type="default"/>
          <w:pgSz w:w="11907" w:h="16840"/>
          <w:pgMar w:top="1418" w:right="1134" w:bottom="1418" w:left="1418" w:header="794" w:footer="907" w:gutter="0"/>
          <w:pgNumType w:fmt="decimal"/>
          <w:cols w:space="720" w:num="1"/>
          <w:titlePg/>
          <w:docGrid w:linePitch="326" w:charSpace="0"/>
        </w:sectPr>
      </w:pPr>
      <w:r>
        <w:rPr>
          <w:rFonts w:hint="eastAsia" w:ascii="Arial" w:hAnsi="Arial" w:eastAsia="仿宋" w:cs="Arial"/>
          <w:b/>
          <w:bCs/>
          <w:sz w:val="28"/>
          <w:highlight w:val="none"/>
          <w:lang w:val="en-US" w:eastAsia="zh-CN"/>
        </w:rPr>
        <w:t>折合经营性建筑面积楼面地价：10942元/平方米。</w:t>
      </w:r>
    </w:p>
    <w:p w14:paraId="519D7680">
      <w:pPr>
        <w:spacing w:line="300" w:lineRule="auto"/>
        <w:outlineLvl w:val="1"/>
        <w:rPr>
          <w:rFonts w:ascii="Arial" w:hAnsi="Arial" w:eastAsia="仿宋_GB2312" w:cs="Arial"/>
          <w:b/>
          <w:sz w:val="28"/>
          <w:highlight w:val="none"/>
        </w:rPr>
      </w:pPr>
      <w:r>
        <w:rPr>
          <w:rFonts w:ascii="Arial" w:hAnsi="Arial" w:eastAsia="仿宋_GB2312" w:cs="Arial"/>
          <w:b/>
          <w:bCs/>
          <w:sz w:val="28"/>
          <w:highlight w:val="none"/>
        </w:rPr>
        <w:t>附</w:t>
      </w:r>
      <w:r>
        <w:rPr>
          <w:rFonts w:ascii="Arial" w:hAnsi="Arial" w:eastAsia="仿宋_GB2312" w:cs="Arial"/>
          <w:b/>
          <w:sz w:val="28"/>
          <w:highlight w:val="none"/>
        </w:rPr>
        <w:t xml:space="preserve">                                       估价结果一览表</w:t>
      </w:r>
    </w:p>
    <w:p w14:paraId="10AFB290">
      <w:pPr>
        <w:spacing w:line="300" w:lineRule="auto"/>
        <w:rPr>
          <w:rFonts w:ascii="Arial" w:hAnsi="Arial" w:eastAsia="仿宋_GB2312" w:cs="Arial"/>
          <w:bCs/>
          <w:sz w:val="18"/>
          <w:szCs w:val="18"/>
          <w:highlight w:val="none"/>
        </w:rPr>
      </w:pPr>
      <w:r>
        <w:rPr>
          <w:rFonts w:ascii="Arial" w:hAnsi="Arial" w:eastAsia="仿宋_GB2312" w:cs="Arial"/>
          <w:bCs/>
          <w:sz w:val="18"/>
          <w:szCs w:val="18"/>
          <w:highlight w:val="none"/>
        </w:rPr>
        <w:t>估价机构：</w:t>
      </w:r>
      <w:r>
        <w:rPr>
          <w:rFonts w:ascii="Arial" w:hAnsi="Arial" w:eastAsia="仿宋_GB2312" w:cs="Arial"/>
          <w:sz w:val="18"/>
          <w:szCs w:val="18"/>
          <w:highlight w:val="none"/>
        </w:rPr>
        <w:t xml:space="preserve">北京康正宏基房地产评估有限公司 </w:t>
      </w:r>
      <w:r>
        <w:rPr>
          <w:rFonts w:ascii="Arial" w:hAnsi="Arial" w:eastAsia="仿宋_GB2312" w:cs="Arial"/>
          <w:bCs/>
          <w:sz w:val="18"/>
          <w:szCs w:val="18"/>
          <w:highlight w:val="none"/>
        </w:rPr>
        <w:t>估价报告编号：</w:t>
      </w:r>
      <w:r>
        <w:rPr>
          <w:rFonts w:hint="eastAsia" w:ascii="Arial" w:hAnsi="Arial" w:eastAsia="仿宋_GB2312" w:cs="Arial"/>
          <w:bCs/>
          <w:sz w:val="18"/>
          <w:szCs w:val="18"/>
          <w:highlight w:val="none"/>
          <w:lang w:eastAsia="zh-CN"/>
        </w:rPr>
        <w:t>北京康正2026（估）字第0001号</w:t>
      </w:r>
      <w:r>
        <w:rPr>
          <w:rFonts w:ascii="Arial" w:hAnsi="Arial" w:eastAsia="仿宋_GB2312" w:cs="Arial"/>
          <w:bCs/>
          <w:sz w:val="18"/>
          <w:szCs w:val="18"/>
          <w:highlight w:val="none"/>
        </w:rPr>
        <w:t xml:space="preserve"> 估价期日：</w:t>
      </w:r>
      <w:r>
        <w:rPr>
          <w:rFonts w:hint="eastAsia" w:ascii="Arial" w:hAnsi="Arial" w:eastAsia="仿宋_GB2312" w:cs="Arial"/>
          <w:bCs/>
          <w:sz w:val="18"/>
          <w:szCs w:val="18"/>
          <w:highlight w:val="none"/>
          <w:lang w:eastAsia="zh-CN"/>
        </w:rPr>
        <w:t>2026年3月26日</w:t>
      </w:r>
      <w:r>
        <w:rPr>
          <w:rFonts w:ascii="Arial" w:hAnsi="Arial" w:eastAsia="仿宋_GB2312" w:cs="Arial"/>
          <w:bCs/>
          <w:sz w:val="18"/>
          <w:szCs w:val="18"/>
          <w:highlight w:val="none"/>
        </w:rPr>
        <w:t xml:space="preserve"> 估价期日的国有建设用地使用权性质：拟出让</w:t>
      </w:r>
    </w:p>
    <w:tbl>
      <w:tblPr>
        <w:tblStyle w:val="34"/>
        <w:tblW w:w="139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951"/>
        <w:gridCol w:w="1268"/>
        <w:gridCol w:w="647"/>
        <w:gridCol w:w="767"/>
        <w:gridCol w:w="767"/>
        <w:gridCol w:w="717"/>
        <w:gridCol w:w="1165"/>
        <w:gridCol w:w="1236"/>
        <w:gridCol w:w="1032"/>
        <w:gridCol w:w="912"/>
        <w:gridCol w:w="996"/>
        <w:gridCol w:w="960"/>
        <w:gridCol w:w="1359"/>
        <w:gridCol w:w="1142"/>
      </w:tblGrid>
      <w:tr w14:paraId="53960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51BE4F9A">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估价期日土地使用者</w:t>
            </w:r>
          </w:p>
        </w:tc>
        <w:tc>
          <w:tcPr>
            <w:tcW w:w="1268" w:type="dxa"/>
            <w:vAlign w:val="center"/>
          </w:tcPr>
          <w:p w14:paraId="60D3ED46">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宗地名称</w:t>
            </w:r>
          </w:p>
        </w:tc>
        <w:tc>
          <w:tcPr>
            <w:tcW w:w="647" w:type="dxa"/>
            <w:vAlign w:val="center"/>
          </w:tcPr>
          <w:p w14:paraId="4F379903">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宗地位置</w:t>
            </w:r>
          </w:p>
        </w:tc>
        <w:tc>
          <w:tcPr>
            <w:tcW w:w="767" w:type="dxa"/>
            <w:vAlign w:val="center"/>
          </w:tcPr>
          <w:p w14:paraId="1B6D0120">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估价期日的规划用途</w:t>
            </w:r>
          </w:p>
        </w:tc>
        <w:tc>
          <w:tcPr>
            <w:tcW w:w="767" w:type="dxa"/>
            <w:vAlign w:val="center"/>
          </w:tcPr>
          <w:p w14:paraId="5D1D817A">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估价设定的用途</w:t>
            </w:r>
          </w:p>
        </w:tc>
        <w:tc>
          <w:tcPr>
            <w:tcW w:w="717" w:type="dxa"/>
            <w:vAlign w:val="center"/>
          </w:tcPr>
          <w:p w14:paraId="08EAFBAC">
            <w:pPr>
              <w:adjustRightInd/>
              <w:spacing w:line="240" w:lineRule="exact"/>
              <w:rPr>
                <w:rFonts w:ascii="Arial" w:hAnsi="Arial" w:eastAsia="仿宋_GB2312" w:cs="Arial"/>
                <w:bCs/>
                <w:sz w:val="18"/>
                <w:szCs w:val="18"/>
                <w:highlight w:val="none"/>
              </w:rPr>
            </w:pPr>
            <w:r>
              <w:rPr>
                <w:rFonts w:ascii="Arial" w:hAnsi="Arial" w:eastAsia="仿宋_GB2312" w:cs="Arial"/>
                <w:bCs/>
                <w:sz w:val="18"/>
                <w:szCs w:val="18"/>
                <w:highlight w:val="none"/>
              </w:rPr>
              <w:t>地上容积率</w:t>
            </w:r>
          </w:p>
        </w:tc>
        <w:tc>
          <w:tcPr>
            <w:tcW w:w="1165" w:type="dxa"/>
            <w:vAlign w:val="center"/>
          </w:tcPr>
          <w:p w14:paraId="662023BD">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估价期日的实际土地开发程度</w:t>
            </w:r>
          </w:p>
        </w:tc>
        <w:tc>
          <w:tcPr>
            <w:tcW w:w="1236" w:type="dxa"/>
            <w:vAlign w:val="center"/>
          </w:tcPr>
          <w:p w14:paraId="19AA5B4E">
            <w:pPr>
              <w:adjustRightInd/>
              <w:spacing w:line="240" w:lineRule="exact"/>
              <w:jc w:val="center"/>
              <w:rPr>
                <w:rFonts w:ascii="Times New Roman" w:hAnsi="Times New Roman" w:eastAsia="宋体" w:cs="Times New Roman"/>
                <w:sz w:val="24"/>
                <w:highlight w:val="none"/>
                <w:lang w:val="en-US" w:eastAsia="zh-CN" w:bidi="ar-SA"/>
              </w:rPr>
            </w:pPr>
            <w:r>
              <w:rPr>
                <w:rFonts w:ascii="Arial" w:hAnsi="Arial" w:eastAsia="仿宋_GB2312" w:cs="Arial"/>
                <w:bCs/>
                <w:sz w:val="18"/>
                <w:szCs w:val="18"/>
                <w:highlight w:val="none"/>
              </w:rPr>
              <w:t>估价设定的土地开发程度</w:t>
            </w:r>
          </w:p>
        </w:tc>
        <w:tc>
          <w:tcPr>
            <w:tcW w:w="1032" w:type="dxa"/>
            <w:vAlign w:val="center"/>
          </w:tcPr>
          <w:p w14:paraId="18A09E01">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土地使用权年限（年）</w:t>
            </w:r>
          </w:p>
        </w:tc>
        <w:tc>
          <w:tcPr>
            <w:tcW w:w="912" w:type="dxa"/>
            <w:vAlign w:val="center"/>
          </w:tcPr>
          <w:p w14:paraId="32014E07">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出让建设用地面积（</w:t>
            </w:r>
            <w:r>
              <w:rPr>
                <w:rFonts w:ascii="Arial" w:hAnsi="Arial" w:cs="Arial"/>
                <w:bCs/>
                <w:sz w:val="18"/>
                <w:szCs w:val="18"/>
                <w:highlight w:val="none"/>
              </w:rPr>
              <w:t>㎡</w:t>
            </w:r>
            <w:r>
              <w:rPr>
                <w:rFonts w:ascii="Arial" w:hAnsi="Arial" w:eastAsia="仿宋_GB2312" w:cs="Arial"/>
                <w:bCs/>
                <w:sz w:val="18"/>
                <w:szCs w:val="18"/>
                <w:highlight w:val="none"/>
              </w:rPr>
              <w:t>）</w:t>
            </w:r>
          </w:p>
        </w:tc>
        <w:tc>
          <w:tcPr>
            <w:tcW w:w="996" w:type="dxa"/>
            <w:vAlign w:val="center"/>
          </w:tcPr>
          <w:p w14:paraId="4F2677A0">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出让建筑规模（</w:t>
            </w:r>
            <w:r>
              <w:rPr>
                <w:rFonts w:ascii="Arial" w:hAnsi="Arial" w:cs="Arial"/>
                <w:bCs/>
                <w:sz w:val="18"/>
                <w:szCs w:val="18"/>
                <w:highlight w:val="none"/>
              </w:rPr>
              <w:t>㎡</w:t>
            </w:r>
            <w:r>
              <w:rPr>
                <w:rFonts w:ascii="Arial" w:hAnsi="Arial" w:eastAsia="仿宋_GB2312" w:cs="Arial"/>
                <w:bCs/>
                <w:sz w:val="18"/>
                <w:szCs w:val="18"/>
                <w:highlight w:val="none"/>
              </w:rPr>
              <w:t>）</w:t>
            </w:r>
          </w:p>
        </w:tc>
        <w:tc>
          <w:tcPr>
            <w:tcW w:w="960" w:type="dxa"/>
            <w:vAlign w:val="center"/>
          </w:tcPr>
          <w:p w14:paraId="382D403B">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熟地价</w:t>
            </w:r>
            <w:r>
              <w:rPr>
                <w:rFonts w:hint="eastAsia" w:ascii="Arial" w:hAnsi="Arial" w:eastAsia="仿宋_GB2312" w:cs="Arial"/>
                <w:bCs/>
                <w:sz w:val="18"/>
                <w:szCs w:val="18"/>
                <w:highlight w:val="none"/>
                <w:lang w:eastAsia="zh-CN"/>
              </w:rPr>
              <w:t>楼面地价</w:t>
            </w:r>
            <w:r>
              <w:rPr>
                <w:rFonts w:ascii="Arial" w:hAnsi="Arial" w:eastAsia="仿宋_GB2312" w:cs="Arial"/>
                <w:bCs/>
                <w:sz w:val="18"/>
                <w:szCs w:val="18"/>
                <w:highlight w:val="none"/>
              </w:rPr>
              <w:t>（元/</w:t>
            </w:r>
            <w:r>
              <w:rPr>
                <w:rFonts w:ascii="Arial" w:hAnsi="Arial" w:cs="Arial"/>
                <w:bCs/>
                <w:sz w:val="18"/>
                <w:szCs w:val="18"/>
                <w:highlight w:val="none"/>
              </w:rPr>
              <w:t>㎡</w:t>
            </w:r>
            <w:r>
              <w:rPr>
                <w:rFonts w:ascii="Arial" w:hAnsi="Arial" w:eastAsia="仿宋_GB2312" w:cs="Arial"/>
                <w:bCs/>
                <w:sz w:val="18"/>
                <w:szCs w:val="18"/>
                <w:highlight w:val="none"/>
              </w:rPr>
              <w:t>）</w:t>
            </w:r>
          </w:p>
        </w:tc>
        <w:tc>
          <w:tcPr>
            <w:tcW w:w="1359" w:type="dxa"/>
            <w:vAlign w:val="center"/>
          </w:tcPr>
          <w:p w14:paraId="72ED7576">
            <w:pPr>
              <w:adjustRightInd/>
              <w:spacing w:line="240" w:lineRule="exact"/>
              <w:jc w:val="center"/>
              <w:rPr>
                <w:rFonts w:ascii="Arial" w:hAnsi="Arial" w:eastAsia="仿宋_GB2312" w:cs="Arial"/>
                <w:bCs/>
                <w:sz w:val="18"/>
                <w:szCs w:val="18"/>
                <w:highlight w:val="none"/>
              </w:rPr>
            </w:pPr>
            <w:r>
              <w:rPr>
                <w:rFonts w:ascii="Arial" w:hAnsi="Arial" w:eastAsia="仿宋_GB2312" w:cs="Arial"/>
                <w:bCs/>
                <w:sz w:val="18"/>
                <w:szCs w:val="18"/>
                <w:highlight w:val="none"/>
              </w:rPr>
              <w:t>熟地总价（万元）</w:t>
            </w:r>
          </w:p>
        </w:tc>
        <w:tc>
          <w:tcPr>
            <w:tcW w:w="1142" w:type="dxa"/>
            <w:vAlign w:val="center"/>
          </w:tcPr>
          <w:p w14:paraId="47077AA1">
            <w:pPr>
              <w:adjustRightInd/>
              <w:spacing w:line="240" w:lineRule="exact"/>
              <w:jc w:val="center"/>
              <w:rPr>
                <w:rFonts w:ascii="Arial" w:hAnsi="Arial" w:eastAsia="仿宋_GB2312" w:cs="Arial"/>
                <w:bCs/>
                <w:sz w:val="15"/>
                <w:szCs w:val="15"/>
                <w:highlight w:val="none"/>
              </w:rPr>
            </w:pPr>
            <w:r>
              <w:rPr>
                <w:rFonts w:hint="eastAsia" w:ascii="Arial" w:hAnsi="Arial" w:eastAsia="仿宋_GB2312" w:cs="Arial"/>
                <w:bCs/>
                <w:sz w:val="18"/>
                <w:szCs w:val="18"/>
                <w:highlight w:val="none"/>
                <w:lang w:val="en-US" w:eastAsia="zh-CN"/>
              </w:rPr>
              <w:t>建议出让底价</w:t>
            </w:r>
            <w:r>
              <w:rPr>
                <w:rFonts w:ascii="Arial" w:hAnsi="Arial" w:eastAsia="仿宋_GB2312" w:cs="Arial"/>
                <w:bCs/>
                <w:sz w:val="18"/>
                <w:szCs w:val="18"/>
                <w:highlight w:val="none"/>
              </w:rPr>
              <w:t>（万元）</w:t>
            </w:r>
          </w:p>
        </w:tc>
      </w:tr>
      <w:tr w14:paraId="3D3DE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restart"/>
            <w:vAlign w:val="center"/>
          </w:tcPr>
          <w:p w14:paraId="11965F9B">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待入市用地，待入市成功确定受让人后方能签订《国有土地使用权出让合同》及办理《不动产权证</w:t>
            </w:r>
            <w:r>
              <w:rPr>
                <w:rFonts w:hint="eastAsia" w:ascii="Arial" w:hAnsi="Arial" w:eastAsia="仿宋_GB2312" w:cs="Arial"/>
                <w:sz w:val="18"/>
                <w:szCs w:val="18"/>
                <w:highlight w:val="none"/>
                <w:lang w:val="en-US" w:eastAsia="zh-CN"/>
              </w:rPr>
              <w:t>书</w:t>
            </w:r>
            <w:r>
              <w:rPr>
                <w:rFonts w:hint="eastAsia" w:ascii="Arial" w:hAnsi="Arial" w:eastAsia="仿宋_GB2312" w:cs="Arial"/>
                <w:sz w:val="18"/>
                <w:szCs w:val="18"/>
                <w:highlight w:val="none"/>
              </w:rPr>
              <w:t>》</w:t>
            </w:r>
          </w:p>
        </w:tc>
        <w:tc>
          <w:tcPr>
            <w:tcW w:w="1268" w:type="dxa"/>
            <w:vMerge w:val="restart"/>
            <w:vAlign w:val="center"/>
          </w:tcPr>
          <w:p w14:paraId="19C77B19">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顺义区高丽营镇夏县营村棚户区改造土地开发项目01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008、01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016、01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026</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1、01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020地块R2二类居住用地、A334托幼用地国有建设用地使用权</w:t>
            </w:r>
          </w:p>
        </w:tc>
        <w:tc>
          <w:tcPr>
            <w:tcW w:w="647" w:type="dxa"/>
            <w:vMerge w:val="restart"/>
            <w:vAlign w:val="center"/>
          </w:tcPr>
          <w:p w14:paraId="0B20CCBB">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顺义区高丽营镇夏县营村</w:t>
            </w:r>
          </w:p>
        </w:tc>
        <w:tc>
          <w:tcPr>
            <w:tcW w:w="767" w:type="dxa"/>
            <w:vMerge w:val="restart"/>
            <w:vAlign w:val="center"/>
          </w:tcPr>
          <w:p w14:paraId="3FCB09F8">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R2二类居住用地</w:t>
            </w:r>
            <w:r>
              <w:rPr>
                <w:rFonts w:hint="eastAsia" w:ascii="Arial" w:hAnsi="Arial" w:eastAsia="仿宋_GB2312" w:cs="Arial"/>
                <w:sz w:val="18"/>
                <w:szCs w:val="18"/>
                <w:highlight w:val="none"/>
              </w:rPr>
              <w:t>、A334托幼用地</w:t>
            </w:r>
          </w:p>
        </w:tc>
        <w:tc>
          <w:tcPr>
            <w:tcW w:w="767" w:type="dxa"/>
            <w:vAlign w:val="center"/>
          </w:tcPr>
          <w:p w14:paraId="681BB441">
            <w:pPr>
              <w:adjustRightInd/>
              <w:spacing w:line="240" w:lineRule="exact"/>
              <w:jc w:val="center"/>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城镇</w:t>
            </w:r>
            <w:r>
              <w:rPr>
                <w:rFonts w:ascii="Arial" w:hAnsi="Arial" w:eastAsia="仿宋_GB2312" w:cs="Arial"/>
                <w:sz w:val="18"/>
                <w:szCs w:val="18"/>
                <w:highlight w:val="none"/>
              </w:rPr>
              <w:t>住宅</w:t>
            </w:r>
            <w:r>
              <w:rPr>
                <w:rFonts w:hint="eastAsia" w:ascii="Arial" w:hAnsi="Arial" w:eastAsia="仿宋_GB2312" w:cs="Arial"/>
                <w:sz w:val="18"/>
                <w:szCs w:val="18"/>
                <w:highlight w:val="none"/>
                <w:lang w:val="en-US" w:eastAsia="zh-CN"/>
              </w:rPr>
              <w:t>用地</w:t>
            </w:r>
          </w:p>
        </w:tc>
        <w:tc>
          <w:tcPr>
            <w:tcW w:w="717" w:type="dxa"/>
            <w:vMerge w:val="restart"/>
            <w:vAlign w:val="center"/>
          </w:tcPr>
          <w:p w14:paraId="3CC55F08">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1.2</w:t>
            </w:r>
          </w:p>
        </w:tc>
        <w:tc>
          <w:tcPr>
            <w:tcW w:w="1165" w:type="dxa"/>
            <w:vMerge w:val="restart"/>
            <w:vAlign w:val="center"/>
          </w:tcPr>
          <w:p w14:paraId="157B9048">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土地开发程度红线外市政基础设施达</w:t>
            </w:r>
            <w:r>
              <w:rPr>
                <w:rFonts w:hint="eastAsia" w:ascii="Arial" w:hAnsi="Arial" w:eastAsia="仿宋_GB2312" w:cs="Arial"/>
                <w:sz w:val="18"/>
                <w:szCs w:val="18"/>
                <w:highlight w:val="none"/>
                <w:lang w:eastAsia="zh-CN"/>
              </w:rPr>
              <w:t>“七通”（通路、通上水（自来水、中水）、通下水（雨水、污水）、通电（管沟、电缆）、通讯、通燃气、通热力）</w:t>
            </w:r>
            <w:r>
              <w:rPr>
                <w:rFonts w:hint="eastAsia" w:ascii="Arial" w:hAnsi="Arial" w:eastAsia="仿宋_GB2312" w:cs="Arial"/>
                <w:sz w:val="18"/>
                <w:szCs w:val="18"/>
                <w:highlight w:val="none"/>
              </w:rPr>
              <w:t>、宗地红线内场地平整</w:t>
            </w:r>
          </w:p>
        </w:tc>
        <w:tc>
          <w:tcPr>
            <w:tcW w:w="1236" w:type="dxa"/>
            <w:vMerge w:val="restart"/>
            <w:vAlign w:val="center"/>
          </w:tcPr>
          <w:p w14:paraId="05E260E5">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土地开发程度红线外市政基础设施达</w:t>
            </w:r>
            <w:r>
              <w:rPr>
                <w:rFonts w:hint="eastAsia" w:ascii="Arial" w:hAnsi="Arial" w:eastAsia="仿宋_GB2312" w:cs="Arial"/>
                <w:sz w:val="18"/>
                <w:szCs w:val="18"/>
                <w:highlight w:val="none"/>
                <w:lang w:eastAsia="zh-CN"/>
              </w:rPr>
              <w:t>“七通”（通路、通上水（自来水、中水）、通下水（雨水、污水）、通电（管沟、电缆）、通讯、通燃气、通热力）</w:t>
            </w:r>
            <w:r>
              <w:rPr>
                <w:rFonts w:hint="eastAsia" w:ascii="Arial" w:hAnsi="Arial" w:eastAsia="仿宋_GB2312" w:cs="Arial"/>
                <w:sz w:val="18"/>
                <w:szCs w:val="18"/>
                <w:highlight w:val="none"/>
              </w:rPr>
              <w:t>、宗地红线内场地平整</w:t>
            </w:r>
          </w:p>
        </w:tc>
        <w:tc>
          <w:tcPr>
            <w:tcW w:w="1032" w:type="dxa"/>
            <w:vAlign w:val="center"/>
          </w:tcPr>
          <w:p w14:paraId="55A03232">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70</w:t>
            </w:r>
          </w:p>
        </w:tc>
        <w:tc>
          <w:tcPr>
            <w:tcW w:w="912" w:type="dxa"/>
            <w:vMerge w:val="restart"/>
            <w:vAlign w:val="center"/>
          </w:tcPr>
          <w:p w14:paraId="2A9F0C1C">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56790.45</w:t>
            </w:r>
          </w:p>
        </w:tc>
        <w:tc>
          <w:tcPr>
            <w:tcW w:w="996" w:type="dxa"/>
            <w:vAlign w:val="center"/>
          </w:tcPr>
          <w:p w14:paraId="4CBF5F7D">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68148.54</w:t>
            </w:r>
          </w:p>
        </w:tc>
        <w:tc>
          <w:tcPr>
            <w:tcW w:w="960" w:type="dxa"/>
            <w:vAlign w:val="center"/>
          </w:tcPr>
          <w:p w14:paraId="1FC09773">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10942</w:t>
            </w:r>
          </w:p>
        </w:tc>
        <w:tc>
          <w:tcPr>
            <w:tcW w:w="1359" w:type="dxa"/>
            <w:vAlign w:val="center"/>
          </w:tcPr>
          <w:p w14:paraId="31A4E167">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lang w:val="en-US" w:eastAsia="zh-CN"/>
              </w:rPr>
              <w:t>74568.1325</w:t>
            </w:r>
            <w:r>
              <w:rPr>
                <w:rFonts w:ascii="Arial" w:hAnsi="Arial" w:eastAsia="仿宋_GB2312" w:cs="Arial"/>
                <w:sz w:val="18"/>
                <w:szCs w:val="18"/>
                <w:highlight w:val="none"/>
              </w:rPr>
              <w:t xml:space="preserve"> </w:t>
            </w:r>
          </w:p>
        </w:tc>
        <w:tc>
          <w:tcPr>
            <w:tcW w:w="1142" w:type="dxa"/>
            <w:vMerge w:val="restart"/>
            <w:tcBorders>
              <w:left w:val="single" w:color="auto" w:sz="4" w:space="0"/>
            </w:tcBorders>
            <w:vAlign w:val="center"/>
          </w:tcPr>
          <w:p w14:paraId="47BC316B">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rPr>
              <w:t>建议该宗地入市底价为</w:t>
            </w:r>
            <w:r>
              <w:rPr>
                <w:rFonts w:hint="eastAsia" w:ascii="Arial" w:hAnsi="Arial" w:eastAsia="仿宋_GB2312" w:cs="Arial"/>
                <w:sz w:val="18"/>
                <w:szCs w:val="18"/>
                <w:highlight w:val="none"/>
                <w:lang w:eastAsia="zh-CN"/>
              </w:rPr>
              <w:t>：74568.1325</w:t>
            </w:r>
            <w:r>
              <w:rPr>
                <w:rFonts w:hint="eastAsia" w:ascii="Arial" w:hAnsi="Arial" w:eastAsia="仿宋_GB2312" w:cs="Arial"/>
                <w:sz w:val="18"/>
                <w:szCs w:val="18"/>
                <w:highlight w:val="none"/>
              </w:rPr>
              <w:t xml:space="preserve"> 万元</w:t>
            </w:r>
          </w:p>
        </w:tc>
      </w:tr>
      <w:tr w14:paraId="5B3AA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4A9B4308">
            <w:pPr>
              <w:adjustRightInd/>
              <w:spacing w:line="240" w:lineRule="exact"/>
              <w:jc w:val="center"/>
              <w:rPr>
                <w:rFonts w:ascii="Arial" w:hAnsi="Arial" w:eastAsia="仿宋_GB2312" w:cs="Arial"/>
                <w:sz w:val="18"/>
                <w:szCs w:val="18"/>
                <w:highlight w:val="none"/>
              </w:rPr>
            </w:pPr>
          </w:p>
        </w:tc>
        <w:tc>
          <w:tcPr>
            <w:tcW w:w="1268" w:type="dxa"/>
            <w:vMerge w:val="continue"/>
            <w:vAlign w:val="center"/>
          </w:tcPr>
          <w:p w14:paraId="69564242">
            <w:pPr>
              <w:adjustRightInd/>
              <w:spacing w:line="240" w:lineRule="exact"/>
              <w:jc w:val="center"/>
              <w:rPr>
                <w:rFonts w:ascii="Arial" w:hAnsi="Arial" w:eastAsia="仿宋_GB2312" w:cs="Arial"/>
                <w:sz w:val="18"/>
                <w:szCs w:val="18"/>
                <w:highlight w:val="none"/>
              </w:rPr>
            </w:pPr>
          </w:p>
        </w:tc>
        <w:tc>
          <w:tcPr>
            <w:tcW w:w="647" w:type="dxa"/>
            <w:vMerge w:val="continue"/>
            <w:vAlign w:val="center"/>
          </w:tcPr>
          <w:p w14:paraId="0AC383A2">
            <w:pPr>
              <w:adjustRightInd/>
              <w:spacing w:line="240" w:lineRule="exact"/>
              <w:jc w:val="center"/>
              <w:rPr>
                <w:rFonts w:ascii="Arial" w:hAnsi="Arial" w:eastAsia="仿宋_GB2312" w:cs="Arial"/>
                <w:sz w:val="18"/>
                <w:szCs w:val="18"/>
                <w:highlight w:val="none"/>
              </w:rPr>
            </w:pPr>
          </w:p>
        </w:tc>
        <w:tc>
          <w:tcPr>
            <w:tcW w:w="767" w:type="dxa"/>
            <w:vMerge w:val="continue"/>
            <w:vAlign w:val="center"/>
          </w:tcPr>
          <w:p w14:paraId="40719CB5">
            <w:pPr>
              <w:adjustRightInd/>
              <w:spacing w:line="240" w:lineRule="exact"/>
              <w:jc w:val="center"/>
              <w:rPr>
                <w:rFonts w:ascii="Arial" w:hAnsi="Arial" w:eastAsia="仿宋_GB2312" w:cs="Arial"/>
                <w:sz w:val="18"/>
                <w:szCs w:val="18"/>
                <w:highlight w:val="none"/>
              </w:rPr>
            </w:pPr>
          </w:p>
        </w:tc>
        <w:tc>
          <w:tcPr>
            <w:tcW w:w="767" w:type="dxa"/>
            <w:vAlign w:val="center"/>
          </w:tcPr>
          <w:p w14:paraId="4CADADAF">
            <w:pPr>
              <w:adjustRightInd/>
              <w:spacing w:line="240" w:lineRule="exact"/>
              <w:jc w:val="center"/>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rPr>
              <w:t>其他</w:t>
            </w:r>
            <w:r>
              <w:rPr>
                <w:rFonts w:hint="eastAsia" w:ascii="Arial" w:hAnsi="Arial" w:eastAsia="仿宋_GB2312" w:cs="Arial"/>
                <w:sz w:val="18"/>
                <w:szCs w:val="18"/>
                <w:highlight w:val="none"/>
                <w:lang w:val="en-US" w:eastAsia="zh-CN"/>
              </w:rPr>
              <w:t>商业服务业用地</w:t>
            </w:r>
          </w:p>
        </w:tc>
        <w:tc>
          <w:tcPr>
            <w:tcW w:w="717" w:type="dxa"/>
            <w:vMerge w:val="continue"/>
            <w:vAlign w:val="center"/>
          </w:tcPr>
          <w:p w14:paraId="695898D3">
            <w:pPr>
              <w:adjustRightInd/>
              <w:spacing w:line="240" w:lineRule="exact"/>
              <w:jc w:val="center"/>
              <w:rPr>
                <w:rFonts w:ascii="Arial" w:hAnsi="Arial" w:eastAsia="仿宋_GB2312" w:cs="Arial"/>
                <w:sz w:val="18"/>
                <w:szCs w:val="18"/>
                <w:highlight w:val="none"/>
              </w:rPr>
            </w:pPr>
          </w:p>
        </w:tc>
        <w:tc>
          <w:tcPr>
            <w:tcW w:w="1165" w:type="dxa"/>
            <w:vMerge w:val="continue"/>
            <w:vAlign w:val="center"/>
          </w:tcPr>
          <w:p w14:paraId="4252B978">
            <w:pPr>
              <w:adjustRightInd/>
              <w:spacing w:line="240" w:lineRule="exact"/>
              <w:jc w:val="center"/>
              <w:rPr>
                <w:rFonts w:ascii="Arial" w:hAnsi="Arial" w:eastAsia="仿宋_GB2312" w:cs="Arial"/>
                <w:sz w:val="18"/>
                <w:szCs w:val="18"/>
                <w:highlight w:val="none"/>
              </w:rPr>
            </w:pPr>
          </w:p>
        </w:tc>
        <w:tc>
          <w:tcPr>
            <w:tcW w:w="1236" w:type="dxa"/>
            <w:vMerge w:val="continue"/>
            <w:vAlign w:val="center"/>
          </w:tcPr>
          <w:p w14:paraId="7495BEEF">
            <w:pPr>
              <w:adjustRightInd/>
              <w:spacing w:line="240" w:lineRule="exact"/>
              <w:jc w:val="center"/>
              <w:rPr>
                <w:rFonts w:ascii="Arial" w:hAnsi="Arial" w:eastAsia="仿宋_GB2312" w:cs="Arial"/>
                <w:sz w:val="18"/>
                <w:szCs w:val="18"/>
                <w:highlight w:val="none"/>
              </w:rPr>
            </w:pPr>
          </w:p>
        </w:tc>
        <w:tc>
          <w:tcPr>
            <w:tcW w:w="1032" w:type="dxa"/>
            <w:vAlign w:val="center"/>
          </w:tcPr>
          <w:p w14:paraId="0196A856">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40</w:t>
            </w:r>
          </w:p>
        </w:tc>
        <w:tc>
          <w:tcPr>
            <w:tcW w:w="912" w:type="dxa"/>
            <w:vMerge w:val="continue"/>
            <w:vAlign w:val="center"/>
          </w:tcPr>
          <w:p w14:paraId="1337B56A">
            <w:pPr>
              <w:adjustRightInd/>
              <w:spacing w:line="240" w:lineRule="exact"/>
              <w:jc w:val="center"/>
              <w:rPr>
                <w:rFonts w:ascii="Arial" w:hAnsi="Arial" w:eastAsia="仿宋_GB2312" w:cs="Arial"/>
                <w:sz w:val="18"/>
                <w:szCs w:val="18"/>
                <w:highlight w:val="none"/>
              </w:rPr>
            </w:pPr>
          </w:p>
        </w:tc>
        <w:tc>
          <w:tcPr>
            <w:tcW w:w="996" w:type="dxa"/>
            <w:vAlign w:val="center"/>
          </w:tcPr>
          <w:p w14:paraId="02DC4500">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960" w:type="dxa"/>
            <w:vAlign w:val="center"/>
          </w:tcPr>
          <w:p w14:paraId="054CEEE3">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5295</w:t>
            </w:r>
          </w:p>
        </w:tc>
        <w:tc>
          <w:tcPr>
            <w:tcW w:w="1359" w:type="dxa"/>
            <w:vAlign w:val="center"/>
          </w:tcPr>
          <w:p w14:paraId="4090FEB1">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142" w:type="dxa"/>
            <w:vMerge w:val="continue"/>
            <w:tcBorders>
              <w:left w:val="single" w:color="auto" w:sz="4" w:space="0"/>
            </w:tcBorders>
            <w:vAlign w:val="center"/>
          </w:tcPr>
          <w:p w14:paraId="6B879ECB">
            <w:pPr>
              <w:adjustRightInd/>
              <w:spacing w:line="240" w:lineRule="exact"/>
              <w:jc w:val="center"/>
              <w:rPr>
                <w:rFonts w:ascii="Arial" w:hAnsi="Arial" w:eastAsia="仿宋_GB2312" w:cs="Arial"/>
                <w:sz w:val="18"/>
                <w:szCs w:val="18"/>
                <w:highlight w:val="none"/>
              </w:rPr>
            </w:pPr>
          </w:p>
        </w:tc>
      </w:tr>
      <w:tr w14:paraId="1AB65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trHeight w:val="1701" w:hRule="atLeast"/>
          <w:jc w:val="center"/>
        </w:trPr>
        <w:tc>
          <w:tcPr>
            <w:tcW w:w="951" w:type="dxa"/>
            <w:vMerge w:val="continue"/>
            <w:vAlign w:val="center"/>
          </w:tcPr>
          <w:p w14:paraId="698848CD">
            <w:pPr>
              <w:adjustRightInd/>
              <w:spacing w:line="240" w:lineRule="exact"/>
              <w:jc w:val="center"/>
              <w:rPr>
                <w:rFonts w:ascii="Arial" w:hAnsi="Arial" w:eastAsia="仿宋_GB2312" w:cs="Arial"/>
                <w:sz w:val="18"/>
                <w:szCs w:val="18"/>
                <w:highlight w:val="none"/>
              </w:rPr>
            </w:pPr>
          </w:p>
        </w:tc>
        <w:tc>
          <w:tcPr>
            <w:tcW w:w="1268" w:type="dxa"/>
            <w:vMerge w:val="continue"/>
            <w:vAlign w:val="center"/>
          </w:tcPr>
          <w:p w14:paraId="2FFB9E6D">
            <w:pPr>
              <w:adjustRightInd/>
              <w:spacing w:line="240" w:lineRule="exact"/>
              <w:jc w:val="center"/>
              <w:rPr>
                <w:rFonts w:ascii="Arial" w:hAnsi="Arial" w:eastAsia="仿宋_GB2312" w:cs="Arial"/>
                <w:sz w:val="18"/>
                <w:szCs w:val="18"/>
                <w:highlight w:val="none"/>
              </w:rPr>
            </w:pPr>
          </w:p>
        </w:tc>
        <w:tc>
          <w:tcPr>
            <w:tcW w:w="647" w:type="dxa"/>
            <w:vMerge w:val="continue"/>
            <w:vAlign w:val="center"/>
          </w:tcPr>
          <w:p w14:paraId="4D650EC6">
            <w:pPr>
              <w:adjustRightInd/>
              <w:spacing w:line="240" w:lineRule="exact"/>
              <w:jc w:val="center"/>
              <w:rPr>
                <w:rFonts w:ascii="Arial" w:hAnsi="Arial" w:eastAsia="仿宋_GB2312" w:cs="Arial"/>
                <w:sz w:val="18"/>
                <w:szCs w:val="18"/>
                <w:highlight w:val="none"/>
              </w:rPr>
            </w:pPr>
          </w:p>
        </w:tc>
        <w:tc>
          <w:tcPr>
            <w:tcW w:w="767" w:type="dxa"/>
            <w:vMerge w:val="continue"/>
            <w:vAlign w:val="center"/>
          </w:tcPr>
          <w:p w14:paraId="3068C01B">
            <w:pPr>
              <w:adjustRightInd/>
              <w:spacing w:line="240" w:lineRule="exact"/>
              <w:jc w:val="center"/>
              <w:rPr>
                <w:rFonts w:ascii="Arial" w:hAnsi="Arial" w:eastAsia="仿宋_GB2312" w:cs="Arial"/>
                <w:sz w:val="18"/>
                <w:szCs w:val="18"/>
                <w:highlight w:val="none"/>
              </w:rPr>
            </w:pPr>
          </w:p>
        </w:tc>
        <w:tc>
          <w:tcPr>
            <w:tcW w:w="767" w:type="dxa"/>
            <w:vAlign w:val="center"/>
          </w:tcPr>
          <w:p w14:paraId="3DFA1C48">
            <w:pPr>
              <w:adjustRightInd/>
              <w:spacing w:line="240" w:lineRule="exact"/>
              <w:jc w:val="center"/>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公共管理与</w:t>
            </w:r>
            <w:r>
              <w:rPr>
                <w:rFonts w:hint="eastAsia" w:ascii="Arial" w:hAnsi="Arial" w:eastAsia="仿宋_GB2312" w:cs="Arial"/>
                <w:sz w:val="18"/>
                <w:szCs w:val="18"/>
                <w:highlight w:val="none"/>
              </w:rPr>
              <w:t>公共</w:t>
            </w:r>
            <w:r>
              <w:rPr>
                <w:rFonts w:ascii="Arial" w:hAnsi="Arial" w:eastAsia="仿宋_GB2312" w:cs="Arial"/>
                <w:sz w:val="18"/>
                <w:szCs w:val="18"/>
                <w:highlight w:val="none"/>
              </w:rPr>
              <w:t>服务</w:t>
            </w:r>
            <w:r>
              <w:rPr>
                <w:rFonts w:hint="eastAsia" w:ascii="Arial" w:hAnsi="Arial" w:eastAsia="仿宋_GB2312" w:cs="Arial"/>
                <w:sz w:val="18"/>
                <w:szCs w:val="18"/>
                <w:highlight w:val="none"/>
                <w:lang w:val="en-US" w:eastAsia="zh-CN"/>
              </w:rPr>
              <w:t>用地</w:t>
            </w:r>
          </w:p>
        </w:tc>
        <w:tc>
          <w:tcPr>
            <w:tcW w:w="717" w:type="dxa"/>
            <w:vMerge w:val="continue"/>
            <w:vAlign w:val="center"/>
          </w:tcPr>
          <w:p w14:paraId="74F4352A">
            <w:pPr>
              <w:adjustRightInd/>
              <w:spacing w:line="240" w:lineRule="exact"/>
              <w:jc w:val="center"/>
              <w:rPr>
                <w:rFonts w:ascii="Arial" w:hAnsi="Arial" w:eastAsia="仿宋_GB2312" w:cs="Arial"/>
                <w:sz w:val="18"/>
                <w:szCs w:val="18"/>
                <w:highlight w:val="none"/>
              </w:rPr>
            </w:pPr>
          </w:p>
        </w:tc>
        <w:tc>
          <w:tcPr>
            <w:tcW w:w="1165" w:type="dxa"/>
            <w:vMerge w:val="continue"/>
            <w:vAlign w:val="center"/>
          </w:tcPr>
          <w:p w14:paraId="7E82ADAC">
            <w:pPr>
              <w:adjustRightInd/>
              <w:spacing w:line="240" w:lineRule="exact"/>
              <w:jc w:val="center"/>
              <w:rPr>
                <w:rFonts w:ascii="Arial" w:hAnsi="Arial" w:eastAsia="仿宋_GB2312" w:cs="Arial"/>
                <w:sz w:val="18"/>
                <w:szCs w:val="18"/>
                <w:highlight w:val="none"/>
              </w:rPr>
            </w:pPr>
          </w:p>
        </w:tc>
        <w:tc>
          <w:tcPr>
            <w:tcW w:w="1236" w:type="dxa"/>
            <w:vMerge w:val="continue"/>
            <w:vAlign w:val="center"/>
          </w:tcPr>
          <w:p w14:paraId="03062F30">
            <w:pPr>
              <w:adjustRightInd/>
              <w:spacing w:line="240" w:lineRule="exact"/>
              <w:jc w:val="center"/>
              <w:rPr>
                <w:rFonts w:ascii="Arial" w:hAnsi="Arial" w:eastAsia="仿宋_GB2312" w:cs="Arial"/>
                <w:sz w:val="18"/>
                <w:szCs w:val="18"/>
                <w:highlight w:val="none"/>
              </w:rPr>
            </w:pPr>
          </w:p>
        </w:tc>
        <w:tc>
          <w:tcPr>
            <w:tcW w:w="1032" w:type="dxa"/>
            <w:vAlign w:val="center"/>
          </w:tcPr>
          <w:p w14:paraId="44C1C38B">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50</w:t>
            </w:r>
          </w:p>
        </w:tc>
        <w:tc>
          <w:tcPr>
            <w:tcW w:w="912" w:type="dxa"/>
            <w:vMerge w:val="continue"/>
            <w:vAlign w:val="center"/>
          </w:tcPr>
          <w:p w14:paraId="68CE91A4">
            <w:pPr>
              <w:adjustRightInd/>
              <w:spacing w:line="240" w:lineRule="exact"/>
              <w:jc w:val="center"/>
              <w:rPr>
                <w:rFonts w:ascii="Arial" w:hAnsi="Arial" w:eastAsia="仿宋_GB2312" w:cs="Arial"/>
                <w:sz w:val="18"/>
                <w:szCs w:val="18"/>
                <w:highlight w:val="none"/>
              </w:rPr>
            </w:pPr>
          </w:p>
        </w:tc>
        <w:tc>
          <w:tcPr>
            <w:tcW w:w="996" w:type="dxa"/>
            <w:vAlign w:val="center"/>
          </w:tcPr>
          <w:p w14:paraId="162E3D91">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960" w:type="dxa"/>
            <w:vAlign w:val="center"/>
          </w:tcPr>
          <w:p w14:paraId="0E68FE55">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3249</w:t>
            </w:r>
          </w:p>
        </w:tc>
        <w:tc>
          <w:tcPr>
            <w:tcW w:w="1359" w:type="dxa"/>
            <w:vAlign w:val="center"/>
          </w:tcPr>
          <w:p w14:paraId="445E9EAF">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142" w:type="dxa"/>
            <w:vMerge w:val="continue"/>
            <w:tcBorders>
              <w:left w:val="single" w:color="auto" w:sz="4" w:space="0"/>
            </w:tcBorders>
            <w:vAlign w:val="center"/>
          </w:tcPr>
          <w:p w14:paraId="6D5F5FE3">
            <w:pPr>
              <w:adjustRightInd/>
              <w:spacing w:line="240" w:lineRule="exact"/>
              <w:jc w:val="center"/>
              <w:rPr>
                <w:rFonts w:ascii="Arial" w:hAnsi="Arial" w:eastAsia="仿宋_GB2312" w:cs="Arial"/>
                <w:sz w:val="18"/>
                <w:szCs w:val="18"/>
                <w:highlight w:val="none"/>
              </w:rPr>
            </w:pPr>
          </w:p>
        </w:tc>
      </w:tr>
      <w:tr w14:paraId="3E746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951" w:type="dxa"/>
            <w:vAlign w:val="center"/>
          </w:tcPr>
          <w:p w14:paraId="52DBF34A">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合计</w:t>
            </w:r>
          </w:p>
        </w:tc>
        <w:tc>
          <w:tcPr>
            <w:tcW w:w="1268" w:type="dxa"/>
            <w:vAlign w:val="center"/>
          </w:tcPr>
          <w:p w14:paraId="5A4CFDB1">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647" w:type="dxa"/>
            <w:vAlign w:val="center"/>
          </w:tcPr>
          <w:p w14:paraId="04958D06">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767" w:type="dxa"/>
            <w:vAlign w:val="center"/>
          </w:tcPr>
          <w:p w14:paraId="5D297B73">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767" w:type="dxa"/>
            <w:vAlign w:val="center"/>
          </w:tcPr>
          <w:p w14:paraId="259B95EE">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717" w:type="dxa"/>
            <w:vAlign w:val="center"/>
          </w:tcPr>
          <w:p w14:paraId="3DF9E962">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165" w:type="dxa"/>
            <w:vAlign w:val="center"/>
          </w:tcPr>
          <w:p w14:paraId="3FC5A328">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236" w:type="dxa"/>
            <w:vAlign w:val="center"/>
          </w:tcPr>
          <w:p w14:paraId="717AFEA4">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032" w:type="dxa"/>
            <w:vAlign w:val="center"/>
          </w:tcPr>
          <w:p w14:paraId="06A9410D">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912" w:type="dxa"/>
            <w:vAlign w:val="center"/>
          </w:tcPr>
          <w:p w14:paraId="68098821">
            <w:pPr>
              <w:adjustRightInd/>
              <w:spacing w:line="240" w:lineRule="exact"/>
              <w:jc w:val="center"/>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lang w:eastAsia="zh-CN"/>
              </w:rPr>
              <w:t>56790.45</w:t>
            </w:r>
          </w:p>
        </w:tc>
        <w:tc>
          <w:tcPr>
            <w:tcW w:w="996" w:type="dxa"/>
            <w:vAlign w:val="center"/>
          </w:tcPr>
          <w:p w14:paraId="43EFA9C7">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68148.54</w:t>
            </w:r>
          </w:p>
        </w:tc>
        <w:tc>
          <w:tcPr>
            <w:tcW w:w="960" w:type="dxa"/>
            <w:vAlign w:val="center"/>
          </w:tcPr>
          <w:p w14:paraId="68FFFD4F">
            <w:pPr>
              <w:adjustRightInd/>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w:t>
            </w:r>
          </w:p>
        </w:tc>
        <w:tc>
          <w:tcPr>
            <w:tcW w:w="1359" w:type="dxa"/>
            <w:vAlign w:val="center"/>
          </w:tcPr>
          <w:p w14:paraId="51E81844">
            <w:pPr>
              <w:adjustRightInd/>
              <w:spacing w:line="240" w:lineRule="exact"/>
              <w:jc w:val="center"/>
              <w:rPr>
                <w:rFonts w:ascii="Arial" w:hAnsi="Arial" w:eastAsia="仿宋_GB2312" w:cs="Arial"/>
                <w:sz w:val="18"/>
                <w:szCs w:val="18"/>
                <w:highlight w:val="none"/>
              </w:rPr>
            </w:pPr>
            <w:r>
              <w:rPr>
                <w:rFonts w:hint="eastAsia" w:ascii="Arial" w:hAnsi="Arial" w:eastAsia="仿宋_GB2312" w:cs="Arial"/>
                <w:sz w:val="18"/>
                <w:szCs w:val="18"/>
                <w:highlight w:val="none"/>
                <w:lang w:val="en-US" w:eastAsia="zh-CN"/>
              </w:rPr>
              <w:t>74568.1325</w:t>
            </w:r>
            <w:r>
              <w:rPr>
                <w:rFonts w:ascii="Arial" w:hAnsi="Arial" w:eastAsia="仿宋_GB2312" w:cs="Arial"/>
                <w:sz w:val="18"/>
                <w:szCs w:val="18"/>
                <w:highlight w:val="none"/>
              </w:rPr>
              <w:t xml:space="preserve">  </w:t>
            </w:r>
          </w:p>
        </w:tc>
        <w:tc>
          <w:tcPr>
            <w:tcW w:w="1142" w:type="dxa"/>
            <w:vMerge w:val="continue"/>
            <w:tcBorders>
              <w:left w:val="single" w:color="auto" w:sz="4" w:space="0"/>
            </w:tcBorders>
            <w:vAlign w:val="center"/>
          </w:tcPr>
          <w:p w14:paraId="2943F273">
            <w:pPr>
              <w:adjustRightInd/>
              <w:spacing w:line="240" w:lineRule="exact"/>
              <w:jc w:val="center"/>
              <w:rPr>
                <w:rFonts w:ascii="Arial" w:hAnsi="Arial" w:eastAsia="仿宋_GB2312" w:cs="Arial"/>
                <w:sz w:val="18"/>
                <w:szCs w:val="18"/>
                <w:highlight w:val="none"/>
              </w:rPr>
            </w:pPr>
          </w:p>
        </w:tc>
      </w:tr>
    </w:tbl>
    <w:p w14:paraId="45242F33">
      <w:pPr>
        <w:adjustRightInd/>
        <w:spacing w:line="240" w:lineRule="exact"/>
        <w:jc w:val="right"/>
        <w:rPr>
          <w:rFonts w:ascii="Arial" w:hAnsi="Arial" w:eastAsia="仿宋_GB2312" w:cs="Arial"/>
          <w:sz w:val="18"/>
          <w:szCs w:val="18"/>
          <w:highlight w:val="none"/>
        </w:rPr>
      </w:pPr>
      <w:r>
        <w:rPr>
          <w:rFonts w:hint="eastAsia" w:ascii="Arial" w:hAnsi="Arial" w:eastAsia="仿宋_GB2312" w:cs="Arial"/>
          <w:sz w:val="18"/>
          <w:szCs w:val="18"/>
          <w:highlight w:val="none"/>
          <w:lang w:val="en-US" w:eastAsia="zh-CN"/>
        </w:rPr>
        <w:t xml:space="preserve">                 </w:t>
      </w:r>
      <w:r>
        <w:rPr>
          <w:rFonts w:ascii="Arial" w:hAnsi="Arial" w:eastAsia="仿宋_GB2312" w:cs="Arial"/>
          <w:sz w:val="18"/>
          <w:szCs w:val="18"/>
          <w:highlight w:val="none"/>
        </w:rPr>
        <w:t>币种：人民币</w:t>
      </w:r>
    </w:p>
    <w:p w14:paraId="0195FE2E">
      <w:pPr>
        <w:pStyle w:val="91"/>
        <w:spacing w:line="300" w:lineRule="auto"/>
        <w:ind w:right="-408" w:rightChars="-170" w:firstLine="420"/>
        <w:rPr>
          <w:rFonts w:ascii="Arial" w:hAnsi="Arial" w:cs="Arial"/>
          <w:bCs/>
          <w:sz w:val="21"/>
          <w:szCs w:val="21"/>
          <w:highlight w:val="none"/>
        </w:rPr>
        <w:sectPr>
          <w:pgSz w:w="16840" w:h="11907" w:orient="landscape"/>
          <w:pgMar w:top="1418" w:right="1418" w:bottom="1134" w:left="1418" w:header="794" w:footer="907" w:gutter="0"/>
          <w:pgNumType w:fmt="decimal"/>
          <w:cols w:space="720" w:num="1"/>
          <w:titlePg/>
          <w:docGrid w:linePitch="326" w:charSpace="0"/>
        </w:sectPr>
      </w:pPr>
    </w:p>
    <w:p w14:paraId="6990012D">
      <w:pPr>
        <w:spacing w:line="300" w:lineRule="auto"/>
        <w:ind w:left="1"/>
        <w:jc w:val="both"/>
        <w:rPr>
          <w:rFonts w:ascii="Arial" w:hAnsi="Arial" w:eastAsia="仿宋_GB2312" w:cs="Arial"/>
          <w:b/>
          <w:highlight w:val="none"/>
        </w:rPr>
      </w:pPr>
      <w:r>
        <w:rPr>
          <w:rFonts w:ascii="Arial" w:hAnsi="Arial" w:eastAsia="仿宋_GB2312" w:cs="Arial"/>
          <w:b/>
          <w:highlight w:val="none"/>
        </w:rPr>
        <w:t>一、上述估价结果的限定条件</w:t>
      </w:r>
    </w:p>
    <w:p w14:paraId="311B3A8F">
      <w:pPr>
        <w:adjustRightInd/>
        <w:spacing w:line="300" w:lineRule="auto"/>
        <w:jc w:val="both"/>
        <w:rPr>
          <w:rFonts w:ascii="Arial" w:hAnsi="Arial" w:eastAsia="仿宋_GB2312" w:cs="Arial"/>
          <w:bCs/>
          <w:highlight w:val="none"/>
        </w:rPr>
      </w:pPr>
      <w:r>
        <w:rPr>
          <w:rFonts w:ascii="Arial" w:hAnsi="Arial" w:eastAsia="仿宋_GB2312" w:cs="Arial"/>
          <w:bCs/>
          <w:highlight w:val="none"/>
        </w:rPr>
        <w:t>（一）土地权利限制：至估价期日，估价对象无他项权利；</w:t>
      </w:r>
    </w:p>
    <w:p w14:paraId="4EA5BE48">
      <w:pPr>
        <w:adjustRightInd/>
        <w:spacing w:line="300" w:lineRule="auto"/>
        <w:jc w:val="both"/>
        <w:rPr>
          <w:rFonts w:ascii="仿宋_GB2312" w:hAnsi="Arial" w:eastAsia="仿宋_GB2312"/>
          <w:bCs/>
          <w:highlight w:val="none"/>
        </w:rPr>
      </w:pPr>
      <w:r>
        <w:rPr>
          <w:rFonts w:ascii="Arial" w:hAnsi="Arial" w:eastAsia="仿宋_GB2312" w:cs="Arial"/>
          <w:bCs/>
          <w:highlight w:val="none"/>
        </w:rPr>
        <w:t>（二）基础设施条件：</w:t>
      </w:r>
      <w:r>
        <w:rPr>
          <w:rFonts w:hint="eastAsia" w:ascii="仿宋_GB2312" w:hAnsi="Arial" w:eastAsia="仿宋_GB2312"/>
          <w:bCs/>
          <w:highlight w:val="none"/>
        </w:rPr>
        <w:t>估价对象实际开发程度为宗地外</w:t>
      </w:r>
      <w:r>
        <w:rPr>
          <w:rFonts w:hint="eastAsia" w:ascii="仿宋_GB2312" w:hAnsi="Arial" w:eastAsia="仿宋_GB2312"/>
          <w:bCs/>
          <w:highlight w:val="none"/>
          <w:lang w:eastAsia="zh-CN"/>
        </w:rPr>
        <w:t>“七通”（通路、通上水（自来水、中水）、通下水（雨水、污水）、通电（管沟、电缆）、通讯、通燃气、通热力）</w:t>
      </w:r>
      <w:r>
        <w:rPr>
          <w:rFonts w:hint="eastAsia" w:ascii="仿宋_GB2312" w:hAnsi="Arial" w:eastAsia="仿宋_GB2312"/>
          <w:bCs/>
          <w:highlight w:val="none"/>
        </w:rPr>
        <w:t>，宗地红线内场地平整；本次评估设定开发程度为土地开发程度红线外市政基础设施达宗地外</w:t>
      </w:r>
      <w:r>
        <w:rPr>
          <w:rFonts w:hint="eastAsia" w:ascii="仿宋_GB2312" w:hAnsi="Arial" w:eastAsia="仿宋_GB2312"/>
          <w:bCs/>
          <w:highlight w:val="none"/>
          <w:lang w:eastAsia="zh-CN"/>
        </w:rPr>
        <w:t>“七通”（通路、通上水（自来水、中水）、通下水（雨水、污水）、通电、通讯、通燃气、通热力）</w:t>
      </w:r>
      <w:r>
        <w:rPr>
          <w:rFonts w:hint="eastAsia" w:ascii="仿宋_GB2312" w:hAnsi="Arial" w:eastAsia="仿宋_GB2312"/>
          <w:bCs/>
          <w:highlight w:val="none"/>
        </w:rPr>
        <w:t>，宗地红线内场地平整</w:t>
      </w:r>
      <w:r>
        <w:rPr>
          <w:rFonts w:ascii="仿宋_GB2312" w:hAnsi="Arial" w:eastAsia="仿宋_GB2312"/>
          <w:bCs/>
          <w:highlight w:val="none"/>
        </w:rPr>
        <w:t>；</w:t>
      </w:r>
    </w:p>
    <w:p w14:paraId="4A21D169">
      <w:pPr>
        <w:adjustRightInd/>
        <w:spacing w:line="300" w:lineRule="auto"/>
        <w:jc w:val="both"/>
        <w:rPr>
          <w:rFonts w:ascii="Arial" w:hAnsi="Arial" w:eastAsia="仿宋_GB2312" w:cs="Arial"/>
          <w:bCs/>
          <w:highlight w:val="none"/>
        </w:rPr>
      </w:pPr>
      <w:r>
        <w:rPr>
          <w:rFonts w:ascii="Arial" w:hAnsi="Arial" w:eastAsia="仿宋_GB2312" w:cs="Arial"/>
          <w:bCs/>
          <w:highlight w:val="none"/>
        </w:rPr>
        <w:t>（三）规划限制条件：依据</w:t>
      </w:r>
      <w:r>
        <w:rPr>
          <w:rFonts w:hint="eastAsia" w:ascii="Arial" w:hAnsi="Arial" w:eastAsia="仿宋_GB2312" w:cs="Arial"/>
          <w:bCs/>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_GB2312" w:cs="Arial"/>
          <w:bCs/>
          <w:highlight w:val="none"/>
        </w:rPr>
        <w:t>；</w:t>
      </w:r>
    </w:p>
    <w:p w14:paraId="33499940">
      <w:pPr>
        <w:adjustRightInd/>
        <w:spacing w:line="300" w:lineRule="auto"/>
        <w:jc w:val="both"/>
        <w:rPr>
          <w:rFonts w:ascii="Arial" w:hAnsi="Arial" w:eastAsia="仿宋_GB2312" w:cs="Arial"/>
          <w:bCs/>
          <w:highlight w:val="none"/>
        </w:rPr>
      </w:pPr>
      <w:r>
        <w:rPr>
          <w:rFonts w:ascii="Arial" w:hAnsi="Arial" w:eastAsia="仿宋_GB2312" w:cs="Arial"/>
          <w:bCs/>
          <w:highlight w:val="none"/>
        </w:rPr>
        <w:t>（四）影响土地价格的其他限定条件：无。</w:t>
      </w:r>
    </w:p>
    <w:p w14:paraId="6A2793CA">
      <w:pPr>
        <w:spacing w:line="300" w:lineRule="auto"/>
        <w:jc w:val="both"/>
        <w:rPr>
          <w:rFonts w:ascii="Arial" w:hAnsi="Arial" w:eastAsia="仿宋_GB2312" w:cs="Arial"/>
          <w:bCs/>
          <w:highlight w:val="none"/>
        </w:rPr>
      </w:pPr>
      <w:r>
        <w:rPr>
          <w:rFonts w:ascii="Arial" w:hAnsi="Arial" w:eastAsia="仿宋_GB2312" w:cs="Arial"/>
          <w:b/>
          <w:highlight w:val="none"/>
        </w:rPr>
        <w:t>二、其他需要说明的事项</w:t>
      </w:r>
      <w:r>
        <w:rPr>
          <w:rFonts w:ascii="Arial" w:hAnsi="Arial" w:eastAsia="仿宋_GB2312" w:cs="Arial"/>
          <w:bCs/>
          <w:highlight w:val="none"/>
        </w:rPr>
        <w:t>：</w:t>
      </w:r>
    </w:p>
    <w:p w14:paraId="6DEBF7FD">
      <w:pPr>
        <w:adjustRightInd/>
        <w:spacing w:line="300" w:lineRule="auto"/>
        <w:jc w:val="both"/>
        <w:rPr>
          <w:rFonts w:ascii="Arial" w:hAnsi="Arial" w:eastAsia="仿宋_GB2312" w:cs="Arial"/>
          <w:bCs/>
          <w:highlight w:val="none"/>
        </w:rPr>
      </w:pPr>
      <w:r>
        <w:rPr>
          <w:rFonts w:hint="eastAsia" w:ascii="Arial" w:hAnsi="Arial" w:eastAsia="仿宋_GB2312" w:cs="Arial"/>
          <w:bCs/>
          <w:highlight w:val="none"/>
        </w:rPr>
        <w:t>（一）本报告结果是在满足地价定义中全部假设与限制条件下的地价，若估价对象的土地权利状况，利用方式、估价期日、土地开发状况，土地使用年期、容积率等影响地价的因素发生了变化，该评估价格应作相应的调整，不能直接使用本次估价结论。</w:t>
      </w:r>
    </w:p>
    <w:p w14:paraId="60FA6058">
      <w:pPr>
        <w:adjustRightInd/>
        <w:spacing w:line="300" w:lineRule="auto"/>
        <w:jc w:val="both"/>
        <w:rPr>
          <w:rFonts w:ascii="Arial" w:hAnsi="Arial" w:eastAsia="仿宋_GB2312" w:cs="Arial"/>
          <w:bCs/>
          <w:highlight w:val="none"/>
        </w:rPr>
      </w:pPr>
      <w:r>
        <w:rPr>
          <w:rFonts w:hint="eastAsia" w:ascii="Arial" w:hAnsi="Arial" w:eastAsia="仿宋_GB2312" w:cs="Arial"/>
          <w:bCs/>
          <w:highlight w:val="none"/>
        </w:rPr>
        <w:t>（二）土地权属、利用状况等咨料均由委托方提供，估价师结合执业经验，对上相关评估资料的真实性，合法性，有限性，适用性进行了尽职核实和专业判断，但资料的真实性最终由委托方负责，如有虚假，评估机构不承担相应责任;房地产市场交易、区位条件等资料由土地估价专业评估师通过住建委、规自委等官网或现场勘查而得，评估机构对所收集资料的真实性、准确性负责。</w:t>
      </w:r>
    </w:p>
    <w:p w14:paraId="6B3F3199">
      <w:pPr>
        <w:adjustRightInd/>
        <w:spacing w:line="300" w:lineRule="auto"/>
        <w:jc w:val="both"/>
        <w:rPr>
          <w:rFonts w:ascii="Arial" w:hAnsi="Arial" w:eastAsia="仿宋_GB2312" w:cs="Arial"/>
          <w:bCs/>
          <w:highlight w:val="none"/>
        </w:rPr>
      </w:pPr>
      <w:r>
        <w:rPr>
          <w:rFonts w:hint="eastAsia" w:ascii="Arial" w:hAnsi="Arial" w:eastAsia="仿宋_GB2312" w:cs="Arial"/>
          <w:bCs/>
          <w:highlight w:val="none"/>
        </w:rPr>
        <w:t>（三）本报告仅为出让方通过集体决策确定估价对象土地出让底价提供参考依据</w:t>
      </w:r>
      <w:r>
        <w:rPr>
          <w:rFonts w:ascii="Arial" w:hAnsi="Arial" w:eastAsia="仿宋_GB2312" w:cs="Arial"/>
          <w:bCs/>
          <w:highlight w:val="none"/>
        </w:rPr>
        <w:t>。</w:t>
      </w:r>
    </w:p>
    <w:p w14:paraId="05504FD3">
      <w:pPr>
        <w:adjustRightInd/>
        <w:spacing w:line="300" w:lineRule="auto"/>
        <w:jc w:val="both"/>
        <w:rPr>
          <w:rFonts w:ascii="Arial" w:hAnsi="Arial" w:eastAsia="仿宋_GB2312" w:cs="Arial"/>
          <w:bCs/>
          <w:highlight w:val="none"/>
        </w:rPr>
      </w:pPr>
    </w:p>
    <w:p w14:paraId="1BD3465C">
      <w:pPr>
        <w:adjustRightInd/>
        <w:spacing w:line="300" w:lineRule="auto"/>
        <w:jc w:val="both"/>
        <w:rPr>
          <w:rFonts w:ascii="Arial" w:hAnsi="Arial" w:eastAsia="仿宋_GB2312" w:cs="Arial"/>
          <w:bCs/>
          <w:highlight w:val="none"/>
        </w:rPr>
      </w:pPr>
    </w:p>
    <w:p w14:paraId="2673B3B9">
      <w:pPr>
        <w:adjustRightInd/>
        <w:spacing w:line="300" w:lineRule="auto"/>
        <w:jc w:val="both"/>
        <w:rPr>
          <w:rFonts w:ascii="Arial" w:hAnsi="Arial" w:eastAsia="仿宋_GB2312" w:cs="Arial"/>
          <w:bCs/>
          <w:highlight w:val="none"/>
        </w:rPr>
      </w:pPr>
    </w:p>
    <w:p w14:paraId="504F4288">
      <w:pPr>
        <w:spacing w:line="300" w:lineRule="auto"/>
        <w:ind w:firstLine="3828"/>
        <w:jc w:val="right"/>
        <w:rPr>
          <w:rFonts w:ascii="Arial" w:hAnsi="Arial" w:eastAsia="仿宋_GB2312" w:cs="Arial"/>
          <w:bCs/>
          <w:highlight w:val="none"/>
        </w:rPr>
      </w:pPr>
      <w:r>
        <w:rPr>
          <w:rFonts w:ascii="Arial" w:hAnsi="Arial" w:eastAsia="仿宋_GB2312" w:cs="Arial"/>
          <w:bCs/>
          <w:highlight w:val="none"/>
        </w:rPr>
        <w:t xml:space="preserve">估价机构：北京康正宏基房地产评估有限公司  </w:t>
      </w:r>
    </w:p>
    <w:p w14:paraId="3AAB428B">
      <w:pPr>
        <w:spacing w:line="300" w:lineRule="auto"/>
        <w:ind w:firstLine="3828"/>
        <w:jc w:val="right"/>
        <w:rPr>
          <w:rFonts w:ascii="Arial" w:hAnsi="Arial" w:eastAsia="仿宋_GB2312" w:cs="Arial"/>
          <w:bCs/>
          <w:highlight w:val="none"/>
        </w:rPr>
      </w:pPr>
    </w:p>
    <w:p w14:paraId="6A42E401">
      <w:pPr>
        <w:spacing w:line="300" w:lineRule="auto"/>
        <w:ind w:firstLine="3828"/>
        <w:jc w:val="right"/>
        <w:rPr>
          <w:rFonts w:ascii="Arial" w:hAnsi="Arial" w:eastAsia="仿宋_GB2312" w:cs="Arial"/>
          <w:sz w:val="28"/>
          <w:highlight w:val="none"/>
        </w:rPr>
      </w:pPr>
      <w:r>
        <w:rPr>
          <w:rFonts w:ascii="Arial" w:hAnsi="Arial" w:eastAsia="仿宋_GB2312" w:cs="Arial"/>
          <w:bCs/>
          <w:highlight w:val="none"/>
        </w:rPr>
        <w:t xml:space="preserve">              202</w:t>
      </w:r>
      <w:r>
        <w:rPr>
          <w:rFonts w:hint="eastAsia" w:ascii="Arial" w:hAnsi="Arial" w:eastAsia="仿宋_GB2312" w:cs="Arial"/>
          <w:bCs/>
          <w:highlight w:val="none"/>
          <w:lang w:val="en-US" w:eastAsia="zh-CN"/>
        </w:rPr>
        <w:t>6</w:t>
      </w:r>
      <w:r>
        <w:rPr>
          <w:rFonts w:ascii="Arial" w:hAnsi="Arial" w:eastAsia="仿宋_GB2312" w:cs="Arial"/>
          <w:bCs/>
          <w:highlight w:val="none"/>
        </w:rPr>
        <w:t>年</w:t>
      </w:r>
      <w:r>
        <w:rPr>
          <w:rFonts w:hint="eastAsia" w:ascii="Arial" w:hAnsi="Arial" w:eastAsia="仿宋_GB2312" w:cs="Arial"/>
          <w:bCs/>
          <w:highlight w:val="none"/>
          <w:lang w:val="en-US" w:eastAsia="zh-CN"/>
        </w:rPr>
        <w:t>3</w:t>
      </w:r>
      <w:r>
        <w:rPr>
          <w:rFonts w:ascii="Arial" w:hAnsi="Arial" w:eastAsia="仿宋_GB2312" w:cs="Arial"/>
          <w:bCs/>
          <w:highlight w:val="none"/>
        </w:rPr>
        <w:t>月</w:t>
      </w:r>
      <w:r>
        <w:rPr>
          <w:rFonts w:hint="eastAsia" w:ascii="Arial" w:hAnsi="Arial" w:eastAsia="仿宋_GB2312" w:cs="Arial"/>
          <w:bCs/>
          <w:highlight w:val="none"/>
          <w:lang w:val="en-US" w:eastAsia="zh-CN"/>
        </w:rPr>
        <w:t>31</w:t>
      </w:r>
      <w:r>
        <w:rPr>
          <w:rFonts w:ascii="Arial" w:hAnsi="Arial" w:eastAsia="仿宋_GB2312" w:cs="Arial"/>
          <w:bCs/>
          <w:highlight w:val="none"/>
        </w:rPr>
        <w:t>日</w:t>
      </w:r>
    </w:p>
    <w:p w14:paraId="70811B92">
      <w:pPr>
        <w:adjustRightInd/>
        <w:spacing w:line="300" w:lineRule="auto"/>
        <w:jc w:val="both"/>
        <w:rPr>
          <w:rFonts w:ascii="Arial" w:hAnsi="Arial" w:eastAsia="仿宋_GB2312" w:cs="Arial"/>
          <w:bCs/>
          <w:highlight w:val="none"/>
        </w:rPr>
      </w:pPr>
    </w:p>
    <w:p w14:paraId="6FAB3886">
      <w:pPr>
        <w:spacing w:line="300" w:lineRule="auto"/>
        <w:rPr>
          <w:rFonts w:ascii="Arial" w:hAnsi="Arial" w:eastAsia="仿宋_GB2312" w:cs="Arial"/>
          <w:bCs/>
          <w:highlight w:val="none"/>
        </w:rPr>
      </w:pPr>
      <w:r>
        <w:rPr>
          <w:rFonts w:ascii="Arial" w:hAnsi="Arial" w:eastAsia="仿宋_GB2312" w:cs="Arial"/>
          <w:bCs/>
          <w:highlight w:val="none"/>
        </w:rPr>
        <w:t xml:space="preserve"> </w:t>
      </w:r>
    </w:p>
    <w:p w14:paraId="7E1BC7C9">
      <w:pPr>
        <w:snapToGrid w:val="0"/>
        <w:spacing w:before="120" w:beforeLines="50" w:line="300" w:lineRule="auto"/>
        <w:rPr>
          <w:rFonts w:hint="default" w:ascii="Arial" w:hAnsi="Arial" w:eastAsia="仿宋" w:cs="Arial"/>
          <w:sz w:val="28"/>
          <w:highlight w:val="none"/>
          <w:lang w:val="en-US" w:eastAsia="zh-CN"/>
        </w:rPr>
      </w:pPr>
    </w:p>
    <w:p w14:paraId="1E87BFBD">
      <w:pPr>
        <w:rPr>
          <w:rFonts w:ascii="Arial" w:hAnsi="Arial" w:eastAsia="仿宋_GB2312" w:cs="Arial"/>
          <w:b/>
          <w:sz w:val="28"/>
          <w:highlight w:val="none"/>
        </w:rPr>
      </w:pPr>
      <w:bookmarkStart w:id="307" w:name="_Toc132016632"/>
      <w:bookmarkStart w:id="308" w:name="_Toc469066160"/>
      <w:bookmarkStart w:id="309" w:name="_Toc520261163"/>
      <w:bookmarkStart w:id="310" w:name="_Toc516488190"/>
      <w:bookmarkStart w:id="311" w:name="_Toc515457812"/>
      <w:bookmarkStart w:id="312" w:name="_Toc138063020"/>
      <w:bookmarkStart w:id="313" w:name="_Toc132016749"/>
      <w:r>
        <w:rPr>
          <w:rFonts w:ascii="Arial" w:hAnsi="Arial" w:eastAsia="仿宋_GB2312" w:cs="Arial"/>
          <w:b/>
          <w:sz w:val="28"/>
          <w:highlight w:val="none"/>
        </w:rPr>
        <w:br w:type="page"/>
      </w:r>
    </w:p>
    <w:p w14:paraId="332F4F3A">
      <w:pPr>
        <w:spacing w:line="300" w:lineRule="auto"/>
        <w:outlineLvl w:val="1"/>
        <w:rPr>
          <w:rFonts w:ascii="Arial" w:hAnsi="Arial" w:eastAsia="仿宋_GB2312" w:cs="Arial"/>
          <w:b/>
          <w:sz w:val="28"/>
          <w:highlight w:val="none"/>
        </w:rPr>
      </w:pPr>
      <w:r>
        <w:rPr>
          <w:rFonts w:ascii="Arial" w:hAnsi="Arial" w:eastAsia="仿宋_GB2312" w:cs="Arial"/>
          <w:b/>
          <w:sz w:val="28"/>
          <w:highlight w:val="none"/>
        </w:rPr>
        <w:t>十、需要特殊说明的事项</w:t>
      </w:r>
      <w:bookmarkEnd w:id="305"/>
      <w:bookmarkEnd w:id="306"/>
      <w:bookmarkEnd w:id="307"/>
      <w:bookmarkEnd w:id="308"/>
      <w:bookmarkEnd w:id="309"/>
      <w:bookmarkEnd w:id="310"/>
      <w:bookmarkEnd w:id="311"/>
      <w:bookmarkEnd w:id="312"/>
      <w:bookmarkEnd w:id="313"/>
    </w:p>
    <w:p w14:paraId="150316DA">
      <w:pPr>
        <w:adjustRightInd/>
        <w:spacing w:line="300" w:lineRule="auto"/>
        <w:ind w:firstLine="560" w:firstLineChars="200"/>
        <w:jc w:val="both"/>
        <w:textAlignment w:val="bottom"/>
        <w:rPr>
          <w:rFonts w:ascii="Arial" w:hAnsi="Arial" w:eastAsia="仿宋" w:cs="Arial"/>
          <w:sz w:val="28"/>
          <w:highlight w:val="none"/>
        </w:rPr>
      </w:pPr>
      <w:bookmarkStart w:id="314" w:name="_Toc416783677"/>
      <w:bookmarkStart w:id="315" w:name="_Toc416783581"/>
      <w:bookmarkStart w:id="316" w:name="_Toc469066161"/>
      <w:r>
        <w:rPr>
          <w:rFonts w:ascii="Arial" w:hAnsi="Arial" w:eastAsia="仿宋" w:cs="Arial"/>
          <w:sz w:val="28"/>
          <w:highlight w:val="none"/>
        </w:rPr>
        <w:t>（一）估价的前提条件和假设条件</w:t>
      </w:r>
    </w:p>
    <w:p w14:paraId="5D496052">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1.估价的前提条件</w:t>
      </w:r>
    </w:p>
    <w:p w14:paraId="49646B94">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（1）委托估价方提供的资料属实，没有保留及隐瞒。</w:t>
      </w:r>
    </w:p>
    <w:p w14:paraId="7EF22A2A">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（2）在估价期日的房地产市场为公开、平等、自愿的交易市场。</w:t>
      </w:r>
    </w:p>
    <w:p w14:paraId="35A96147">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（3）任何有关估价对象的运作方式、程序符合国家、地方的有关法律、法规。</w:t>
      </w:r>
    </w:p>
    <w:p w14:paraId="016C34C9">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（4）估价对象规划用途和周边环境维持不变，且估价对象得到最有效利用，并产生相应的土地收益。</w:t>
      </w:r>
    </w:p>
    <w:p w14:paraId="58CDC89F">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（5）本次估价设定估价对象地上建筑物可按照预测的合理工期建设完毕。</w:t>
      </w:r>
    </w:p>
    <w:p w14:paraId="592191F9">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6）委托估价方对所提供的资料负完全的法律责任，对所提供资料（含陈述）的完整性、合法性和真实性负责。关于估价对象的权属状况等均根据委托估价方提供的有关资料复印件得出，本估价机构未向有关部门进行核实、考证。如因委托估价方提供的资料不实，引起评估结论有误，评估机构不承担相应的法律责任。</w:t>
      </w:r>
    </w:p>
    <w:p w14:paraId="275134DE">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2.估价的假设条件</w:t>
      </w:r>
    </w:p>
    <w:p w14:paraId="29FBFC7D">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（1）土地权利限制：无他项权利。</w:t>
      </w:r>
    </w:p>
    <w:p w14:paraId="59FCDCA3">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（2）土地用途设定：按规划用途设定本次评估的使用用途。</w:t>
      </w:r>
    </w:p>
    <w:p w14:paraId="41B2C15D">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（3）土地使用年期设定：法定最高出让年限。</w:t>
      </w:r>
    </w:p>
    <w:p w14:paraId="15C446FE">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（4）评估设定土地开发程度红线外市政基础设施达</w:t>
      </w:r>
      <w:r>
        <w:rPr>
          <w:rFonts w:hint="eastAsia" w:ascii="Arial" w:hAnsi="Arial" w:eastAsia="仿宋" w:cs="Arial"/>
          <w:sz w:val="28"/>
          <w:szCs w:val="28"/>
          <w:highlight w:val="none"/>
          <w:lang w:eastAsia="zh-CN"/>
        </w:rPr>
        <w:t>“七通”（通路、通上水（自来水、中水）、通下水（雨水、污水）、通电（管沟、电缆）、通讯、通燃气、通热力）</w:t>
      </w:r>
      <w:r>
        <w:rPr>
          <w:rFonts w:ascii="Arial" w:hAnsi="Arial" w:eastAsia="仿宋" w:cs="Arial"/>
          <w:sz w:val="28"/>
          <w:highlight w:val="none"/>
        </w:rPr>
        <w:t>、宗地红线内场地平整。</w:t>
      </w:r>
    </w:p>
    <w:p w14:paraId="5F9E5725">
      <w:pPr>
        <w:widowControl/>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（5）估价期日设定：按委托估价方要求的地价时点设定。</w:t>
      </w:r>
    </w:p>
    <w:p w14:paraId="63D9DC9C">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（二）估价结果和估价报告的使用</w:t>
      </w:r>
    </w:p>
    <w:p w14:paraId="022FD859">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1.本估价报告的依据为国务院、自然资源部、住建部、北京市人民政府及有关部门颁布的有关法律、法规、政策文件、委托估价方提供的资料、受托估价方掌握的有关资料以及土地估价专业评估师实地勘察所获取的资料。</w:t>
      </w:r>
    </w:p>
    <w:p w14:paraId="355BCB89">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2.委托估价方应对其提供的权属证明以及其他资料的真实性、完整性和合法性负责。如因资料失实或资料提供人有所隐匿而导致估价结果失真，估价机构不承担相应的责任。</w:t>
      </w:r>
    </w:p>
    <w:p w14:paraId="6C1D79A4">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3.本报告估价结果为估价期日下的正常市场价格，随着时间的推移，该价格需要做相应的调整直至重新评估。</w:t>
      </w:r>
    </w:p>
    <w:p w14:paraId="153BEFDE">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4.本估价报告在估价机构盖章和土地估价师签字的条件下有效。</w:t>
      </w:r>
    </w:p>
    <w:p w14:paraId="072943A3">
      <w:pPr>
        <w:adjustRightInd/>
        <w:spacing w:line="300" w:lineRule="auto"/>
        <w:ind w:firstLine="560" w:firstLineChars="200"/>
        <w:jc w:val="both"/>
        <w:textAlignment w:val="auto"/>
        <w:rPr>
          <w:rFonts w:ascii="Arial" w:hAnsi="Arial" w:eastAsia="仿宋" w:cs="Arial"/>
          <w:sz w:val="28"/>
          <w:highlight w:val="none"/>
        </w:rPr>
      </w:pPr>
      <w:r>
        <w:rPr>
          <w:rFonts w:ascii="Arial" w:hAnsi="Arial" w:eastAsia="仿宋" w:cs="Arial"/>
          <w:sz w:val="28"/>
          <w:highlight w:val="none"/>
        </w:rPr>
        <w:t>5.本次评估估价报告分为“土地估价报告”和“土地估价技术报告”两部分，“土地估价报告”供委托估价方使用，“土地估价技术报告”仅供估价机构存档和作为估价结果提交房屋土地管理部门确认或备案时的附件。</w:t>
      </w:r>
    </w:p>
    <w:p w14:paraId="54362040">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6.本估价报告只能由估价报告载明的报告使用者使用，且只能用于本报告载明的唯一估价目的和用途。</w:t>
      </w:r>
    </w:p>
    <w:p w14:paraId="76F63076">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7.委托估价方或者本估价报告使用人应按照法律规定和估价报告载明的使用范围使用本估价报告。委托估价方或者估价报告使用人违反前述规定使用本估价报告的，估价机构和土地估价专业评估师不承担责任。</w:t>
      </w:r>
    </w:p>
    <w:p w14:paraId="2302AF63">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8.除委托估价方、估价委托合同中约定的其他估价报告使用人和法律、行政法规规定的估价报告使用人之外，其他任何机构和个人不能成为估价报告的使用人。</w:t>
      </w:r>
    </w:p>
    <w:p w14:paraId="29588EB5">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9.估价报告使用人应当正确理解估价结论。估价结论不等同于估价对象可实现价格，估价结论不应当被认为是对估价对象可实现价格的保证。</w:t>
      </w:r>
    </w:p>
    <w:p w14:paraId="29FB86B0">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10.本估价报告自报告出具日起计算，从202</w:t>
      </w:r>
      <w:r>
        <w:rPr>
          <w:rFonts w:hint="eastAsia" w:ascii="Arial" w:hAnsi="Arial" w:eastAsia="仿宋" w:cs="Arial"/>
          <w:sz w:val="28"/>
          <w:highlight w:val="none"/>
          <w:lang w:val="en-US" w:eastAsia="zh-CN"/>
        </w:rPr>
        <w:t>6</w:t>
      </w:r>
      <w:r>
        <w:rPr>
          <w:rFonts w:ascii="Arial" w:hAnsi="Arial" w:eastAsia="仿宋" w:cs="Arial"/>
          <w:sz w:val="28"/>
          <w:highlight w:val="none"/>
        </w:rPr>
        <w:t>年</w:t>
      </w:r>
      <w:r>
        <w:rPr>
          <w:rFonts w:hint="eastAsia" w:ascii="Arial" w:hAnsi="Arial" w:eastAsia="仿宋" w:cs="Arial"/>
          <w:sz w:val="28"/>
          <w:highlight w:val="none"/>
          <w:lang w:val="en-US" w:eastAsia="zh-CN"/>
        </w:rPr>
        <w:t>3</w:t>
      </w:r>
      <w:r>
        <w:rPr>
          <w:rFonts w:ascii="Arial" w:hAnsi="Arial" w:eastAsia="仿宋" w:cs="Arial"/>
          <w:sz w:val="28"/>
          <w:highlight w:val="none"/>
        </w:rPr>
        <w:t>月</w:t>
      </w:r>
      <w:r>
        <w:rPr>
          <w:rFonts w:hint="eastAsia" w:ascii="Arial" w:hAnsi="Arial" w:eastAsia="仿宋" w:cs="Arial"/>
          <w:sz w:val="28"/>
          <w:highlight w:val="none"/>
          <w:lang w:val="en-US" w:eastAsia="zh-CN"/>
        </w:rPr>
        <w:t>31</w:t>
      </w:r>
      <w:r>
        <w:rPr>
          <w:rFonts w:ascii="Arial" w:hAnsi="Arial" w:eastAsia="仿宋" w:cs="Arial"/>
          <w:sz w:val="28"/>
          <w:highlight w:val="none"/>
        </w:rPr>
        <w:t>日至202</w:t>
      </w:r>
      <w:r>
        <w:rPr>
          <w:rFonts w:hint="eastAsia" w:ascii="Arial" w:hAnsi="Arial" w:eastAsia="仿宋" w:cs="Arial"/>
          <w:sz w:val="28"/>
          <w:highlight w:val="none"/>
          <w:lang w:val="en-US" w:eastAsia="zh-CN"/>
        </w:rPr>
        <w:t>7</w:t>
      </w:r>
      <w:r>
        <w:rPr>
          <w:rFonts w:ascii="Arial" w:hAnsi="Arial" w:eastAsia="仿宋" w:cs="Arial"/>
          <w:sz w:val="28"/>
          <w:highlight w:val="none"/>
        </w:rPr>
        <w:t>年</w:t>
      </w:r>
      <w:r>
        <w:rPr>
          <w:rFonts w:hint="eastAsia" w:ascii="Arial" w:hAnsi="Arial" w:eastAsia="仿宋" w:cs="Arial"/>
          <w:sz w:val="28"/>
          <w:highlight w:val="none"/>
          <w:lang w:val="en-US" w:eastAsia="zh-CN"/>
        </w:rPr>
        <w:t>3</w:t>
      </w:r>
      <w:r>
        <w:rPr>
          <w:rFonts w:ascii="Arial" w:hAnsi="Arial" w:eastAsia="仿宋" w:cs="Arial"/>
          <w:sz w:val="28"/>
          <w:highlight w:val="none"/>
        </w:rPr>
        <w:t>月</w:t>
      </w:r>
      <w:r>
        <w:rPr>
          <w:rFonts w:hint="eastAsia" w:ascii="Arial" w:hAnsi="Arial" w:eastAsia="仿宋" w:cs="Arial"/>
          <w:sz w:val="28"/>
          <w:highlight w:val="none"/>
          <w:lang w:val="en-US" w:eastAsia="zh-CN"/>
        </w:rPr>
        <w:t>30</w:t>
      </w:r>
      <w:r>
        <w:rPr>
          <w:rFonts w:ascii="Arial" w:hAnsi="Arial" w:eastAsia="仿宋" w:cs="Arial"/>
          <w:sz w:val="28"/>
          <w:highlight w:val="none"/>
        </w:rPr>
        <w:t>日有效。</w:t>
      </w:r>
    </w:p>
    <w:p w14:paraId="286D0B0B">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11.本次土地估价报告的使用权归委托估价方，土地估价报告由北京康正宏基房地产评估有限公司负责解释。</w:t>
      </w:r>
    </w:p>
    <w:p w14:paraId="69283234">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（三）需要特殊说明的事项</w:t>
      </w:r>
    </w:p>
    <w:p w14:paraId="3BD43527">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1.资料来源说明</w:t>
      </w:r>
    </w:p>
    <w:p w14:paraId="5B3FFF48">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（1）估价对象的土地、房屋权属资料、土地利用状况、评估项目相关资料由委托估价方提供。</w:t>
      </w:r>
    </w:p>
    <w:p w14:paraId="5F514EDE">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（2）土地区位条件、地产市场交易资料、土地利用现状照片等相关资料由土地估价专业评估师实地调查取得。</w:t>
      </w:r>
    </w:p>
    <w:p w14:paraId="0B587553">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（3）区域经济发展状况、统计数据、城市规划资料、基准地价资料等由土地估价专业评估师通过政府相关部门获取。</w:t>
      </w:r>
    </w:p>
    <w:p w14:paraId="31CE325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（4）估价中的相关参数资料由土地估价专业评估师通过政府部门相关文件规定、公开媒体等多种途径获取。</w:t>
      </w:r>
    </w:p>
    <w:p w14:paraId="11B78F89">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5）土地估价专业评估师结合执业经验，对上述相关评估资料的真实性、合法性、有效性、适用性进行了尽职核实、专业判断。委托估价方对所提供资料的真实性负责，估价机构对所收集资料的真实性、准确性负责。</w:t>
      </w:r>
    </w:p>
    <w:p w14:paraId="0D65998A">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2.有关参数确定及使用说明</w:t>
      </w:r>
    </w:p>
    <w:p w14:paraId="7CCCEE47">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（1）估价对象的土地面积及规划建筑规模以</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为依据</w:t>
      </w:r>
      <w:r>
        <w:rPr>
          <w:rFonts w:ascii="Arial" w:hAnsi="Arial" w:eastAsia="仿宋" w:cs="Arial"/>
          <w:sz w:val="28"/>
          <w:szCs w:val="28"/>
          <w:highlight w:val="none"/>
        </w:rPr>
        <w:t>，</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 xml:space="preserve">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w:t>
      </w:r>
      <w:r>
        <w:rPr>
          <w:rFonts w:hint="eastAsia" w:ascii="Arial" w:hAnsi="Arial" w:eastAsia="仿宋" w:cs="Arial"/>
          <w:sz w:val="28"/>
          <w:highlight w:val="none"/>
          <w:lang w:eastAsia="zh-CN"/>
        </w:rPr>
        <w:t>根据《北京市国有建设用地使用权出让地价评估技术导则》（2026年2月10日实施）中的相关规定，本次评估01－008、01－016、01－026－1地块（R2二类居住用地）容积率为1.2</w:t>
      </w:r>
      <w:r>
        <w:rPr>
          <w:rFonts w:ascii="Arial" w:hAnsi="Arial" w:eastAsia="仿宋" w:cs="Arial"/>
          <w:sz w:val="28"/>
          <w:highlight w:val="none"/>
        </w:rPr>
        <w:t>。若上述条件发生变化，本报告估价结果需做相应的调整。</w:t>
      </w:r>
    </w:p>
    <w:p w14:paraId="18E19CCD">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（2）根据</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，该项目合计应配建人防工程建筑面积不小于13674.6平方米，其中 01</w:t>
      </w:r>
      <w:r>
        <w:rPr>
          <w:rFonts w:hint="eastAsia" w:ascii="Arial" w:hAnsi="Arial" w:eastAsia="仿宋" w:cs="Arial"/>
          <w:sz w:val="28"/>
          <w:highlight w:val="none"/>
          <w:lang w:eastAsia="zh-CN"/>
        </w:rPr>
        <w:t>－</w:t>
      </w:r>
      <w:r>
        <w:rPr>
          <w:rFonts w:ascii="Arial" w:hAnsi="Arial" w:eastAsia="仿宋" w:cs="Arial"/>
          <w:sz w:val="28"/>
          <w:highlight w:val="none"/>
        </w:rPr>
        <w:t>008 地块应配建不小于2000平方米二等人员掩蔽所工程； 01</w:t>
      </w:r>
      <w:r>
        <w:rPr>
          <w:rFonts w:hint="eastAsia" w:ascii="Arial" w:hAnsi="Arial" w:eastAsia="仿宋" w:cs="Arial"/>
          <w:sz w:val="28"/>
          <w:highlight w:val="none"/>
          <w:lang w:eastAsia="zh-CN"/>
        </w:rPr>
        <w:t>－</w:t>
      </w:r>
      <w:r>
        <w:rPr>
          <w:rFonts w:ascii="Arial" w:hAnsi="Arial" w:eastAsia="仿宋" w:cs="Arial"/>
          <w:sz w:val="28"/>
          <w:highlight w:val="none"/>
        </w:rPr>
        <w:t>016 地块应配建不小于 3536.3平方米二等人员掩蔽所工程； 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1地块应配建不小于1261.8平方米二等人员掩蔽所工程。将 01</w:t>
      </w:r>
      <w:r>
        <w:rPr>
          <w:rFonts w:hint="eastAsia" w:ascii="Arial" w:hAnsi="Arial" w:eastAsia="仿宋" w:cs="Arial"/>
          <w:sz w:val="28"/>
          <w:highlight w:val="none"/>
          <w:lang w:eastAsia="zh-CN"/>
        </w:rPr>
        <w:t>－</w:t>
      </w:r>
      <w:r>
        <w:rPr>
          <w:rFonts w:ascii="Arial" w:hAnsi="Arial" w:eastAsia="仿宋" w:cs="Arial"/>
          <w:sz w:val="28"/>
          <w:highlight w:val="none"/>
        </w:rPr>
        <w:t>020地块统筹到 01</w:t>
      </w:r>
      <w:r>
        <w:rPr>
          <w:rFonts w:hint="eastAsia" w:ascii="Arial" w:hAnsi="Arial" w:eastAsia="仿宋" w:cs="Arial"/>
          <w:sz w:val="28"/>
          <w:highlight w:val="none"/>
          <w:lang w:eastAsia="zh-CN"/>
        </w:rPr>
        <w:t>－</w:t>
      </w:r>
      <w:r>
        <w:rPr>
          <w:rFonts w:ascii="Arial" w:hAnsi="Arial" w:eastAsia="仿宋" w:cs="Arial"/>
          <w:sz w:val="28"/>
          <w:highlight w:val="none"/>
        </w:rPr>
        <w:t>026</w:t>
      </w:r>
      <w:r>
        <w:rPr>
          <w:rFonts w:hint="eastAsia" w:ascii="Arial" w:hAnsi="Arial" w:eastAsia="仿宋" w:cs="Arial"/>
          <w:sz w:val="28"/>
          <w:highlight w:val="none"/>
          <w:lang w:eastAsia="zh-CN"/>
        </w:rPr>
        <w:t>－</w:t>
      </w:r>
      <w:r>
        <w:rPr>
          <w:rFonts w:ascii="Arial" w:hAnsi="Arial" w:eastAsia="仿宋" w:cs="Arial"/>
          <w:sz w:val="28"/>
          <w:highlight w:val="none"/>
        </w:rPr>
        <w:t>1二等人员掩蔽所工程抗力等级为甲6级，防空专业队队员掩蔽部工程抗力等级为甲5级。</w:t>
      </w:r>
      <w:r>
        <w:rPr>
          <w:rFonts w:hint="eastAsia" w:ascii="Arial" w:hAnsi="Arial" w:eastAsia="仿宋" w:cs="Arial"/>
          <w:sz w:val="28"/>
          <w:highlight w:val="none"/>
        </w:rPr>
        <w:t>上述人防工程的建设成本在地上主用途中已考虑。</w:t>
      </w:r>
    </w:p>
    <w:p w14:paraId="09AB5FC7">
      <w:pPr>
        <w:adjustRightInd/>
        <w:spacing w:line="300" w:lineRule="auto"/>
        <w:ind w:firstLine="560" w:firstLineChars="200"/>
        <w:jc w:val="both"/>
        <w:textAlignment w:val="bottom"/>
        <w:rPr>
          <w:rFonts w:ascii="Arial" w:hAnsi="Arial" w:eastAsia="仿宋" w:cs="Arial"/>
          <w:sz w:val="28"/>
          <w:szCs w:val="28"/>
          <w:highlight w:val="none"/>
        </w:rPr>
      </w:pPr>
      <w:r>
        <w:rPr>
          <w:rFonts w:ascii="Arial" w:hAnsi="Arial" w:eastAsia="仿宋" w:cs="Arial"/>
          <w:sz w:val="28"/>
          <w:highlight w:val="none"/>
        </w:rPr>
        <w:t>（3）根据《北京市人民政府关于顺义区二〇二〇年度批次建设用地的批复》（京政地字【2020】121号），</w:t>
      </w:r>
      <w:r>
        <w:rPr>
          <w:rFonts w:hint="eastAsia" w:ascii="Arial" w:hAnsi="Arial" w:eastAsia="仿宋" w:cs="Arial"/>
          <w:sz w:val="28"/>
          <w:highlight w:val="none"/>
        </w:rPr>
        <w:t>同意</w:t>
      </w:r>
      <w:r>
        <w:rPr>
          <w:rFonts w:ascii="Arial" w:hAnsi="Arial" w:eastAsia="仿宋" w:cs="Arial"/>
          <w:sz w:val="28"/>
          <w:highlight w:val="none"/>
        </w:rPr>
        <w:t>北京中交城市开发有限公司</w:t>
      </w:r>
      <w:r>
        <w:rPr>
          <w:rFonts w:hint="eastAsia" w:ascii="Arial" w:hAnsi="Arial" w:eastAsia="仿宋" w:cs="Arial"/>
          <w:sz w:val="28"/>
          <w:highlight w:val="none"/>
        </w:rPr>
        <w:t>实施顺义区高丽营镇夏县营村棚户区改造土地开发项目</w:t>
      </w:r>
      <w:r>
        <w:rPr>
          <w:rFonts w:ascii="Arial" w:hAnsi="Arial" w:eastAsia="仿宋" w:cs="Arial"/>
          <w:sz w:val="28"/>
          <w:szCs w:val="28"/>
          <w:highlight w:val="none"/>
        </w:rPr>
        <w:t>。</w:t>
      </w:r>
    </w:p>
    <w:p w14:paraId="5F5A7BF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4）根据《北京市人民政府关于更新出让国有建设用地使用权基准地价的通知》（京政发（2022）12号）的要求，土地估价专业评估师以北京市地价动态监测成果公布的地价增长率为准，对基准地价中的熟地价进行期日修正。</w:t>
      </w:r>
    </w:p>
    <w:p w14:paraId="065E501D">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（5）</w:t>
      </w:r>
      <w:r>
        <w:rPr>
          <w:rFonts w:hint="eastAsia" w:ascii="Arial" w:hAnsi="Arial" w:eastAsia="仿宋" w:cs="Arial"/>
          <w:sz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 w:cs="Arial"/>
          <w:sz w:val="28"/>
          <w:highlight w:val="none"/>
        </w:rPr>
        <w:t>，该项目规划范围内01-020地块为托幼用地，该地块由二级竞得人负责筹措资金并组织实施，并无偿移交相关部门</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即A</w:t>
      </w:r>
      <w:r>
        <w:rPr>
          <w:rFonts w:ascii="Arial" w:hAnsi="Arial" w:eastAsia="仿宋_GB2312" w:cs="Arial"/>
          <w:sz w:val="28"/>
          <w:highlight w:val="none"/>
        </w:rPr>
        <w:t>334托幼用地建筑规模</w:t>
      </w:r>
      <w:r>
        <w:rPr>
          <w:rFonts w:hint="eastAsia" w:ascii="Arial" w:hAnsi="Arial" w:eastAsia="仿宋_GB2312" w:cs="Arial"/>
          <w:sz w:val="28"/>
          <w:highlight w:val="none"/>
          <w:lang w:val="en-US" w:eastAsia="zh-CN"/>
        </w:rPr>
        <w:t>3359.98</w:t>
      </w:r>
      <w:r>
        <w:rPr>
          <w:rFonts w:ascii="Arial" w:hAnsi="Arial" w:eastAsia="仿宋_GB2312" w:cs="Arial"/>
          <w:sz w:val="28"/>
          <w:highlight w:val="none"/>
        </w:rPr>
        <w:t>平方米不出让</w:t>
      </w:r>
      <w:r>
        <w:rPr>
          <w:rFonts w:hint="eastAsia" w:ascii="Arial" w:hAnsi="Arial" w:eastAsia="仿宋_GB2312" w:cs="Arial"/>
          <w:sz w:val="28"/>
          <w:highlight w:val="none"/>
          <w:lang w:eastAsia="zh-CN"/>
        </w:rPr>
        <w:t>。</w:t>
      </w:r>
      <w:r>
        <w:rPr>
          <w:rFonts w:hint="eastAsia" w:ascii="Arial" w:hAnsi="Arial" w:eastAsia="仿宋" w:cs="Arial"/>
          <w:sz w:val="28"/>
          <w:highlight w:val="none"/>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w:t>
      </w:r>
      <w:r>
        <w:rPr>
          <w:rFonts w:hint="eastAsia" w:ascii="Arial" w:hAnsi="Arial" w:eastAsia="仿宋" w:cs="Arial"/>
          <w:sz w:val="28"/>
          <w:highlight w:val="none"/>
          <w:lang w:eastAsia="zh-CN"/>
        </w:rPr>
        <w:t>楼面地价</w:t>
      </w:r>
      <w:r>
        <w:rPr>
          <w:rFonts w:hint="eastAsia" w:ascii="Arial" w:hAnsi="Arial" w:eastAsia="仿宋" w:cs="Arial"/>
          <w:sz w:val="28"/>
          <w:highlight w:val="none"/>
        </w:rPr>
        <w:t>，并将二者的差值作为代建修正值，基准地价系数修正法测算的估价结果可按此差值进行代建情况的修正。</w:t>
      </w:r>
    </w:p>
    <w:p w14:paraId="3586CF85">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（6）本估价报告中数据全部采用电算化连续计算得出，由于在报告中计算的数据均按四舍五入保留</w:t>
      </w:r>
      <w:r>
        <w:rPr>
          <w:rFonts w:hint="eastAsia" w:ascii="Arial" w:hAnsi="Arial" w:eastAsia="仿宋" w:cs="Arial"/>
          <w:sz w:val="28"/>
          <w:highlight w:val="none"/>
          <w:lang w:val="en-US" w:eastAsia="zh-CN"/>
        </w:rPr>
        <w:t>四</w:t>
      </w:r>
      <w:r>
        <w:rPr>
          <w:rFonts w:ascii="Arial" w:hAnsi="Arial" w:eastAsia="仿宋" w:cs="Arial"/>
          <w:sz w:val="28"/>
          <w:highlight w:val="none"/>
        </w:rPr>
        <w:t>位小数或取整，故可能出现个别等式左右不完全相等的情况，但不影响计算结果及最终评估结论的准确性。</w:t>
      </w:r>
    </w:p>
    <w:p w14:paraId="39BAEAE9">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3.其他说明</w:t>
      </w:r>
    </w:p>
    <w:p w14:paraId="351127F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（1）估价对象范围根据《国有建设用地使用权出让地价评估委托书》中确定。</w:t>
      </w:r>
    </w:p>
    <w:p w14:paraId="67E0A6AB">
      <w:pPr>
        <w:adjustRightInd/>
        <w:spacing w:line="300" w:lineRule="auto"/>
        <w:ind w:firstLine="560" w:firstLineChars="200"/>
        <w:jc w:val="both"/>
        <w:textAlignment w:val="bottom"/>
        <w:rPr>
          <w:rFonts w:ascii="Arial" w:hAnsi="Arial" w:eastAsia="仿宋" w:cs="Arial"/>
          <w:sz w:val="28"/>
          <w:highlight w:val="none"/>
        </w:rPr>
      </w:pPr>
      <w:r>
        <w:rPr>
          <w:rFonts w:ascii="Arial" w:hAnsi="Arial" w:eastAsia="仿宋" w:cs="Arial"/>
          <w:sz w:val="28"/>
          <w:highlight w:val="none"/>
        </w:rPr>
        <w:t>（2）本评估报告仅为出让方通过集体决策确定土地出让底价提供参考依据，最终应缴纳的地价款以</w:t>
      </w:r>
      <w:r>
        <w:rPr>
          <w:rFonts w:hint="eastAsia" w:ascii="Arial" w:hAnsi="Arial" w:eastAsia="仿宋" w:cs="Arial"/>
          <w:sz w:val="28"/>
          <w:highlight w:val="none"/>
          <w:lang w:eastAsia="zh-CN"/>
        </w:rPr>
        <w:t>北京市规划和自然资源委员会</w:t>
      </w:r>
      <w:r>
        <w:rPr>
          <w:rFonts w:ascii="Arial" w:hAnsi="Arial" w:eastAsia="仿宋" w:cs="Arial"/>
          <w:sz w:val="28"/>
          <w:highlight w:val="none"/>
        </w:rPr>
        <w:t>公布结果为准。</w:t>
      </w:r>
    </w:p>
    <w:p w14:paraId="16BF19E8">
      <w:pPr>
        <w:snapToGrid w:val="0"/>
        <w:spacing w:line="300" w:lineRule="auto"/>
        <w:ind w:firstLine="560" w:firstLineChars="200"/>
        <w:jc w:val="both"/>
        <w:textAlignment w:val="bottom"/>
        <w:rPr>
          <w:rFonts w:ascii="Arial" w:hAnsi="Arial" w:eastAsia="仿宋_GB2312" w:cs="Arial"/>
          <w:sz w:val="28"/>
          <w:highlight w:val="none"/>
        </w:rPr>
      </w:pPr>
      <w:r>
        <w:rPr>
          <w:rFonts w:ascii="Arial" w:hAnsi="Arial" w:eastAsia="仿宋" w:cs="Arial"/>
          <w:sz w:val="28"/>
          <w:highlight w:val="none"/>
        </w:rPr>
        <w:t>（3）根据估价目的，此次评估在符合《城镇土地估价规程》（GB/T 18508</w:t>
      </w:r>
      <w:r>
        <w:rPr>
          <w:rFonts w:hint="eastAsia" w:ascii="Arial" w:hAnsi="Arial" w:eastAsia="仿宋" w:cs="Arial"/>
          <w:sz w:val="28"/>
          <w:highlight w:val="none"/>
          <w:lang w:eastAsia="zh-CN"/>
        </w:rPr>
        <w:t>－</w:t>
      </w:r>
      <w:r>
        <w:rPr>
          <w:rFonts w:ascii="Arial" w:hAnsi="Arial" w:eastAsia="仿宋" w:cs="Arial"/>
          <w:sz w:val="28"/>
          <w:highlight w:val="none"/>
        </w:rPr>
        <w:t>2014）和《国土资源部办公厅关于印发〈国有建设用地使用权出让地价评估技术规范〉的通知》（国土资厅发（2018）4号）原则性要求的基础上，还需满足《北京市人民政府关于更新出让国有建设用地使用权基准地价的通知》（京政发（2022）12号）和《北京市国土资源局关于出让国有建设用地使用权基准地价应用有关问题的公告》的要求，故报告格式和具体表述在《城镇土地估价规程》（GB/T 18508</w:t>
      </w:r>
      <w:r>
        <w:rPr>
          <w:rFonts w:hint="eastAsia" w:ascii="Arial" w:hAnsi="Arial" w:eastAsia="仿宋" w:cs="Arial"/>
          <w:sz w:val="28"/>
          <w:highlight w:val="none"/>
          <w:lang w:eastAsia="zh-CN"/>
        </w:rPr>
        <w:t>－</w:t>
      </w:r>
      <w:r>
        <w:rPr>
          <w:rFonts w:ascii="Arial" w:hAnsi="Arial" w:eastAsia="仿宋" w:cs="Arial"/>
          <w:sz w:val="28"/>
          <w:highlight w:val="none"/>
        </w:rPr>
        <w:t>2014）规范格式基础上，有所拓展和补充</w:t>
      </w:r>
      <w:r>
        <w:rPr>
          <w:rFonts w:ascii="Arial" w:hAnsi="Arial" w:eastAsia="仿宋_GB2312" w:cs="Arial"/>
          <w:sz w:val="28"/>
          <w:highlight w:val="none"/>
        </w:rPr>
        <w:t>。</w:t>
      </w:r>
    </w:p>
    <w:p w14:paraId="3C518C28">
      <w:pPr>
        <w:spacing w:line="300" w:lineRule="auto"/>
        <w:outlineLvl w:val="1"/>
        <w:rPr>
          <w:rFonts w:ascii="Arial" w:hAnsi="Arial" w:eastAsia="仿宋_GB2312" w:cs="Arial"/>
          <w:sz w:val="28"/>
          <w:highlight w:val="none"/>
        </w:rPr>
      </w:pPr>
      <w:bookmarkStart w:id="317" w:name="_Toc515457814"/>
      <w:bookmarkStart w:id="318" w:name="_Toc520261165"/>
      <w:bookmarkStart w:id="319" w:name="_Toc516488192"/>
      <w:r>
        <w:rPr>
          <w:rFonts w:ascii="Arial" w:hAnsi="Arial" w:eastAsia="仿宋_GB2312" w:cs="Arial"/>
          <w:b/>
          <w:sz w:val="28"/>
          <w:highlight w:val="none"/>
        </w:rPr>
        <w:br w:type="page"/>
      </w:r>
      <w:bookmarkStart w:id="320" w:name="_Toc132016633"/>
      <w:bookmarkStart w:id="321" w:name="_Toc138063021"/>
      <w:bookmarkStart w:id="322" w:name="_Toc132016750"/>
      <w:r>
        <w:rPr>
          <w:rFonts w:ascii="Arial" w:hAnsi="Arial" w:eastAsia="仿宋_GB2312" w:cs="Arial"/>
          <w:b/>
          <w:sz w:val="28"/>
          <w:highlight w:val="none"/>
        </w:rPr>
        <w:t>十一、土地估价专业评估师签字</w:t>
      </w:r>
      <w:bookmarkEnd w:id="314"/>
      <w:bookmarkEnd w:id="315"/>
      <w:bookmarkEnd w:id="316"/>
      <w:bookmarkEnd w:id="317"/>
      <w:bookmarkEnd w:id="318"/>
      <w:bookmarkEnd w:id="319"/>
      <w:bookmarkEnd w:id="320"/>
      <w:bookmarkEnd w:id="321"/>
      <w:bookmarkEnd w:id="322"/>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85" w:type="dxa"/>
          <w:bottom w:w="28" w:type="dxa"/>
          <w:right w:w="85" w:type="dxa"/>
        </w:tblCellMar>
      </w:tblPr>
      <w:tblGrid>
        <w:gridCol w:w="2540"/>
        <w:gridCol w:w="3931"/>
        <w:gridCol w:w="2601"/>
      </w:tblGrid>
      <w:tr w14:paraId="4351F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70" w:hRule="atLeast"/>
          <w:jc w:val="center"/>
        </w:trPr>
        <w:tc>
          <w:tcPr>
            <w:tcW w:w="9299" w:type="dxa"/>
            <w:gridSpan w:val="3"/>
            <w:shd w:val="clear" w:color="auto" w:fill="auto"/>
            <w:vAlign w:val="center"/>
          </w:tcPr>
          <w:p w14:paraId="1F7AC12F">
            <w:pPr>
              <w:widowControl/>
              <w:adjustRightInd/>
              <w:spacing w:line="300" w:lineRule="auto"/>
              <w:jc w:val="both"/>
              <w:textAlignment w:val="auto"/>
              <w:rPr>
                <w:rFonts w:ascii="Arial" w:hAnsi="Arial" w:eastAsia="仿宋_GB2312" w:cs="Arial"/>
                <w:b/>
                <w:bCs/>
                <w:sz w:val="28"/>
                <w:szCs w:val="28"/>
                <w:highlight w:val="none"/>
              </w:rPr>
            </w:pPr>
            <w:r>
              <w:rPr>
                <w:rFonts w:ascii="Arial" w:hAnsi="Arial" w:eastAsia="仿宋_GB2312" w:cs="Arial"/>
                <w:b/>
                <w:bCs/>
                <w:sz w:val="28"/>
                <w:szCs w:val="28"/>
                <w:highlight w:val="none"/>
              </w:rPr>
              <w:t>土地</w:t>
            </w:r>
            <w:r>
              <w:rPr>
                <w:rFonts w:hint="eastAsia" w:ascii="Arial" w:hAnsi="Arial" w:eastAsia="仿宋_GB2312" w:cs="Arial"/>
                <w:b/>
                <w:bCs/>
                <w:sz w:val="28"/>
                <w:highlight w:val="none"/>
              </w:rPr>
              <w:t>估价</w:t>
            </w:r>
            <w:r>
              <w:rPr>
                <w:rFonts w:ascii="Arial" w:hAnsi="Arial" w:eastAsia="仿宋_GB2312" w:cs="Arial"/>
                <w:b/>
                <w:bCs/>
                <w:sz w:val="28"/>
                <w:highlight w:val="none"/>
              </w:rPr>
              <w:t>专业评估</w:t>
            </w:r>
            <w:r>
              <w:rPr>
                <w:rFonts w:hint="eastAsia" w:ascii="Arial" w:hAnsi="Arial" w:eastAsia="仿宋_GB2312" w:cs="Arial"/>
                <w:b/>
                <w:bCs/>
                <w:sz w:val="28"/>
                <w:highlight w:val="none"/>
              </w:rPr>
              <w:t>师</w:t>
            </w:r>
          </w:p>
        </w:tc>
      </w:tr>
      <w:tr w14:paraId="324B6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370" w:hRule="atLeast"/>
          <w:jc w:val="center"/>
        </w:trPr>
        <w:tc>
          <w:tcPr>
            <w:tcW w:w="2603" w:type="dxa"/>
            <w:shd w:val="clear" w:color="auto" w:fill="auto"/>
            <w:vAlign w:val="center"/>
          </w:tcPr>
          <w:p w14:paraId="3B4009C5">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姓名</w:t>
            </w:r>
          </w:p>
        </w:tc>
        <w:tc>
          <w:tcPr>
            <w:tcW w:w="4031" w:type="dxa"/>
            <w:shd w:val="clear" w:color="auto" w:fill="auto"/>
            <w:vAlign w:val="center"/>
          </w:tcPr>
          <w:p w14:paraId="22C38C21">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资格证号</w:t>
            </w:r>
          </w:p>
        </w:tc>
        <w:tc>
          <w:tcPr>
            <w:tcW w:w="2665" w:type="dxa"/>
            <w:shd w:val="clear" w:color="auto" w:fill="auto"/>
            <w:vAlign w:val="center"/>
          </w:tcPr>
          <w:p w14:paraId="42E3A55B">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签名</w:t>
            </w:r>
          </w:p>
        </w:tc>
      </w:tr>
      <w:tr w14:paraId="0A476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11932FF0">
            <w:pPr>
              <w:widowControl/>
              <w:adjustRightInd/>
              <w:spacing w:line="300" w:lineRule="auto"/>
              <w:jc w:val="both"/>
              <w:textAlignment w:val="auto"/>
              <w:rPr>
                <w:rFonts w:ascii="Arial" w:hAnsi="Arial" w:eastAsia="仿宋_GB2312" w:cs="Arial"/>
                <w:sz w:val="28"/>
                <w:szCs w:val="28"/>
                <w:highlight w:val="none"/>
              </w:rPr>
            </w:pPr>
            <w:r>
              <w:rPr>
                <w:rFonts w:hint="eastAsia" w:ascii="Arial" w:hAnsi="Arial" w:eastAsia="仿宋_GB2312" w:cs="Arial"/>
                <w:sz w:val="28"/>
                <w:szCs w:val="28"/>
                <w:highlight w:val="none"/>
                <w:lang w:val="en-US" w:eastAsia="zh-CN"/>
              </w:rPr>
              <w:t>黄  英</w:t>
            </w:r>
          </w:p>
        </w:tc>
        <w:tc>
          <w:tcPr>
            <w:tcW w:w="4031" w:type="dxa"/>
            <w:shd w:val="clear" w:color="auto" w:fill="auto"/>
            <w:vAlign w:val="center"/>
          </w:tcPr>
          <w:p w14:paraId="56A2CC0C">
            <w:pPr>
              <w:widowControl/>
              <w:adjustRightInd/>
              <w:spacing w:line="300" w:lineRule="auto"/>
              <w:jc w:val="both"/>
              <w:textAlignment w:val="auto"/>
              <w:rPr>
                <w:rFonts w:ascii="Arial" w:hAnsi="Arial" w:eastAsia="仿宋_GB2312" w:cs="Arial"/>
                <w:sz w:val="28"/>
                <w:szCs w:val="28"/>
                <w:highlight w:val="none"/>
              </w:rPr>
            </w:pPr>
            <w:r>
              <w:rPr>
                <w:rFonts w:hint="eastAsia" w:ascii="Arial" w:hAnsi="Arial" w:eastAsia="仿宋_GB2312" w:cs="Arial"/>
                <w:sz w:val="28"/>
                <w:szCs w:val="28"/>
                <w:highlight w:val="none"/>
              </w:rPr>
              <w:t>30520231111000000028</w:t>
            </w:r>
          </w:p>
        </w:tc>
        <w:tc>
          <w:tcPr>
            <w:tcW w:w="2665" w:type="dxa"/>
            <w:shd w:val="clear" w:color="auto" w:fill="auto"/>
            <w:vAlign w:val="center"/>
          </w:tcPr>
          <w:p w14:paraId="3E7ADB99">
            <w:pPr>
              <w:widowControl/>
              <w:adjustRightInd/>
              <w:spacing w:line="300" w:lineRule="auto"/>
              <w:jc w:val="both"/>
              <w:textAlignment w:val="auto"/>
              <w:rPr>
                <w:rFonts w:ascii="Arial" w:hAnsi="Arial" w:eastAsia="仿宋_GB2312" w:cs="Arial"/>
                <w:sz w:val="28"/>
                <w:szCs w:val="28"/>
                <w:highlight w:val="none"/>
              </w:rPr>
            </w:pPr>
          </w:p>
        </w:tc>
      </w:tr>
      <w:tr w14:paraId="2CB6A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6FE1E6D9">
            <w:pPr>
              <w:widowControl/>
              <w:adjustRightInd/>
              <w:spacing w:line="300" w:lineRule="auto"/>
              <w:jc w:val="both"/>
              <w:textAlignment w:val="auto"/>
              <w:rPr>
                <w:rFonts w:ascii="Arial" w:hAnsi="Arial" w:eastAsia="仿宋_GB2312" w:cs="Arial"/>
                <w:sz w:val="28"/>
                <w:szCs w:val="28"/>
                <w:highlight w:val="none"/>
              </w:rPr>
            </w:pPr>
            <w:r>
              <w:rPr>
                <w:rFonts w:hint="eastAsia" w:ascii="Arial" w:hAnsi="Arial" w:eastAsia="仿宋_GB2312" w:cs="Arial"/>
                <w:sz w:val="28"/>
                <w:szCs w:val="28"/>
                <w:highlight w:val="none"/>
              </w:rPr>
              <w:t>叶  凌</w:t>
            </w:r>
          </w:p>
        </w:tc>
        <w:tc>
          <w:tcPr>
            <w:tcW w:w="4031" w:type="dxa"/>
            <w:shd w:val="clear" w:color="auto" w:fill="auto"/>
            <w:vAlign w:val="center"/>
          </w:tcPr>
          <w:p w14:paraId="48621355">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94010078</w:t>
            </w:r>
          </w:p>
        </w:tc>
        <w:tc>
          <w:tcPr>
            <w:tcW w:w="2665" w:type="dxa"/>
            <w:shd w:val="clear" w:color="auto" w:fill="auto"/>
            <w:vAlign w:val="center"/>
          </w:tcPr>
          <w:p w14:paraId="758C917F">
            <w:pPr>
              <w:widowControl/>
              <w:adjustRightInd/>
              <w:spacing w:line="300" w:lineRule="auto"/>
              <w:jc w:val="both"/>
              <w:textAlignment w:val="auto"/>
              <w:rPr>
                <w:rFonts w:ascii="Arial" w:hAnsi="Arial" w:eastAsia="仿宋_GB2312" w:cs="Arial"/>
                <w:sz w:val="28"/>
                <w:szCs w:val="28"/>
                <w:highlight w:val="none"/>
              </w:rPr>
            </w:pPr>
          </w:p>
        </w:tc>
      </w:tr>
      <w:tr w14:paraId="37E2D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76D94DA0">
            <w:pPr>
              <w:widowControl/>
              <w:adjustRightInd/>
              <w:spacing w:line="300" w:lineRule="auto"/>
              <w:jc w:val="both"/>
              <w:textAlignment w:val="auto"/>
              <w:rPr>
                <w:rFonts w:ascii="Arial" w:hAnsi="Arial" w:eastAsia="仿宋_GB2312" w:cs="Arial"/>
                <w:sz w:val="28"/>
                <w:szCs w:val="28"/>
                <w:highlight w:val="none"/>
              </w:rPr>
            </w:pPr>
            <w:r>
              <w:rPr>
                <w:rFonts w:hint="eastAsia" w:ascii="Arial" w:hAnsi="Arial" w:eastAsia="仿宋_GB2312" w:cs="Arial"/>
                <w:sz w:val="28"/>
                <w:szCs w:val="28"/>
                <w:highlight w:val="none"/>
              </w:rPr>
              <w:t>魏伯欣</w:t>
            </w:r>
          </w:p>
        </w:tc>
        <w:tc>
          <w:tcPr>
            <w:tcW w:w="4031" w:type="dxa"/>
            <w:shd w:val="clear" w:color="auto" w:fill="auto"/>
            <w:vAlign w:val="center"/>
          </w:tcPr>
          <w:p w14:paraId="0983E578">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2000110133</w:t>
            </w:r>
          </w:p>
        </w:tc>
        <w:tc>
          <w:tcPr>
            <w:tcW w:w="2665" w:type="dxa"/>
            <w:shd w:val="clear" w:color="auto" w:fill="auto"/>
            <w:vAlign w:val="center"/>
          </w:tcPr>
          <w:p w14:paraId="2406E744">
            <w:pPr>
              <w:widowControl/>
              <w:adjustRightInd/>
              <w:spacing w:line="300" w:lineRule="auto"/>
              <w:jc w:val="both"/>
              <w:textAlignment w:val="auto"/>
              <w:rPr>
                <w:rFonts w:ascii="Arial" w:hAnsi="Arial" w:eastAsia="仿宋_GB2312" w:cs="Arial"/>
                <w:sz w:val="28"/>
                <w:szCs w:val="28"/>
                <w:highlight w:val="none"/>
              </w:rPr>
            </w:pPr>
          </w:p>
        </w:tc>
      </w:tr>
      <w:tr w14:paraId="2CD1B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94" w:hRule="atLeast"/>
          <w:jc w:val="center"/>
        </w:trPr>
        <w:tc>
          <w:tcPr>
            <w:tcW w:w="9299" w:type="dxa"/>
            <w:gridSpan w:val="3"/>
            <w:shd w:val="clear" w:color="auto" w:fill="auto"/>
            <w:vAlign w:val="center"/>
          </w:tcPr>
          <w:p w14:paraId="147D7A83">
            <w:pPr>
              <w:widowControl/>
              <w:adjustRightInd/>
              <w:spacing w:line="300" w:lineRule="auto"/>
              <w:jc w:val="both"/>
              <w:textAlignment w:val="auto"/>
              <w:rPr>
                <w:rFonts w:ascii="Arial" w:hAnsi="Arial" w:eastAsia="仿宋_GB2312" w:cs="Arial"/>
                <w:b/>
                <w:bCs/>
                <w:sz w:val="28"/>
                <w:szCs w:val="28"/>
                <w:highlight w:val="none"/>
              </w:rPr>
            </w:pPr>
            <w:r>
              <w:rPr>
                <w:rFonts w:ascii="Arial" w:hAnsi="Arial" w:eastAsia="仿宋_GB2312" w:cs="Arial"/>
                <w:b/>
                <w:bCs/>
                <w:sz w:val="28"/>
                <w:szCs w:val="28"/>
                <w:highlight w:val="none"/>
              </w:rPr>
              <w:t>其他</w:t>
            </w:r>
            <w:r>
              <w:rPr>
                <w:rFonts w:hint="eastAsia" w:ascii="Arial" w:hAnsi="Arial" w:eastAsia="仿宋_GB2312" w:cs="Arial"/>
                <w:b/>
                <w:bCs/>
                <w:sz w:val="28"/>
                <w:szCs w:val="28"/>
                <w:highlight w:val="none"/>
              </w:rPr>
              <w:t>评估</w:t>
            </w:r>
            <w:r>
              <w:rPr>
                <w:rFonts w:ascii="Arial" w:hAnsi="Arial" w:eastAsia="仿宋_GB2312" w:cs="Arial"/>
                <w:b/>
                <w:bCs/>
                <w:sz w:val="28"/>
                <w:szCs w:val="28"/>
                <w:highlight w:val="none"/>
              </w:rPr>
              <w:t xml:space="preserve">专业人员 </w:t>
            </w:r>
          </w:p>
        </w:tc>
      </w:tr>
      <w:tr w14:paraId="7E86F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9" w:hRule="atLeast"/>
          <w:jc w:val="center"/>
        </w:trPr>
        <w:tc>
          <w:tcPr>
            <w:tcW w:w="2603" w:type="dxa"/>
            <w:shd w:val="clear" w:color="auto" w:fill="auto"/>
            <w:vAlign w:val="center"/>
          </w:tcPr>
          <w:p w14:paraId="05A93ED2">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姓名</w:t>
            </w:r>
          </w:p>
        </w:tc>
        <w:tc>
          <w:tcPr>
            <w:tcW w:w="4031" w:type="dxa"/>
            <w:shd w:val="clear" w:color="auto" w:fill="auto"/>
            <w:vAlign w:val="center"/>
          </w:tcPr>
          <w:p w14:paraId="48DBB4B0">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相关资格或职称</w:t>
            </w:r>
          </w:p>
        </w:tc>
        <w:tc>
          <w:tcPr>
            <w:tcW w:w="2665" w:type="dxa"/>
            <w:shd w:val="clear" w:color="auto" w:fill="auto"/>
            <w:vAlign w:val="center"/>
          </w:tcPr>
          <w:p w14:paraId="2FAF98D5">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签名</w:t>
            </w:r>
          </w:p>
        </w:tc>
      </w:tr>
      <w:tr w14:paraId="02FA5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85" w:type="dxa"/>
            <w:bottom w:w="28" w:type="dxa"/>
            <w:right w:w="85" w:type="dxa"/>
          </w:tblCellMar>
        </w:tblPrEx>
        <w:trPr>
          <w:trHeight w:val="1134" w:hRule="exact"/>
          <w:jc w:val="center"/>
        </w:trPr>
        <w:tc>
          <w:tcPr>
            <w:tcW w:w="2603" w:type="dxa"/>
            <w:shd w:val="clear" w:color="auto" w:fill="auto"/>
            <w:vAlign w:val="center"/>
          </w:tcPr>
          <w:p w14:paraId="1A850C57">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w:t>
            </w:r>
          </w:p>
        </w:tc>
        <w:tc>
          <w:tcPr>
            <w:tcW w:w="4031" w:type="dxa"/>
            <w:shd w:val="clear" w:color="auto" w:fill="auto"/>
            <w:vAlign w:val="center"/>
          </w:tcPr>
          <w:p w14:paraId="7D371B2D">
            <w:pPr>
              <w:widowControl/>
              <w:adjustRightInd/>
              <w:spacing w:line="300" w:lineRule="auto"/>
              <w:jc w:val="both"/>
              <w:textAlignment w:val="auto"/>
              <w:rPr>
                <w:rFonts w:ascii="Arial" w:hAnsi="Arial" w:eastAsia="仿宋_GB2312" w:cs="Arial"/>
                <w:sz w:val="28"/>
                <w:szCs w:val="28"/>
                <w:highlight w:val="none"/>
              </w:rPr>
            </w:pPr>
            <w:r>
              <w:rPr>
                <w:rFonts w:ascii="Arial" w:hAnsi="Arial" w:eastAsia="仿宋_GB2312" w:cs="Arial"/>
                <w:sz w:val="28"/>
                <w:szCs w:val="28"/>
                <w:highlight w:val="none"/>
              </w:rPr>
              <w:t>——</w:t>
            </w:r>
          </w:p>
        </w:tc>
        <w:tc>
          <w:tcPr>
            <w:tcW w:w="2665" w:type="dxa"/>
            <w:shd w:val="clear" w:color="auto" w:fill="auto"/>
            <w:vAlign w:val="center"/>
          </w:tcPr>
          <w:p w14:paraId="461A88AE">
            <w:pPr>
              <w:widowControl/>
              <w:adjustRightInd/>
              <w:spacing w:line="300" w:lineRule="auto"/>
              <w:jc w:val="both"/>
              <w:textAlignment w:val="auto"/>
              <w:rPr>
                <w:rFonts w:ascii="Arial" w:hAnsi="Arial" w:eastAsia="仿宋_GB2312" w:cs="Arial"/>
                <w:sz w:val="28"/>
                <w:szCs w:val="28"/>
                <w:highlight w:val="none"/>
              </w:rPr>
            </w:pPr>
          </w:p>
        </w:tc>
      </w:tr>
    </w:tbl>
    <w:p w14:paraId="355546EA">
      <w:pPr>
        <w:spacing w:line="300" w:lineRule="auto"/>
        <w:rPr>
          <w:rFonts w:ascii="Arial" w:hAnsi="Arial" w:eastAsia="仿宋_GB2312" w:cs="Arial"/>
          <w:sz w:val="28"/>
          <w:highlight w:val="none"/>
        </w:rPr>
      </w:pPr>
    </w:p>
    <w:p w14:paraId="40AB9DF5">
      <w:pPr>
        <w:spacing w:line="300" w:lineRule="auto"/>
        <w:outlineLvl w:val="1"/>
        <w:rPr>
          <w:rFonts w:ascii="Arial" w:hAnsi="Arial" w:eastAsia="仿宋_GB2312" w:cs="Arial"/>
          <w:b/>
          <w:sz w:val="28"/>
          <w:highlight w:val="none"/>
        </w:rPr>
      </w:pPr>
      <w:bookmarkStart w:id="323" w:name="_Toc138063022"/>
      <w:bookmarkStart w:id="324" w:name="_Toc132016634"/>
      <w:bookmarkStart w:id="325" w:name="_Toc515457815"/>
      <w:bookmarkStart w:id="326" w:name="_Toc516488193"/>
      <w:bookmarkStart w:id="327" w:name="_Toc132016751"/>
      <w:bookmarkStart w:id="328" w:name="_Toc520261166"/>
      <w:r>
        <w:rPr>
          <w:rFonts w:ascii="Arial" w:hAnsi="Arial" w:eastAsia="仿宋_GB2312" w:cs="Arial"/>
          <w:b/>
          <w:sz w:val="28"/>
          <w:highlight w:val="none"/>
        </w:rPr>
        <w:t>十二、土地估价机构</w:t>
      </w:r>
      <w:bookmarkEnd w:id="323"/>
      <w:bookmarkEnd w:id="324"/>
      <w:bookmarkEnd w:id="325"/>
      <w:bookmarkEnd w:id="326"/>
      <w:bookmarkEnd w:id="327"/>
      <w:bookmarkEnd w:id="328"/>
    </w:p>
    <w:p w14:paraId="12D7A23D">
      <w:pPr>
        <w:spacing w:line="300" w:lineRule="auto"/>
        <w:rPr>
          <w:rFonts w:ascii="Arial" w:hAnsi="Arial" w:eastAsia="仿宋_GB2312" w:cs="Arial"/>
          <w:sz w:val="28"/>
          <w:highlight w:val="none"/>
        </w:rPr>
      </w:pPr>
      <w:r>
        <w:rPr>
          <w:rFonts w:ascii="Arial" w:hAnsi="Arial" w:eastAsia="仿宋_GB2312" w:cs="Arial"/>
          <w:sz w:val="28"/>
          <w:highlight w:val="none"/>
        </w:rPr>
        <w:t xml:space="preserve"> </w:t>
      </w:r>
    </w:p>
    <w:p w14:paraId="7577B6A7">
      <w:pPr>
        <w:spacing w:line="300" w:lineRule="auto"/>
        <w:rPr>
          <w:rFonts w:ascii="Arial" w:hAnsi="Arial" w:eastAsia="仿宋_GB2312" w:cs="Arial"/>
          <w:sz w:val="28"/>
          <w:highlight w:val="none"/>
        </w:rPr>
      </w:pPr>
      <w:r>
        <w:rPr>
          <w:rFonts w:ascii="Arial" w:hAnsi="Arial" w:eastAsia="仿宋_GB2312" w:cs="Arial"/>
          <w:sz w:val="28"/>
          <w:highlight w:val="none"/>
        </w:rPr>
        <w:t xml:space="preserve">                              </w:t>
      </w:r>
    </w:p>
    <w:tbl>
      <w:tblPr>
        <w:tblStyle w:val="34"/>
        <w:tblW w:w="0" w:type="auto"/>
        <w:jc w:val="right"/>
        <w:tblLayout w:type="fixed"/>
        <w:tblCellMar>
          <w:top w:w="28" w:type="dxa"/>
          <w:left w:w="85" w:type="dxa"/>
          <w:bottom w:w="28" w:type="dxa"/>
          <w:right w:w="85" w:type="dxa"/>
        </w:tblCellMar>
      </w:tblPr>
      <w:tblGrid>
        <w:gridCol w:w="4445"/>
      </w:tblGrid>
      <w:tr w14:paraId="02FF139C">
        <w:trPr>
          <w:jc w:val="right"/>
        </w:trPr>
        <w:tc>
          <w:tcPr>
            <w:tcW w:w="4445" w:type="dxa"/>
            <w:shd w:val="clear" w:color="auto" w:fill="auto"/>
          </w:tcPr>
          <w:p w14:paraId="0CA7233A">
            <w:pPr>
              <w:spacing w:line="300" w:lineRule="auto"/>
              <w:rPr>
                <w:rFonts w:ascii="Arial" w:hAnsi="Arial" w:eastAsia="仿宋_GB2312" w:cs="Arial"/>
                <w:sz w:val="28"/>
                <w:szCs w:val="21"/>
                <w:highlight w:val="none"/>
              </w:rPr>
            </w:pPr>
            <w:r>
              <w:rPr>
                <w:rFonts w:ascii="Arial" w:hAnsi="Arial" w:eastAsia="仿宋_GB2312" w:cs="Arial"/>
                <w:sz w:val="28"/>
                <w:szCs w:val="21"/>
                <w:highlight w:val="none"/>
              </w:rPr>
              <w:t>北京康正宏基房地产评估有限公司</w:t>
            </w:r>
          </w:p>
        </w:tc>
      </w:tr>
      <w:tr w14:paraId="27C3B164">
        <w:tblPrEx>
          <w:tblCellMar>
            <w:top w:w="28" w:type="dxa"/>
            <w:left w:w="85" w:type="dxa"/>
            <w:bottom w:w="28" w:type="dxa"/>
            <w:right w:w="85" w:type="dxa"/>
          </w:tblCellMar>
        </w:tblPrEx>
        <w:trPr>
          <w:trHeight w:val="1431" w:hRule="atLeast"/>
          <w:jc w:val="right"/>
        </w:trPr>
        <w:tc>
          <w:tcPr>
            <w:tcW w:w="4445" w:type="dxa"/>
            <w:shd w:val="clear" w:color="auto" w:fill="auto"/>
          </w:tcPr>
          <w:p w14:paraId="0E9FE93E">
            <w:pPr>
              <w:spacing w:line="300" w:lineRule="auto"/>
              <w:rPr>
                <w:rFonts w:ascii="Arial" w:hAnsi="Arial" w:eastAsia="仿宋_GB2312" w:cs="Arial"/>
                <w:sz w:val="28"/>
                <w:szCs w:val="21"/>
                <w:highlight w:val="none"/>
              </w:rPr>
            </w:pPr>
            <w:r>
              <w:rPr>
                <w:rFonts w:ascii="Arial" w:hAnsi="Arial" w:eastAsia="仿宋_GB2312" w:cs="Arial"/>
                <w:sz w:val="28"/>
                <w:szCs w:val="21"/>
                <w:highlight w:val="none"/>
              </w:rPr>
              <w:t>法定代表人：</w:t>
            </w:r>
          </w:p>
        </w:tc>
      </w:tr>
      <w:tr w14:paraId="53086B2D">
        <w:tblPrEx>
          <w:tblCellMar>
            <w:top w:w="28" w:type="dxa"/>
            <w:left w:w="85" w:type="dxa"/>
            <w:bottom w:w="28" w:type="dxa"/>
            <w:right w:w="85" w:type="dxa"/>
          </w:tblCellMar>
        </w:tblPrEx>
        <w:trPr>
          <w:cantSplit/>
          <w:jc w:val="right"/>
        </w:trPr>
        <w:tc>
          <w:tcPr>
            <w:tcW w:w="4445" w:type="dxa"/>
            <w:shd w:val="clear" w:color="auto" w:fill="auto"/>
          </w:tcPr>
          <w:p w14:paraId="197906D9">
            <w:pPr>
              <w:spacing w:line="300" w:lineRule="auto"/>
              <w:jc w:val="right"/>
              <w:rPr>
                <w:rFonts w:ascii="Arial" w:hAnsi="Arial" w:eastAsia="仿宋_GB2312" w:cs="Arial"/>
                <w:sz w:val="28"/>
                <w:szCs w:val="21"/>
                <w:highlight w:val="none"/>
              </w:rPr>
            </w:pPr>
            <w:r>
              <w:rPr>
                <w:rFonts w:hint="eastAsia" w:ascii="Arial" w:hAnsi="Arial" w:eastAsia="仿宋_GB2312" w:cs="Arial"/>
                <w:sz w:val="28"/>
                <w:szCs w:val="21"/>
                <w:highlight w:val="none"/>
              </w:rPr>
              <w:t>二</w:t>
            </w:r>
            <w:r>
              <w:rPr>
                <w:rFonts w:hint="eastAsia" w:ascii="微软雅黑" w:hAnsi="微软雅黑" w:eastAsia="微软雅黑" w:cs="微软雅黑"/>
                <w:sz w:val="28"/>
                <w:szCs w:val="21"/>
                <w:highlight w:val="none"/>
              </w:rPr>
              <w:t>〇</w:t>
            </w:r>
            <w:r>
              <w:rPr>
                <w:rFonts w:hint="eastAsia" w:ascii="仿宋_GB2312" w:hAnsi="仿宋_GB2312" w:eastAsia="仿宋_GB2312" w:cs="仿宋_GB2312"/>
                <w:sz w:val="28"/>
                <w:szCs w:val="21"/>
                <w:highlight w:val="none"/>
              </w:rPr>
              <w:t>二</w:t>
            </w:r>
            <w:r>
              <w:rPr>
                <w:rFonts w:hint="eastAsia" w:ascii="仿宋_GB2312" w:hAnsi="仿宋_GB2312" w:eastAsia="仿宋_GB2312" w:cs="仿宋_GB2312"/>
                <w:sz w:val="28"/>
                <w:szCs w:val="21"/>
                <w:highlight w:val="none"/>
                <w:lang w:val="en-US" w:eastAsia="zh-CN"/>
              </w:rPr>
              <w:t>六</w:t>
            </w:r>
            <w:r>
              <w:rPr>
                <w:rFonts w:hint="eastAsia" w:ascii="仿宋_GB2312" w:hAnsi="仿宋_GB2312" w:eastAsia="仿宋_GB2312" w:cs="仿宋_GB2312"/>
                <w:sz w:val="28"/>
                <w:szCs w:val="21"/>
                <w:highlight w:val="none"/>
              </w:rPr>
              <w:t>年</w:t>
            </w:r>
            <w:r>
              <w:rPr>
                <w:rFonts w:hint="eastAsia" w:ascii="仿宋_GB2312" w:hAnsi="仿宋_GB2312" w:eastAsia="仿宋_GB2312" w:cs="仿宋_GB2312"/>
                <w:sz w:val="28"/>
                <w:szCs w:val="21"/>
                <w:highlight w:val="none"/>
                <w:lang w:val="en-US" w:eastAsia="zh-CN"/>
              </w:rPr>
              <w:t>三</w:t>
            </w:r>
            <w:r>
              <w:rPr>
                <w:rFonts w:hint="eastAsia" w:ascii="仿宋_GB2312" w:hAnsi="仿宋_GB2312" w:eastAsia="仿宋_GB2312" w:cs="仿宋_GB2312"/>
                <w:sz w:val="28"/>
                <w:szCs w:val="21"/>
                <w:highlight w:val="none"/>
              </w:rPr>
              <w:t>月</w:t>
            </w:r>
            <w:r>
              <w:rPr>
                <w:rFonts w:hint="eastAsia" w:ascii="仿宋_GB2312" w:hAnsi="仿宋_GB2312" w:eastAsia="仿宋_GB2312" w:cs="仿宋_GB2312"/>
                <w:sz w:val="28"/>
                <w:szCs w:val="21"/>
                <w:highlight w:val="none"/>
                <w:lang w:val="en-US" w:eastAsia="zh-CN"/>
              </w:rPr>
              <w:t>三十一</w:t>
            </w:r>
            <w:r>
              <w:rPr>
                <w:rFonts w:hint="eastAsia" w:ascii="仿宋_GB2312" w:hAnsi="仿宋_GB2312" w:eastAsia="仿宋_GB2312" w:cs="仿宋_GB2312"/>
                <w:sz w:val="28"/>
                <w:szCs w:val="21"/>
                <w:highlight w:val="none"/>
              </w:rPr>
              <w:t>日</w:t>
            </w:r>
          </w:p>
        </w:tc>
      </w:tr>
    </w:tbl>
    <w:p w14:paraId="05048DF8">
      <w:pPr>
        <w:spacing w:line="300" w:lineRule="auto"/>
        <w:rPr>
          <w:rFonts w:ascii="Arial" w:hAnsi="Arial" w:eastAsia="仿宋_GB2312" w:cs="Arial"/>
          <w:b/>
          <w:sz w:val="28"/>
          <w:highlight w:val="none"/>
        </w:rPr>
      </w:pPr>
    </w:p>
    <w:p w14:paraId="1AC716CC">
      <w:pPr>
        <w:spacing w:line="300" w:lineRule="auto"/>
        <w:jc w:val="center"/>
        <w:outlineLvl w:val="0"/>
        <w:rPr>
          <w:rFonts w:ascii="Arial" w:hAnsi="Arial" w:cs="Arial"/>
          <w:b/>
          <w:sz w:val="32"/>
          <w:highlight w:val="none"/>
        </w:rPr>
      </w:pPr>
      <w:r>
        <w:rPr>
          <w:rFonts w:ascii="Arial" w:hAnsi="Arial" w:eastAsia="仿宋_GB2312" w:cs="Arial"/>
          <w:sz w:val="28"/>
          <w:highlight w:val="none"/>
        </w:rPr>
        <w:br w:type="page"/>
      </w:r>
      <w:bookmarkStart w:id="329" w:name="_Toc132016635"/>
      <w:bookmarkStart w:id="330" w:name="_Toc132016752"/>
      <w:bookmarkStart w:id="331" w:name="_Toc416783682"/>
      <w:bookmarkStart w:id="332" w:name="_Toc138063023"/>
      <w:bookmarkStart w:id="333" w:name="_Toc469066164"/>
      <w:bookmarkStart w:id="334" w:name="_Toc515457816"/>
      <w:bookmarkStart w:id="335" w:name="_Toc516488194"/>
      <w:bookmarkStart w:id="336" w:name="_Toc416783586"/>
      <w:r>
        <w:rPr>
          <w:rFonts w:ascii="Arial" w:hAnsi="Arial" w:cs="Arial"/>
          <w:b/>
          <w:sz w:val="32"/>
          <w:highlight w:val="none"/>
        </w:rPr>
        <w:t>第二部分</w:t>
      </w:r>
      <w:r>
        <w:rPr>
          <w:rFonts w:ascii="Arial" w:hAnsi="Arial" w:eastAsia="仿宋_GB2312" w:cs="Arial"/>
          <w:b/>
          <w:sz w:val="32"/>
          <w:highlight w:val="none"/>
        </w:rPr>
        <w:t xml:space="preserve">  </w:t>
      </w:r>
      <w:r>
        <w:rPr>
          <w:rFonts w:ascii="Arial" w:hAnsi="Arial" w:cs="Arial"/>
          <w:b/>
          <w:sz w:val="32"/>
          <w:highlight w:val="none"/>
        </w:rPr>
        <w:t>估价对象描述及土地价格影响因素分析</w:t>
      </w:r>
      <w:bookmarkEnd w:id="329"/>
      <w:bookmarkEnd w:id="330"/>
      <w:bookmarkEnd w:id="331"/>
      <w:bookmarkEnd w:id="332"/>
      <w:bookmarkEnd w:id="333"/>
      <w:bookmarkEnd w:id="334"/>
      <w:bookmarkEnd w:id="335"/>
      <w:bookmarkEnd w:id="336"/>
    </w:p>
    <w:p w14:paraId="62C25052">
      <w:pPr>
        <w:rPr>
          <w:highlight w:val="none"/>
        </w:rPr>
      </w:pPr>
      <w:bookmarkStart w:id="337" w:name="_Toc416783587"/>
      <w:bookmarkStart w:id="338" w:name="_Toc416783683"/>
      <w:bookmarkStart w:id="339" w:name="_Toc516488195"/>
      <w:bookmarkStart w:id="340" w:name="_Toc515457817"/>
      <w:bookmarkStart w:id="341" w:name="_Toc469066165"/>
    </w:p>
    <w:p w14:paraId="53904D2E">
      <w:pPr>
        <w:spacing w:line="300" w:lineRule="auto"/>
        <w:outlineLvl w:val="1"/>
        <w:rPr>
          <w:rFonts w:ascii="Arial" w:hAnsi="Arial" w:eastAsia="仿宋_GB2312" w:cs="Arial"/>
          <w:b/>
          <w:sz w:val="28"/>
          <w:highlight w:val="none"/>
        </w:rPr>
      </w:pPr>
      <w:bookmarkStart w:id="342" w:name="_Toc132016753"/>
      <w:bookmarkStart w:id="343" w:name="_Toc138063024"/>
      <w:bookmarkStart w:id="344" w:name="_Toc132016636"/>
      <w:r>
        <w:rPr>
          <w:rFonts w:ascii="Arial" w:hAnsi="Arial" w:eastAsia="仿宋_GB2312" w:cs="Arial"/>
          <w:b/>
          <w:sz w:val="28"/>
          <w:highlight w:val="none"/>
        </w:rPr>
        <w:t>一、估价对象描述</w:t>
      </w:r>
      <w:bookmarkEnd w:id="337"/>
      <w:bookmarkEnd w:id="338"/>
      <w:bookmarkEnd w:id="339"/>
      <w:bookmarkEnd w:id="340"/>
      <w:bookmarkEnd w:id="341"/>
      <w:bookmarkEnd w:id="342"/>
      <w:bookmarkEnd w:id="343"/>
      <w:bookmarkEnd w:id="344"/>
    </w:p>
    <w:p w14:paraId="61EDAD0F">
      <w:pPr>
        <w:adjustRightInd/>
        <w:spacing w:line="300" w:lineRule="auto"/>
        <w:ind w:firstLine="560" w:firstLineChars="200"/>
        <w:jc w:val="both"/>
        <w:rPr>
          <w:rFonts w:ascii="Arial" w:hAnsi="Arial" w:eastAsia="仿宋" w:cs="Arial"/>
          <w:sz w:val="28"/>
          <w:highlight w:val="none"/>
        </w:rPr>
      </w:pPr>
      <w:bookmarkStart w:id="345" w:name="_Toc516488196"/>
      <w:bookmarkStart w:id="346" w:name="_Toc416783594"/>
      <w:bookmarkStart w:id="347" w:name="_Toc469066166"/>
      <w:bookmarkStart w:id="348" w:name="_Toc416783690"/>
      <w:bookmarkStart w:id="349" w:name="_Toc515457818"/>
      <w:r>
        <w:rPr>
          <w:rFonts w:ascii="Arial" w:hAnsi="Arial" w:eastAsia="仿宋" w:cs="Arial"/>
          <w:sz w:val="28"/>
          <w:highlight w:val="none"/>
        </w:rPr>
        <w:t>（一）土地登记状况</w:t>
      </w:r>
    </w:p>
    <w:p w14:paraId="7614FFFF">
      <w:pPr>
        <w:adjustRightInd/>
        <w:spacing w:line="300" w:lineRule="auto"/>
        <w:ind w:firstLine="560" w:firstLineChars="200"/>
        <w:jc w:val="both"/>
        <w:rPr>
          <w:rFonts w:ascii="Arial" w:hAnsi="Arial" w:eastAsia="仿宋" w:cs="Arial"/>
          <w:sz w:val="28"/>
          <w:highlight w:val="none"/>
        </w:rPr>
      </w:pPr>
      <w:r>
        <w:rPr>
          <w:rFonts w:ascii="Arial" w:hAnsi="Arial" w:eastAsia="仿宋" w:cs="Arial"/>
          <w:bCs/>
          <w:sz w:val="28"/>
          <w:highlight w:val="none"/>
        </w:rPr>
        <w:t>土地来源：</w:t>
      </w:r>
      <w:r>
        <w:rPr>
          <w:rFonts w:ascii="Arial" w:hAnsi="Arial" w:eastAsia="仿宋" w:cs="Arial"/>
          <w:sz w:val="28"/>
          <w:highlight w:val="none"/>
        </w:rPr>
        <w:t>估价对象为北京市顺义区高丽营镇夏县营村01</w:t>
      </w:r>
      <w:r>
        <w:rPr>
          <w:rFonts w:hint="eastAsia" w:ascii="Arial" w:hAnsi="Arial" w:eastAsia="仿宋" w:cs="Arial"/>
          <w:sz w:val="28"/>
          <w:highlight w:val="none"/>
          <w:lang w:eastAsia="zh-CN"/>
        </w:rPr>
        <w:t>－</w:t>
      </w:r>
      <w:r>
        <w:rPr>
          <w:rFonts w:ascii="Arial" w:hAnsi="Arial" w:eastAsia="仿宋" w:cs="Arial"/>
          <w:sz w:val="28"/>
          <w:highlight w:val="none"/>
        </w:rPr>
        <w:t>008等</w:t>
      </w:r>
      <w:r>
        <w:rPr>
          <w:rFonts w:ascii="Arial" w:hAnsi="Arial" w:eastAsia="仿宋" w:cs="Arial"/>
          <w:sz w:val="28"/>
          <w:szCs w:val="28"/>
          <w:highlight w:val="none"/>
        </w:rPr>
        <w:t>地块</w:t>
      </w:r>
      <w:r>
        <w:rPr>
          <w:rFonts w:ascii="Arial" w:hAnsi="Arial" w:eastAsia="仿宋" w:cs="Arial"/>
          <w:bCs/>
          <w:sz w:val="28"/>
          <w:highlight w:val="none"/>
        </w:rPr>
        <w:t>，估价对象于</w:t>
      </w:r>
      <w:r>
        <w:rPr>
          <w:rFonts w:ascii="Arial" w:hAnsi="Arial" w:eastAsia="仿宋" w:cs="Arial"/>
          <w:sz w:val="28"/>
          <w:szCs w:val="28"/>
          <w:highlight w:val="none"/>
        </w:rPr>
        <w:t>2020</w:t>
      </w:r>
      <w:r>
        <w:rPr>
          <w:rFonts w:ascii="Arial" w:hAnsi="Arial" w:eastAsia="仿宋" w:cs="Arial"/>
          <w:spacing w:val="-6"/>
          <w:sz w:val="28"/>
          <w:highlight w:val="none"/>
        </w:rPr>
        <w:t>年</w:t>
      </w:r>
      <w:r>
        <w:rPr>
          <w:rFonts w:ascii="Arial" w:hAnsi="Arial" w:eastAsia="仿宋" w:cs="Arial"/>
          <w:sz w:val="28"/>
          <w:szCs w:val="28"/>
          <w:highlight w:val="none"/>
        </w:rPr>
        <w:t>12</w:t>
      </w:r>
      <w:r>
        <w:rPr>
          <w:rFonts w:ascii="Arial" w:hAnsi="Arial" w:eastAsia="仿宋" w:cs="Arial"/>
          <w:spacing w:val="-6"/>
          <w:sz w:val="28"/>
          <w:highlight w:val="none"/>
        </w:rPr>
        <w:t>月</w:t>
      </w:r>
      <w:r>
        <w:rPr>
          <w:rFonts w:ascii="Arial" w:hAnsi="Arial" w:eastAsia="仿宋" w:cs="Arial"/>
          <w:sz w:val="28"/>
          <w:szCs w:val="28"/>
          <w:highlight w:val="none"/>
        </w:rPr>
        <w:t>29</w:t>
      </w:r>
      <w:r>
        <w:rPr>
          <w:rFonts w:ascii="Arial" w:hAnsi="Arial" w:eastAsia="仿宋" w:cs="Arial"/>
          <w:spacing w:val="-6"/>
          <w:sz w:val="28"/>
          <w:highlight w:val="none"/>
        </w:rPr>
        <w:t>日取得《北京市人民政府关于顺义区二〇二〇年度批次建设用地的批复》（京政地字【2020】121号），由农用地转为建设用地；</w:t>
      </w:r>
      <w:r>
        <w:rPr>
          <w:rFonts w:hint="eastAsia" w:ascii="Arial" w:hAnsi="Arial" w:eastAsia="仿宋" w:cs="Arial"/>
          <w:sz w:val="28"/>
          <w:highlight w:val="none"/>
          <w:lang w:eastAsia="zh-CN"/>
        </w:rPr>
        <w:t>于2023年5月26日取得《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，明确了用地性质、建设用地规模及相关建筑技术指标。</w:t>
      </w:r>
      <w:r>
        <w:rPr>
          <w:rFonts w:hint="eastAsia" w:ascii="Arial" w:hAnsi="Arial" w:eastAsia="仿宋" w:cs="Arial"/>
          <w:sz w:val="28"/>
          <w:highlight w:val="none"/>
        </w:rPr>
        <w:t>于2</w:t>
      </w:r>
      <w:r>
        <w:rPr>
          <w:rFonts w:ascii="Arial" w:hAnsi="Arial" w:eastAsia="仿宋" w:cs="Arial"/>
          <w:sz w:val="28"/>
          <w:highlight w:val="none"/>
        </w:rPr>
        <w:t>023</w:t>
      </w:r>
      <w:r>
        <w:rPr>
          <w:rFonts w:hint="eastAsia" w:ascii="Arial" w:hAnsi="Arial" w:eastAsia="仿宋" w:cs="Arial"/>
          <w:sz w:val="28"/>
          <w:highlight w:val="none"/>
        </w:rPr>
        <w:t>年6月2</w:t>
      </w:r>
      <w:r>
        <w:rPr>
          <w:rFonts w:ascii="Arial" w:hAnsi="Arial" w:eastAsia="仿宋" w:cs="Arial"/>
          <w:sz w:val="28"/>
          <w:highlight w:val="none"/>
        </w:rPr>
        <w:t>5</w:t>
      </w:r>
      <w:r>
        <w:rPr>
          <w:rFonts w:hint="eastAsia" w:ascii="Arial" w:hAnsi="Arial" w:eastAsia="仿宋" w:cs="Arial"/>
          <w:sz w:val="28"/>
          <w:highlight w:val="none"/>
        </w:rPr>
        <w:t>日取得</w:t>
      </w:r>
      <w:r>
        <w:rPr>
          <w:rFonts w:ascii="Arial" w:hAnsi="Arial" w:eastAsia="仿宋" w:cs="Arial"/>
          <w:sz w:val="28"/>
          <w:szCs w:val="28"/>
          <w:highlight w:val="none"/>
        </w:rPr>
        <w:t>《北京市顺义区人民政府关于顺义区高丽营镇夏县营村棚户区改造土地开发项目01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020地块提请地价审核有关事宜的函》（顺政函【2023】151号）</w:t>
      </w:r>
      <w:r>
        <w:rPr>
          <w:rFonts w:hint="eastAsia" w:ascii="Arial" w:hAnsi="Arial" w:eastAsia="仿宋" w:cs="Arial"/>
          <w:sz w:val="28"/>
          <w:szCs w:val="28"/>
          <w:highlight w:val="none"/>
        </w:rPr>
        <w:t>，该项目开发主体为北京中交城市开发有限公司，实施主体为北京中交城市开发有限公司。</w:t>
      </w:r>
      <w:r>
        <w:rPr>
          <w:rFonts w:ascii="Arial" w:hAnsi="Arial" w:eastAsia="仿宋" w:cs="Arial"/>
          <w:sz w:val="28"/>
          <w:highlight w:val="none"/>
        </w:rPr>
        <w:t>估价对象为拟出让用地，截至估价期日，估价对象尚未办理登记手续。</w:t>
      </w:r>
    </w:p>
    <w:p w14:paraId="1EADDAE4">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坐落：北京市顺义区高丽营镇夏县营村</w:t>
      </w:r>
    </w:p>
    <w:p w14:paraId="0EB31D0C">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土地面积：</w:t>
      </w:r>
      <w:r>
        <w:rPr>
          <w:rFonts w:ascii="Arial" w:hAnsi="Arial" w:eastAsia="仿宋" w:cs="Arial"/>
          <w:spacing w:val="-6"/>
          <w:sz w:val="28"/>
          <w:highlight w:val="none"/>
        </w:rPr>
        <w:t>60990.43</w:t>
      </w:r>
      <w:r>
        <w:rPr>
          <w:rFonts w:ascii="Arial" w:hAnsi="Arial" w:eastAsia="仿宋" w:cs="Arial"/>
          <w:sz w:val="28"/>
          <w:highlight w:val="none"/>
        </w:rPr>
        <w:t>平方米</w:t>
      </w:r>
    </w:p>
    <w:p w14:paraId="086DFC07">
      <w:pPr>
        <w:adjustRightInd/>
        <w:spacing w:line="300" w:lineRule="auto"/>
        <w:ind w:firstLine="560" w:firstLineChars="200"/>
        <w:jc w:val="both"/>
        <w:rPr>
          <w:rFonts w:hint="eastAsia" w:ascii="Arial" w:hAnsi="Arial" w:eastAsia="仿宋" w:cs="Arial"/>
          <w:sz w:val="28"/>
          <w:highlight w:val="none"/>
          <w:lang w:eastAsia="zh-CN"/>
        </w:rPr>
      </w:pPr>
      <w:r>
        <w:rPr>
          <w:rFonts w:ascii="Arial" w:hAnsi="Arial" w:eastAsia="仿宋" w:cs="Arial"/>
          <w:sz w:val="28"/>
          <w:highlight w:val="none"/>
        </w:rPr>
        <w:t>估价对象现状四至：</w:t>
      </w:r>
      <w:r>
        <w:rPr>
          <w:rFonts w:hint="eastAsia" w:ascii="Arial" w:hAnsi="Arial" w:eastAsia="仿宋" w:cs="Arial"/>
          <w:sz w:val="28"/>
          <w:highlight w:val="none"/>
          <w:lang w:eastAsia="zh-CN"/>
        </w:rPr>
        <w:t>东至火寺路，西至喜行路，南至丽喜花园，北至鑫鼎街</w:t>
      </w:r>
    </w:p>
    <w:p w14:paraId="7E6A4186">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土地级别：根据《北京市人民政府关于更新出让国有建设用地使用权基准地价的通知》（京政发（2022）12号）的规定，估价对象属北京市基准地价住宅类九级IX</w:t>
      </w:r>
      <w:r>
        <w:rPr>
          <w:rFonts w:hint="eastAsia" w:ascii="Arial" w:hAnsi="Arial" w:eastAsia="仿宋" w:cs="Arial"/>
          <w:sz w:val="28"/>
          <w:highlight w:val="none"/>
          <w:lang w:eastAsia="zh-CN"/>
        </w:rPr>
        <w:t>－</w:t>
      </w:r>
      <w:r>
        <w:rPr>
          <w:rFonts w:ascii="Arial" w:hAnsi="Arial" w:eastAsia="仿宋" w:cs="Arial"/>
          <w:sz w:val="28"/>
          <w:highlight w:val="none"/>
        </w:rPr>
        <w:t>顺5区片、商服类九级IX</w:t>
      </w:r>
      <w:r>
        <w:rPr>
          <w:rFonts w:hint="eastAsia" w:ascii="Arial" w:hAnsi="Arial" w:eastAsia="仿宋" w:cs="Arial"/>
          <w:sz w:val="28"/>
          <w:highlight w:val="none"/>
          <w:lang w:eastAsia="zh-CN"/>
        </w:rPr>
        <w:t>－</w:t>
      </w:r>
      <w:r>
        <w:rPr>
          <w:rFonts w:ascii="Arial" w:hAnsi="Arial" w:eastAsia="仿宋" w:cs="Arial"/>
          <w:sz w:val="28"/>
          <w:highlight w:val="none"/>
        </w:rPr>
        <w:t>顺5区片、公共服务类九级IX</w:t>
      </w:r>
      <w:r>
        <w:rPr>
          <w:rFonts w:hint="eastAsia" w:ascii="Arial" w:hAnsi="Arial" w:eastAsia="仿宋" w:cs="Arial"/>
          <w:sz w:val="28"/>
          <w:highlight w:val="none"/>
          <w:lang w:eastAsia="zh-CN"/>
        </w:rPr>
        <w:t>－</w:t>
      </w:r>
      <w:r>
        <w:rPr>
          <w:rFonts w:ascii="Arial" w:hAnsi="Arial" w:eastAsia="仿宋" w:cs="Arial"/>
          <w:sz w:val="28"/>
          <w:highlight w:val="none"/>
        </w:rPr>
        <w:t>顺5区片。</w:t>
      </w:r>
    </w:p>
    <w:p w14:paraId="4D60BF98">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（二）土地权利状况</w:t>
      </w:r>
    </w:p>
    <w:p w14:paraId="13A30542">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估价对象为国有土地，土地所有权为国家所有，根据《北京市人民政府关于顺义区二〇二〇年度批次建设用地的批复》（京政地字【2020】121号），</w:t>
      </w:r>
      <w:r>
        <w:rPr>
          <w:rFonts w:ascii="Arial" w:hAnsi="Arial" w:eastAsia="仿宋" w:cs="Arial"/>
          <w:sz w:val="28"/>
          <w:szCs w:val="28"/>
          <w:highlight w:val="none"/>
        </w:rPr>
        <w:t>同意</w:t>
      </w:r>
      <w:r>
        <w:rPr>
          <w:rFonts w:ascii="Arial" w:hAnsi="Arial" w:eastAsia="仿宋" w:cs="Arial"/>
          <w:sz w:val="28"/>
          <w:highlight w:val="none"/>
        </w:rPr>
        <w:t>北京中交城市开发有限公司</w:t>
      </w:r>
      <w:r>
        <w:rPr>
          <w:rFonts w:ascii="Arial" w:hAnsi="Arial" w:eastAsia="仿宋" w:cs="Arial"/>
          <w:sz w:val="28"/>
          <w:szCs w:val="28"/>
          <w:highlight w:val="none"/>
        </w:rPr>
        <w:t>实施</w:t>
      </w:r>
      <w:r>
        <w:rPr>
          <w:rFonts w:ascii="Arial" w:hAnsi="Arial" w:eastAsia="仿宋" w:cs="Arial"/>
          <w:sz w:val="28"/>
          <w:highlight w:val="none"/>
        </w:rPr>
        <w:t>顺义</w:t>
      </w:r>
      <w:r>
        <w:rPr>
          <w:rFonts w:ascii="Arial" w:hAnsi="Arial" w:eastAsia="仿宋" w:cs="Arial"/>
          <w:sz w:val="28"/>
          <w:szCs w:val="28"/>
          <w:highlight w:val="none"/>
        </w:rPr>
        <w:t>区高丽营镇夏县营村棚户区</w:t>
      </w:r>
      <w:r>
        <w:rPr>
          <w:rFonts w:ascii="Arial" w:hAnsi="Arial" w:eastAsia="仿宋" w:cs="Arial"/>
          <w:sz w:val="28"/>
          <w:highlight w:val="none"/>
        </w:rPr>
        <w:t>改造土地开发项目。</w:t>
      </w:r>
    </w:p>
    <w:p w14:paraId="700D830D">
      <w:pPr>
        <w:adjustRightInd/>
        <w:spacing w:line="300" w:lineRule="auto"/>
        <w:ind w:firstLine="560" w:firstLineChars="200"/>
        <w:jc w:val="both"/>
        <w:rPr>
          <w:rFonts w:hint="eastAsia" w:ascii="Arial" w:hAnsi="Arial" w:eastAsia="仿宋" w:cs="Arial"/>
          <w:sz w:val="28"/>
          <w:szCs w:val="28"/>
          <w:highlight w:val="none"/>
          <w:lang w:eastAsia="zh-CN"/>
        </w:rPr>
      </w:pPr>
      <w:r>
        <w:rPr>
          <w:rFonts w:hint="eastAsia" w:ascii="Arial" w:hAnsi="Arial" w:eastAsia="仿宋" w:cs="Arial"/>
          <w:sz w:val="28"/>
          <w:szCs w:val="28"/>
          <w:highlight w:val="none"/>
          <w:lang w:eastAsia="zh-CN"/>
        </w:rPr>
        <w:t>估价对象为拟入市公开交易地块，尚未办理不动产登记手续，故本次估价以估价对象不存在抵押、担保、典当、租赁等他项权利为假设前提，并假定估价对象没有影响估价对象价值的其他他项权利存在。如上述情况发生变化，估价结果应进行相应调整。</w:t>
      </w:r>
    </w:p>
    <w:p w14:paraId="51696DE7">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（三）土地利用状况</w:t>
      </w:r>
    </w:p>
    <w:p w14:paraId="54AA0B36">
      <w:pPr>
        <w:spacing w:line="300" w:lineRule="auto"/>
        <w:jc w:val="both"/>
        <w:rPr>
          <w:rFonts w:ascii="Arial" w:hAnsi="Arial" w:eastAsia="仿宋_GB2312" w:cs="Arial"/>
          <w:sz w:val="28"/>
          <w:highlight w:val="none"/>
        </w:rPr>
      </w:pPr>
      <w:r>
        <w:rPr>
          <w:highlight w:val="none"/>
        </w:rPr>
        <mc:AlternateContent>
          <mc:Choice Requires="wps">
            <w:drawing>
              <wp:anchor distT="0" distB="0" distL="114300" distR="114300" simplePos="0" relativeHeight="251663360" behindDoc="0" locked="0" layoutInCell="1" allowOverlap="1">
                <wp:simplePos x="0" y="0"/>
                <wp:positionH relativeFrom="column">
                  <wp:posOffset>2961640</wp:posOffset>
                </wp:positionH>
                <wp:positionV relativeFrom="paragraph">
                  <wp:posOffset>12700</wp:posOffset>
                </wp:positionV>
                <wp:extent cx="2436495" cy="1728470"/>
                <wp:effectExtent l="5080" t="4445" r="15875" b="19685"/>
                <wp:wrapNone/>
                <wp:docPr id="6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36495" cy="1728470"/>
                        </a:xfrm>
                        <a:prstGeom prst="rect">
                          <a:avLst/>
                        </a:prstGeom>
                        <a:solidFill>
                          <a:srgbClr val="FFFFFF"/>
                        </a:solidFill>
                        <a:ln w="9525">
                          <a:solidFill>
                            <a:srgbClr val="000000"/>
                          </a:solidFill>
                          <a:miter lim="800000"/>
                        </a:ln>
                      </wps:spPr>
                      <wps:txbx>
                        <w:txbxContent>
                          <w:p w14:paraId="5BB833A5">
                            <w:pPr>
                              <w:rPr>
                                <w:rFonts w:hint="eastAsia" w:eastAsia="宋体"/>
                                <w:lang w:eastAsia="zh-CN"/>
                              </w:rPr>
                            </w:pPr>
                            <w:r>
                              <w:rPr>
                                <w:rFonts w:hint="eastAsia" w:eastAsia="宋体"/>
                                <w:lang w:eastAsia="zh-CN"/>
                              </w:rPr>
                              <w:drawing>
                                <wp:inline distT="0" distB="0" distL="114300" distR="114300">
                                  <wp:extent cx="2132965" cy="1599565"/>
                                  <wp:effectExtent l="0" t="0" r="635" b="635"/>
                                  <wp:docPr id="38" name="图片 38"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文本框 2" o:spid="_x0000_s1026" o:spt="202" type="#_x0000_t202" style="position:absolute;left:0pt;margin-left:233.2pt;margin-top:1pt;height:136.1pt;width:191.85pt;mso-wrap-style:none;z-index:251663360;mso-width-relative:page;mso-height-relative:page;" fillcolor="#FFFFFF" filled="t" stroked="t" coordsize="21600,21600" o:gfxdata="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6pbrbYAAAACQEAAA8AAAAAAAAAAQAgAAAAIgAA&#10;AGRycy9kb3ducmV2LnhtbFBLAQIUABQAAAAIAIdO4kDm9BAuQQIAAIcEAAAOAAAAAAAAAAEAIAAA&#10;ACcBAABkcnMvZTJvRG9jLnhtbFBLBQYAAAAABgAGAFkBAADaBQAAAAA=&#10;">
                <v:fill on="t" focussize="0,0"/>
                <v:stroke color="#000000" miterlimit="8" joinstyle="miter"/>
                <v:imagedata o:title=""/>
                <o:lock v:ext="edit" aspectratio="f"/>
                <v:textbox>
                  <w:txbxContent>
                    <w:p w14:paraId="5BB833A5">
                      <w:pPr>
                        <w:rPr>
                          <w:rFonts w:hint="eastAsia" w:eastAsia="宋体"/>
                          <w:lang w:eastAsia="zh-CN"/>
                        </w:rPr>
                      </w:pPr>
                      <w:r>
                        <w:rPr>
                          <w:rFonts w:hint="eastAsia" w:eastAsia="宋体"/>
                          <w:lang w:eastAsia="zh-CN"/>
                        </w:rPr>
                        <w:drawing>
                          <wp:inline distT="0" distB="0" distL="114300" distR="114300">
                            <wp:extent cx="2132965" cy="1599565"/>
                            <wp:effectExtent l="0" t="0" r="635" b="635"/>
                            <wp:docPr id="38" name="图片 38" descr="0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1-008"/>
                                    <pic:cNvPicPr>
                                      <a:picLocks noChangeAspect="1"/>
                                    </pic:cNvPicPr>
                                  </pic:nvPicPr>
                                  <pic:blipFill>
                                    <a:blip r:embed="rId37"/>
                                    <a:stretch>
                                      <a:fillRect/>
                                    </a:stretch>
                                  </pic:blipFill>
                                  <pic:spPr>
                                    <a:xfrm>
                                      <a:off x="0" y="0"/>
                                      <a:ext cx="2132965" cy="1599565"/>
                                    </a:xfrm>
                                    <a:prstGeom prst="rect">
                                      <a:avLst/>
                                    </a:prstGeom>
                                  </pic:spPr>
                                </pic:pic>
                              </a:graphicData>
                            </a:graphic>
                          </wp:inline>
                        </w:drawing>
                      </w:r>
                    </w:p>
                  </w:txbxContent>
                </v:textbox>
              </v:shape>
            </w:pict>
          </mc:Fallback>
        </mc:AlternateContent>
      </w:r>
      <w:r>
        <w:rPr>
          <w:highlight w:val="none"/>
        </w:rPr>
        <mc:AlternateContent>
          <mc:Choice Requires="wps">
            <w:drawing>
              <wp:anchor distT="0" distB="0" distL="114300" distR="114300" simplePos="0" relativeHeight="251662336" behindDoc="0" locked="0" layoutInCell="1" allowOverlap="1">
                <wp:simplePos x="0" y="0"/>
                <wp:positionH relativeFrom="column">
                  <wp:posOffset>299085</wp:posOffset>
                </wp:positionH>
                <wp:positionV relativeFrom="paragraph">
                  <wp:posOffset>11430</wp:posOffset>
                </wp:positionV>
                <wp:extent cx="2352040" cy="1727835"/>
                <wp:effectExtent l="5080" t="5080" r="5080" b="19685"/>
                <wp:wrapNone/>
                <wp:docPr id="71"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52040" cy="1727835"/>
                        </a:xfrm>
                        <a:prstGeom prst="rect">
                          <a:avLst/>
                        </a:prstGeom>
                        <a:solidFill>
                          <a:srgbClr val="FFFFFF"/>
                        </a:solidFill>
                        <a:ln w="9525">
                          <a:solidFill>
                            <a:srgbClr val="000000"/>
                          </a:solidFill>
                          <a:miter lim="800000"/>
                        </a:ln>
                      </wps:spPr>
                      <wps:txbx>
                        <w:txbxContent>
                          <w:p w14:paraId="1E5F68FD">
                            <w:pPr>
                              <w:rPr>
                                <w:rFonts w:hint="eastAsia" w:eastAsia="宋体"/>
                                <w:lang w:eastAsia="zh-CN"/>
                              </w:rPr>
                            </w:pPr>
                            <w:r>
                              <w:rPr>
                                <w:rFonts w:hint="eastAsia" w:eastAsia="宋体"/>
                                <w:lang w:eastAsia="zh-CN"/>
                              </w:rPr>
                              <w:drawing>
                                <wp:inline distT="0" distB="0" distL="114300" distR="114300">
                                  <wp:extent cx="2255520" cy="1614170"/>
                                  <wp:effectExtent l="0" t="0" r="0" b="1270"/>
                                  <wp:docPr id="37" name="图片 37"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1-020、026 (7)"/>
                                          <pic:cNvPicPr>
                                            <a:picLocks noChangeAspect="1"/>
                                          </pic:cNvPicPr>
                                        </pic:nvPicPr>
                                        <pic:blipFill>
                                          <a:blip r:embed="rId38"/>
                                          <a:stretch>
                                            <a:fillRect/>
                                          </a:stretch>
                                        </pic:blipFill>
                                        <pic:spPr>
                                          <a:xfrm>
                                            <a:off x="0" y="0"/>
                                            <a:ext cx="2255520" cy="1614170"/>
                                          </a:xfrm>
                                          <a:prstGeom prst="rect">
                                            <a:avLst/>
                                          </a:prstGeom>
                                        </pic:spPr>
                                      </pic:pic>
                                    </a:graphicData>
                                  </a:graphic>
                                </wp:inline>
                              </w:drawing>
                            </w:r>
                          </w:p>
                        </w:txbxContent>
                      </wps:txbx>
                      <wps:bodyPr rot="0" vert="horz" wrap="none" lIns="91440" tIns="45720" rIns="91440" bIns="45720" anchor="t" anchorCtr="0" upright="1">
                        <a:spAutoFit/>
                      </wps:bodyPr>
                    </wps:wsp>
                  </a:graphicData>
                </a:graphic>
              </wp:anchor>
            </w:drawing>
          </mc:Choice>
          <mc:Fallback>
            <w:pict>
              <v:shape id="文本框 2" o:spid="_x0000_s1026" o:spt="202" type="#_x0000_t202" style="position:absolute;left:0pt;margin-left:23.55pt;margin-top:0.9pt;height:136.05pt;width:185.2pt;mso-wrap-style:none;z-index:251662336;mso-width-relative:page;mso-height-relative:page;" fillcolor="#FFFFFF" filled="t" stroked="t" coordsize="21600,21600" o:gfxdata="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2fj9bNkAAAAIAQAADwAAAAAAAAABACAAAAAiAAAA&#10;ZHJzL2Rvd25yZXYueG1sUEsBAhQAFAAAAAgAh07iQAhYKWI/AgAAhwQAAA4AAAAAAAAAAQAgAAAA&#10;KAEAAGRycy9lMm9Eb2MueG1sUEsFBgAAAAAGAAYAWQEAANkFAAAAAA==&#10;">
                <v:fill on="t" focussize="0,0"/>
                <v:stroke color="#000000" miterlimit="8" joinstyle="miter"/>
                <v:imagedata o:title=""/>
                <o:lock v:ext="edit" aspectratio="f"/>
                <v:textbox style="mso-fit-shape-to-text:t;">
                  <w:txbxContent>
                    <w:p w14:paraId="1E5F68FD">
                      <w:pPr>
                        <w:rPr>
                          <w:rFonts w:hint="eastAsia" w:eastAsia="宋体"/>
                          <w:lang w:eastAsia="zh-CN"/>
                        </w:rPr>
                      </w:pPr>
                      <w:r>
                        <w:rPr>
                          <w:rFonts w:hint="eastAsia" w:eastAsia="宋体"/>
                          <w:lang w:eastAsia="zh-CN"/>
                        </w:rPr>
                        <w:drawing>
                          <wp:inline distT="0" distB="0" distL="114300" distR="114300">
                            <wp:extent cx="2255520" cy="1614170"/>
                            <wp:effectExtent l="0" t="0" r="0" b="1270"/>
                            <wp:docPr id="37" name="图片 37" descr="01-020、026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1-020、026 (7)"/>
                                    <pic:cNvPicPr>
                                      <a:picLocks noChangeAspect="1"/>
                                    </pic:cNvPicPr>
                                  </pic:nvPicPr>
                                  <pic:blipFill>
                                    <a:blip r:embed="rId38"/>
                                    <a:stretch>
                                      <a:fillRect/>
                                    </a:stretch>
                                  </pic:blipFill>
                                  <pic:spPr>
                                    <a:xfrm>
                                      <a:off x="0" y="0"/>
                                      <a:ext cx="2255520" cy="1614170"/>
                                    </a:xfrm>
                                    <a:prstGeom prst="rect">
                                      <a:avLst/>
                                    </a:prstGeom>
                                  </pic:spPr>
                                </pic:pic>
                              </a:graphicData>
                            </a:graphic>
                          </wp:inline>
                        </w:drawing>
                      </w:r>
                    </w:p>
                  </w:txbxContent>
                </v:textbox>
              </v:shape>
            </w:pict>
          </mc:Fallback>
        </mc:AlternateContent>
      </w:r>
      <w:r>
        <w:rPr>
          <w:rFonts w:hint="eastAsia" w:ascii="Arial" w:hAnsi="Arial" w:eastAsia="仿宋_GB2312" w:cs="Arial"/>
          <w:sz w:val="28"/>
          <w:highlight w:val="none"/>
        </w:rPr>
        <w:t xml:space="preserve">     </w:t>
      </w:r>
    </w:p>
    <w:p w14:paraId="1A7CFDB9">
      <w:pPr>
        <w:rPr>
          <w:szCs w:val="21"/>
          <w:highlight w:val="none"/>
        </w:rPr>
      </w:pPr>
    </w:p>
    <w:p w14:paraId="481E5349">
      <w:pPr>
        <w:spacing w:line="300" w:lineRule="auto"/>
        <w:jc w:val="both"/>
        <w:rPr>
          <w:rFonts w:ascii="Arial" w:hAnsi="Arial" w:eastAsia="仿宋_GB2312" w:cs="Arial"/>
          <w:sz w:val="28"/>
          <w:highlight w:val="none"/>
        </w:rPr>
      </w:pPr>
    </w:p>
    <w:p w14:paraId="4E6DF062">
      <w:pPr>
        <w:spacing w:line="300" w:lineRule="auto"/>
        <w:jc w:val="both"/>
        <w:rPr>
          <w:rFonts w:ascii="Arial" w:hAnsi="Arial" w:eastAsia="仿宋_GB2312" w:cs="Arial"/>
          <w:sz w:val="28"/>
          <w:highlight w:val="none"/>
        </w:rPr>
      </w:pPr>
    </w:p>
    <w:p w14:paraId="6AABC9C6">
      <w:pPr>
        <w:spacing w:line="300" w:lineRule="auto"/>
        <w:jc w:val="both"/>
        <w:rPr>
          <w:rFonts w:ascii="Arial" w:hAnsi="Arial" w:eastAsia="仿宋_GB2312" w:cs="Arial"/>
          <w:sz w:val="28"/>
          <w:highlight w:val="none"/>
        </w:rPr>
      </w:pPr>
    </w:p>
    <w:p w14:paraId="5B689987">
      <w:pPr>
        <w:spacing w:line="300" w:lineRule="auto"/>
        <w:jc w:val="both"/>
        <w:rPr>
          <w:rFonts w:ascii="Arial" w:hAnsi="Arial" w:eastAsia="仿宋_GB2312" w:cs="Arial"/>
          <w:sz w:val="28"/>
          <w:highlight w:val="none"/>
        </w:rPr>
      </w:pPr>
    </w:p>
    <w:p w14:paraId="56D6BFC3">
      <w:pPr>
        <w:spacing w:line="300" w:lineRule="auto"/>
        <w:jc w:val="both"/>
        <w:rPr>
          <w:rFonts w:ascii="Arial" w:hAnsi="Arial" w:eastAsia="仿宋_GB2312" w:cs="Arial"/>
          <w:sz w:val="28"/>
          <w:highlight w:val="none"/>
        </w:rPr>
      </w:pPr>
    </w:p>
    <w:p w14:paraId="07876F04">
      <w:pPr>
        <w:keepNext w:val="0"/>
        <w:keepLines w:val="0"/>
        <w:pageBreakBefore w:val="0"/>
        <w:widowControl w:val="0"/>
        <w:kinsoku/>
        <w:wordWrap/>
        <w:overflowPunct/>
        <w:topLinePunct w:val="0"/>
        <w:autoSpaceDE/>
        <w:autoSpaceDN/>
        <w:bidi w:val="0"/>
        <w:adjustRightInd/>
        <w:snapToGrid/>
        <w:spacing w:before="313" w:beforeLines="100" w:line="300" w:lineRule="auto"/>
        <w:ind w:firstLine="556"/>
        <w:jc w:val="both"/>
        <w:textAlignment w:val="baseline"/>
        <w:rPr>
          <w:rFonts w:ascii="Arial" w:hAnsi="Arial" w:eastAsia="仿宋" w:cs="Arial"/>
          <w:sz w:val="28"/>
          <w:highlight w:val="none"/>
        </w:rPr>
      </w:pPr>
      <w:r>
        <w:rPr>
          <w:rFonts w:ascii="Arial" w:hAnsi="Arial" w:eastAsia="仿宋" w:cs="Arial"/>
          <w:sz w:val="28"/>
          <w:szCs w:val="28"/>
          <w:highlight w:val="none"/>
        </w:rPr>
        <w:t>估价对象位</w:t>
      </w:r>
      <w:r>
        <w:rPr>
          <w:rFonts w:ascii="Arial" w:hAnsi="Arial" w:eastAsia="仿宋" w:cs="Arial"/>
          <w:sz w:val="28"/>
          <w:highlight w:val="none"/>
        </w:rPr>
        <w:t>北京市顺义区高丽营镇夏县营村。</w:t>
      </w:r>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 xml:space="preserve">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w:t>
      </w:r>
      <w:r>
        <w:rPr>
          <w:rFonts w:hint="eastAsia" w:ascii="Arial" w:hAnsi="Arial" w:eastAsia="仿宋" w:cs="Arial"/>
          <w:sz w:val="28"/>
          <w:highlight w:val="none"/>
          <w:lang w:eastAsia="zh-CN"/>
        </w:rPr>
        <w:t>根据《北京市国有建设用地使用权出让地价评估技术导则》（2026年2月10日实施）中的相关规定，本次评估01－008、01－016、01－026－1地块（R2二类居住用地）容积率为1.2</w:t>
      </w:r>
      <w:r>
        <w:rPr>
          <w:rFonts w:ascii="Arial" w:hAnsi="Arial" w:eastAsia="仿宋" w:cs="Arial"/>
          <w:sz w:val="28"/>
          <w:highlight w:val="none"/>
        </w:rPr>
        <w:t>。</w:t>
      </w:r>
    </w:p>
    <w:p w14:paraId="6C5BA27C">
      <w:pPr>
        <w:rPr>
          <w:rFonts w:ascii="Arial" w:hAnsi="Arial" w:eastAsia="仿宋" w:cs="Arial"/>
          <w:sz w:val="28"/>
          <w:highlight w:val="none"/>
        </w:rPr>
      </w:pPr>
      <w:r>
        <w:rPr>
          <w:rFonts w:ascii="Arial" w:hAnsi="Arial" w:eastAsia="仿宋" w:cs="Arial"/>
          <w:sz w:val="28"/>
          <w:highlight w:val="none"/>
        </w:rPr>
        <w:br w:type="page"/>
      </w:r>
    </w:p>
    <w:p w14:paraId="749204C8">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本次拟出让建设用地规模为</w:t>
      </w:r>
      <w:r>
        <w:rPr>
          <w:rFonts w:hint="eastAsia" w:ascii="Arial" w:hAnsi="Arial" w:eastAsia="仿宋" w:cs="Arial"/>
          <w:sz w:val="28"/>
          <w:highlight w:val="none"/>
          <w:lang w:eastAsia="zh-CN"/>
        </w:rPr>
        <w:t>56790.45</w:t>
      </w:r>
      <w:r>
        <w:rPr>
          <w:rFonts w:ascii="Arial" w:hAnsi="Arial" w:eastAsia="仿宋" w:cs="Arial"/>
          <w:sz w:val="28"/>
          <w:highlight w:val="none"/>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2A154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1D689839">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序号</w:t>
            </w:r>
          </w:p>
        </w:tc>
        <w:tc>
          <w:tcPr>
            <w:tcW w:w="617" w:type="pct"/>
            <w:vAlign w:val="center"/>
          </w:tcPr>
          <w:p w14:paraId="50A495F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规划地块编号</w:t>
            </w:r>
          </w:p>
        </w:tc>
        <w:tc>
          <w:tcPr>
            <w:tcW w:w="688" w:type="pct"/>
            <w:vAlign w:val="center"/>
          </w:tcPr>
          <w:p w14:paraId="551983E9">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用地性质</w:t>
            </w:r>
          </w:p>
        </w:tc>
        <w:tc>
          <w:tcPr>
            <w:tcW w:w="874" w:type="pct"/>
            <w:vAlign w:val="center"/>
          </w:tcPr>
          <w:p w14:paraId="4EE66C6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建设用地规模</w:t>
            </w:r>
          </w:p>
          <w:p w14:paraId="78DA187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475" w:type="pct"/>
            <w:vAlign w:val="center"/>
          </w:tcPr>
          <w:p w14:paraId="61EA688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容积率</w:t>
            </w:r>
          </w:p>
        </w:tc>
        <w:tc>
          <w:tcPr>
            <w:tcW w:w="921" w:type="pct"/>
            <w:vAlign w:val="center"/>
          </w:tcPr>
          <w:p w14:paraId="78B8B2E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地上建筑规模</w:t>
            </w:r>
          </w:p>
          <w:p w14:paraId="60B4E43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713" w:type="pct"/>
            <w:vAlign w:val="center"/>
          </w:tcPr>
          <w:p w14:paraId="16A331B3">
            <w:pPr>
              <w:widowControl/>
              <w:adjustRightInd/>
              <w:spacing w:line="240" w:lineRule="exact"/>
              <w:jc w:val="center"/>
              <w:textAlignment w:val="auto"/>
              <w:rPr>
                <w:rFonts w:ascii="Arial" w:hAnsi="Arial" w:eastAsia="仿宋" w:cs="Arial"/>
                <w:sz w:val="18"/>
                <w:szCs w:val="18"/>
                <w:highlight w:val="none"/>
              </w:rPr>
            </w:pPr>
            <w:r>
              <w:rPr>
                <w:rFonts w:ascii="Arial" w:hAnsi="Arial" w:eastAsia="仿宋" w:cs="Arial"/>
                <w:sz w:val="18"/>
                <w:szCs w:val="18"/>
                <w:highlight w:val="none"/>
              </w:rPr>
              <w:t>控制高度（m）</w:t>
            </w:r>
          </w:p>
        </w:tc>
        <w:tc>
          <w:tcPr>
            <w:tcW w:w="468" w:type="pct"/>
            <w:vAlign w:val="center"/>
          </w:tcPr>
          <w:p w14:paraId="0DB66A3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是否出让</w:t>
            </w:r>
          </w:p>
        </w:tc>
      </w:tr>
      <w:tr w14:paraId="4282A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0D38AF09">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w:t>
            </w:r>
          </w:p>
        </w:tc>
        <w:tc>
          <w:tcPr>
            <w:tcW w:w="617" w:type="pct"/>
            <w:vAlign w:val="center"/>
          </w:tcPr>
          <w:p w14:paraId="529F928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008</w:t>
            </w:r>
          </w:p>
        </w:tc>
        <w:tc>
          <w:tcPr>
            <w:tcW w:w="688" w:type="pct"/>
            <w:vMerge w:val="restart"/>
            <w:vAlign w:val="center"/>
          </w:tcPr>
          <w:p w14:paraId="4EC64AD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R2二类居住用地</w:t>
            </w:r>
          </w:p>
        </w:tc>
        <w:tc>
          <w:tcPr>
            <w:tcW w:w="874" w:type="pct"/>
            <w:vAlign w:val="center"/>
          </w:tcPr>
          <w:p w14:paraId="2831301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24804.85</w:t>
            </w:r>
          </w:p>
        </w:tc>
        <w:tc>
          <w:tcPr>
            <w:tcW w:w="475" w:type="pct"/>
            <w:vMerge w:val="restart"/>
            <w:vAlign w:val="center"/>
          </w:tcPr>
          <w:p w14:paraId="020E6EA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7EB781A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29765.82</w:t>
            </w:r>
          </w:p>
        </w:tc>
        <w:tc>
          <w:tcPr>
            <w:tcW w:w="713" w:type="pct"/>
            <w:vMerge w:val="restart"/>
            <w:vAlign w:val="center"/>
          </w:tcPr>
          <w:p w14:paraId="60F71D4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30</w:t>
            </w:r>
          </w:p>
        </w:tc>
        <w:tc>
          <w:tcPr>
            <w:tcW w:w="468" w:type="pct"/>
            <w:vMerge w:val="restart"/>
            <w:vAlign w:val="center"/>
          </w:tcPr>
          <w:p w14:paraId="032BCDC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出让</w:t>
            </w:r>
          </w:p>
        </w:tc>
      </w:tr>
      <w:tr w14:paraId="4C51A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2A77CD7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w:t>
            </w:r>
          </w:p>
        </w:tc>
        <w:tc>
          <w:tcPr>
            <w:tcW w:w="617" w:type="pct"/>
            <w:vAlign w:val="center"/>
          </w:tcPr>
          <w:p w14:paraId="5111BEB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016</w:t>
            </w:r>
          </w:p>
        </w:tc>
        <w:tc>
          <w:tcPr>
            <w:tcW w:w="688" w:type="pct"/>
            <w:vMerge w:val="continue"/>
            <w:vAlign w:val="center"/>
          </w:tcPr>
          <w:p w14:paraId="30CE820B">
            <w:pPr>
              <w:adjustRightInd/>
              <w:spacing w:line="240" w:lineRule="exact"/>
              <w:jc w:val="center"/>
              <w:rPr>
                <w:rFonts w:ascii="Arial" w:hAnsi="Arial" w:eastAsia="仿宋" w:cs="Arial"/>
                <w:sz w:val="18"/>
                <w:szCs w:val="18"/>
                <w:highlight w:val="none"/>
              </w:rPr>
            </w:pPr>
          </w:p>
        </w:tc>
        <w:tc>
          <w:tcPr>
            <w:tcW w:w="874" w:type="pct"/>
            <w:vAlign w:val="center"/>
          </w:tcPr>
          <w:p w14:paraId="7D5FBAB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23103.85</w:t>
            </w:r>
          </w:p>
        </w:tc>
        <w:tc>
          <w:tcPr>
            <w:tcW w:w="475" w:type="pct"/>
            <w:vMerge w:val="continue"/>
            <w:vAlign w:val="center"/>
          </w:tcPr>
          <w:p w14:paraId="5C8B96DC">
            <w:pPr>
              <w:adjustRightInd/>
              <w:spacing w:line="240" w:lineRule="exact"/>
              <w:jc w:val="center"/>
              <w:rPr>
                <w:rFonts w:ascii="Arial" w:hAnsi="Arial" w:eastAsia="仿宋" w:cs="Arial"/>
                <w:sz w:val="18"/>
                <w:szCs w:val="18"/>
                <w:highlight w:val="none"/>
              </w:rPr>
            </w:pPr>
          </w:p>
        </w:tc>
        <w:tc>
          <w:tcPr>
            <w:tcW w:w="921" w:type="pct"/>
            <w:vAlign w:val="center"/>
          </w:tcPr>
          <w:p w14:paraId="72276AB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27724.62</w:t>
            </w:r>
          </w:p>
        </w:tc>
        <w:tc>
          <w:tcPr>
            <w:tcW w:w="713" w:type="pct"/>
            <w:vMerge w:val="continue"/>
            <w:vAlign w:val="center"/>
          </w:tcPr>
          <w:p w14:paraId="6D368EF4">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61170CC4">
            <w:pPr>
              <w:adjustRightInd/>
              <w:spacing w:line="240" w:lineRule="exact"/>
              <w:jc w:val="center"/>
              <w:rPr>
                <w:rFonts w:ascii="Arial" w:hAnsi="Arial" w:eastAsia="仿宋" w:cs="Arial"/>
                <w:sz w:val="18"/>
                <w:szCs w:val="18"/>
                <w:highlight w:val="none"/>
              </w:rPr>
            </w:pPr>
          </w:p>
        </w:tc>
      </w:tr>
      <w:tr w14:paraId="7667A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7422726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w:t>
            </w:r>
          </w:p>
        </w:tc>
        <w:tc>
          <w:tcPr>
            <w:tcW w:w="617" w:type="pct"/>
            <w:vAlign w:val="center"/>
          </w:tcPr>
          <w:p w14:paraId="688B212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026</w:t>
            </w:r>
            <w:r>
              <w:rPr>
                <w:rFonts w:hint="eastAsia" w:ascii="Arial" w:hAnsi="Arial" w:eastAsia="仿宋" w:cs="Arial"/>
                <w:sz w:val="18"/>
                <w:szCs w:val="18"/>
                <w:highlight w:val="none"/>
                <w:lang w:eastAsia="zh-CN"/>
              </w:rPr>
              <w:t>－</w:t>
            </w:r>
            <w:r>
              <w:rPr>
                <w:rFonts w:ascii="Arial" w:hAnsi="Arial" w:eastAsia="仿宋" w:cs="Arial"/>
                <w:sz w:val="18"/>
                <w:szCs w:val="18"/>
                <w:highlight w:val="none"/>
              </w:rPr>
              <w:t>1</w:t>
            </w:r>
          </w:p>
        </w:tc>
        <w:tc>
          <w:tcPr>
            <w:tcW w:w="688" w:type="pct"/>
            <w:vMerge w:val="continue"/>
            <w:vAlign w:val="center"/>
          </w:tcPr>
          <w:p w14:paraId="3C8378E9">
            <w:pPr>
              <w:adjustRightInd/>
              <w:spacing w:line="240" w:lineRule="exact"/>
              <w:jc w:val="center"/>
              <w:rPr>
                <w:rFonts w:ascii="Arial" w:hAnsi="Arial" w:eastAsia="仿宋" w:cs="Arial"/>
                <w:sz w:val="18"/>
                <w:szCs w:val="18"/>
                <w:highlight w:val="none"/>
              </w:rPr>
            </w:pPr>
          </w:p>
        </w:tc>
        <w:tc>
          <w:tcPr>
            <w:tcW w:w="874" w:type="pct"/>
            <w:vAlign w:val="center"/>
          </w:tcPr>
          <w:p w14:paraId="1AC24EC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8881.75</w:t>
            </w:r>
          </w:p>
        </w:tc>
        <w:tc>
          <w:tcPr>
            <w:tcW w:w="475" w:type="pct"/>
            <w:vMerge w:val="continue"/>
            <w:vAlign w:val="center"/>
          </w:tcPr>
          <w:p w14:paraId="2B54CA63">
            <w:pPr>
              <w:adjustRightInd/>
              <w:spacing w:line="240" w:lineRule="exact"/>
              <w:jc w:val="center"/>
              <w:rPr>
                <w:rFonts w:ascii="Arial" w:hAnsi="Arial" w:eastAsia="仿宋" w:cs="Arial"/>
                <w:sz w:val="18"/>
                <w:szCs w:val="18"/>
                <w:highlight w:val="none"/>
              </w:rPr>
            </w:pPr>
          </w:p>
        </w:tc>
        <w:tc>
          <w:tcPr>
            <w:tcW w:w="921" w:type="pct"/>
            <w:vAlign w:val="center"/>
          </w:tcPr>
          <w:p w14:paraId="6EE5043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10658.10</w:t>
            </w:r>
          </w:p>
        </w:tc>
        <w:tc>
          <w:tcPr>
            <w:tcW w:w="713" w:type="pct"/>
            <w:vMerge w:val="continue"/>
            <w:vAlign w:val="center"/>
          </w:tcPr>
          <w:p w14:paraId="62E094EA">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5CBDBF7B">
            <w:pPr>
              <w:adjustRightInd/>
              <w:spacing w:line="240" w:lineRule="exact"/>
              <w:jc w:val="center"/>
              <w:rPr>
                <w:rFonts w:ascii="Arial" w:hAnsi="Arial" w:eastAsia="仿宋" w:cs="Arial"/>
                <w:sz w:val="18"/>
                <w:szCs w:val="18"/>
                <w:highlight w:val="none"/>
              </w:rPr>
            </w:pPr>
          </w:p>
        </w:tc>
      </w:tr>
      <w:tr w14:paraId="76E4A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02CFDDF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合计</w:t>
            </w:r>
          </w:p>
        </w:tc>
        <w:tc>
          <w:tcPr>
            <w:tcW w:w="874" w:type="pct"/>
            <w:vAlign w:val="center"/>
          </w:tcPr>
          <w:p w14:paraId="7B83BAED">
            <w:pPr>
              <w:adjustRightInd/>
              <w:spacing w:line="240" w:lineRule="exact"/>
              <w:jc w:val="center"/>
              <w:rPr>
                <w:rFonts w:hint="eastAsia" w:ascii="Arial" w:hAnsi="Arial" w:eastAsia="仿宋" w:cs="Arial"/>
                <w:sz w:val="18"/>
                <w:szCs w:val="18"/>
                <w:highlight w:val="none"/>
                <w:lang w:eastAsia="zh-CN"/>
              </w:rPr>
            </w:pPr>
            <w:r>
              <w:rPr>
                <w:rFonts w:hint="eastAsia" w:ascii="Arial" w:hAnsi="Arial" w:eastAsia="仿宋" w:cs="Arial"/>
                <w:sz w:val="18"/>
                <w:szCs w:val="18"/>
                <w:highlight w:val="none"/>
                <w:lang w:eastAsia="zh-CN"/>
              </w:rPr>
              <w:t>56790.45</w:t>
            </w:r>
          </w:p>
        </w:tc>
        <w:tc>
          <w:tcPr>
            <w:tcW w:w="475" w:type="pct"/>
            <w:vAlign w:val="center"/>
          </w:tcPr>
          <w:p w14:paraId="07A700A7">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2CD0B619">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68148.54</w:t>
            </w:r>
          </w:p>
        </w:tc>
        <w:tc>
          <w:tcPr>
            <w:tcW w:w="1181" w:type="pct"/>
            <w:gridSpan w:val="2"/>
            <w:vAlign w:val="center"/>
          </w:tcPr>
          <w:p w14:paraId="5DE6B61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bl>
    <w:p w14:paraId="3E13DB60">
      <w:pPr>
        <w:adjustRightInd/>
        <w:spacing w:line="240" w:lineRule="exact"/>
        <w:ind w:firstLine="360" w:firstLineChars="200"/>
        <w:jc w:val="both"/>
        <w:rPr>
          <w:rFonts w:ascii="Arial" w:hAnsi="Arial" w:eastAsia="仿宋_GB2312" w:cs="Arial"/>
          <w:sz w:val="18"/>
          <w:szCs w:val="18"/>
          <w:highlight w:val="none"/>
        </w:rPr>
      </w:pPr>
    </w:p>
    <w:p w14:paraId="1AD3BC22">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highlight w:val="none"/>
        </w:rPr>
        <w:t>估价对象所在宗地实际开发程度为</w:t>
      </w:r>
      <w:r>
        <w:rPr>
          <w:rFonts w:hint="eastAsia" w:ascii="仿宋_GB2312" w:hAnsi="Arial" w:eastAsia="仿宋_GB2312"/>
          <w:sz w:val="28"/>
          <w:highlight w:val="none"/>
          <w:lang w:eastAsia="zh-CN"/>
        </w:rPr>
        <w:t>“七通”（通路、通上水（自来水、中水）、通下水（雨水、污水）、通电（管沟、电缆）、通讯、通燃气、通热力）</w:t>
      </w:r>
      <w:r>
        <w:rPr>
          <w:rFonts w:ascii="Arial" w:hAnsi="Arial" w:eastAsia="仿宋_GB2312" w:cs="Arial"/>
          <w:sz w:val="28"/>
          <w:szCs w:val="28"/>
          <w:highlight w:val="none"/>
        </w:rPr>
        <w:t>。</w:t>
      </w:r>
    </w:p>
    <w:p w14:paraId="214B0400">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根据土地估价专业评估师现场勘查，估价对象周边</w:t>
      </w:r>
      <w:r>
        <w:rPr>
          <w:rFonts w:ascii="Arial" w:hAnsi="Arial" w:eastAsia="仿宋_GB2312" w:cs="Arial"/>
          <w:sz w:val="28"/>
          <w:szCs w:val="28"/>
          <w:highlight w:val="none"/>
        </w:rPr>
        <w:t>4</w:t>
      </w:r>
      <w:r>
        <w:rPr>
          <w:rFonts w:hint="eastAsia" w:ascii="Arial" w:hAnsi="Arial" w:eastAsia="仿宋_GB2312" w:cs="Arial"/>
          <w:sz w:val="28"/>
          <w:szCs w:val="28"/>
          <w:highlight w:val="none"/>
        </w:rPr>
        <w:t>公里范围内有富力首开·金禧璞瑅等类似物业，交房装修标准以精装修为主。因此，本次估价设定估价对象交房装修标准为精装修。</w:t>
      </w:r>
    </w:p>
    <w:p w14:paraId="55E54359">
      <w:pPr>
        <w:rPr>
          <w:highlight w:val="none"/>
        </w:rPr>
      </w:pPr>
    </w:p>
    <w:p w14:paraId="3C452C80">
      <w:pPr>
        <w:rPr>
          <w:rFonts w:ascii="Arial" w:hAnsi="Arial" w:eastAsia="仿宋_GB2312" w:cs="Arial"/>
          <w:b/>
          <w:sz w:val="28"/>
          <w:highlight w:val="none"/>
        </w:rPr>
      </w:pPr>
      <w:bookmarkStart w:id="350" w:name="_Toc138063025"/>
      <w:bookmarkStart w:id="351" w:name="_Toc132016637"/>
      <w:bookmarkStart w:id="352" w:name="_Toc132016754"/>
      <w:r>
        <w:rPr>
          <w:rFonts w:ascii="Arial" w:hAnsi="Arial" w:eastAsia="仿宋_GB2312" w:cs="Arial"/>
          <w:b/>
          <w:sz w:val="28"/>
          <w:highlight w:val="none"/>
        </w:rPr>
        <w:br w:type="page"/>
      </w:r>
    </w:p>
    <w:p w14:paraId="575594E2">
      <w:pPr>
        <w:spacing w:line="300" w:lineRule="auto"/>
        <w:outlineLvl w:val="1"/>
        <w:rPr>
          <w:rFonts w:ascii="Arial" w:hAnsi="Arial" w:eastAsia="仿宋_GB2312" w:cs="Arial"/>
          <w:b/>
          <w:sz w:val="28"/>
          <w:highlight w:val="none"/>
        </w:rPr>
      </w:pPr>
      <w:r>
        <w:rPr>
          <w:rFonts w:ascii="Arial" w:hAnsi="Arial" w:eastAsia="仿宋_GB2312" w:cs="Arial"/>
          <w:b/>
          <w:sz w:val="28"/>
          <w:highlight w:val="none"/>
        </w:rPr>
        <w:t>二、地价影响因素分析</w:t>
      </w:r>
      <w:bookmarkEnd w:id="345"/>
      <w:bookmarkEnd w:id="346"/>
      <w:bookmarkEnd w:id="347"/>
      <w:bookmarkEnd w:id="348"/>
      <w:bookmarkEnd w:id="349"/>
      <w:bookmarkEnd w:id="350"/>
      <w:bookmarkEnd w:id="351"/>
      <w:bookmarkEnd w:id="352"/>
    </w:p>
    <w:p w14:paraId="77B39F64">
      <w:pPr>
        <w:widowControl/>
        <w:adjustRightInd/>
        <w:spacing w:line="300" w:lineRule="auto"/>
        <w:rPr>
          <w:rFonts w:hint="eastAsia" w:ascii="Arial" w:hAnsi="Arial" w:eastAsia="仿宋" w:cs="Arial"/>
          <w:sz w:val="28"/>
          <w:szCs w:val="28"/>
          <w:highlight w:val="none"/>
          <w:lang w:bidi="ar"/>
        </w:rPr>
      </w:pPr>
      <w:bookmarkStart w:id="353" w:name="_Toc515457822"/>
      <w:bookmarkStart w:id="354" w:name="_Toc416783695"/>
      <w:bookmarkStart w:id="355" w:name="_Toc469066168"/>
      <w:bookmarkStart w:id="356" w:name="_Toc516488204"/>
      <w:bookmarkStart w:id="357" w:name="_Toc132016638"/>
      <w:bookmarkStart w:id="358" w:name="_Toc132016755"/>
      <w:bookmarkStart w:id="359" w:name="_Toc416783599"/>
      <w:r>
        <w:rPr>
          <w:rFonts w:hint="eastAsia" w:ascii="Arial" w:hAnsi="Arial" w:eastAsia="仿宋" w:cs="Arial"/>
          <w:sz w:val="28"/>
          <w:szCs w:val="28"/>
          <w:highlight w:val="none"/>
          <w:lang w:bidi="ar"/>
        </w:rPr>
        <w:t>（一） 一般因素</w:t>
      </w:r>
    </w:p>
    <w:p w14:paraId="0834A1BE">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1.城市资源状况</w:t>
      </w:r>
    </w:p>
    <w:p w14:paraId="0FBE551A">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地理位置：北京，简称“京”，是中华人民共和国的首都，是全国的政治中心、文化中心，是世界著名古都和现代化国际城市。北京位于北纬39度56分、东经116度20分，地处华北大平原的北部，东面与天津市毗连，其余均与河北省相邻。</w:t>
      </w:r>
    </w:p>
    <w:p w14:paraId="3B3DAC78">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城市人口：截至2024年年末，北京市常住人口为2183.2万人，从年龄构成看，0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14岁常住人口261.2万人，占全市常住人口的比重为12.0%；15</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59岁常住人口1408.0万人，占64.5%；60岁及以上常住人口514.0万人，占23.5%。</w:t>
      </w:r>
    </w:p>
    <w:p w14:paraId="7260BFD8">
      <w:pPr>
        <w:widowControl/>
        <w:adjustRightInd/>
        <w:spacing w:line="300" w:lineRule="auto"/>
        <w:ind w:firstLine="1960" w:firstLineChars="7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2024年常住人口增量及增长速度</w:t>
      </w:r>
    </w:p>
    <w:p w14:paraId="20B21135">
      <w:pPr>
        <w:widowControl/>
        <w:adjustRightInd/>
        <w:spacing w:line="300" w:lineRule="auto"/>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drawing>
          <wp:inline distT="0" distB="0" distL="114300" distR="114300">
            <wp:extent cx="5905500" cy="2171700"/>
            <wp:effectExtent l="4445" t="4445" r="18415" b="18415"/>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BBB9619">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城市面积：北京市下辖16个区（即东城、西城、海淀、朝阳、丰台、顺义、昌平、通州、门头沟、石景山、房山、大兴、怀柔、平谷、密云、延庆），行政辖区总面积为16410平方公里。</w:t>
      </w:r>
    </w:p>
    <w:p w14:paraId="37359B50">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城市自然条件：北京气候属暖温带半湿润半干旱季风气候，夏季高温多雨，冬季寒冷干燥，春、秋短促。全年无霜期180～200天，西部山区较短。地势西北高、东南低。西部、北部和东北部三面环山，东南部是一片缓缓向渤海倾斜的平原。北京市天然河道自西向东贯穿五大水系：拒马河水系、永定河水系、北运河水系、潮白河水系和蓟运河水系。多由西北部山地发源，向东南蜿蜒流经平原地区，最后分别在海河汇入渤海（蓟运河除外）。北京市有水库85座，其中大型水库有密云水库、官厅水库、怀柔水库、海子水库。北京市地下水多年平均补给量约为29.21亿立方米，平均年可开采量约24~25亿立方米。一次性天然水资源年平均总量为55.21亿立方米。</w:t>
      </w:r>
    </w:p>
    <w:p w14:paraId="2B8AC56E">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土地利用状况：2021年11月5日，北京市发布第三次全国国土调查主要数据公报。数据显示，北京市现有耕地93547.9公顷（1403218.5亩）、园地126274.55公顷（1894118.25亩）、林地967628.62公顷（14514429.3亩）、草地14460.44公顷（216906.6亩）、湿地3107.98公顷（46619.7亩）、城镇村及工矿用地313643.87公顷（4704658.05亩）、交通运输用地49281.38公顷（739220.7亩）、水域及水利设施用地61704公顷（925560亩），其余为其他土地。三调数据显示，北京市以林、园、水、草、湿地和公园绿地为主的生态用地逐年增加，城乡建设用地明显减少，初步实现减量目标。</w:t>
      </w:r>
    </w:p>
    <w:p w14:paraId="746A8372">
      <w:pPr>
        <w:spacing w:line="360" w:lineRule="auto"/>
        <w:jc w:val="center"/>
        <w:outlineLvl w:val="0"/>
        <w:rPr>
          <w:rFonts w:ascii="Arial" w:hAnsi="Arial" w:eastAsia="仿宋" w:cs="Arial"/>
          <w:color w:val="000000"/>
          <w:sz w:val="28"/>
          <w:szCs w:val="28"/>
          <w:highlight w:val="none"/>
        </w:rPr>
      </w:pPr>
      <w:r>
        <w:rPr>
          <w:rFonts w:ascii="Arial" w:hAnsi="Arial" w:eastAsia="仿宋" w:cs="Arial"/>
          <w:sz w:val="28"/>
          <w:szCs w:val="28"/>
          <w:highlight w:val="none"/>
        </w:rPr>
        <w:drawing>
          <wp:inline distT="0" distB="0" distL="114300" distR="114300">
            <wp:extent cx="5888355" cy="3335655"/>
            <wp:effectExtent l="4445" t="4445" r="5080" b="12700"/>
            <wp:docPr id="2" name="图表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C72013A">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2.不动产制度与不动产市场状况</w:t>
      </w:r>
    </w:p>
    <w:p w14:paraId="1552B523">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 土地使用制度及土地管理政策：</w:t>
      </w:r>
    </w:p>
    <w:p w14:paraId="2C66A0D7">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我国当前实行土地招拍挂制度。土地招拍挂制度是国家土地资源出让、买卖的招标、拍卖、挂牌制度的简称，具体是指国家在土地出让或者买卖程序中的“招标”“拍卖”“挂牌”交易的政策或规定。2004年，国土资源部颁布第71令，《关于继续开展经营性土地使用权招标拍卖挂牌出让情况执法监察工作的通知》，规定2004年8月31号以后所有经营性用地出让全部实行招拍挂制度。该方式作为我国经营性用地出让的指定方式，对规范土地市场、提高政府的对城市土地的管理水平、促进房地产市场的有序发展等方面都有着重要意义。</w:t>
      </w:r>
    </w:p>
    <w:p w14:paraId="64633E81">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按照“十三五”时期的规划，北京市目前已基本建立全域国土空间开发保护新格局，提升绿色生态空间本底规模质量，深化耕地保护空间与政策保障，减量发展迈出实质性步伐。“十三五”确定的土地资源保护利用任务目标基本完成，土地资源治理体系逐步完善，保障和支撑了城市发展方式实现历史性变革。</w:t>
      </w:r>
    </w:p>
    <w:p w14:paraId="14D51DFA">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在国土空间规划中统筹划定落实永久基本农田、生态保护红线、城镇开发边界三条控制线（以下简称三条控制线），确定国土空间开发保护刚性管控边界。统筹全域全类型国土空间用途管制，划定覆盖全域的11类国土空间规划分区。</w:t>
      </w:r>
    </w:p>
    <w:p w14:paraId="4DCDE9A2">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（2）严守耕地规模底线，划定耕地保护空间。</w:t>
      </w:r>
    </w:p>
    <w:p w14:paraId="5ED66C01">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强化耕地保护，深化耕地保护空间与政策保障。完善耕地主动保护机制，出台《落实城市总体规划统筹推进耕地和永久基本农田保护工作实施方案（试行）》、《北京市耕地保护责任目标考核办法》、《北京市耕地保护补偿资金管理暂行办法》，签订《耕地保护目标管理暨永久基本农田保护责任书》，全面推行四级田长制，压实耕地保护主体责任。</w:t>
      </w:r>
    </w:p>
    <w:p w14:paraId="0440DCC7">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3）严控建设用地规模，城乡建设用地规模得到历史性控制。以疏解非首都功能为牛鼻子，深入实施疏解整治促提升专项行动，以大规模拆除腾退各类违法建设为主要抓手，以统筹集中建设区外的低效集体产业用地为重点，综合采取矿山修复、农村居民点整理等各类措施，建立多拆少建的挂钩实施机制。鼓励存量盘活，土地利用效益有所提升，为首都长远发展预留高质量发展空间。在建设用地年度供应计划中，存量建设用地供应占比由“十二五”时期的51%提升至“十三五”时期的55%以上.</w:t>
      </w:r>
    </w:p>
    <w:p w14:paraId="008FB189">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4）完善国土空间规划政策法规，出台一系列国土空间规划管控政策。修订《北京市城乡规划条例》《北京市历史文化名城保护条例》《北京市生态涵养区生态保护和绿色发展条例》等法规，出台《关于建立国土空间规划体系并监督实施的实施意见》《北京市生态控制线和城市开发边界管理办法》《北京市战略留白用地管理办法》《北京市“两图合一”规划编制技术指南》《北京市国土空间规划分区和用途管制规则》等一系列政策文件，初步建立首都“三级三类”国土空间规划体系，不断完善首都国土空间治理体系，着力提高国土空间治理能力现代化水平。</w:t>
      </w:r>
    </w:p>
    <w:p w14:paraId="443E58CB">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逐步建立自然资源管理制度。制定《北京市自然资源资产产权制度改革方案》，统筹推进自然资源统一调查监测评价，建立全市统一的国土空间基础信息平台，结合分区规划编制，形成全市国土空间规划“一张底图”。建立北京市国有自然资源报告工作制度，自然资源统一调查、监测、确权、配置、评价、监督的管理制度逐步建立。</w:t>
      </w:r>
    </w:p>
    <w:p w14:paraId="3E924063">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加强推进农村土地管理改革。制定《关于进一步加强农村集体土地管理加快建立健全“村地区管”机制的指导意见》，强化区级管规划、管用途、管合同、管程序、管监督、管查处的权责；在大兴区全面推进农村土地制度改革三项试点工作，集体经营性建设用地入市试点改革取得重大成果，征地制度改革向纵深推进，宅基地制度改革取得阶段性成果，探索形成了一批可复制、可推广的改革成果。</w:t>
      </w:r>
    </w:p>
    <w:p w14:paraId="2DF2D115">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建立北京市自然资源和国土空间规划督察制度。制定并落实《北京市自然资源和国土空间规划督察工作方案（试行）》，以《城市总体规划》为引领，发挥督察工作的推动作用，强化责任落实，提高土地资源保护利用水平，提升首都城市规划建设治理能力。</w:t>
      </w:r>
    </w:p>
    <w:p w14:paraId="1E7D136F">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2022年北京市人民政府关于印发《北京市“十四五”时期土地资源保护利用规划》的通知，要求全市继续统筹土地资源保护和利用工作，强化科学布局、整体保护、系统修复、高效利用、综合治理。</w:t>
      </w:r>
    </w:p>
    <w:p w14:paraId="777AD24B">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 xml:space="preserve"> 住房制度与不动产管理政策：</w:t>
      </w:r>
    </w:p>
    <w:p w14:paraId="6E635D94">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根据2022年发布的《北京市“十四五”时期住房保障规划》（以下简称“《保障规划》”），北京市目前执行多主体供给、多渠道保障、租购并举的住房制度。《保障规划》要求，按照“以政府为主提供基本保障，以市场为主满足多层次需求”的总方向，进一步完善以公租房、保障性租赁住房、共有产权住房和安置房为主体的首都住房保障体系。</w:t>
      </w:r>
    </w:p>
    <w:p w14:paraId="45B340C2">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2024年2月21日，住房城乡建设部发布《关于做好住房发展规划和年度计划编制工作的通知》。该文件指出，住房发展规划和年度计划是建立“人、房、地、钱”要素联动机制的重要抓手。各地要充分认识做好住房发展规划和年度计划的编制实施工作的重要性，科学编制规划，认真组织实施，根据人口变化确定住房需求，根据住房需求科学安排土地供应、引导配置金融资源，实现以人定房、以房定地、以房定钱，促进房地产市场供需平衡、结构合理，防止市场大起大落。</w:t>
      </w:r>
    </w:p>
    <w:p w14:paraId="0F019A51">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2026年1月4日，北京市规划和自然资源委员会发布《关于继续施行〈北京市建设用地功能混合使用指导意见〉的通知》，并同步印发《北京市建设用地功能混合使用流程指引》及《北京市建设用地功能混合使用案例指引》。《指导意见》作为《北京市城市更新条例》的配套政策，旨在通过规划引领和项目支持，推动产业转型升级，补齐配套短板，助力城市更新，为高质量发展提供空间资源保障。《指导意见》采用正负面清单管理兼容功能，明确各类用地的兼容内容和比例限制，如商业服务业用地可兼容公共服务等，但不能兼容工业等，强调兼容用途不能反超主用途，也不能对相邻地块造成负面影响。</w:t>
      </w:r>
    </w:p>
    <w:p w14:paraId="71A46BB2">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空间布局方面，持续强化“一核一主一副、两轴多点一区”圈层协同的城市空间结构。中心城区（含核心区）土地供应规模约占全市总量的20%，重点推进中央政务功能保障、服务功能与环境品质提升；平原新城地区（含城市副中心）占比约60%，持续提高综合承载力，推动京津冀协同发展与产城融合；生态涵养区占比约20%，统筹好高水平保护与高质量发展。土地供应将向重点区域倾斜，促进土地资源配置效率最优化和效益最大化。用地结构上，住宅用地安排750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790公顷，其中商品住宅用地200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240公顷，保障性住房350公顷（含中央军队用地80公顷）；产业用地安排480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540公顷，包括研发用地80公顷、工业用地230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250公顷、仓储用地50公顷、商服用地50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70公顷、乡村产业用地70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90公顷；此外，公共管理与服务用地650公顷、交通运输用地950</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1350公顷等也将同步推进，全面优化城市功能布局。供应导向上，计划突出“减量提质、激活存量”，推动城乡建设用地净减量500公顷，存量建设用地供应占比达到约65%。同时，强化对高精尖产业的空间保障，85%以上产业用地将向“三城一区”、自贸试验区等重点区域集聚。在住房领域，持续优化商品住宅供给，推动站城融合与职住平衡，多渠道加大保障性租赁住房供应，稳步推进城中村和危旧房改造。此外，还将系统提升公共服务与基础设施水平，推动花园城市建设，增强城市安全韧性。为确保计划顺利实施，北京市将强化市区两级主体责任，推动集约高效用地，推进功能混合与立体开发，鼓励弹性年期、先租后让等供地方式，并建立动态调控机制，根据市场需要适时优化项目清单，全面提升土地资源配置效益。</w:t>
      </w:r>
    </w:p>
    <w:p w14:paraId="31FC3E98">
      <w:pPr>
        <w:spacing w:line="360" w:lineRule="auto"/>
        <w:ind w:right="205"/>
        <w:jc w:val="both"/>
        <w:rPr>
          <w:rFonts w:ascii="Arial" w:hAnsi="Arial" w:eastAsia="仿宋" w:cs="Arial"/>
          <w:b/>
          <w:bCs/>
          <w:color w:val="000000"/>
          <w:sz w:val="28"/>
          <w:szCs w:val="28"/>
          <w:highlight w:val="none"/>
        </w:rPr>
      </w:pPr>
      <w:r>
        <w:rPr>
          <w:rFonts w:ascii="Cambria Math" w:hAnsi="Cambria Math" w:eastAsia="仿宋" w:cs="Cambria Math"/>
          <w:b/>
          <w:bCs/>
          <w:color w:val="000000"/>
          <w:sz w:val="28"/>
          <w:szCs w:val="28"/>
          <w:highlight w:val="none"/>
        </w:rPr>
        <w:t>◆</w:t>
      </w:r>
      <w:r>
        <w:rPr>
          <w:rFonts w:ascii="Arial" w:hAnsi="Arial" w:eastAsia="仿宋" w:cs="Arial"/>
          <w:b/>
          <w:bCs/>
          <w:color w:val="000000"/>
          <w:sz w:val="28"/>
          <w:szCs w:val="28"/>
          <w:highlight w:val="none"/>
        </w:rPr>
        <w:t xml:space="preserve">  不动产市场状况</w:t>
      </w:r>
    </w:p>
    <w:p w14:paraId="506502C4">
      <w:pPr>
        <w:widowControl/>
        <w:adjustRightInd/>
        <w:spacing w:line="300" w:lineRule="auto"/>
        <w:ind w:firstLine="560" w:firstLineChars="200"/>
        <w:rPr>
          <w:rFonts w:hint="eastAsia" w:ascii="Arial" w:hAnsi="Arial" w:eastAsia="仿宋" w:cs="Arial"/>
          <w:sz w:val="28"/>
          <w:szCs w:val="28"/>
          <w:highlight w:val="none"/>
          <w:lang w:bidi="ar"/>
        </w:rPr>
      </w:pPr>
      <w:r>
        <w:rPr>
          <w:rFonts w:ascii="Arial" w:hAnsi="Arial" w:eastAsia="仿宋" w:cs="Arial"/>
          <w:bCs/>
          <w:color w:val="000000"/>
          <w:sz w:val="28"/>
          <w:szCs w:val="28"/>
          <w:highlight w:val="none"/>
        </w:rPr>
        <w:t>（</w:t>
      </w:r>
      <w:r>
        <w:rPr>
          <w:rFonts w:hint="eastAsia" w:ascii="Arial" w:hAnsi="Arial" w:eastAsia="仿宋" w:cs="Arial"/>
          <w:sz w:val="28"/>
          <w:szCs w:val="28"/>
          <w:highlight w:val="none"/>
          <w:lang w:bidi="ar"/>
        </w:rPr>
        <w:t>1）土地市场</w:t>
      </w:r>
    </w:p>
    <w:p w14:paraId="265077DB">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1）土地供求分析</w:t>
      </w:r>
    </w:p>
    <w:p w14:paraId="1ADA26D2">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商品住宅用地供应减量提质，核心区优质地块供应力度明显加大，共推出36宗住宅用地，累计供应规划建面306.95万平方米，同比下降37.6%。2025年北京商品住宅用地共成交40宗，成交规划建面359.07万平方米，同比下降23.7%。土地成交价款合计1427.42亿元，同比下降8.2%。成交的40宗住宅用地中，50%地块位于主城六区，其中海淀区共出让7宗住宅用地，累计成交金额超448亿元。</w:t>
      </w:r>
    </w:p>
    <w:p w14:paraId="58FE78C0">
      <w:pPr>
        <w:spacing w:line="360" w:lineRule="auto"/>
        <w:jc w:val="center"/>
        <w:outlineLvl w:val="0"/>
        <w:rPr>
          <w:rFonts w:ascii="Arial" w:hAnsi="Arial" w:eastAsia="仿宋" w:cs="Arial"/>
          <w:color w:val="000000"/>
          <w:kern w:val="2"/>
          <w:sz w:val="28"/>
          <w:szCs w:val="28"/>
          <w:highlight w:val="none"/>
        </w:rPr>
      </w:pPr>
      <w:r>
        <w:rPr>
          <w:highlight w:val="none"/>
        </w:rPr>
        <w:drawing>
          <wp:inline distT="0" distB="0" distL="114300" distR="114300">
            <wp:extent cx="5182235" cy="2476500"/>
            <wp:effectExtent l="4445" t="4445" r="10160" b="18415"/>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D893A9F">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2）土地成交情况</w:t>
      </w:r>
    </w:p>
    <w:p w14:paraId="58AF4416">
      <w:pPr>
        <w:widowControl/>
        <w:adjustRightInd/>
        <w:spacing w:line="300" w:lineRule="auto"/>
        <w:ind w:firstLine="560" w:firstLineChars="200"/>
        <w:rPr>
          <w:rFonts w:ascii="Arial" w:hAnsi="Arial" w:eastAsia="仿宋" w:cs="Arial"/>
          <w:bCs/>
          <w:color w:val="000000"/>
          <w:sz w:val="28"/>
          <w:szCs w:val="28"/>
          <w:highlight w:val="none"/>
        </w:rPr>
      </w:pPr>
      <w:r>
        <w:rPr>
          <w:rFonts w:hint="eastAsia" w:ascii="Arial" w:hAnsi="Arial" w:eastAsia="仿宋" w:cs="Arial"/>
          <w:sz w:val="28"/>
          <w:szCs w:val="28"/>
          <w:highlight w:val="none"/>
          <w:lang w:bidi="ar"/>
        </w:rPr>
        <w:t>2025年，北京市商品住宅用地主城六区成交20宗宅地，累计成交规划建面183.78万平方米，占比51%，较上年同期上升4个百分点；其中海淀、朝阳成交规模均超59万平方米，占比分别为19%和17%。近郊区住宅用地成交规模占比降至5成以下，累计成交169.50万平方米，占比下降3个百分点至47%，其中昌平、通州为主要供地区域，成交规模均超40万平方米，成交占比分别为14%、12%。远郊区供应力度进一步减弱，累计成交5.78</w:t>
      </w:r>
      <w:r>
        <w:rPr>
          <w:rFonts w:hint="eastAsia" w:ascii="Arial" w:hAnsi="Arial" w:eastAsia="仿宋" w:cs="Arial"/>
          <w:bCs/>
          <w:color w:val="000000"/>
          <w:sz w:val="28"/>
          <w:szCs w:val="28"/>
          <w:highlight w:val="none"/>
        </w:rPr>
        <w:t>万平方米，占比下降2个百分点至2%，延庆、怀柔各成交1宗宅地</w:t>
      </w:r>
      <w:r>
        <w:rPr>
          <w:rFonts w:ascii="Arial" w:hAnsi="Arial" w:eastAsia="仿宋" w:cs="Arial"/>
          <w:bCs/>
          <w:color w:val="000000"/>
          <w:sz w:val="28"/>
          <w:szCs w:val="28"/>
          <w:highlight w:val="none"/>
        </w:rPr>
        <w:t>。</w:t>
      </w:r>
    </w:p>
    <w:p w14:paraId="05BECBE0">
      <w:pPr>
        <w:widowControl/>
        <w:spacing w:line="360" w:lineRule="auto"/>
        <w:jc w:val="center"/>
        <w:rPr>
          <w:rFonts w:ascii="Arial" w:hAnsi="Arial" w:eastAsia="仿宋" w:cs="Arial"/>
          <w:bCs/>
          <w:color w:val="000000"/>
          <w:sz w:val="28"/>
          <w:szCs w:val="28"/>
          <w:highlight w:val="none"/>
        </w:rPr>
      </w:pPr>
      <w:r>
        <w:rPr>
          <w:highlight w:val="none"/>
        </w:rPr>
        <w:drawing>
          <wp:inline distT="0" distB="0" distL="114300" distR="114300">
            <wp:extent cx="5903595" cy="2995295"/>
            <wp:effectExtent l="0" t="0" r="9525" b="698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42"/>
                    <a:stretch>
                      <a:fillRect/>
                    </a:stretch>
                  </pic:blipFill>
                  <pic:spPr>
                    <a:xfrm>
                      <a:off x="0" y="0"/>
                      <a:ext cx="5903595" cy="2995295"/>
                    </a:xfrm>
                    <a:prstGeom prst="rect">
                      <a:avLst/>
                    </a:prstGeom>
                    <a:noFill/>
                    <a:ln>
                      <a:noFill/>
                    </a:ln>
                  </pic:spPr>
                </pic:pic>
              </a:graphicData>
            </a:graphic>
          </wp:inline>
        </w:drawing>
      </w:r>
    </w:p>
    <w:p w14:paraId="2D00BE5B">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从不同区域来看，各区域住宅用地成交规模同比均下降，主城六区成交规模同比下降16%，其中海淀、石景山、东城同比增长；近郊区成交规模同比下降28%，其中通州同比增长，其他区均同比下降；远郊区同比下降66%。</w:t>
      </w:r>
    </w:p>
    <w:p w14:paraId="0EA04489">
      <w:pPr>
        <w:spacing w:line="360" w:lineRule="auto"/>
        <w:jc w:val="center"/>
        <w:rPr>
          <w:rFonts w:hint="eastAsia" w:ascii="Arial" w:hAnsi="Arial" w:eastAsia="仿宋" w:cs="Arial"/>
          <w:bCs/>
          <w:color w:val="000000"/>
          <w:sz w:val="28"/>
          <w:szCs w:val="28"/>
          <w:highlight w:val="none"/>
        </w:rPr>
      </w:pPr>
      <w:r>
        <w:rPr>
          <w:rFonts w:hint="eastAsia" w:ascii="Arial" w:hAnsi="Arial" w:eastAsia="仿宋" w:cs="Arial"/>
          <w:bCs/>
          <w:color w:val="000000"/>
          <w:sz w:val="28"/>
          <w:szCs w:val="28"/>
          <w:highlight w:val="none"/>
        </w:rPr>
        <w:drawing>
          <wp:inline distT="0" distB="0" distL="114300" distR="114300">
            <wp:extent cx="3677285" cy="2943860"/>
            <wp:effectExtent l="0" t="0" r="10795" b="12700"/>
            <wp:docPr id="5" name="图片 11" descr="ScreenShot_2026-01-23_113715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ScreenShot_2026-01-23_113715_225"/>
                    <pic:cNvPicPr>
                      <a:picLocks noChangeAspect="1"/>
                    </pic:cNvPicPr>
                  </pic:nvPicPr>
                  <pic:blipFill>
                    <a:blip r:embed="rId43"/>
                    <a:stretch>
                      <a:fillRect/>
                    </a:stretch>
                  </pic:blipFill>
                  <pic:spPr>
                    <a:xfrm>
                      <a:off x="0" y="0"/>
                      <a:ext cx="3677285" cy="2943860"/>
                    </a:xfrm>
                    <a:prstGeom prst="rect">
                      <a:avLst/>
                    </a:prstGeom>
                    <a:noFill/>
                    <a:ln>
                      <a:noFill/>
                    </a:ln>
                  </pic:spPr>
                </pic:pic>
              </a:graphicData>
            </a:graphic>
          </wp:inline>
        </w:drawing>
      </w:r>
    </w:p>
    <w:p w14:paraId="76FA8602">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3）土地成交价格</w:t>
      </w:r>
    </w:p>
    <w:p w14:paraId="48436E6F">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在主城六区优质地块成交带动下，北京宅地整体成交楼面均价39754元/平方米，同比增长20.3%。取消地价上限，叠加核心区优质地块竞争激烈，2025年宅地成交溢价率溢升至6.6%，同比提升3.5个百分点。市场分化明显，成交的40宗地块中，9宗地块溢价率超10%，主要集中在海淀、朝阳、通州三区；其中朝阳太阳宫地块以39.18%溢价率居首，该地块经过超330轮现场举牌竞价成交，最终以9.42万元/平方米的楼面地价刷新朝阳纪录；海淀树村地块经过274轮竞拍成交，成交楼面地价达10.23万元/平方米，成为北京首个楼面地价破10万元的住宅地块。而26宗地块均以底价成交，占比升至65%。</w:t>
      </w:r>
    </w:p>
    <w:p w14:paraId="42C5A2D7">
      <w:pPr>
        <w:widowControl/>
        <w:spacing w:line="360" w:lineRule="auto"/>
        <w:ind w:firstLine="480" w:firstLineChars="200"/>
        <w:jc w:val="both"/>
        <w:rPr>
          <w:highlight w:val="none"/>
        </w:rPr>
      </w:pPr>
    </w:p>
    <w:p w14:paraId="4BD079DB">
      <w:pPr>
        <w:widowControl/>
        <w:spacing w:line="360" w:lineRule="auto"/>
        <w:jc w:val="center"/>
        <w:rPr>
          <w:highlight w:val="none"/>
        </w:rPr>
      </w:pPr>
      <w:r>
        <w:rPr>
          <w:highlight w:val="none"/>
        </w:rPr>
        <w:drawing>
          <wp:inline distT="0" distB="0" distL="114300" distR="114300">
            <wp:extent cx="4514215" cy="2228850"/>
            <wp:effectExtent l="0" t="0" r="12065" b="11430"/>
            <wp:docPr id="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pic:cNvPicPr>
                      <a:picLocks noChangeAspect="1"/>
                    </pic:cNvPicPr>
                  </pic:nvPicPr>
                  <pic:blipFill>
                    <a:blip r:embed="rId44"/>
                    <a:stretch>
                      <a:fillRect/>
                    </a:stretch>
                  </pic:blipFill>
                  <pic:spPr>
                    <a:xfrm>
                      <a:off x="0" y="0"/>
                      <a:ext cx="4514215" cy="2228850"/>
                    </a:xfrm>
                    <a:prstGeom prst="rect">
                      <a:avLst/>
                    </a:prstGeom>
                    <a:noFill/>
                    <a:ln>
                      <a:noFill/>
                    </a:ln>
                  </pic:spPr>
                </pic:pic>
              </a:graphicData>
            </a:graphic>
          </wp:inline>
        </w:drawing>
      </w:r>
    </w:p>
    <w:p w14:paraId="4AE09DAD">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分区域来看，主城六区成交楼面地价均价相对较高，东城区成交楼面地价均价超8万元/平方米，海淀区成交楼面地价均价超6万元/平方米；近郊区成交楼面地价多介于2</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3万/平方米之间，其中通州区、顺义区地价相对较高，超2.8万/平方米，房山区成交楼面地价较低，为15336元/平方米。从同比变化来看，丰台区、石景山区、房山区成交楼面地价同比下跌，其他区域成交楼面地价同比上涨，其中海淀区、朝阳区成交楼面地价均同比上涨28%。</w:t>
      </w:r>
    </w:p>
    <w:p w14:paraId="5F597A41">
      <w:pPr>
        <w:widowControl/>
        <w:adjustRightInd/>
        <w:spacing w:line="300" w:lineRule="auto"/>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drawing>
          <wp:inline distT="0" distB="0" distL="114300" distR="114300">
            <wp:extent cx="5276215" cy="2885440"/>
            <wp:effectExtent l="0" t="0" r="12065" b="10160"/>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pic:cNvPicPr>
                      <a:picLocks noChangeAspect="1"/>
                    </pic:cNvPicPr>
                  </pic:nvPicPr>
                  <pic:blipFill>
                    <a:blip r:embed="rId45"/>
                    <a:stretch>
                      <a:fillRect/>
                    </a:stretch>
                  </pic:blipFill>
                  <pic:spPr>
                    <a:xfrm>
                      <a:off x="0" y="0"/>
                      <a:ext cx="5276215" cy="2885440"/>
                    </a:xfrm>
                    <a:prstGeom prst="rect">
                      <a:avLst/>
                    </a:prstGeom>
                    <a:noFill/>
                    <a:ln>
                      <a:noFill/>
                    </a:ln>
                  </pic:spPr>
                </pic:pic>
              </a:graphicData>
            </a:graphic>
          </wp:inline>
        </w:drawing>
      </w:r>
    </w:p>
    <w:p w14:paraId="0F967171">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溢价率方面，海淀区、朝阳区土地质素高，整体溢价率较高；通州区热点地块竞争较为激烈，但地块延续分化；东城区祈年大街地块溢价率4%，其他区域地块均底价成交。</w:t>
      </w:r>
    </w:p>
    <w:p w14:paraId="3EB1D5DB">
      <w:pPr>
        <w:spacing w:line="360" w:lineRule="auto"/>
        <w:jc w:val="center"/>
        <w:outlineLvl w:val="0"/>
        <w:rPr>
          <w:rFonts w:hint="eastAsia" w:ascii="Arial" w:hAnsi="Arial" w:eastAsia="仿宋" w:cs="Arial"/>
          <w:color w:val="000000"/>
          <w:kern w:val="2"/>
          <w:sz w:val="28"/>
          <w:szCs w:val="28"/>
          <w:highlight w:val="none"/>
        </w:rPr>
      </w:pPr>
      <w:r>
        <w:rPr>
          <w:highlight w:val="none"/>
        </w:rPr>
        <w:drawing>
          <wp:inline distT="0" distB="0" distL="114300" distR="114300">
            <wp:extent cx="4666615" cy="2599690"/>
            <wp:effectExtent l="0" t="0" r="12065" b="6350"/>
            <wp:docPr id="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pic:cNvPicPr>
                      <a:picLocks noChangeAspect="1"/>
                    </pic:cNvPicPr>
                  </pic:nvPicPr>
                  <pic:blipFill>
                    <a:blip r:embed="rId46"/>
                    <a:stretch>
                      <a:fillRect/>
                    </a:stretch>
                  </pic:blipFill>
                  <pic:spPr>
                    <a:xfrm>
                      <a:off x="0" y="0"/>
                      <a:ext cx="4666615" cy="2599690"/>
                    </a:xfrm>
                    <a:prstGeom prst="rect">
                      <a:avLst/>
                    </a:prstGeom>
                    <a:noFill/>
                    <a:ln>
                      <a:noFill/>
                    </a:ln>
                  </pic:spPr>
                </pic:pic>
              </a:graphicData>
            </a:graphic>
          </wp:inline>
        </w:drawing>
      </w:r>
    </w:p>
    <w:p w14:paraId="6756FA15">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4）供应计划</w:t>
      </w:r>
    </w:p>
    <w:p w14:paraId="082BD549">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2026年1月20日，北京市规划和自然资源委员会和北京市发展和改革委员会联合发布《北京市2026年度建设用地供应计划》，明确全年建设用地供应总量为3040至3540公顷，与往年保持基本稳定。计划坚持“稳中求进、内涵式发展”总体思路，统筹增量与存量用地，强化市场在资源配置中的决定性作用，紧密衔接“十五五”规划与年度经济社会发展任务，着力提升土地要素配置效率，支撑首都高质量发展。</w:t>
      </w:r>
    </w:p>
    <w:p w14:paraId="5C2C0645">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（2）新建商品房住宅市场</w:t>
      </w:r>
    </w:p>
    <w:p w14:paraId="124E3D7B">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1）新建商品住宅供给状况</w:t>
      </w:r>
    </w:p>
    <w:p w14:paraId="0982AA89">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近几年，北京商品住宅用地供应规模减少，导致新房供应持续下滑。2025年北京新房供应止跌回升，但整体供应规模仍处于近年低位水平。</w:t>
      </w:r>
    </w:p>
    <w:p w14:paraId="215F4AAA">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根据中指研究院数据，2025年二季度以来新房取证未售库存规模持续处于中高水平，12月末库存规模约为966万平方米，较年初增长10.8%。出清周期方面， 2022年以来库存出清周期基本持续处于风险线以上；2025年北京新房库存规模增加，叠加去化速度放缓，2025年12月出清周期升至26.5个月，整体去化风险较为突出。</w:t>
      </w:r>
    </w:p>
    <w:p w14:paraId="19288A94">
      <w:pPr>
        <w:widowControl/>
        <w:spacing w:line="360" w:lineRule="auto"/>
        <w:jc w:val="center"/>
        <w:rPr>
          <w:highlight w:val="none"/>
        </w:rPr>
      </w:pPr>
      <w:r>
        <w:rPr>
          <w:highlight w:val="none"/>
        </w:rPr>
        <w:drawing>
          <wp:inline distT="0" distB="0" distL="114300" distR="114300">
            <wp:extent cx="5905500" cy="2139315"/>
            <wp:effectExtent l="0" t="0" r="7620" b="9525"/>
            <wp:docPr id="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pic:cNvPicPr>
                      <a:picLocks noChangeAspect="1"/>
                    </pic:cNvPicPr>
                  </pic:nvPicPr>
                  <pic:blipFill>
                    <a:blip r:embed="rId47"/>
                    <a:stretch>
                      <a:fillRect/>
                    </a:stretch>
                  </pic:blipFill>
                  <pic:spPr>
                    <a:xfrm>
                      <a:off x="0" y="0"/>
                      <a:ext cx="5905500" cy="2139315"/>
                    </a:xfrm>
                    <a:prstGeom prst="rect">
                      <a:avLst/>
                    </a:prstGeom>
                    <a:noFill/>
                    <a:ln>
                      <a:noFill/>
                    </a:ln>
                  </pic:spPr>
                </pic:pic>
              </a:graphicData>
            </a:graphic>
          </wp:inline>
        </w:drawing>
      </w:r>
    </w:p>
    <w:p w14:paraId="64420503">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分区域来看，</w:t>
      </w:r>
      <w:r>
        <w:rPr>
          <w:rFonts w:ascii="Arial" w:hAnsi="Arial" w:eastAsia="仿宋" w:cs="Arial"/>
          <w:sz w:val="28"/>
          <w:szCs w:val="28"/>
          <w:highlight w:val="none"/>
          <w:lang w:bidi="ar"/>
        </w:rPr>
        <w:t>截止到2025年12月末，中心城区</w:t>
      </w:r>
      <w:r>
        <w:rPr>
          <w:rFonts w:hint="eastAsia" w:ascii="Arial" w:hAnsi="Arial" w:eastAsia="仿宋" w:cs="Arial"/>
          <w:sz w:val="28"/>
          <w:szCs w:val="28"/>
          <w:highlight w:val="none"/>
          <w:lang w:bidi="ar"/>
        </w:rPr>
        <w:t>（含核心区）</w:t>
      </w:r>
      <w:r>
        <w:rPr>
          <w:rFonts w:ascii="Arial" w:hAnsi="Arial" w:eastAsia="仿宋" w:cs="Arial"/>
          <w:sz w:val="28"/>
          <w:szCs w:val="28"/>
          <w:highlight w:val="none"/>
          <w:lang w:bidi="ar"/>
        </w:rPr>
        <w:t>库存规模</w:t>
      </w:r>
      <w:r>
        <w:rPr>
          <w:rFonts w:hint="eastAsia" w:ascii="Arial" w:hAnsi="Arial" w:eastAsia="仿宋" w:cs="Arial"/>
          <w:sz w:val="28"/>
          <w:szCs w:val="28"/>
          <w:highlight w:val="none"/>
          <w:lang w:bidi="ar"/>
        </w:rPr>
        <w:t>约</w:t>
      </w:r>
      <w:r>
        <w:rPr>
          <w:rFonts w:ascii="Arial" w:hAnsi="Arial" w:eastAsia="仿宋" w:cs="Arial"/>
          <w:sz w:val="28"/>
          <w:szCs w:val="28"/>
          <w:highlight w:val="none"/>
          <w:lang w:bidi="ar"/>
        </w:rPr>
        <w:t>348万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，其中丰台区、朝阳区库存规模均超11万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；近郊区库存规模合计约479 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，其中通州、昌平、大兴库存规模均超100万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；远郊区库存规模合计约102万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，主要集中在怀柔区、密云区。海淀、延庆短期库存去化风险较低；丰台、昌平、大兴、怀柔、密云、平谷等区域库存去化风险突出。</w:t>
      </w:r>
    </w:p>
    <w:p w14:paraId="3C660807">
      <w:pPr>
        <w:widowControl/>
        <w:spacing w:line="360" w:lineRule="auto"/>
        <w:jc w:val="center"/>
        <w:rPr>
          <w:rFonts w:hint="eastAsia" w:ascii="Arial" w:hAnsi="Arial" w:eastAsia="仿宋" w:cs="Arial"/>
          <w:bCs/>
          <w:color w:val="000000"/>
          <w:sz w:val="28"/>
          <w:szCs w:val="28"/>
          <w:highlight w:val="none"/>
        </w:rPr>
      </w:pPr>
      <w:r>
        <w:rPr>
          <w:highlight w:val="none"/>
        </w:rPr>
        <w:drawing>
          <wp:inline distT="0" distB="0" distL="114300" distR="114300">
            <wp:extent cx="5906770" cy="2166620"/>
            <wp:effectExtent l="0" t="0" r="6350" b="12700"/>
            <wp:docPr id="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pic:cNvPicPr>
                      <a:picLocks noChangeAspect="1"/>
                    </pic:cNvPicPr>
                  </pic:nvPicPr>
                  <pic:blipFill>
                    <a:blip r:embed="rId48"/>
                    <a:stretch>
                      <a:fillRect/>
                    </a:stretch>
                  </pic:blipFill>
                  <pic:spPr>
                    <a:xfrm>
                      <a:off x="0" y="0"/>
                      <a:ext cx="5906770" cy="2166620"/>
                    </a:xfrm>
                    <a:prstGeom prst="rect">
                      <a:avLst/>
                    </a:prstGeom>
                    <a:noFill/>
                    <a:ln>
                      <a:noFill/>
                    </a:ln>
                  </pic:spPr>
                </pic:pic>
              </a:graphicData>
            </a:graphic>
          </wp:inline>
        </w:drawing>
      </w:r>
    </w:p>
    <w:p w14:paraId="19070DA6">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w:t>
      </w:r>
      <w:r>
        <w:rPr>
          <w:rFonts w:hint="eastAsia" w:ascii="Arial" w:hAnsi="Arial" w:eastAsia="仿宋" w:cs="Arial"/>
          <w:sz w:val="28"/>
          <w:szCs w:val="28"/>
          <w:highlight w:val="none"/>
          <w:lang w:bidi="ar"/>
        </w:rPr>
        <w:t>新建</w:t>
      </w:r>
      <w:r>
        <w:rPr>
          <w:rFonts w:ascii="Arial" w:hAnsi="Arial" w:eastAsia="仿宋" w:cs="Arial"/>
          <w:sz w:val="28"/>
          <w:szCs w:val="28"/>
          <w:highlight w:val="none"/>
          <w:lang w:bidi="ar"/>
        </w:rPr>
        <w:t>商品住宅成交情况</w:t>
      </w:r>
    </w:p>
    <w:p w14:paraId="031E9C0E">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A.成交量</w:t>
      </w:r>
    </w:p>
    <w:p w14:paraId="42C29CCB">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新</w:t>
      </w:r>
      <w:r>
        <w:rPr>
          <w:rFonts w:hint="eastAsia" w:ascii="Arial" w:hAnsi="Arial" w:eastAsia="仿宋" w:cs="Arial"/>
          <w:sz w:val="28"/>
          <w:szCs w:val="28"/>
          <w:highlight w:val="none"/>
          <w:lang w:bidi="ar"/>
        </w:rPr>
        <w:t>建</w:t>
      </w:r>
      <w:r>
        <w:rPr>
          <w:rFonts w:ascii="Arial" w:hAnsi="Arial" w:eastAsia="仿宋" w:cs="Arial"/>
          <w:sz w:val="28"/>
          <w:szCs w:val="28"/>
          <w:highlight w:val="none"/>
          <w:lang w:bidi="ar"/>
        </w:rPr>
        <w:t>商品住宅市场成交疲软，仍处于寻底阶段。2025年北京新建商品住宅累计成交面积502.44万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，同比下降15.1%，较2021年高位下降49.4%，较近三年均值下降18.3%。</w:t>
      </w:r>
      <w:r>
        <w:rPr>
          <w:rFonts w:hint="eastAsia" w:ascii="Arial" w:hAnsi="Arial" w:eastAsia="仿宋" w:cs="Arial"/>
          <w:sz w:val="28"/>
          <w:szCs w:val="28"/>
          <w:highlight w:val="none"/>
          <w:lang w:bidi="ar"/>
        </w:rPr>
        <w:t>按</w:t>
      </w:r>
      <w:r>
        <w:rPr>
          <w:rFonts w:ascii="Arial" w:hAnsi="Arial" w:eastAsia="仿宋" w:cs="Arial"/>
          <w:sz w:val="28"/>
          <w:szCs w:val="28"/>
          <w:highlight w:val="none"/>
          <w:lang w:bidi="ar"/>
        </w:rPr>
        <w:t>月度</w:t>
      </w:r>
      <w:r>
        <w:rPr>
          <w:rFonts w:hint="eastAsia" w:ascii="Arial" w:hAnsi="Arial" w:eastAsia="仿宋" w:cs="Arial"/>
          <w:sz w:val="28"/>
          <w:szCs w:val="28"/>
          <w:highlight w:val="none"/>
          <w:lang w:bidi="ar"/>
        </w:rPr>
        <w:t>看，</w:t>
      </w:r>
      <w:r>
        <w:rPr>
          <w:rFonts w:ascii="Arial" w:hAnsi="Arial" w:eastAsia="仿宋" w:cs="Arial"/>
          <w:sz w:val="28"/>
          <w:szCs w:val="28"/>
          <w:highlight w:val="none"/>
          <w:lang w:bidi="ar"/>
        </w:rPr>
        <w:t>整体呈波浪式下滑趋势</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4</w:t>
      </w:r>
      <w:r>
        <w:rPr>
          <w:rFonts w:hint="eastAsia" w:ascii="Arial" w:hAnsi="Arial" w:eastAsia="仿宋" w:cs="Arial"/>
          <w:sz w:val="28"/>
          <w:szCs w:val="28"/>
          <w:highlight w:val="none"/>
          <w:lang w:bidi="ar"/>
        </w:rPr>
        <w:t>月25日</w:t>
      </w:r>
      <w:r>
        <w:rPr>
          <w:rFonts w:ascii="Arial" w:hAnsi="Arial" w:eastAsia="仿宋" w:cs="Arial"/>
          <w:sz w:val="28"/>
          <w:szCs w:val="28"/>
          <w:highlight w:val="none"/>
          <w:lang w:bidi="ar"/>
        </w:rPr>
        <w:t>政治局会议定调之后，金融部门积极跟进落实各项举措</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5月7日国常会发布降准降息等一揽子金融政策</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6月北京成交明显回升。7月，受季节性因素影响，成交环比明显下滑。8月，北京五环外解除限购同时优化公积金贷款政策，成交量环比略有增长，但新政边际效果有限</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9月， 随着“金九银十”行业旺季，成交环比上行</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10月，受国庆假期的影响，成交小幅下滑</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11月，市场观望情绪浓厚，成交环比下滑</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12月，房企年终业绩冲刺、 叠加放宽非京籍及多孩家庭购房限制等利好因素影响，市场成交回升。</w:t>
      </w:r>
    </w:p>
    <w:p w14:paraId="5DA38445">
      <w:pPr>
        <w:widowControl/>
        <w:spacing w:line="360" w:lineRule="auto"/>
        <w:jc w:val="center"/>
        <w:rPr>
          <w:rFonts w:hint="eastAsia" w:ascii="Arial" w:hAnsi="Arial" w:eastAsia="仿宋" w:cs="Arial"/>
          <w:bCs/>
          <w:color w:val="000000"/>
          <w:sz w:val="28"/>
          <w:szCs w:val="28"/>
          <w:highlight w:val="none"/>
        </w:rPr>
      </w:pPr>
      <w:r>
        <w:rPr>
          <w:highlight w:val="none"/>
        </w:rPr>
        <w:drawing>
          <wp:inline distT="0" distB="0" distL="114300" distR="114300">
            <wp:extent cx="5909310" cy="1527175"/>
            <wp:effectExtent l="0" t="0" r="3810" b="12065"/>
            <wp:docPr id="1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pic:cNvPicPr>
                      <a:picLocks noChangeAspect="1"/>
                    </pic:cNvPicPr>
                  </pic:nvPicPr>
                  <pic:blipFill>
                    <a:blip r:embed="rId49"/>
                    <a:stretch>
                      <a:fillRect/>
                    </a:stretch>
                  </pic:blipFill>
                  <pic:spPr>
                    <a:xfrm>
                      <a:off x="0" y="0"/>
                      <a:ext cx="5909310" cy="1527175"/>
                    </a:xfrm>
                    <a:prstGeom prst="rect">
                      <a:avLst/>
                    </a:prstGeom>
                    <a:noFill/>
                    <a:ln>
                      <a:noFill/>
                    </a:ln>
                  </pic:spPr>
                </pic:pic>
              </a:graphicData>
            </a:graphic>
          </wp:inline>
        </w:drawing>
      </w:r>
    </w:p>
    <w:p w14:paraId="2ADB0F6C">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B.成交价格</w:t>
      </w:r>
    </w:p>
    <w:p w14:paraId="6222FB45">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a.成交价格</w:t>
      </w:r>
    </w:p>
    <w:p w14:paraId="3BA9262C">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2023年10月以来，北京新</w:t>
      </w:r>
      <w:r>
        <w:rPr>
          <w:rFonts w:hint="eastAsia" w:ascii="Arial" w:hAnsi="Arial" w:eastAsia="仿宋" w:cs="Arial"/>
          <w:sz w:val="28"/>
          <w:szCs w:val="28"/>
          <w:highlight w:val="none"/>
          <w:lang w:bidi="ar"/>
        </w:rPr>
        <w:t>建商品房</w:t>
      </w:r>
      <w:r>
        <w:rPr>
          <w:rFonts w:ascii="Arial" w:hAnsi="Arial" w:eastAsia="仿宋" w:cs="Arial"/>
          <w:sz w:val="28"/>
          <w:szCs w:val="28"/>
          <w:highlight w:val="none"/>
          <w:lang w:bidi="ar"/>
        </w:rPr>
        <w:t>房价进入下跌通道，2024年和2025年北京新房房价累计跌幅分别为5.4个百分点和2.4个百分点。 2025年新房房价跌幅较2024年出现收窄，但整体仍处于下跌区间，10月份以来新房房价跌幅出现扩大，11月北京新房房价环比下跌 0.5%。</w:t>
      </w:r>
    </w:p>
    <w:p w14:paraId="17375D72">
      <w:pPr>
        <w:widowControl/>
        <w:spacing w:line="360" w:lineRule="auto"/>
        <w:jc w:val="center"/>
        <w:rPr>
          <w:highlight w:val="none"/>
        </w:rPr>
      </w:pPr>
      <w:r>
        <w:rPr>
          <w:highlight w:val="none"/>
        </w:rPr>
        <w:drawing>
          <wp:inline distT="0" distB="0" distL="114300" distR="114300">
            <wp:extent cx="5142865" cy="2837815"/>
            <wp:effectExtent l="0" t="0" r="8255" b="12065"/>
            <wp:docPr id="1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8"/>
                    <pic:cNvPicPr>
                      <a:picLocks noChangeAspect="1"/>
                    </pic:cNvPicPr>
                  </pic:nvPicPr>
                  <pic:blipFill>
                    <a:blip r:embed="rId50"/>
                    <a:stretch>
                      <a:fillRect/>
                    </a:stretch>
                  </pic:blipFill>
                  <pic:spPr>
                    <a:xfrm>
                      <a:off x="0" y="0"/>
                      <a:ext cx="5142865" cy="2837815"/>
                    </a:xfrm>
                    <a:prstGeom prst="rect">
                      <a:avLst/>
                    </a:prstGeom>
                    <a:noFill/>
                    <a:ln>
                      <a:noFill/>
                    </a:ln>
                  </pic:spPr>
                </pic:pic>
              </a:graphicData>
            </a:graphic>
          </wp:inline>
        </w:drawing>
      </w:r>
    </w:p>
    <w:p w14:paraId="795D45C0">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从各面积段来看，</w:t>
      </w:r>
      <w:r>
        <w:rPr>
          <w:rFonts w:ascii="Arial" w:hAnsi="Arial" w:eastAsia="仿宋" w:cs="Arial"/>
          <w:sz w:val="28"/>
          <w:szCs w:val="28"/>
          <w:highlight w:val="none"/>
          <w:lang w:bidi="ar"/>
        </w:rPr>
        <w:t>小户型价格跌幅相对较大，大户型价格相对坚挺。2025年，北京90㎡及以下面积段新房房价累计下跌3.7个百分点； 90</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144平新房房价累计下跌2.9个百分点；144平以上大户型新房房价累计下跌1.3个百分点。</w:t>
      </w:r>
    </w:p>
    <w:p w14:paraId="38A75B36">
      <w:pPr>
        <w:widowControl/>
        <w:spacing w:line="360" w:lineRule="auto"/>
        <w:jc w:val="center"/>
        <w:rPr>
          <w:rFonts w:hint="eastAsia" w:ascii="Arial" w:hAnsi="Arial" w:eastAsia="仿宋" w:cs="Arial"/>
          <w:bCs/>
          <w:color w:val="000000"/>
          <w:sz w:val="28"/>
          <w:szCs w:val="28"/>
          <w:highlight w:val="none"/>
        </w:rPr>
      </w:pPr>
      <w:r>
        <w:rPr>
          <w:highlight w:val="none"/>
        </w:rPr>
        <w:drawing>
          <wp:inline distT="0" distB="0" distL="114300" distR="114300">
            <wp:extent cx="4723765" cy="2771140"/>
            <wp:effectExtent l="0" t="0" r="635" b="2540"/>
            <wp:docPr id="1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9"/>
                    <pic:cNvPicPr>
                      <a:picLocks noChangeAspect="1"/>
                    </pic:cNvPicPr>
                  </pic:nvPicPr>
                  <pic:blipFill>
                    <a:blip r:embed="rId51"/>
                    <a:stretch>
                      <a:fillRect/>
                    </a:stretch>
                  </pic:blipFill>
                  <pic:spPr>
                    <a:xfrm>
                      <a:off x="0" y="0"/>
                      <a:ext cx="4723765" cy="2771140"/>
                    </a:xfrm>
                    <a:prstGeom prst="rect">
                      <a:avLst/>
                    </a:prstGeom>
                    <a:noFill/>
                    <a:ln>
                      <a:noFill/>
                    </a:ln>
                  </pic:spPr>
                </pic:pic>
              </a:graphicData>
            </a:graphic>
          </wp:inline>
        </w:drawing>
      </w:r>
    </w:p>
    <w:p w14:paraId="0A3B2130">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b.成交结构</w:t>
      </w:r>
    </w:p>
    <w:p w14:paraId="360DC915">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2025年，新房以改善需求为主，中高面积段、中高价位段为市场成交主力，</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房对刚需客户分流明显。</w:t>
      </w:r>
    </w:p>
    <w:p w14:paraId="1813CAE2">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新房主力成交面积段上移，中高面积段占比大幅提升。2025年，北京商品住宅（不含保障房）中高面积成交套数占比升至71.5%，同比上升 4.2个百分点；中低面积段产品成交占比下滑4.0个百分点。细分来看，90</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120平以及120</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160平面积段产品成为北京商品住宅成交主力，成交套数占比分别为36.2%和27.6%。</w:t>
      </w:r>
    </w:p>
    <w:p w14:paraId="40A535F4">
      <w:pPr>
        <w:widowControl/>
        <w:spacing w:line="360" w:lineRule="auto"/>
        <w:jc w:val="center"/>
        <w:rPr>
          <w:rFonts w:hint="eastAsia" w:ascii="Arial" w:hAnsi="Arial" w:eastAsia="仿宋" w:cs="Arial"/>
          <w:bCs/>
          <w:color w:val="000000"/>
          <w:sz w:val="28"/>
          <w:szCs w:val="28"/>
          <w:highlight w:val="none"/>
        </w:rPr>
      </w:pPr>
      <w:r>
        <w:rPr>
          <w:highlight w:val="none"/>
        </w:rPr>
        <w:drawing>
          <wp:inline distT="0" distB="0" distL="114300" distR="114300">
            <wp:extent cx="4409440" cy="3171190"/>
            <wp:effectExtent l="0" t="0" r="10160" b="13970"/>
            <wp:docPr id="6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0"/>
                    <pic:cNvPicPr>
                      <a:picLocks noChangeAspect="1"/>
                    </pic:cNvPicPr>
                  </pic:nvPicPr>
                  <pic:blipFill>
                    <a:blip r:embed="rId52"/>
                    <a:stretch>
                      <a:fillRect/>
                    </a:stretch>
                  </pic:blipFill>
                  <pic:spPr>
                    <a:xfrm>
                      <a:off x="0" y="0"/>
                      <a:ext cx="4409440" cy="3171190"/>
                    </a:xfrm>
                    <a:prstGeom prst="rect">
                      <a:avLst/>
                    </a:prstGeom>
                    <a:noFill/>
                    <a:ln>
                      <a:noFill/>
                    </a:ln>
                  </pic:spPr>
                </pic:pic>
              </a:graphicData>
            </a:graphic>
          </wp:inline>
        </w:drawing>
      </w:r>
    </w:p>
    <w:p w14:paraId="196CA64D">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高价位段产品占比提升，中高价位段产品占比保持平稳。2025年，在海淀、朝阳等高端项目带动下，高价位段产品成交占比提升3.6个百分点至14.4%；中高价位段产品占比保持平稳，而中低价位段产品占比进一步下滑至39.3%。</w:t>
      </w:r>
    </w:p>
    <w:p w14:paraId="42D66E92">
      <w:pPr>
        <w:widowControl/>
        <w:spacing w:line="360" w:lineRule="auto"/>
        <w:jc w:val="center"/>
        <w:rPr>
          <w:rFonts w:hint="eastAsia" w:ascii="Arial" w:hAnsi="Arial" w:eastAsia="仿宋" w:cs="Arial"/>
          <w:bCs/>
          <w:color w:val="000000"/>
          <w:sz w:val="28"/>
          <w:szCs w:val="28"/>
          <w:highlight w:val="none"/>
        </w:rPr>
      </w:pPr>
      <w:r>
        <w:rPr>
          <w:highlight w:val="none"/>
        </w:rPr>
        <w:drawing>
          <wp:inline distT="0" distB="0" distL="114300" distR="114300">
            <wp:extent cx="5180965" cy="3104515"/>
            <wp:effectExtent l="0" t="0" r="635" b="4445"/>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53"/>
                    <a:stretch>
                      <a:fillRect/>
                    </a:stretch>
                  </pic:blipFill>
                  <pic:spPr>
                    <a:xfrm>
                      <a:off x="0" y="0"/>
                      <a:ext cx="5180965" cy="3104515"/>
                    </a:xfrm>
                    <a:prstGeom prst="rect">
                      <a:avLst/>
                    </a:prstGeom>
                    <a:noFill/>
                    <a:ln>
                      <a:noFill/>
                    </a:ln>
                  </pic:spPr>
                </pic:pic>
              </a:graphicData>
            </a:graphic>
          </wp:inline>
        </w:drawing>
      </w:r>
    </w:p>
    <w:p w14:paraId="2720A833">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C.区域成交</w:t>
      </w:r>
    </w:p>
    <w:p w14:paraId="552E6E2B">
      <w:pPr>
        <w:widowControl/>
        <w:adjustRightInd/>
        <w:spacing w:line="300" w:lineRule="auto"/>
        <w:ind w:firstLine="560" w:firstLineChars="200"/>
        <w:rPr>
          <w:rFonts w:hint="eastAsia" w:ascii="Arial" w:hAnsi="Arial" w:eastAsia="仿宋" w:cs="Arial"/>
          <w:sz w:val="28"/>
          <w:szCs w:val="28"/>
          <w:highlight w:val="none"/>
          <w:lang w:bidi="ar"/>
        </w:rPr>
      </w:pPr>
      <w:r>
        <w:rPr>
          <w:rFonts w:ascii="Arial" w:hAnsi="Arial" w:eastAsia="仿宋" w:cs="Arial"/>
          <w:sz w:val="28"/>
          <w:szCs w:val="28"/>
          <w:highlight w:val="none"/>
          <w:lang w:bidi="ar"/>
        </w:rPr>
        <w:t>从区域成交规模来看，2025年中心城区</w:t>
      </w:r>
      <w:r>
        <w:rPr>
          <w:rFonts w:hint="eastAsia" w:ascii="Arial" w:hAnsi="Arial" w:eastAsia="仿宋" w:cs="Arial"/>
          <w:sz w:val="28"/>
          <w:szCs w:val="28"/>
          <w:highlight w:val="none"/>
          <w:lang w:bidi="ar"/>
        </w:rPr>
        <w:t>（含核心区）</w:t>
      </w:r>
      <w:r>
        <w:rPr>
          <w:rFonts w:ascii="Arial" w:hAnsi="Arial" w:eastAsia="仿宋" w:cs="Arial"/>
          <w:sz w:val="28"/>
          <w:szCs w:val="28"/>
          <w:highlight w:val="none"/>
          <w:lang w:bidi="ar"/>
        </w:rPr>
        <w:t>成交面积同比增长8%，占比提升6.6个百分点至41.9%。其中朝阳区成交规模超62万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居首位；在功德寺、朱房等项目带动下，海淀区成交规模同比大幅提升；近郊六区依然为北京新房成交主力区域，但成交面积同比下降20%，占比下滑至6.8个百分点至52.2%。在中建运河玖院、朝棠揽阅、长安华曦府等热点项目带动下，通州、门头沟同比增长。</w:t>
      </w:r>
    </w:p>
    <w:p w14:paraId="54A9C7B8">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从区域成交</w:t>
      </w:r>
      <w:r>
        <w:rPr>
          <w:rFonts w:hint="eastAsia" w:ascii="Arial" w:hAnsi="Arial" w:eastAsia="仿宋" w:cs="Arial"/>
          <w:sz w:val="28"/>
          <w:szCs w:val="28"/>
          <w:highlight w:val="none"/>
          <w:lang w:bidi="ar"/>
        </w:rPr>
        <w:t>价</w:t>
      </w:r>
      <w:r>
        <w:rPr>
          <w:rFonts w:ascii="Arial" w:hAnsi="Arial" w:eastAsia="仿宋" w:cs="Arial"/>
          <w:sz w:val="28"/>
          <w:szCs w:val="28"/>
          <w:highlight w:val="none"/>
          <w:lang w:bidi="ar"/>
        </w:rPr>
        <w:t>来看，2025年北京中心城区</w:t>
      </w:r>
      <w:r>
        <w:rPr>
          <w:rFonts w:hint="eastAsia" w:ascii="Arial" w:hAnsi="Arial" w:eastAsia="仿宋" w:cs="Arial"/>
          <w:sz w:val="28"/>
          <w:szCs w:val="28"/>
          <w:highlight w:val="none"/>
          <w:lang w:bidi="ar"/>
        </w:rPr>
        <w:t>（含核心区）</w:t>
      </w:r>
      <w:r>
        <w:rPr>
          <w:rFonts w:ascii="Arial" w:hAnsi="Arial" w:eastAsia="仿宋" w:cs="Arial"/>
          <w:sz w:val="28"/>
          <w:szCs w:val="28"/>
          <w:highlight w:val="none"/>
          <w:lang w:bidi="ar"/>
        </w:rPr>
        <w:t>成交均价为83430元/</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，同比基本持平，其中海淀、朝阳成交均价同比上涨；近郊六区成交均价同比保持平稳，通州区同比小幅上涨1%，其他区成交均价同比下跌。</w:t>
      </w:r>
    </w:p>
    <w:p w14:paraId="15019120">
      <w:pPr>
        <w:widowControl/>
        <w:spacing w:line="360" w:lineRule="auto"/>
        <w:jc w:val="center"/>
        <w:rPr>
          <w:rFonts w:ascii="Arial" w:hAnsi="Arial" w:eastAsia="仿宋" w:cs="Arial"/>
          <w:bCs/>
          <w:color w:val="000000"/>
          <w:sz w:val="28"/>
          <w:szCs w:val="28"/>
          <w:highlight w:val="none"/>
        </w:rPr>
      </w:pPr>
      <w:r>
        <w:rPr>
          <w:highlight w:val="none"/>
        </w:rPr>
        <w:drawing>
          <wp:inline distT="0" distB="0" distL="114300" distR="114300">
            <wp:extent cx="5903595" cy="1983105"/>
            <wp:effectExtent l="0" t="0" r="9525" b="13335"/>
            <wp:docPr id="74" name="图片 22"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descr="222"/>
                    <pic:cNvPicPr>
                      <a:picLocks noChangeAspect="1"/>
                    </pic:cNvPicPr>
                  </pic:nvPicPr>
                  <pic:blipFill>
                    <a:blip r:embed="rId54"/>
                    <a:stretch>
                      <a:fillRect/>
                    </a:stretch>
                  </pic:blipFill>
                  <pic:spPr>
                    <a:xfrm>
                      <a:off x="0" y="0"/>
                      <a:ext cx="5903595" cy="1983105"/>
                    </a:xfrm>
                    <a:prstGeom prst="rect">
                      <a:avLst/>
                    </a:prstGeom>
                    <a:noFill/>
                    <a:ln>
                      <a:noFill/>
                    </a:ln>
                  </pic:spPr>
                </pic:pic>
              </a:graphicData>
            </a:graphic>
          </wp:inline>
        </w:drawing>
      </w:r>
    </w:p>
    <w:p w14:paraId="3769AFA4">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（3）存量房住宅市场</w:t>
      </w:r>
    </w:p>
    <w:p w14:paraId="1B017C43">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1）市场运行状况</w:t>
      </w:r>
    </w:p>
    <w:p w14:paraId="2BFC5705">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2025年上半年，北京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商品住宅新增挂牌持续处于较高水平；下半年新增挂牌规模回落，9月新增挂牌升至下半年高位，四季度新增挂牌持续回落。5月以来累计挂牌量持续处于高位水平，</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房市场明显供大于求。截止到2025年12月，北京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商品住宅存量挂牌套数为13.69万套，较年初增加8.5%。</w:t>
      </w:r>
    </w:p>
    <w:p w14:paraId="1396EB09">
      <w:pPr>
        <w:widowControl/>
        <w:spacing w:line="360" w:lineRule="auto"/>
        <w:jc w:val="center"/>
        <w:rPr>
          <w:rFonts w:hint="eastAsia" w:ascii="Arial" w:hAnsi="Arial" w:eastAsia="仿宋" w:cs="Arial"/>
          <w:bCs/>
          <w:color w:val="000000"/>
          <w:sz w:val="28"/>
          <w:szCs w:val="28"/>
          <w:highlight w:val="none"/>
        </w:rPr>
      </w:pPr>
      <w:r>
        <w:rPr>
          <w:highlight w:val="none"/>
        </w:rPr>
        <w:drawing>
          <wp:inline distT="0" distB="0" distL="114300" distR="114300">
            <wp:extent cx="5304790" cy="2790190"/>
            <wp:effectExtent l="0" t="0" r="13970" b="1397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55"/>
                    <a:stretch>
                      <a:fillRect/>
                    </a:stretch>
                  </pic:blipFill>
                  <pic:spPr>
                    <a:xfrm>
                      <a:off x="0" y="0"/>
                      <a:ext cx="5304790" cy="2790190"/>
                    </a:xfrm>
                    <a:prstGeom prst="rect">
                      <a:avLst/>
                    </a:prstGeom>
                    <a:noFill/>
                    <a:ln>
                      <a:noFill/>
                    </a:ln>
                  </pic:spPr>
                </pic:pic>
              </a:graphicData>
            </a:graphic>
          </wp:inline>
        </w:drawing>
      </w:r>
    </w:p>
    <w:p w14:paraId="26233087">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2025年，北京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房市场成交活跃，全年</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商品住宅累计成交17.43万套，同比微降0.8%，连续两年成交超17万套。月度来看，上半年北京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房市场热度较高，下半年市场热度下滑，8.8楼市新政带动9月成交量回升；四季度</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房市场热度再次回落，12月年底</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房成交集中释放，叠加放松限购政策带动，1</w:t>
      </w:r>
      <w:r>
        <w:rPr>
          <w:rFonts w:hint="eastAsia" w:ascii="Arial" w:hAnsi="Arial" w:eastAsia="仿宋" w:cs="Arial"/>
          <w:sz w:val="28"/>
          <w:szCs w:val="28"/>
          <w:highlight w:val="none"/>
          <w:lang w:bidi="ar"/>
        </w:rPr>
        <w:t>2</w:t>
      </w:r>
      <w:r>
        <w:rPr>
          <w:rFonts w:ascii="Arial" w:hAnsi="Arial" w:eastAsia="仿宋" w:cs="Arial"/>
          <w:sz w:val="28"/>
          <w:szCs w:val="28"/>
          <w:highlight w:val="none"/>
          <w:lang w:bidi="ar"/>
        </w:rPr>
        <w:t>月市场迎来“翘尾”收官，成交17200套，创下全年第二高成交量（仅次于3月小阳春的1.9万套）。</w:t>
      </w:r>
    </w:p>
    <w:p w14:paraId="76189068">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从</w:t>
      </w:r>
      <w:r>
        <w:rPr>
          <w:rFonts w:ascii="Arial" w:hAnsi="Arial" w:eastAsia="仿宋" w:cs="Arial"/>
          <w:sz w:val="28"/>
          <w:szCs w:val="28"/>
          <w:highlight w:val="none"/>
          <w:lang w:bidi="ar"/>
        </w:rPr>
        <w:t>成交价格</w:t>
      </w:r>
      <w:r>
        <w:rPr>
          <w:rFonts w:hint="eastAsia" w:ascii="Arial" w:hAnsi="Arial" w:eastAsia="仿宋" w:cs="Arial"/>
          <w:sz w:val="28"/>
          <w:szCs w:val="28"/>
          <w:highlight w:val="none"/>
          <w:lang w:bidi="ar"/>
        </w:rPr>
        <w:t>看，存量</w:t>
      </w:r>
      <w:r>
        <w:rPr>
          <w:rFonts w:ascii="Arial" w:hAnsi="Arial" w:eastAsia="仿宋" w:cs="Arial"/>
          <w:sz w:val="28"/>
          <w:szCs w:val="28"/>
          <w:highlight w:val="none"/>
          <w:lang w:bidi="ar"/>
        </w:rPr>
        <w:t>房市场持续呈现“以价换量”特征，2025年二季度以来市场热度回落，</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住宅价格指数持续处于下跌通道，2025年北京</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住宅价格指数累计下跌8.5%。</w:t>
      </w:r>
    </w:p>
    <w:p w14:paraId="168384E2">
      <w:pPr>
        <w:widowControl/>
        <w:spacing w:line="360" w:lineRule="auto"/>
        <w:jc w:val="center"/>
        <w:rPr>
          <w:rFonts w:ascii="Arial" w:hAnsi="Arial" w:eastAsia="仿宋" w:cs="Arial"/>
          <w:bCs/>
          <w:color w:val="000000"/>
          <w:sz w:val="28"/>
          <w:szCs w:val="28"/>
          <w:highlight w:val="none"/>
        </w:rPr>
      </w:pPr>
      <w:r>
        <w:rPr>
          <w:highlight w:val="none"/>
        </w:rPr>
        <w:drawing>
          <wp:inline distT="0" distB="0" distL="114300" distR="114300">
            <wp:extent cx="5908040" cy="1624330"/>
            <wp:effectExtent l="0" t="0" r="5080" b="6350"/>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56"/>
                    <a:stretch>
                      <a:fillRect/>
                    </a:stretch>
                  </pic:blipFill>
                  <pic:spPr>
                    <a:xfrm>
                      <a:off x="0" y="0"/>
                      <a:ext cx="5908040" cy="1624330"/>
                    </a:xfrm>
                    <a:prstGeom prst="rect">
                      <a:avLst/>
                    </a:prstGeom>
                    <a:noFill/>
                    <a:ln>
                      <a:noFill/>
                    </a:ln>
                  </pic:spPr>
                </pic:pic>
              </a:graphicData>
            </a:graphic>
          </wp:inline>
        </w:drawing>
      </w:r>
    </w:p>
    <w:p w14:paraId="77B23392">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2）各区县统计</w:t>
      </w:r>
    </w:p>
    <w:p w14:paraId="52555232">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分区域来看，</w:t>
      </w: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朝阳区成交量达378万平方米，居各区首位；海淀、丰台、昌平、大兴、</w:t>
      </w:r>
      <w:r>
        <w:rPr>
          <w:rFonts w:hint="eastAsia" w:ascii="Arial" w:hAnsi="Arial" w:eastAsia="仿宋" w:cs="Arial"/>
          <w:sz w:val="28"/>
          <w:szCs w:val="28"/>
          <w:highlight w:val="none"/>
          <w:lang w:bidi="ar"/>
        </w:rPr>
        <w:t>通州存量</w:t>
      </w:r>
      <w:r>
        <w:rPr>
          <w:rFonts w:ascii="Arial" w:hAnsi="Arial" w:eastAsia="仿宋" w:cs="Arial"/>
          <w:sz w:val="28"/>
          <w:szCs w:val="28"/>
          <w:highlight w:val="none"/>
          <w:lang w:bidi="ar"/>
        </w:rPr>
        <w:t>房市场比较活跃，成交面积均超过100万平方米；同比来看，中心城区、近郊区、远郊区</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房成交规模均同比下降。门头沟、通州、昌平</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房房价跌幅较大。</w:t>
      </w:r>
    </w:p>
    <w:p w14:paraId="1B234121">
      <w:pPr>
        <w:widowControl/>
        <w:spacing w:line="360" w:lineRule="auto"/>
        <w:jc w:val="center"/>
        <w:rPr>
          <w:highlight w:val="none"/>
        </w:rPr>
      </w:pPr>
      <w:r>
        <w:rPr>
          <w:highlight w:val="none"/>
        </w:rPr>
        <w:drawing>
          <wp:inline distT="0" distB="0" distL="114300" distR="114300">
            <wp:extent cx="5219065" cy="6021070"/>
            <wp:effectExtent l="0" t="0" r="8255" b="13970"/>
            <wp:docPr id="77" name="图片 2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descr="333"/>
                    <pic:cNvPicPr>
                      <a:picLocks noChangeAspect="1"/>
                    </pic:cNvPicPr>
                  </pic:nvPicPr>
                  <pic:blipFill>
                    <a:blip r:embed="rId57"/>
                    <a:stretch>
                      <a:fillRect/>
                    </a:stretch>
                  </pic:blipFill>
                  <pic:spPr>
                    <a:xfrm>
                      <a:off x="0" y="0"/>
                      <a:ext cx="5219065" cy="6021070"/>
                    </a:xfrm>
                    <a:prstGeom prst="rect">
                      <a:avLst/>
                    </a:prstGeom>
                    <a:noFill/>
                    <a:ln>
                      <a:noFill/>
                    </a:ln>
                  </pic:spPr>
                </pic:pic>
              </a:graphicData>
            </a:graphic>
          </wp:inline>
        </w:drawing>
      </w:r>
    </w:p>
    <w:p w14:paraId="3BB27419">
      <w:pPr>
        <w:widowControl/>
        <w:spacing w:line="360" w:lineRule="auto"/>
        <w:jc w:val="center"/>
        <w:rPr>
          <w:rFonts w:ascii="Arial" w:hAnsi="Arial" w:eastAsia="仿宋" w:cs="Arial"/>
          <w:bCs/>
          <w:color w:val="000000"/>
          <w:sz w:val="28"/>
          <w:szCs w:val="28"/>
          <w:highlight w:val="none"/>
        </w:rPr>
      </w:pPr>
    </w:p>
    <w:p w14:paraId="2268FE00">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整体来看，2025年</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北京商品住宅（新建</w:t>
      </w:r>
      <w:r>
        <w:rPr>
          <w:rFonts w:hint="eastAsia" w:ascii="Arial" w:hAnsi="Arial" w:eastAsia="仿宋" w:cs="Arial"/>
          <w:sz w:val="28"/>
          <w:szCs w:val="28"/>
          <w:highlight w:val="none"/>
          <w:lang w:eastAsia="zh-CN" w:bidi="ar"/>
        </w:rPr>
        <w:t>＋</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）累计成交面积为2093.97万</w:t>
      </w:r>
      <w:r>
        <w:rPr>
          <w:rFonts w:hint="eastAsia" w:ascii="Arial" w:hAnsi="Arial" w:eastAsia="仿宋" w:cs="Arial"/>
          <w:sz w:val="28"/>
          <w:szCs w:val="28"/>
          <w:highlight w:val="none"/>
          <w:lang w:bidi="ar"/>
        </w:rPr>
        <w:t>平方米</w:t>
      </w:r>
      <w:r>
        <w:rPr>
          <w:rFonts w:ascii="Arial" w:hAnsi="Arial" w:eastAsia="仿宋" w:cs="Arial"/>
          <w:sz w:val="28"/>
          <w:szCs w:val="28"/>
          <w:highlight w:val="none"/>
          <w:lang w:bidi="ar"/>
        </w:rPr>
        <w:t>，同比下降3.8%。2023</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2025年北京住宅市场累计成交规模位于2100万平方米左右，整体成交规模保持相对平稳。但市场分化明显，2022年以来新房市场表现相对较冷，新房成交规模呈现持续减少走势；而</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房市场活跃度较高，近两年成交套数均超17万套。</w:t>
      </w:r>
    </w:p>
    <w:p w14:paraId="27920EB1">
      <w:pPr>
        <w:widowControl/>
        <w:adjustRightInd/>
        <w:spacing w:line="300" w:lineRule="auto"/>
        <w:ind w:firstLine="560" w:firstLineChars="200"/>
        <w:rPr>
          <w:rFonts w:hint="eastAsia" w:ascii="Arial" w:hAnsi="Arial" w:eastAsia="仿宋" w:cs="Arial"/>
          <w:sz w:val="28"/>
          <w:szCs w:val="28"/>
          <w:highlight w:val="none"/>
          <w:lang w:bidi="ar"/>
        </w:rPr>
      </w:pPr>
      <w:r>
        <w:rPr>
          <w:rFonts w:ascii="Arial" w:hAnsi="Arial" w:eastAsia="仿宋" w:cs="Arial"/>
          <w:sz w:val="28"/>
          <w:szCs w:val="28"/>
          <w:highlight w:val="none"/>
          <w:lang w:bidi="ar"/>
        </w:rPr>
        <w:t>从</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房成交占比来看，2022年以来</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房成交占比呈现持续上升趋势，2025年占比上升至81%，再创历史新高水平，对新房市场形成明显的分流效应。</w:t>
      </w:r>
    </w:p>
    <w:p w14:paraId="38A404AE">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drawing>
          <wp:inline distT="0" distB="0" distL="114300" distR="114300">
            <wp:extent cx="4572000" cy="2743200"/>
            <wp:effectExtent l="4445" t="4445" r="10795" b="10795"/>
            <wp:docPr id="78" name="图表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5EDE494">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（4）未来市场预期</w:t>
      </w:r>
    </w:p>
    <w:p w14:paraId="7CCFF125">
      <w:pPr>
        <w:widowControl/>
        <w:adjustRightInd/>
        <w:spacing w:line="300" w:lineRule="auto"/>
        <w:ind w:firstLine="560" w:firstLineChars="200"/>
        <w:rPr>
          <w:rFonts w:hint="eastAsia" w:ascii="Arial" w:hAnsi="Arial" w:eastAsia="仿宋" w:cs="Arial"/>
          <w:sz w:val="28"/>
          <w:szCs w:val="28"/>
          <w:highlight w:val="none"/>
          <w:lang w:bidi="ar"/>
        </w:rPr>
      </w:pPr>
      <w:r>
        <w:rPr>
          <w:rFonts w:ascii="Arial" w:hAnsi="Arial" w:eastAsia="仿宋" w:cs="Arial"/>
          <w:sz w:val="28"/>
          <w:szCs w:val="28"/>
          <w:highlight w:val="none"/>
          <w:lang w:bidi="ar"/>
        </w:rPr>
        <w:t>未来北京市住宅市场预计将呈现</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整体趋稳、内部分化、渐进转型</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的演变趋势。在中央“稳定预期、缩短调整”的定调下，北京政策将继续以渐进式优化为主。一方面，限购政策预计将进一步放松（如五环内政策优化），公积金支持力度有望加大，以降低购房门槛、释放改善性需求。另一方面，供给端将持续推进“好房子”建设，通过品质提升和空间创新推动住房供给侧改革，并完善“市场</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保障”的供应体系。</w:t>
      </w:r>
      <w:r>
        <w:rPr>
          <w:rFonts w:hint="eastAsia" w:ascii="Arial" w:hAnsi="Arial" w:eastAsia="仿宋" w:cs="Arial"/>
          <w:sz w:val="28"/>
          <w:szCs w:val="28"/>
          <w:highlight w:val="none"/>
          <w:lang w:bidi="ar"/>
        </w:rPr>
        <w:t>同时，</w:t>
      </w:r>
      <w:r>
        <w:rPr>
          <w:rFonts w:ascii="Arial" w:hAnsi="Arial" w:eastAsia="仿宋" w:cs="Arial"/>
          <w:sz w:val="28"/>
          <w:szCs w:val="28"/>
          <w:highlight w:val="none"/>
          <w:lang w:bidi="ar"/>
        </w:rPr>
        <w:t>新房与</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房分化将持续加剧。新房市场成交规模预计在低位波动，但核心区域优质改善项目凭借稀缺资源与产品力，将继续支撑价格结构性上涨，市场重心进一步向中高面积段、高总价产品集中。</w:t>
      </w:r>
      <w:r>
        <w:rPr>
          <w:rFonts w:hint="eastAsia" w:ascii="Arial" w:hAnsi="Arial" w:eastAsia="仿宋" w:cs="Arial"/>
          <w:sz w:val="28"/>
          <w:szCs w:val="28"/>
          <w:highlight w:val="none"/>
          <w:lang w:bidi="ar"/>
        </w:rPr>
        <w:t>存量</w:t>
      </w:r>
      <w:r>
        <w:rPr>
          <w:rFonts w:ascii="Arial" w:hAnsi="Arial" w:eastAsia="仿宋" w:cs="Arial"/>
          <w:sz w:val="28"/>
          <w:szCs w:val="28"/>
          <w:highlight w:val="none"/>
          <w:lang w:bidi="ar"/>
        </w:rPr>
        <w:t>房市场则继续承担市场交易主体角色，但“以价换量”态势难以扭转，价格仍面临下行压力，并对新房市场形成持续分流。土地市场热度分化显著，核心区优质地块受追捧，非核心区域多以底价成交，预示着未来住房供应将进一步向“高品质、好区位”倾斜。总体而言，北京住宅市场正从规模扩张转向品质与结构优化阶段，在政策托底与市场自发性调整的双重作用下，逐步向“量稳价稳、质升区异”的新发展模式过渡。</w:t>
      </w:r>
    </w:p>
    <w:p w14:paraId="2979E585">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3.产业政策</w:t>
      </w:r>
    </w:p>
    <w:p w14:paraId="41389183">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  产业优惠政策</w:t>
      </w:r>
    </w:p>
    <w:p w14:paraId="53FFDEFD">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全国：</w:t>
      </w:r>
    </w:p>
    <w:p w14:paraId="00137537">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年3月</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日全国两会召开。关于房地产的定调，政府工作报告延续了去年底中央经济工作会议基调，</w:t>
      </w:r>
      <w:r>
        <w:rPr>
          <w:rFonts w:hint="eastAsia" w:ascii="Arial" w:hAnsi="Arial" w:eastAsia="仿宋" w:cs="Arial"/>
          <w:sz w:val="28"/>
          <w:szCs w:val="28"/>
          <w:highlight w:val="none"/>
          <w:lang w:bidi="ar"/>
        </w:rPr>
        <w:t>在2025年政府工作任务“有效防范化解重点领域风险,牢牢守住不发生系统性风险底线”中确立了“持续用力推动房地产市场止跌回稳”的政策目标，并从需求不断加力、供给持续调整、风险防范化解和行业长远发展四个方面给出了大段论述。</w:t>
      </w:r>
    </w:p>
    <w:p w14:paraId="3324765F">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2025年4月3日，</w:t>
      </w:r>
      <w:r>
        <w:rPr>
          <w:rFonts w:ascii="Arial" w:hAnsi="Arial" w:eastAsia="仿宋" w:cs="Arial"/>
          <w:sz w:val="28"/>
          <w:szCs w:val="28"/>
          <w:highlight w:val="none"/>
          <w:lang w:bidi="ar"/>
        </w:rPr>
        <w:t>财政部办公厅</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住房城乡建设部办公厅</w:t>
      </w:r>
      <w:r>
        <w:rPr>
          <w:rFonts w:hint="eastAsia" w:ascii="Arial" w:hAnsi="Arial" w:eastAsia="仿宋" w:cs="Arial"/>
          <w:sz w:val="28"/>
          <w:szCs w:val="28"/>
          <w:highlight w:val="none"/>
          <w:lang w:bidi="ar"/>
        </w:rPr>
        <w:t>联合发布</w:t>
      </w:r>
      <w:r>
        <w:rPr>
          <w:rFonts w:ascii="Arial" w:hAnsi="Arial" w:eastAsia="仿宋" w:cs="Arial"/>
          <w:sz w:val="28"/>
          <w:szCs w:val="28"/>
          <w:highlight w:val="none"/>
          <w:lang w:bidi="ar"/>
        </w:rPr>
        <w:t>《关于开展2025年度中央财政支持实施城市更新行动的通知》</w:t>
      </w:r>
      <w:r>
        <w:rPr>
          <w:rFonts w:hint="eastAsia" w:ascii="Arial" w:hAnsi="Arial" w:eastAsia="仿宋" w:cs="Arial"/>
          <w:sz w:val="28"/>
          <w:szCs w:val="28"/>
          <w:highlight w:val="none"/>
          <w:lang w:bidi="ar"/>
        </w:rPr>
        <w:t>。《通知》提出</w:t>
      </w:r>
      <w:r>
        <w:rPr>
          <w:rFonts w:ascii="Arial" w:hAnsi="Arial" w:eastAsia="仿宋" w:cs="Arial"/>
          <w:sz w:val="28"/>
          <w:szCs w:val="28"/>
          <w:highlight w:val="none"/>
          <w:lang w:bidi="ar"/>
        </w:rPr>
        <w:t>通过竞争性选拔，确定部分基础条件好、积极性高、特色突出的城市，在城市层面探索整合各类资源，探索建立资金、用地、金融等各类要素保障机制，形成工作合力。中央财政对入围城市给予定额补助，支持城市更新的样板项目建设和机制建设2个方向</w:t>
      </w:r>
      <w:r>
        <w:rPr>
          <w:rFonts w:hint="eastAsia" w:ascii="Arial" w:hAnsi="Arial" w:eastAsia="仿宋" w:cs="Arial"/>
          <w:sz w:val="28"/>
          <w:szCs w:val="28"/>
          <w:highlight w:val="none"/>
          <w:lang w:bidi="ar"/>
        </w:rPr>
        <w:t>。</w:t>
      </w:r>
    </w:p>
    <w:p w14:paraId="18B6C745">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2025年4月25日</w:t>
      </w:r>
      <w:r>
        <w:rPr>
          <w:rFonts w:ascii="Arial" w:hAnsi="Arial" w:eastAsia="仿宋" w:cs="Arial"/>
          <w:sz w:val="28"/>
          <w:szCs w:val="28"/>
          <w:highlight w:val="none"/>
          <w:lang w:bidi="ar"/>
        </w:rPr>
        <w:t>中共中央政治局召开会议，分析研究当前经济形势和经济工作。会议强调，要加紧实施更加积极有为的宏观政策，用好用足更加积极的财政政策和适度宽松的货币政策；加快地方政府专项债券、超长期特别国债等发行使用；适时降准降息，保持流动性充裕。会议指出，要持续用力防范化解重点领域风险；继续实施地方政府一揽子化债政策；加力实施城市更新行动，有力有序推进城中村和危旧房改造；加快构建房地产发展新 模式，加大高品质住房供给，优化存量商品房收购政策，持续巩固房地产市场稳定态势。</w:t>
      </w:r>
    </w:p>
    <w:p w14:paraId="0E18592C">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2025年5月15日，中共中央办公厅与国务院办公厅公开发布《关于持续推进城市更新行动的意见》。《意见》</w:t>
      </w:r>
      <w:r>
        <w:rPr>
          <w:rFonts w:ascii="Arial" w:hAnsi="Arial" w:eastAsia="仿宋" w:cs="Arial"/>
          <w:sz w:val="28"/>
          <w:szCs w:val="28"/>
          <w:highlight w:val="none"/>
          <w:lang w:bidi="ar"/>
        </w:rPr>
        <w:t>提出总体要求、八个主要任务、六项支撑保障措施以及组织实施强化。其中完善用地政策方面包括混合开发利用和用途转换，盘活存量低效用地，闲置土地收回，优化零星用地集中改造、容积率转移或奖励政策，优化地价计收规则等。</w:t>
      </w:r>
    </w:p>
    <w:p w14:paraId="4E271360">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2025年6月13日</w:t>
      </w:r>
      <w:r>
        <w:rPr>
          <w:rFonts w:ascii="Arial" w:hAnsi="Arial" w:eastAsia="仿宋" w:cs="Arial"/>
          <w:sz w:val="28"/>
          <w:szCs w:val="28"/>
          <w:highlight w:val="none"/>
          <w:lang w:bidi="ar"/>
        </w:rPr>
        <w:t>国务院常务会议召开，其中重点部署了房地产相关政策，核心目标是</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更大力度推动房地产市场止跌回稳</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，并围绕构建房地产发展新模式、推进</w:t>
      </w:r>
      <w:r>
        <w:rPr>
          <w:rFonts w:hint="eastAsia" w:ascii="Arial" w:hAnsi="Arial" w:eastAsia="仿宋" w:cs="Arial"/>
          <w:sz w:val="28"/>
          <w:szCs w:val="28"/>
          <w:highlight w:val="none"/>
          <w:lang w:bidi="ar"/>
        </w:rPr>
        <w:t>“好房子”</w:t>
      </w:r>
      <w:r>
        <w:rPr>
          <w:rFonts w:ascii="Arial" w:hAnsi="Arial" w:eastAsia="仿宋" w:cs="Arial"/>
          <w:sz w:val="28"/>
          <w:szCs w:val="28"/>
          <w:highlight w:val="none"/>
          <w:lang w:bidi="ar"/>
        </w:rPr>
        <w:t>建设、盘活存量资源等方面提出具体措施。</w:t>
      </w:r>
    </w:p>
    <w:p w14:paraId="57267717">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2025年7月1</w:t>
      </w:r>
      <w:r>
        <w:rPr>
          <w:rFonts w:ascii="Arial" w:hAnsi="Arial" w:eastAsia="仿宋" w:cs="Arial"/>
          <w:sz w:val="28"/>
          <w:szCs w:val="28"/>
          <w:highlight w:val="none"/>
          <w:lang w:bidi="ar"/>
        </w:rPr>
        <w:t>4日至</w:t>
      </w:r>
      <w:r>
        <w:rPr>
          <w:rFonts w:hint="eastAsia" w:ascii="Arial" w:hAnsi="Arial" w:eastAsia="仿宋" w:cs="Arial"/>
          <w:sz w:val="28"/>
          <w:szCs w:val="28"/>
          <w:highlight w:val="none"/>
          <w:lang w:bidi="ar"/>
        </w:rPr>
        <w:t>1</w:t>
      </w:r>
      <w:r>
        <w:rPr>
          <w:rFonts w:ascii="Arial" w:hAnsi="Arial" w:eastAsia="仿宋" w:cs="Arial"/>
          <w:sz w:val="28"/>
          <w:szCs w:val="28"/>
          <w:highlight w:val="none"/>
          <w:lang w:bidi="ar"/>
        </w:rPr>
        <w:t>5日中央城市工作会议在北京举行，部署城市工作7个方面的重点任务：一是着力优化现代化城市体系；二是着力建设富有活力的创新城市，高质量开展城市更新；三是着力建设舒适便利的宜居城市，优化城市空间结构；加快构建房地产发展新模式，稳步推进城中村和危旧房改造；四是着力建设绿色低碳的美丽城市；五是着力建设安全可靠的韧性城市，严格限制超高层建筑，全面提升房屋安全保障水平；六是着力建设崇德向善的文明城市，完善历史文化保护传承体系；七是着力建设便捷高效的智慧城市</w:t>
      </w:r>
      <w:r>
        <w:rPr>
          <w:rFonts w:hint="eastAsia" w:ascii="Arial" w:hAnsi="Arial" w:eastAsia="仿宋" w:cs="Arial"/>
          <w:sz w:val="28"/>
          <w:szCs w:val="28"/>
          <w:highlight w:val="none"/>
          <w:lang w:bidi="ar"/>
        </w:rPr>
        <w:t>。</w:t>
      </w:r>
    </w:p>
    <w:p w14:paraId="0CB3E46C">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2025年7月16日，国务院公布《住房租赁条例》</w:t>
      </w:r>
      <w:r>
        <w:rPr>
          <w:rFonts w:ascii="Arial" w:hAnsi="Arial" w:eastAsia="仿宋" w:cs="Arial"/>
          <w:sz w:val="28"/>
          <w:szCs w:val="28"/>
          <w:highlight w:val="none"/>
          <w:lang w:bidi="ar"/>
        </w:rPr>
        <w:t>。该条例旨在规范住房租赁活动，维护住房租赁活动当事人合法权益，稳定住房租赁关系，促进住房租赁市场高质量发展，推动加快建立租购并举的住房制度</w:t>
      </w:r>
      <w:r>
        <w:rPr>
          <w:rFonts w:hint="eastAsia" w:ascii="Arial" w:hAnsi="Arial" w:eastAsia="仿宋" w:cs="Arial"/>
          <w:sz w:val="28"/>
          <w:szCs w:val="28"/>
          <w:highlight w:val="none"/>
          <w:lang w:bidi="ar"/>
        </w:rPr>
        <w:t>，《条例》</w:t>
      </w:r>
      <w:r>
        <w:rPr>
          <w:rFonts w:ascii="Arial" w:hAnsi="Arial" w:eastAsia="仿宋" w:cs="Arial"/>
          <w:sz w:val="28"/>
          <w:szCs w:val="28"/>
          <w:highlight w:val="none"/>
          <w:lang w:bidi="ar"/>
        </w:rPr>
        <w:t>自2025年9月15日施行。</w:t>
      </w:r>
    </w:p>
    <w:p w14:paraId="2EFA87A7">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2025年8月28日，《中共中央 国务院关于推动城市高质量发展的意见》公开发布，</w:t>
      </w:r>
      <w:r>
        <w:rPr>
          <w:rFonts w:ascii="Arial" w:hAnsi="Arial" w:eastAsia="仿宋" w:cs="Arial"/>
          <w:sz w:val="28"/>
          <w:szCs w:val="28"/>
          <w:highlight w:val="none"/>
          <w:lang w:bidi="ar"/>
        </w:rPr>
        <w:t>在城市发展正从大规模增量扩张阶段转向存量提质增效为主的阶段，为加快城市发展方式转型提出二十三条指导意见。其中， 第五条激活城市存量资源潜力，提出：全面摸清城市房屋、设施、土地等资产资源底数；改造利用老旧厂房、低效楼宇、闲置传统商业设施等存量房屋，建立与建筑功能转换和混合利用需求相适应的规划调整机制；加强和规范存量城市基础设施资产管理，提高运行效能；优化产权归集、整合、置换和登记政策，盘活利用存量低效用地。第八条系统推进“好房子”和完整社区建设，提出：加快构建房地产发展新模式，更好满足群众刚性和多样化改善性住房需求；全链条提升住房设计、建造、维护、服务水平，大力推进安全、舒适、绿色、智慧的“好房子”建设；实施物业服务质量提升行动；稳步推进城中村和危旧房改造，支持老旧住房自主更新、原拆原建；持续推动城镇老旧小区改造；坚持人口、产业、城镇、交通一体规划，建设创新型产业社区、商务社区；加快建设完整社区，完善城市社区嵌入式服务设施，构建城市便民生活圈；科学制定实施城市更新专项规划，一体化推进城市体检和城市更新，创造宜业、宜居、宜乐、宜游的良好城市环境，促进产城融合、职住平 衡。</w:t>
      </w:r>
    </w:p>
    <w:p w14:paraId="43A460C5">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9月11日，《国务院关于全国部分地区要素市场化配置综合改革试点实施方案的批复》发布，同意自即日起2年内开展北京城市副中心等10个要素市场化配置综合改革试点。北京城市副中心试点范围包括通州区全域，关于土地要素，提出：探索土地管理制度改革；深化产业用地市场化改革；盘活存量土地和低效建设用地；健全城乡统一的建设用地市场。</w:t>
      </w:r>
    </w:p>
    <w:p w14:paraId="7439A935">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10月20日至23日，中国共产党第二十届中央委员会第四次全体会议在北京召开，会议分析了当前形势和任务，强调坚决实现全年经济社会发展目标；着力稳就业、稳企业、稳市场、稳预期，稳住经济基本盘，巩固拓展经济回升向好势头；宏观政策要持续发力、适时加力，落实好企业帮扶政策，深入实施提振消费专项行动，兜牢基层“三保”底线，积极稳妥化解地方政府债务风险。明确提出要“推动房地产高质量发展”。</w:t>
      </w:r>
    </w:p>
    <w:p w14:paraId="1FC0E6CB">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2025年10月28日，</w:t>
      </w:r>
      <w:r>
        <w:rPr>
          <w:rFonts w:ascii="Arial" w:hAnsi="Arial" w:eastAsia="仿宋" w:cs="Arial"/>
          <w:sz w:val="28"/>
          <w:szCs w:val="28"/>
          <w:highlight w:val="none"/>
          <w:lang w:bidi="ar"/>
        </w:rPr>
        <w:t>《中共中央关于制定国民经济和社会发展第十五个五年规划的建议》全文发布，</w:t>
      </w:r>
      <w:r>
        <w:rPr>
          <w:rFonts w:hint="eastAsia" w:ascii="Arial" w:hAnsi="Arial" w:eastAsia="仿宋" w:cs="Arial"/>
          <w:sz w:val="28"/>
          <w:szCs w:val="28"/>
          <w:highlight w:val="none"/>
          <w:lang w:bidi="ar"/>
        </w:rPr>
        <w:t>关于房地产</w:t>
      </w:r>
      <w:r>
        <w:rPr>
          <w:rFonts w:ascii="Arial" w:hAnsi="Arial" w:eastAsia="仿宋" w:cs="Arial"/>
          <w:sz w:val="28"/>
          <w:szCs w:val="28"/>
          <w:highlight w:val="none"/>
          <w:lang w:bidi="ar"/>
        </w:rPr>
        <w:t>提出：（1）加快完善要素市场化配置体制机制：促进各类要素资源高效配置，建立健全城乡统一的建设用地市场、功能完善的资本市场、流动顺畅的劳动力市场、转化高效的技术市场，完善并购、破产、置换等政策，盘活用好低效用地、闲置房产、存量基础设施，完善工商业用地使用权续期法律法规，依法稳妥推进续期工作；（</w:t>
      </w:r>
      <w:r>
        <w:rPr>
          <w:rFonts w:hint="eastAsia" w:ascii="Arial" w:hAnsi="Arial" w:eastAsia="仿宋" w:cs="Arial"/>
          <w:sz w:val="28"/>
          <w:szCs w:val="28"/>
          <w:highlight w:val="none"/>
          <w:lang w:bidi="ar"/>
        </w:rPr>
        <w:t>2</w:t>
      </w:r>
      <w:r>
        <w:rPr>
          <w:rFonts w:ascii="Arial" w:hAnsi="Arial" w:eastAsia="仿宋" w:cs="Arial"/>
          <w:sz w:val="28"/>
          <w:szCs w:val="28"/>
          <w:highlight w:val="none"/>
          <w:lang w:bidi="ar"/>
        </w:rPr>
        <w:t>）优化国土空间发展格局：赋予省级政府统筹建设用地更大自主权，探索实施建设用地总量按规划期管控模式，实行统筹存量和增量综合供地；（</w:t>
      </w:r>
      <w:r>
        <w:rPr>
          <w:rFonts w:hint="eastAsia" w:ascii="Arial" w:hAnsi="Arial" w:eastAsia="仿宋" w:cs="Arial"/>
          <w:sz w:val="28"/>
          <w:szCs w:val="28"/>
          <w:highlight w:val="none"/>
          <w:lang w:bidi="ar"/>
        </w:rPr>
        <w:t>3</w:t>
      </w:r>
      <w:r>
        <w:rPr>
          <w:rFonts w:ascii="Arial" w:hAnsi="Arial" w:eastAsia="仿宋" w:cs="Arial"/>
          <w:sz w:val="28"/>
          <w:szCs w:val="28"/>
          <w:highlight w:val="none"/>
          <w:lang w:bidi="ar"/>
        </w:rPr>
        <w:t>）坚持城市内涵式发展，大力实施城市更新，建设创新、宜居、美丽、韧性、文明、智慧的现代化人民城市；（</w:t>
      </w:r>
      <w:r>
        <w:rPr>
          <w:rFonts w:hint="eastAsia" w:ascii="Arial" w:hAnsi="Arial" w:eastAsia="仿宋" w:cs="Arial"/>
          <w:sz w:val="28"/>
          <w:szCs w:val="28"/>
          <w:highlight w:val="none"/>
          <w:lang w:bidi="ar"/>
        </w:rPr>
        <w:t>4</w:t>
      </w:r>
      <w:r>
        <w:rPr>
          <w:rFonts w:ascii="Arial" w:hAnsi="Arial" w:eastAsia="仿宋" w:cs="Arial"/>
          <w:sz w:val="28"/>
          <w:szCs w:val="28"/>
          <w:highlight w:val="none"/>
          <w:lang w:bidi="ar"/>
        </w:rPr>
        <w:t>）推动房地产高质量发展：加快构建房地产发展新模式，完善商品房开发、融资、销售等基础制度；优化保障性住房供给，满足城镇工薪群体和各类困难家庭基本住房需求；因城施策增加改善性住房供给；建设安全舒适绿色智慧的“好房子”，实施房屋品质提升工程和物业服务质量提升行动；建立房屋全生命周期安全管理制度；（</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）提高防范化解重点领域风险能力，统筹推进房地产、地方政府债务、中小金融机构等风险有序化解，严防系统性风险。</w:t>
      </w:r>
    </w:p>
    <w:p w14:paraId="5043E748">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年12月1</w:t>
      </w:r>
      <w:r>
        <w:rPr>
          <w:rFonts w:hint="eastAsia" w:ascii="Arial" w:hAnsi="Arial" w:eastAsia="仿宋" w:cs="Arial"/>
          <w:sz w:val="28"/>
          <w:szCs w:val="28"/>
          <w:highlight w:val="none"/>
          <w:lang w:bidi="ar"/>
        </w:rPr>
        <w:t>0</w:t>
      </w:r>
      <w:r>
        <w:rPr>
          <w:rFonts w:ascii="Arial" w:hAnsi="Arial" w:eastAsia="仿宋" w:cs="Arial"/>
          <w:sz w:val="28"/>
          <w:szCs w:val="28"/>
          <w:highlight w:val="none"/>
          <w:lang w:bidi="ar"/>
        </w:rPr>
        <w:t>日至1</w:t>
      </w:r>
      <w:r>
        <w:rPr>
          <w:rFonts w:hint="eastAsia" w:ascii="Arial" w:hAnsi="Arial" w:eastAsia="仿宋" w:cs="Arial"/>
          <w:sz w:val="28"/>
          <w:szCs w:val="28"/>
          <w:highlight w:val="none"/>
          <w:lang w:bidi="ar"/>
        </w:rPr>
        <w:t>1</w:t>
      </w:r>
      <w:r>
        <w:rPr>
          <w:rFonts w:ascii="Arial" w:hAnsi="Arial" w:eastAsia="仿宋" w:cs="Arial"/>
          <w:sz w:val="28"/>
          <w:szCs w:val="28"/>
          <w:highlight w:val="none"/>
          <w:lang w:bidi="ar"/>
        </w:rPr>
        <w:t>日，202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年中央经济工作会议举行。会议总结202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年经济工作，</w:t>
      </w:r>
      <w:r>
        <w:rPr>
          <w:rFonts w:hint="eastAsia" w:ascii="Arial" w:hAnsi="Arial" w:eastAsia="仿宋" w:cs="Arial"/>
          <w:sz w:val="28"/>
          <w:szCs w:val="28"/>
          <w:highlight w:val="none"/>
          <w:lang w:bidi="ar"/>
        </w:rPr>
        <w:t>分析当前经济形势，部署2026年经济工作</w:t>
      </w:r>
      <w:r>
        <w:rPr>
          <w:rFonts w:ascii="Arial" w:hAnsi="Arial" w:eastAsia="仿宋" w:cs="Arial"/>
          <w:sz w:val="28"/>
          <w:szCs w:val="28"/>
          <w:highlight w:val="none"/>
          <w:lang w:bidi="ar"/>
        </w:rPr>
        <w:t>。会议提出</w:t>
      </w:r>
      <w:r>
        <w:rPr>
          <w:rFonts w:hint="eastAsia" w:ascii="Arial" w:hAnsi="Arial" w:eastAsia="仿宋" w:cs="Arial"/>
          <w:sz w:val="28"/>
          <w:szCs w:val="28"/>
          <w:highlight w:val="none"/>
          <w:lang w:bidi="ar"/>
        </w:rPr>
        <w:t>“着力稳定房地产市场，因城施策控增量、去库存、优供给，鼓励收购存量商品房重点用于保障性住房等。深化住房公积金制度改革，有序推动‘好房子’建设。加快构建房地产发展新模式</w:t>
      </w:r>
      <w:r>
        <w:rPr>
          <w:rFonts w:ascii="Arial" w:hAnsi="Arial" w:eastAsia="仿宋" w:cs="Arial"/>
          <w:sz w:val="28"/>
          <w:szCs w:val="28"/>
          <w:highlight w:val="none"/>
          <w:lang w:bidi="ar"/>
        </w:rPr>
        <w:t>。</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可以预见，房地产行业的发展潜力和空间依然巨大，中国城市房地产大规模增量扩张的时代已经结束，存量提质增效的新阶段已然开启，房地产行业的未来增长，不再局限于新建开发，而是更多来自存量资产的精细化运营、物业服务的品质升级、租赁市场的规范发展等多元赛道。</w:t>
      </w:r>
    </w:p>
    <w:p w14:paraId="02B5F9FB">
      <w:pPr>
        <w:widowControl/>
        <w:adjustRightInd/>
        <w:spacing w:line="300" w:lineRule="auto"/>
        <w:ind w:firstLine="560" w:firstLineChars="200"/>
        <w:rPr>
          <w:rFonts w:hint="eastAsia" w:ascii="Arial" w:hAnsi="Arial" w:eastAsia="仿宋" w:cs="Arial"/>
          <w:sz w:val="28"/>
          <w:szCs w:val="28"/>
          <w:highlight w:val="none"/>
          <w:lang w:bidi="ar"/>
        </w:rPr>
      </w:pPr>
      <w:r>
        <w:rPr>
          <w:rFonts w:ascii="Arial" w:hAnsi="Arial" w:eastAsia="仿宋" w:cs="Arial"/>
          <w:sz w:val="28"/>
          <w:szCs w:val="28"/>
          <w:highlight w:val="none"/>
          <w:lang w:bidi="ar"/>
        </w:rPr>
        <w:t>202</w:t>
      </w:r>
      <w:r>
        <w:rPr>
          <w:rFonts w:hint="eastAsia" w:ascii="Arial" w:hAnsi="Arial" w:eastAsia="仿宋" w:cs="Arial"/>
          <w:sz w:val="28"/>
          <w:szCs w:val="28"/>
          <w:highlight w:val="none"/>
          <w:lang w:bidi="ar"/>
        </w:rPr>
        <w:t>5</w:t>
      </w:r>
      <w:r>
        <w:rPr>
          <w:rFonts w:ascii="Arial" w:hAnsi="Arial" w:eastAsia="仿宋" w:cs="Arial"/>
          <w:sz w:val="28"/>
          <w:szCs w:val="28"/>
          <w:highlight w:val="none"/>
          <w:lang w:bidi="ar"/>
        </w:rPr>
        <w:t>年12月2</w:t>
      </w:r>
      <w:r>
        <w:rPr>
          <w:rFonts w:hint="eastAsia" w:ascii="Arial" w:hAnsi="Arial" w:eastAsia="仿宋" w:cs="Arial"/>
          <w:sz w:val="28"/>
          <w:szCs w:val="28"/>
          <w:highlight w:val="none"/>
          <w:lang w:bidi="ar"/>
        </w:rPr>
        <w:t>2</w:t>
      </w:r>
      <w:r>
        <w:rPr>
          <w:rFonts w:ascii="Arial" w:hAnsi="Arial" w:eastAsia="仿宋" w:cs="Arial"/>
          <w:sz w:val="28"/>
          <w:szCs w:val="28"/>
          <w:highlight w:val="none"/>
          <w:lang w:bidi="ar"/>
        </w:rPr>
        <w:t>日至2</w:t>
      </w:r>
      <w:r>
        <w:rPr>
          <w:rFonts w:hint="eastAsia" w:ascii="Arial" w:hAnsi="Arial" w:eastAsia="仿宋" w:cs="Arial"/>
          <w:sz w:val="28"/>
          <w:szCs w:val="28"/>
          <w:highlight w:val="none"/>
          <w:lang w:bidi="ar"/>
        </w:rPr>
        <w:t>3</w:t>
      </w:r>
      <w:r>
        <w:rPr>
          <w:rFonts w:ascii="Arial" w:hAnsi="Arial" w:eastAsia="仿宋" w:cs="Arial"/>
          <w:sz w:val="28"/>
          <w:szCs w:val="28"/>
          <w:highlight w:val="none"/>
          <w:lang w:bidi="ar"/>
        </w:rPr>
        <w:t>日，全国住房城乡建设工作会议在北京召开。会议</w:t>
      </w:r>
      <w:r>
        <w:rPr>
          <w:rFonts w:hint="eastAsia" w:ascii="Arial" w:hAnsi="Arial" w:eastAsia="仿宋" w:cs="Arial"/>
          <w:sz w:val="28"/>
          <w:szCs w:val="28"/>
          <w:highlight w:val="none"/>
          <w:lang w:bidi="ar"/>
        </w:rPr>
        <w:t>全面盘点2025年工作，系统总结“十四五”时期住房城乡建设事业发展成就，研究部署“十五五”时期和2026年重点任务</w:t>
      </w:r>
      <w:r>
        <w:rPr>
          <w:rFonts w:ascii="Arial" w:hAnsi="Arial" w:eastAsia="仿宋" w:cs="Arial"/>
          <w:sz w:val="28"/>
          <w:szCs w:val="28"/>
          <w:highlight w:val="none"/>
          <w:lang w:bidi="ar"/>
        </w:rPr>
        <w:t>。会议强调，202</w:t>
      </w:r>
      <w:r>
        <w:rPr>
          <w:rFonts w:hint="eastAsia" w:ascii="Arial" w:hAnsi="Arial" w:eastAsia="仿宋" w:cs="Arial"/>
          <w:sz w:val="28"/>
          <w:szCs w:val="28"/>
          <w:highlight w:val="none"/>
          <w:lang w:bidi="ar"/>
        </w:rPr>
        <w:t>6</w:t>
      </w:r>
      <w:r>
        <w:rPr>
          <w:rFonts w:ascii="Arial" w:hAnsi="Arial" w:eastAsia="仿宋" w:cs="Arial"/>
          <w:sz w:val="28"/>
          <w:szCs w:val="28"/>
          <w:highlight w:val="none"/>
          <w:lang w:bidi="ar"/>
        </w:rPr>
        <w:t>年的工作要重点抓好</w:t>
      </w:r>
      <w:r>
        <w:rPr>
          <w:rFonts w:hint="eastAsia" w:ascii="Arial" w:hAnsi="Arial" w:eastAsia="仿宋" w:cs="Arial"/>
          <w:sz w:val="28"/>
          <w:szCs w:val="28"/>
          <w:highlight w:val="none"/>
          <w:lang w:bidi="ar"/>
        </w:rPr>
        <w:t>4</w:t>
      </w:r>
      <w:r>
        <w:rPr>
          <w:rFonts w:ascii="Arial" w:hAnsi="Arial" w:eastAsia="仿宋" w:cs="Arial"/>
          <w:sz w:val="28"/>
          <w:szCs w:val="28"/>
          <w:highlight w:val="none"/>
          <w:lang w:bidi="ar"/>
        </w:rPr>
        <w:t>个方面工作。一、</w:t>
      </w:r>
      <w:r>
        <w:rPr>
          <w:rFonts w:hint="eastAsia" w:ascii="Arial" w:hAnsi="Arial" w:eastAsia="仿宋" w:cs="Arial"/>
          <w:sz w:val="28"/>
          <w:szCs w:val="28"/>
          <w:highlight w:val="none"/>
          <w:lang w:bidi="ar"/>
        </w:rPr>
        <w:t>推进现代化人民城市建设，重点是：高质量开展城市更新，编制实施“十五五”城市更新专项规划，抓好城市体检、更新试点，实施一批民生工程、发展工程、安全工程。</w:t>
      </w:r>
      <w:r>
        <w:rPr>
          <w:rFonts w:ascii="Arial" w:hAnsi="Arial" w:eastAsia="仿宋" w:cs="Arial"/>
          <w:sz w:val="28"/>
          <w:szCs w:val="28"/>
          <w:highlight w:val="none"/>
          <w:lang w:bidi="ar"/>
        </w:rPr>
        <w:t>二、</w:t>
      </w:r>
      <w:r>
        <w:rPr>
          <w:rFonts w:hint="eastAsia" w:ascii="Arial" w:hAnsi="Arial" w:eastAsia="仿宋" w:cs="Arial"/>
          <w:sz w:val="28"/>
          <w:szCs w:val="28"/>
          <w:highlight w:val="none"/>
          <w:lang w:bidi="ar"/>
        </w:rPr>
        <w:t>着力稳定房地产市场，重点是：因城施策控增量、去库存、优供给，结合城市更新、城中村改造盘活利用存量用地，推动收购存量商品房用作保障性住房、安置房、宿舍、人才房等。优化和精准实施保障性住房供应，实施房屋品质提升工程，有序推进“好房子”建设；进一步发挥房地产项目“白名单”制度作用，支持房地产企业合理融资需求</w:t>
      </w:r>
      <w:r>
        <w:rPr>
          <w:rFonts w:ascii="Arial" w:hAnsi="Arial" w:eastAsia="仿宋" w:cs="Arial"/>
          <w:sz w:val="28"/>
          <w:szCs w:val="28"/>
          <w:highlight w:val="none"/>
          <w:lang w:bidi="ar"/>
        </w:rPr>
        <w:t>。三、</w:t>
      </w:r>
      <w:r>
        <w:rPr>
          <w:rFonts w:hint="eastAsia" w:ascii="Arial" w:hAnsi="Arial" w:eastAsia="仿宋" w:cs="Arial"/>
          <w:sz w:val="28"/>
          <w:szCs w:val="28"/>
          <w:highlight w:val="none"/>
          <w:lang w:bidi="ar"/>
        </w:rPr>
        <w:t>加快建筑业提质升级，重点是：推动产业转型升级，大力发展智能建造、绿色建造，培育现代化建筑产业链，加快新型建材研发应用，加快培育绿色建筑新增长点；规范建筑市场秩序，深入开展房屋和市政领域工程招标投标突出问题专项整治；强化现场监督管理，扎实推动安全生产治本攻坚三年行动，建立房屋全生命周期安全管理制度</w:t>
      </w:r>
      <w:r>
        <w:rPr>
          <w:rFonts w:ascii="Arial" w:hAnsi="Arial" w:eastAsia="仿宋" w:cs="Arial"/>
          <w:sz w:val="28"/>
          <w:szCs w:val="28"/>
          <w:highlight w:val="none"/>
          <w:lang w:bidi="ar"/>
        </w:rPr>
        <w:t>。四、</w:t>
      </w:r>
      <w:r>
        <w:rPr>
          <w:rFonts w:hint="eastAsia" w:ascii="Arial" w:hAnsi="Arial" w:eastAsia="仿宋" w:cs="Arial"/>
          <w:sz w:val="28"/>
          <w:szCs w:val="28"/>
          <w:highlight w:val="none"/>
          <w:lang w:bidi="ar"/>
        </w:rPr>
        <w:t>夯实高质量发展基础支撑，重点是：提升法治建设水平，完善标准体系，加快推出一批工作急需的工程建设标准。加强统计分析，推动优化现行统计指标，强化统计数据分析应用</w:t>
      </w:r>
      <w:r>
        <w:rPr>
          <w:rFonts w:ascii="Arial" w:hAnsi="Arial" w:eastAsia="仿宋" w:cs="Arial"/>
          <w:sz w:val="28"/>
          <w:szCs w:val="28"/>
          <w:highlight w:val="none"/>
          <w:lang w:bidi="ar"/>
        </w:rPr>
        <w:t>。</w:t>
      </w:r>
    </w:p>
    <w:p w14:paraId="3A6BFF48">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北京：</w:t>
      </w:r>
    </w:p>
    <w:p w14:paraId="1E01D131">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2025年2月12日，</w:t>
      </w:r>
      <w:r>
        <w:rPr>
          <w:rFonts w:ascii="Arial" w:hAnsi="Arial" w:eastAsia="仿宋" w:cs="Arial"/>
          <w:sz w:val="28"/>
          <w:szCs w:val="28"/>
          <w:highlight w:val="none"/>
          <w:lang w:bidi="ar"/>
        </w:rPr>
        <w:t>北京市规划和自然资源委员会发布</w:t>
      </w:r>
      <w:r>
        <w:rPr>
          <w:rFonts w:hint="eastAsia" w:ascii="Arial" w:hAnsi="Arial" w:eastAsia="仿宋" w:cs="Arial"/>
          <w:sz w:val="28"/>
          <w:szCs w:val="28"/>
          <w:highlight w:val="none"/>
          <w:lang w:bidi="ar"/>
        </w:rPr>
        <w:t>《关于印发〈北京市平原多点地区“好房子”规划管理相关技术要点（试行）〉的通知》，</w:t>
      </w:r>
      <w:r>
        <w:rPr>
          <w:rFonts w:ascii="Arial" w:hAnsi="Arial" w:eastAsia="仿宋" w:cs="Arial"/>
          <w:sz w:val="28"/>
          <w:szCs w:val="28"/>
          <w:highlight w:val="none"/>
          <w:lang w:bidi="ar"/>
        </w:rPr>
        <w:t>旨在提升住房品质，满足多样化居住需求。主要内容包括：允许按需设置封闭或开敞阳台，面积不超过套内建筑面积的10%；鼓励在140平方米以上住宅设置挑空空间；合理利用底层架空空间作为公共活动区域；设置开敞式风雨连廊以方便居民活动；增配邻里共享公共空间，提供便民服务；允许跨城市支路空间利用以优化布局；建筑高度可局部上浮以形成错落天际线；鼓励使用高品质材料提升立面品质。这些措施适用于顺义、大兴、亦庄、昌平、房山等平原多点地区，城市副中心可参照执行</w:t>
      </w:r>
      <w:r>
        <w:rPr>
          <w:rFonts w:hint="eastAsia" w:ascii="Arial" w:hAnsi="Arial" w:eastAsia="仿宋" w:cs="Arial"/>
          <w:sz w:val="28"/>
          <w:szCs w:val="28"/>
          <w:highlight w:val="none"/>
          <w:lang w:bidi="ar"/>
        </w:rPr>
        <w:t>。</w:t>
      </w:r>
    </w:p>
    <w:p w14:paraId="3581886A">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5月9日，北京市住房和城乡建设委员会</w:t>
      </w:r>
      <w:r>
        <w:rPr>
          <w:rFonts w:hint="eastAsia" w:ascii="Arial" w:hAnsi="Arial" w:eastAsia="仿宋" w:cs="Arial"/>
          <w:sz w:val="28"/>
          <w:szCs w:val="28"/>
          <w:highlight w:val="none"/>
          <w:lang w:bidi="ar"/>
        </w:rPr>
        <w:t>发布</w:t>
      </w:r>
      <w:r>
        <w:rPr>
          <w:rFonts w:ascii="Arial" w:hAnsi="Arial" w:eastAsia="仿宋" w:cs="Arial"/>
          <w:sz w:val="28"/>
          <w:szCs w:val="28"/>
          <w:highlight w:val="none"/>
          <w:lang w:bidi="ar"/>
        </w:rPr>
        <w:t>《关于印发</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2025年北京市住房发展年度计划</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的通知》</w:t>
      </w:r>
      <w:r>
        <w:rPr>
          <w:rFonts w:hint="eastAsia" w:ascii="Arial" w:hAnsi="Arial" w:eastAsia="仿宋" w:cs="Arial"/>
          <w:sz w:val="28"/>
          <w:szCs w:val="28"/>
          <w:highlight w:val="none"/>
          <w:lang w:bidi="ar"/>
        </w:rPr>
        <w:t>。《通知》</w:t>
      </w:r>
      <w:r>
        <w:rPr>
          <w:rFonts w:ascii="Arial" w:hAnsi="Arial" w:eastAsia="仿宋" w:cs="Arial"/>
          <w:sz w:val="28"/>
          <w:szCs w:val="28"/>
          <w:highlight w:val="none"/>
          <w:lang w:bidi="ar"/>
        </w:rPr>
        <w:t>围绕优化住房用地供应、推进房地产市场回稳向好、加强住房保障、规范住房租赁市场、发挥住房公积金作用、提升住房质量、推进城市更新、健全物业管理服务体系等八个方面，提出了具体任务、行动计划和工作举措。</w:t>
      </w:r>
    </w:p>
    <w:p w14:paraId="1B3DB435">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2025年7月10日，北京市人民政府发布</w:t>
      </w:r>
      <w:r>
        <w:rPr>
          <w:rFonts w:ascii="Arial" w:hAnsi="Arial" w:eastAsia="仿宋" w:cs="Arial"/>
          <w:sz w:val="28"/>
          <w:szCs w:val="28"/>
          <w:highlight w:val="none"/>
          <w:lang w:bidi="ar"/>
        </w:rPr>
        <w:t>《关于印发</w:t>
      </w:r>
      <w:r>
        <w:rPr>
          <w:rFonts w:hint="eastAsia" w:ascii="Arial" w:hAnsi="Arial" w:eastAsia="仿宋" w:cs="Arial"/>
          <w:sz w:val="28"/>
          <w:szCs w:val="28"/>
          <w:highlight w:val="none"/>
          <w:lang w:bidi="ar"/>
        </w:rPr>
        <w:t>〈北京市深化改革提振消费专项行动方案〉</w:t>
      </w:r>
      <w:r>
        <w:rPr>
          <w:rFonts w:ascii="Arial" w:hAnsi="Arial" w:eastAsia="仿宋" w:cs="Arial"/>
          <w:sz w:val="28"/>
          <w:szCs w:val="28"/>
          <w:highlight w:val="none"/>
          <w:lang w:bidi="ar"/>
        </w:rPr>
        <w:t>的通知》，提出共计24项具体方案。其中，</w:t>
      </w:r>
      <w:r>
        <w:rPr>
          <w:rFonts w:hint="eastAsia" w:ascii="Arial" w:hAnsi="Arial" w:eastAsia="仿宋" w:cs="Arial"/>
          <w:sz w:val="28"/>
          <w:szCs w:val="28"/>
          <w:highlight w:val="none"/>
          <w:lang w:bidi="ar"/>
        </w:rPr>
        <w:t>第14项“</w:t>
      </w:r>
      <w:r>
        <w:rPr>
          <w:rFonts w:ascii="Arial" w:hAnsi="Arial" w:eastAsia="仿宋" w:cs="Arial"/>
          <w:sz w:val="28"/>
          <w:szCs w:val="28"/>
          <w:highlight w:val="none"/>
          <w:lang w:bidi="ar"/>
        </w:rPr>
        <w:t>优化住房消费新供给</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：优先向轨道交通站点和就业密集地区 供应住宅用地，完善</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保障</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市场</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住房供应体系。进一步发挥住房公积金促进作用，支持缴存人在提取公积 金支付购房首付款的同时申请住房公积金个人住房贷款。研究制定住房公积金个人住房贷款</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带押过户</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政策，并开展相关业务。</w:t>
      </w:r>
    </w:p>
    <w:p w14:paraId="6FD21785">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2025年8月8日，</w:t>
      </w:r>
      <w:r>
        <w:rPr>
          <w:rFonts w:ascii="Arial" w:hAnsi="Arial" w:eastAsia="仿宋" w:cs="Arial"/>
          <w:sz w:val="28"/>
          <w:szCs w:val="28"/>
          <w:highlight w:val="none"/>
          <w:lang w:bidi="ar"/>
        </w:rPr>
        <w:t>北京市住房和城乡建设委员会、</w:t>
      </w:r>
      <w:r>
        <w:rPr>
          <w:rFonts w:hint="eastAsia" w:ascii="Arial" w:hAnsi="Arial" w:eastAsia="仿宋" w:cs="Arial"/>
          <w:sz w:val="28"/>
          <w:szCs w:val="28"/>
          <w:highlight w:val="none"/>
          <w:lang w:bidi="ar"/>
        </w:rPr>
        <w:t>北京住房公积金管理中心</w:t>
      </w:r>
      <w:r>
        <w:rPr>
          <w:rFonts w:ascii="Arial" w:hAnsi="Arial" w:eastAsia="仿宋" w:cs="Arial"/>
          <w:sz w:val="28"/>
          <w:szCs w:val="28"/>
          <w:highlight w:val="none"/>
          <w:lang w:bidi="ar"/>
        </w:rPr>
        <w:t>联合发布</w:t>
      </w:r>
      <w:r>
        <w:rPr>
          <w:rFonts w:hint="eastAsia" w:ascii="Arial" w:hAnsi="Arial" w:eastAsia="仿宋" w:cs="Arial"/>
          <w:sz w:val="28"/>
          <w:szCs w:val="28"/>
          <w:highlight w:val="none"/>
          <w:lang w:bidi="ar"/>
        </w:rPr>
        <w:t>《关于进一步优化调整本市房地产相关政策的通知》。此次政策调整聚焦于优化住房限购政策和加大公积金贷款支持力度两大方面，其中五环外限购松绑以及公积金政策的多项优化举措，印发广泛关注。《通知》自2025年8月9日起正式施行。</w:t>
      </w:r>
    </w:p>
    <w:p w14:paraId="30713A6F">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9月29日，</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北京市人民政府印发</w:t>
      </w:r>
      <w:r>
        <w:rPr>
          <w:rFonts w:hint="eastAsia" w:ascii="Arial" w:hAnsi="Arial" w:eastAsia="仿宋" w:cs="Arial"/>
          <w:sz w:val="28"/>
          <w:szCs w:val="28"/>
          <w:highlight w:val="none"/>
          <w:lang w:bidi="ar"/>
        </w:rPr>
        <w:t>〈北京市居住公共服务设施配置指标〉和〈北京市居住公共服务设施配置指标实施意见〉的通知》发布</w:t>
      </w:r>
      <w:r>
        <w:rPr>
          <w:rFonts w:ascii="Arial" w:hAnsi="Arial" w:eastAsia="仿宋" w:cs="Arial"/>
          <w:sz w:val="28"/>
          <w:szCs w:val="28"/>
          <w:highlight w:val="none"/>
          <w:lang w:bidi="ar"/>
        </w:rPr>
        <w:t>，对2015年印发的文件进行了全面修订</w:t>
      </w:r>
      <w:r>
        <w:rPr>
          <w:rFonts w:hint="eastAsia" w:ascii="Arial" w:hAnsi="Arial" w:eastAsia="仿宋" w:cs="Arial"/>
          <w:sz w:val="28"/>
          <w:szCs w:val="28"/>
          <w:highlight w:val="none"/>
          <w:lang w:bidi="ar"/>
        </w:rPr>
        <w:t>。《通知》</w:t>
      </w:r>
      <w:r>
        <w:rPr>
          <w:rFonts w:ascii="Arial" w:hAnsi="Arial" w:eastAsia="仿宋" w:cs="Arial"/>
          <w:sz w:val="28"/>
          <w:szCs w:val="28"/>
          <w:highlight w:val="none"/>
          <w:lang w:bidi="ar"/>
        </w:rPr>
        <w:t>于2025年 12月1日起实施。鼓励空间复合利用，增设综合服务设施，将文体活动、党群服务设施指标统筹使用；增设托育设施和老幼服务用房，强化“一老一小”服务功能；调整了停车指标，电动自行车原则在地上停放；增加末端物流设施、垃圾分类收集设施；增设社区级商业设施</w:t>
      </w:r>
      <w:r>
        <w:rPr>
          <w:rFonts w:hint="eastAsia" w:ascii="Arial" w:hAnsi="Arial" w:eastAsia="仿宋" w:cs="Arial"/>
          <w:sz w:val="28"/>
          <w:szCs w:val="28"/>
          <w:highlight w:val="none"/>
          <w:lang w:bidi="ar"/>
        </w:rPr>
        <w:t>。</w:t>
      </w:r>
    </w:p>
    <w:p w14:paraId="2EEDD0BC">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2025年12月24日，北京市住房和城乡建设委员会、中国人民银行北京市分行、北京市发展和改革委员会和北京住房公积金管理中心联合发布《关于进一步优化调整本市房地产相关政策的通知》。《通知》</w:t>
      </w:r>
      <w:r>
        <w:rPr>
          <w:rFonts w:ascii="Arial" w:hAnsi="Arial" w:eastAsia="仿宋" w:cs="Arial"/>
          <w:sz w:val="28"/>
          <w:szCs w:val="28"/>
          <w:highlight w:val="none"/>
          <w:lang w:bidi="ar"/>
        </w:rPr>
        <w:t>核心内容包括放宽非京籍购房条件、支持多子女家庭购房、优化信贷及公积金政策等，自发布当日施行</w:t>
      </w:r>
      <w:r>
        <w:rPr>
          <w:rFonts w:hint="eastAsia" w:ascii="Arial" w:hAnsi="Arial" w:eastAsia="仿宋" w:cs="Arial"/>
          <w:sz w:val="28"/>
          <w:szCs w:val="28"/>
          <w:highlight w:val="none"/>
          <w:lang w:bidi="ar"/>
        </w:rPr>
        <w:t>。</w:t>
      </w:r>
    </w:p>
    <w:p w14:paraId="22820F09">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bCs/>
          <w:color w:val="000000"/>
          <w:sz w:val="28"/>
          <w:szCs w:val="28"/>
          <w:highlight w:val="none"/>
        </w:rPr>
        <w:t>2025年12月31日，北京市规划和自然资源委员会和北京市住房和城乡建设委员会联合发布《关于印发</w:t>
      </w:r>
      <w:r>
        <w:rPr>
          <w:rFonts w:hint="eastAsia" w:ascii="仿宋" w:hAnsi="仿宋" w:eastAsia="仿宋" w:cs="Arial"/>
          <w:bCs/>
          <w:color w:val="000000"/>
          <w:sz w:val="28"/>
          <w:szCs w:val="28"/>
          <w:highlight w:val="none"/>
        </w:rPr>
        <w:t>〈</w:t>
      </w:r>
      <w:r>
        <w:rPr>
          <w:rFonts w:hint="eastAsia" w:ascii="Arial" w:hAnsi="Arial" w:eastAsia="仿宋" w:cs="Arial"/>
          <w:bCs/>
          <w:color w:val="000000"/>
          <w:sz w:val="28"/>
          <w:szCs w:val="28"/>
          <w:highlight w:val="none"/>
        </w:rPr>
        <w:t>北京市城市更新范围内无手续建筑认定处理指导意见（试行）</w:t>
      </w:r>
      <w:r>
        <w:rPr>
          <w:rFonts w:hint="eastAsia" w:ascii="仿宋" w:hAnsi="仿宋" w:eastAsia="仿宋" w:cs="Arial"/>
          <w:bCs/>
          <w:color w:val="000000"/>
          <w:sz w:val="28"/>
          <w:szCs w:val="28"/>
          <w:highlight w:val="none"/>
        </w:rPr>
        <w:t>〉</w:t>
      </w:r>
      <w:r>
        <w:rPr>
          <w:rFonts w:hint="eastAsia" w:ascii="Arial" w:hAnsi="Arial" w:eastAsia="仿宋" w:cs="Arial"/>
          <w:bCs/>
          <w:color w:val="000000"/>
          <w:sz w:val="28"/>
          <w:szCs w:val="28"/>
          <w:highlight w:val="none"/>
        </w:rPr>
        <w:t>的通知》，该文件</w:t>
      </w:r>
      <w:r>
        <w:rPr>
          <w:rFonts w:ascii="Arial" w:hAnsi="Arial" w:eastAsia="仿宋" w:cs="Arial"/>
          <w:bCs/>
          <w:color w:val="000000"/>
          <w:sz w:val="28"/>
          <w:szCs w:val="28"/>
          <w:highlight w:val="none"/>
        </w:rPr>
        <w:t>属于《北京市城市更新条例》配套政策文件，旨在推动化解城市更新范围内部分现状建筑物因历史原因形成的无手续或手续不完善问题，激励城市更新项目实施，进一步优化城市功能布局，促进存量空间资源提质增效，加快推进城市更新项</w:t>
      </w:r>
      <w:r>
        <w:rPr>
          <w:rFonts w:ascii="Arial" w:hAnsi="Arial" w:eastAsia="仿宋" w:cs="Arial"/>
          <w:sz w:val="28"/>
          <w:szCs w:val="28"/>
          <w:highlight w:val="none"/>
          <w:lang w:bidi="ar"/>
        </w:rPr>
        <w:t>目实施</w:t>
      </w:r>
      <w:r>
        <w:rPr>
          <w:rFonts w:hint="eastAsia" w:ascii="Arial" w:hAnsi="Arial" w:eastAsia="仿宋" w:cs="Arial"/>
          <w:sz w:val="28"/>
          <w:szCs w:val="28"/>
          <w:highlight w:val="none"/>
          <w:lang w:bidi="ar"/>
        </w:rPr>
        <w:t>。</w:t>
      </w:r>
    </w:p>
    <w:p w14:paraId="36E0D120">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  税收政策：</w:t>
      </w:r>
    </w:p>
    <w:p w14:paraId="10BF0088">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2025年4月，</w:t>
      </w:r>
      <w:r>
        <w:rPr>
          <w:rFonts w:ascii="Arial" w:hAnsi="Arial" w:eastAsia="仿宋" w:cs="Arial"/>
          <w:sz w:val="28"/>
          <w:szCs w:val="28"/>
          <w:highlight w:val="none"/>
          <w:lang w:bidi="ar"/>
        </w:rPr>
        <w:t>国家税务总局12366纳税服务平台以热点问题答复形式回应：纳税人按照《关于降低存量首套住房贷款 利率有关事项的通知》规定“二套转首套”，其商业住房贷款部分已执行首套住房贷款利率的，符合《国务院 关于印发个人所得税专项附加扣除暂行办法的通知》</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国发〔2018〕41号</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有关住房贷款利息专项附加扣除的规定且之前未享受过住房贷款利息专项附加扣除的，可以自按照首套住房贷款利率开始还款的当月起享受住房贷款利息专项附加扣除。</w:t>
      </w:r>
    </w:p>
    <w:p w14:paraId="724AE7E2">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w:t>
      </w:r>
      <w:r>
        <w:rPr>
          <w:rFonts w:ascii="Arial" w:hAnsi="Arial" w:eastAsia="仿宋" w:cs="Arial"/>
          <w:sz w:val="28"/>
          <w:szCs w:val="28"/>
          <w:highlight w:val="none"/>
          <w:lang w:bidi="ar"/>
        </w:rPr>
        <w:t>10月15日，北京市住房和城乡建设委员会、北京市财政局、国家税务总局北京市税务局发布《关于进一步明确本市住房租赁企业税收政策适用有关事项的通知》，明确符合条件的住房租赁企业，可以按照《关于完善住房租赁有关税收政策的公告》（财政部、税务总局、住房城乡建设部公告2021 年第24号》享受相应的税收优惠政策。将专业化规模化住房租赁企业标准下调50%，即在本市持有或者经营租赁住房500 套（间）及以上或者建筑面积1.5 万平方米及以上，进一步扩大专业化规模化住房租赁企业税收优惠覆盖面。</w:t>
      </w:r>
    </w:p>
    <w:p w14:paraId="1CE8D320">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12月30日，财政部、税务总局联合发布《关于个人销售住房增值税政策的公告》，个人将购买不足2年的住房对外销售的，按照3%的征收率全额缴纳增值税；个人将购买2年以上（含2年）的住房对外销售的，免征增值税。本次政策调整主要针对购买不足2年的住房，将出售增值税率由5%调整至3%，购买2年以上的住房对外销售的，没有调整，仍免征增值税。公告自2026年1月1日起施行。</w:t>
      </w:r>
    </w:p>
    <w:p w14:paraId="44BD1C16">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  金融政策：</w:t>
      </w:r>
    </w:p>
    <w:p w14:paraId="1B516CC4">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全国：</w:t>
      </w:r>
    </w:p>
    <w:p w14:paraId="53078A52">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2025年5月7日，</w:t>
      </w:r>
      <w:r>
        <w:rPr>
          <w:rFonts w:ascii="Arial" w:hAnsi="Arial" w:eastAsia="仿宋" w:cs="Arial"/>
          <w:sz w:val="28"/>
          <w:szCs w:val="28"/>
          <w:highlight w:val="none"/>
          <w:lang w:bidi="ar"/>
        </w:rPr>
        <w:t>中国人民银行公告，下调金融机构存款准备金率、下调再贷款利率、下调个人住房公积金贷款利率：自5月15日起，下调金融机构存款准备金率0.5个百分点；自5月7日起，下调再贷款利率0.25个百分点；自5月 8日起，下调个人住房公积金贷款利率0.25个百分点。</w:t>
      </w:r>
    </w:p>
    <w:p w14:paraId="6EAC3793">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北京：</w:t>
      </w:r>
    </w:p>
    <w:p w14:paraId="4CAA013B">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2024年9月30日，北京市住房和城乡建设委员会、北京市财政局、中国人民银行北京市分行、国家金融监督管理总局北京监管局、国家税务总局北京市税务局、北京住房公积金管理中心联合发布《关于进一步优化调整本市房地产相关政策的通知》。《通知》提出，加大信贷政策支持力度。一是降低存量房贷利率。引导商业银行稳妥有序将存量房贷利率降至新发放贷款利率附近，切实减轻购房人房贷利息负担。二是下调房贷首付款比例。将商业性个人住房贷款首套房贷最低首付款比例由不低于20%下调至不低于15%，二套房贷由不低于35%（购买五环内住房）、不低于30%（购买五环外住房）统一下调至不低于20%。三是更好发挥住房公积金贷款作用。京籍二孩以上家庭购房的，公积金可贷款额度上浮40万元。</w:t>
      </w:r>
    </w:p>
    <w:p w14:paraId="2822CF84">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2024年12月31日，北京住房公积金管理中心发布《关于调整住房公积金个人住房贷款借款人年龄上限的通知》，将住房公积金个人住房贷款借款期限调整到可计算到借款申请人法定退休年龄后5年，原则上最高不超过68周岁，贷款期限最长为30年。《通知》自2025年1月1日起执行。</w:t>
      </w:r>
    </w:p>
    <w:p w14:paraId="35BACB04">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2025年5月8日，</w:t>
      </w:r>
      <w:r>
        <w:rPr>
          <w:rFonts w:ascii="Arial" w:hAnsi="Arial" w:eastAsia="仿宋" w:cs="Arial"/>
          <w:sz w:val="28"/>
          <w:szCs w:val="28"/>
          <w:highlight w:val="none"/>
          <w:lang w:bidi="ar"/>
        </w:rPr>
        <w:t>北京住房公积金管理中心发布《</w:t>
      </w:r>
      <w:r>
        <w:rPr>
          <w:rFonts w:hint="eastAsia" w:ascii="Arial" w:hAnsi="Arial" w:eastAsia="仿宋" w:cs="Arial"/>
          <w:sz w:val="28"/>
          <w:szCs w:val="28"/>
          <w:highlight w:val="none"/>
          <w:lang w:bidi="ar"/>
        </w:rPr>
        <w:t>关于下调个人住房公积金贷款利率的公告</w:t>
      </w:r>
      <w:r>
        <w:rPr>
          <w:rFonts w:ascii="Arial" w:hAnsi="Arial" w:eastAsia="仿宋" w:cs="Arial"/>
          <w:sz w:val="28"/>
          <w:szCs w:val="28"/>
          <w:highlight w:val="none"/>
          <w:lang w:bidi="ar"/>
        </w:rPr>
        <w:t>》</w:t>
      </w:r>
      <w:r>
        <w:rPr>
          <w:rFonts w:hint="eastAsia" w:ascii="Arial" w:hAnsi="Arial" w:eastAsia="仿宋" w:cs="Arial"/>
          <w:sz w:val="28"/>
          <w:szCs w:val="28"/>
          <w:highlight w:val="none"/>
          <w:lang w:bidi="ar"/>
        </w:rPr>
        <w:t>，</w:t>
      </w:r>
      <w:r>
        <w:rPr>
          <w:rFonts w:ascii="Arial" w:hAnsi="Arial" w:eastAsia="仿宋" w:cs="Arial"/>
          <w:sz w:val="28"/>
          <w:szCs w:val="28"/>
          <w:highlight w:val="none"/>
          <w:lang w:bidi="ar"/>
        </w:rPr>
        <w:t>2025年5月8日（含）之后新发放的贷款，5年以下（含5年）和5年以上首套个人住房公积金贷款利率分别为2.1％和2.6％，5年以下 （含5年）和5年以上第二套个人住房公积金贷款利率分别为2.525％和3.075％。</w:t>
      </w:r>
    </w:p>
    <w:p w14:paraId="3CB9012E">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4.城市规划与发展目标</w:t>
      </w:r>
    </w:p>
    <w:p w14:paraId="1578E9EF">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（1）《北京城市总体规划</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2016年</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2035年</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于2017年9月29日正式发布。新版总体规划以资源环境为硬约束，确定了人口总量上限、生态控制线、城市开发边界“三条红线”。通过疏解非首都功能，实现人随功能走、人随产业走。北京市常住人口规模2020年控制在2300万人以内，2020年以后长期稳定在这一水平。到2035年，北京市生态控制区面积占市域面积的比例要提高到75%。到2020年，北京市城乡建设用地规模将由2015年的2921平方公里减到2860平方公里。深入推进京津冀协同发展。发挥北京的辐射带动作用，打造以首都为核心的世界级城市群。全方位对接支持河北雄安新区规划建设。与河北共同筹办好2022年北京冬奥会和冬残奥会，促进区域整体发展水平提升。聚焦重点领域，优化区域交通体系，推进交通互联互通，疏解过境交通；建设好北京新机场，打造区域世界级机场群；加强产业协作和转移，构建区域协同创新共同体。加强与天津、河北交界地区统一规划、统一政策、统一管控。</w:t>
      </w:r>
    </w:p>
    <w:p w14:paraId="4A218DEF">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2）2021年1月27日，北京市第十五届人民代表大会第四次会议批准了《北京市国民经济和社会发展第十四个五年规划和二〇三五年远景目标纲要》（以下简称《纲要》）。《纲要》的指导思想，是要统筹推进“五位一体”总体布局，协调推进“四个全面”战略布局，坚定不移贯彻创新、协调、绿色、开放、共享的新发展理念，坚持稳中求进工作总基调，立足首都城市战略定位，深入实施人文北京、科技北京、绿色北京战略，以首都发展为统领，以推进高质量发展为主题，以深化供给侧结构性改革为主线，以改革创新为根本动力，以满足人民日益增长的美好生活需要为根本目的，以建设国际科技创新中心为新引擎，以疏解非首都功能为“牛鼻子”推动京津冀协同发展，以高水平对外开放打造国际合作和竞争新优势，统筹发展和安全，加快建设现代化经济体系，率先探索构建新发展格局的有效路径，推进首都治理体系和治理能力现代化，实现经济行稳致远、社会安定和谐，为率先基本实现社会主义现代化开好局、起好步。</w:t>
      </w:r>
    </w:p>
    <w:p w14:paraId="17CFB962">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纲要》提出，建设高品质宜居城市，优化城市空间功能布局，加快推进城市更新。大力推进老旧小区改造，促进存量产业空间活力复兴。研究推进区域整体转型开发、节余土地分割转让等机制，鼓励市场主体利用老旧厂房发展科技研发、商务服务、文化创意等产业。</w:t>
      </w:r>
    </w:p>
    <w:p w14:paraId="60E33CC7">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完善多层次住房保障体系，加大住房有效供给，优化房地产市场管理和服务。坚持“房住不炒”，完善房地产市场平稳健康发展长效机制，构建与城市功能定位和发展需求相适应的住房体系，努力实现住有所居、居有所安。加大住房有效供给，统筹住房保障、职住平衡和区域协调发展，提升住房供给体系的适配性。坚持保障和改善民生优先导向，增加住房供应，规划期内新增各类居住用地5000公顷、供应各类住房100万套左右，基本实现总体供需平衡。加大多层次保障性租赁住房供给，针对中低收入家庭自住需求，大力筹集建设各类租赁型住房，提高公共租赁住房备案家庭保障率，新增供应套数占比不低于40%。新增集体土地租赁住房等政策性租赁住房供地占比不低于供应总量的15%，鼓励存量低效商业、办公、厂房等建筑改造为租赁型职工集体宿舍或公寓。加快高层次人才公租房和国际人才公寓建设。确保住房交易市场平稳有序，规范发展住房租赁市场，保持调控政策连续性稳定性，坚决遏制投机炒房，按照“全市统筹、因区施策”原则，逐步完善各区域调控长效机制，合理设定调控目标，全面落实稳地价、稳房价、稳预期。</w:t>
      </w:r>
    </w:p>
    <w:p w14:paraId="67DAD958">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3）2022年5月18日，北京市印发《北京市城市更新专项规划（“十四五”时期）》（以下简称‘《专项规划》’），严控大拆大建，采取小规模、渐进式、可持续的更新，依托新版《北京城市总规》确定的“一核一主一副、两轴多点一区”的城市空间结构，分圈层差异化明确更新方向，将首都功能核心区和城市副中心作为更新重点；划定近期178个城市更新重点街区，到2025年，将完成全市2000年底前建成需改造的1.6亿平方米老旧小区改造任务。</w:t>
      </w:r>
    </w:p>
    <w:p w14:paraId="2F9AF108">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专项规划》要求健全完善多主体供给、多渠道保障、租购并举的住房制度和住房体系，增加保障性住房与共有产权住房供给；明确城市更新应坚持“留改拆”并举、以保留利用提升为主；要全面推进老旧小区更新改造；将老旧楼宇纳入城市更新范围；要塑造“两轴”沿线公共空间。</w:t>
      </w:r>
    </w:p>
    <w:p w14:paraId="205D3C9F">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5.城市经济发展运行状况</w:t>
      </w:r>
    </w:p>
    <w:p w14:paraId="14FA0E7B">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根据北京市统计局地区生产总值统一核算结果，2025年全年，北京市实现地区生产总值52073.4亿元，按不变价格计算，比上年增长5.4%。分产业看，第一产业实现增加值109.2亿元，下降0.7%；第二产业实现增加值7187.4亿元，增长3.5%；第三产业实现增加值44776.9亿元，增长5.8%。</w:t>
      </w:r>
    </w:p>
    <w:p w14:paraId="52A1AC55">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（1）</w:t>
      </w:r>
      <w:r>
        <w:rPr>
          <w:rFonts w:ascii="Arial" w:hAnsi="Arial" w:eastAsia="仿宋" w:cs="Arial"/>
          <w:sz w:val="28"/>
          <w:szCs w:val="28"/>
          <w:highlight w:val="none"/>
          <w:lang w:bidi="ar"/>
        </w:rPr>
        <w:t>农业生产保持稳定，设施农业发展较好</w:t>
      </w:r>
    </w:p>
    <w:p w14:paraId="11F4AB9F">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实现农林牧渔业总产值249.8亿元，按可比价格计算，与上年持平。其中，实现农业（种植业）产值135.4亿元，受极端天气影响，下降3.5%，粮食播种面积148.4万亩、产量59.6万吨，分别增长5.0%和3.5%，蔬菜（含食用菌）、园林水果产量分别下降0.6%和12.2%；实现林业产值56.3亿元，下降5.2%；实现牧业产值42.6亿元，增长9.4%，猪、牛、羊、家禽出栏量均实现两位数增长。设施农业实现产值60.1亿元，增长1.1%，蔬菜、食用菌产值分别为38.2亿元和4.7亿元，分别增长0.9%和11.6%。</w:t>
      </w:r>
    </w:p>
    <w:p w14:paraId="7A37691A">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（2）工业生产提质增效，新兴领域加速布局</w:t>
      </w:r>
    </w:p>
    <w:p w14:paraId="00A78D16">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北京市规模以上工业增加值按可比价格计算，比上年增长6.5%。重点行业中，计算机、通信和其他电子设备制造业，汽车制造业分别增长20.2%和17.7%，新能源汽车、消费电子、集成电路等领域发挥带动作用；电力、热力生产和供应业增长5.5%；医药制造业下降8.6%；五大装备制造业增长4.9%。新质生产力加快发展，规模以上工业战略性新兴产业、高技术制造业增加值分别增长15.5%和7.5%（二者有交叉），新能源汽车、锂离子电池、服务机器人、风力发电机组产量分别增长1.4倍、1.2倍、47.6%和21.6%。实现规模以上工业出口交货值2113.4亿元，增长6.4%，其中汽车制造业、专用设备制造业分别增长24.6%和10.8%</w:t>
      </w:r>
      <w:r>
        <w:rPr>
          <w:rFonts w:ascii="Arial" w:hAnsi="Arial" w:eastAsia="仿宋" w:cs="Arial"/>
          <w:sz w:val="28"/>
          <w:szCs w:val="28"/>
          <w:highlight w:val="none"/>
          <w:lang w:bidi="ar"/>
        </w:rPr>
        <w:t>。</w:t>
      </w:r>
    </w:p>
    <w:p w14:paraId="75B95051">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（3）服务业稳中向好，优势行业稳固支撑</w:t>
      </w:r>
    </w:p>
    <w:p w14:paraId="29EC749E">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第三产业增加值按不变价格计算，比上年增长5.8%。其中，信息传输、软件和信息技术服务业实现增加值12192.4亿元，增长11.0%，金融业实现增加值8668.2亿元，增长8.7%，两个行业对全市经济增长的贡献率超过7成；租赁和商务服务业实现增加值3171.4亿元，增长4.7%；交通运输、仓储和邮政业实现增加值1343.1亿元，增长8.9%。</w:t>
      </w:r>
    </w:p>
    <w:p w14:paraId="3AB1E364">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（4）固定资产投资较快增长，有效投资持续增加</w:t>
      </w:r>
    </w:p>
    <w:p w14:paraId="1AA3EC31">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固定资产投资（不含农户）比上年增长5.5%。其中，反映企业生产能力扩大的设备购置投资增长66.0%，占固定资产投资的比重为32.3%，同比提高11.7个百分点，新一代信息技术、集成电路领域相关项目是主要带动力量。分领域看，基础设施投资下降1.6%，房地产开发投资下降15.5%。分产业看，第一产业投资增长6.3%；第二产业投资增长4.3%；第三产业投资增长5.6%，其中，信息传输、软件和信息技术服务业，科学研究和技术服务业投资分别增长83.0%和8.5%；“投资于人”稳步推进，教育、文化体育和娱乐业投资分别增长30.7%和30.1%。高技术产业投资保持活跃，增长40.1%，其中高技术服务业投资增长64.9%，互联网企业算力设备更新等领域加大投入。</w:t>
      </w:r>
    </w:p>
    <w:p w14:paraId="2D2192C1">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2025年末，北京市房屋施工面积10307.8万平方米，比上年末下降8.9%，其中，住宅施工面积5149.6万平方米，下降9.1%。全年商品房销售面积1041.0万平方米，下降6.9%，其中，住宅销售面积724.0万平方米，下降7.9%</w:t>
      </w:r>
      <w:r>
        <w:rPr>
          <w:rFonts w:ascii="Arial" w:hAnsi="Arial" w:eastAsia="仿宋" w:cs="Arial"/>
          <w:sz w:val="28"/>
          <w:szCs w:val="28"/>
          <w:highlight w:val="none"/>
          <w:lang w:bidi="ar"/>
        </w:rPr>
        <w:t>。</w:t>
      </w:r>
    </w:p>
    <w:p w14:paraId="6910B394">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（5）服务性消费较为活跃，升级类商品销售良好</w:t>
      </w:r>
    </w:p>
    <w:p w14:paraId="3709687D">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市场总消费额比上年增长1.6%。其中，服务性消费额在信息、交通等领域带动下，增长5.0%；实现社会消费品零售总额13677.0亿元，下降2.9%，降幅比前三季度收窄2.2个百分点。社会消费品零售总额中，按消费形态分，商品零售12353.5亿元，下降2.9%，餐饮收入1323.5亿元，下降3.0%，分别收窄2.4个、0.7个百分点。从商品类别看，限额以上批发和零售业中，金银珠宝类、化妆品类、新能源汽车类等升级类商品零售额分别增长39.5%、12.6%和13.2%；与基本生活相关的粮油食品类商品零售额增长5.7%；汽车类、通讯器材类商品零售额分别下降13.7%和15.9%，降幅自四季度以来逐步收窄。</w:t>
      </w:r>
    </w:p>
    <w:p w14:paraId="2D456903">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（6）居民消费价格低位平稳运行，工业生产者出厂价格延续降势</w:t>
      </w:r>
      <w:r>
        <w:rPr>
          <w:rFonts w:ascii="Arial" w:hAnsi="Arial" w:eastAsia="仿宋" w:cs="Arial"/>
          <w:sz w:val="28"/>
          <w:szCs w:val="28"/>
          <w:highlight w:val="none"/>
          <w:lang w:bidi="ar"/>
        </w:rPr>
        <w:t> </w:t>
      </w:r>
    </w:p>
    <w:p w14:paraId="3DBB27AD">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北京市居民消费价格同比下降0.1%。其中，消费品价格下降0.3%，服务价格同比持平。八大类商品和服务项目中，其他用品及服务类价格上涨13.1%，生活用品及服务类价格上涨2.1%，衣着类价格上涨0.4%，居住类价格同比持平，交通通信类价格下降2.2%，食品烟酒类价格下降1.2%，教育文化娱乐类价格下降1.2%，医疗保健类价格下降0.5%。12月份，居民消费价格同比上涨1.0%，环比上涨0.3%。</w:t>
      </w:r>
    </w:p>
    <w:p w14:paraId="75E8CAEA">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2025年，北京市工业生产者出厂价格同比下降1.7%，购进价格同比下降1.8%。12月份，工业生产者出厂价格同比下降1.6%，环比上涨0.1%；购进价格同比下降2.5%，环比上涨0.8%。</w:t>
      </w:r>
    </w:p>
    <w:p w14:paraId="1745D737">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（7）就业形势总体平稳，居民收入稳步增长 </w:t>
      </w:r>
    </w:p>
    <w:p w14:paraId="18F6CFCD">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2025年，北京市城镇调查失业率均值为4.1%，与上年持平；12月份，城镇调查失业率为4.0%，环比回落0.1个百分点点。</w:t>
      </w:r>
    </w:p>
    <w:p w14:paraId="70052146">
      <w:pPr>
        <w:widowControl/>
        <w:adjustRightInd/>
        <w:spacing w:line="300" w:lineRule="auto"/>
        <w:ind w:firstLine="560" w:firstLineChars="200"/>
        <w:rPr>
          <w:rFonts w:hint="eastAsia" w:ascii="Arial" w:hAnsi="Arial" w:eastAsia="仿宋" w:cs="Arial"/>
          <w:sz w:val="28"/>
          <w:szCs w:val="28"/>
          <w:highlight w:val="none"/>
          <w:lang w:bidi="ar"/>
        </w:rPr>
      </w:pPr>
      <w:r>
        <w:rPr>
          <w:rFonts w:hint="eastAsia" w:ascii="Arial" w:hAnsi="Arial" w:eastAsia="仿宋" w:cs="Arial"/>
          <w:sz w:val="28"/>
          <w:szCs w:val="28"/>
          <w:highlight w:val="none"/>
          <w:lang w:bidi="ar"/>
        </w:rPr>
        <w:t>2025年，北京市居民人均可支配收入89090元，同比增长4.3%，扣除价格因素增长4.4%。其中，工资性收入增长4.9%，经营净收入增长3.2%，财产净收入增长0.7%，转移净收入增长4.9%。城镇居民人均可支配收入96292元，同比增长4.1%，农村居民人均可支配收入42012元，同比增长5.4%。</w:t>
      </w:r>
    </w:p>
    <w:p w14:paraId="0265149D">
      <w:pPr>
        <w:widowControl/>
        <w:adjustRightInd/>
        <w:spacing w:line="300" w:lineRule="auto"/>
        <w:ind w:firstLine="560" w:firstLineChars="200"/>
        <w:rPr>
          <w:rFonts w:ascii="Arial" w:hAnsi="Arial" w:eastAsia="仿宋" w:cs="Arial"/>
          <w:sz w:val="28"/>
          <w:szCs w:val="28"/>
          <w:highlight w:val="none"/>
          <w:lang w:bidi="ar"/>
        </w:rPr>
      </w:pPr>
      <w:r>
        <w:rPr>
          <w:rFonts w:hint="eastAsia" w:ascii="Arial" w:hAnsi="Arial" w:eastAsia="仿宋" w:cs="Arial"/>
          <w:sz w:val="28"/>
          <w:szCs w:val="28"/>
          <w:highlight w:val="none"/>
          <w:lang w:bidi="ar"/>
        </w:rPr>
        <w:t>总的来看，2025年北京市坚持稳中求进工作总基调，完整准确全面贯彻新发展理念，落实落细稳经济系列政策措施，积极应对各类风险挑战，全市经济保持平稳运行，生产需求稳中向好，就业物价保持稳定，居民收入稳步增加，新质生产力培育壮大，高质量发展取得积极成效，实现“十四五”圆满收官。</w:t>
      </w:r>
    </w:p>
    <w:p w14:paraId="061E2AB6">
      <w:pPr>
        <w:adjustRightInd/>
        <w:spacing w:line="300" w:lineRule="auto"/>
        <w:jc w:val="both"/>
        <w:rPr>
          <w:rFonts w:ascii="Arial" w:hAnsi="Arial" w:eastAsia="仿宋" w:cs="Arial"/>
          <w:sz w:val="28"/>
          <w:szCs w:val="28"/>
          <w:highlight w:val="none"/>
        </w:rPr>
      </w:pPr>
      <w:r>
        <w:rPr>
          <w:rFonts w:ascii="Arial" w:hAnsi="Arial" w:eastAsia="仿宋" w:cs="Arial"/>
          <w:sz w:val="28"/>
          <w:szCs w:val="28"/>
          <w:highlight w:val="none"/>
        </w:rPr>
        <w:t>（二）区域因素</w:t>
      </w:r>
    </w:p>
    <w:p w14:paraId="4E59323A">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1.区域概况</w:t>
      </w:r>
    </w:p>
    <w:p w14:paraId="4EE8B80E">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顺义区位于北京市东北部，距市区30公里，毗邻北京城市副中心，是首都国际机场所在地，北邻</w:t>
      </w:r>
      <w:r>
        <w:rPr>
          <w:rFonts w:ascii="Arial" w:hAnsi="Arial" w:eastAsia="仿宋" w:cs="Arial"/>
          <w:sz w:val="28"/>
          <w:szCs w:val="28"/>
          <w:highlight w:val="none"/>
        </w:rPr>
        <w:fldChar w:fldCharType="begin"/>
      </w:r>
      <w:r>
        <w:rPr>
          <w:rFonts w:ascii="Arial" w:hAnsi="Arial" w:eastAsia="仿宋" w:cs="Arial"/>
          <w:sz w:val="28"/>
          <w:szCs w:val="28"/>
          <w:highlight w:val="none"/>
        </w:rPr>
        <w:instrText xml:space="preserve"> HYPERLINK "https://baike.baidu.com/item/%E6%80%80%E6%9F%94%E5%8C%BA/5105451?fromModule=lemma_inlink" \t "/Users/liuning/Documents\x/_blank" </w:instrText>
      </w:r>
      <w:r>
        <w:rPr>
          <w:rFonts w:ascii="Arial" w:hAnsi="Arial" w:eastAsia="仿宋" w:cs="Arial"/>
          <w:sz w:val="28"/>
          <w:szCs w:val="28"/>
          <w:highlight w:val="none"/>
        </w:rPr>
        <w:fldChar w:fldCharType="separate"/>
      </w:r>
      <w:r>
        <w:rPr>
          <w:rFonts w:ascii="Arial" w:hAnsi="Arial" w:eastAsia="仿宋" w:cs="Arial"/>
          <w:sz w:val="28"/>
          <w:szCs w:val="28"/>
          <w:highlight w:val="none"/>
          <w:lang w:bidi="ar"/>
        </w:rPr>
        <w:t>怀柔区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w:t>
      </w:r>
      <w:r>
        <w:rPr>
          <w:highlight w:val="none"/>
        </w:rPr>
        <w:fldChar w:fldCharType="begin"/>
      </w:r>
      <w:r>
        <w:rPr>
          <w:highlight w:val="none"/>
        </w:rPr>
        <w:instrText xml:space="preserve"> HYPERLINK "https://baike.baidu.com/item/%E5%AF%86%E4%BA%91%E5%8C%BA/18830737?fromModule=lemma_inlink" \t "/Users/liuning/Documentsx/_blank" </w:instrText>
      </w:r>
      <w:r>
        <w:rPr>
          <w:highlight w:val="none"/>
        </w:rPr>
        <w:fldChar w:fldCharType="separate"/>
      </w:r>
      <w:r>
        <w:rPr>
          <w:rFonts w:ascii="Arial" w:hAnsi="Arial" w:eastAsia="仿宋" w:cs="Arial"/>
          <w:sz w:val="28"/>
          <w:szCs w:val="28"/>
          <w:highlight w:val="none"/>
          <w:lang w:bidi="ar"/>
        </w:rPr>
        <w:t>密云区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，东界</w:t>
      </w:r>
      <w:r>
        <w:rPr>
          <w:highlight w:val="none"/>
        </w:rPr>
        <w:fldChar w:fldCharType="begin"/>
      </w:r>
      <w:r>
        <w:rPr>
          <w:highlight w:val="none"/>
        </w:rPr>
        <w:instrText xml:space="preserve"> HYPERLINK "https://baike.baidu.com/item/%E5%B9%B3%E8%B0%B7%E5%8C%BA/4461548?fromModule=lemma_inlink" \t "/Users/liuning/Documentsx/_blank" </w:instrText>
      </w:r>
      <w:r>
        <w:rPr>
          <w:highlight w:val="none"/>
        </w:rPr>
        <w:fldChar w:fldCharType="separate"/>
      </w:r>
      <w:r>
        <w:rPr>
          <w:rFonts w:ascii="Arial" w:hAnsi="Arial" w:eastAsia="仿宋" w:cs="Arial"/>
          <w:sz w:val="28"/>
          <w:szCs w:val="28"/>
          <w:highlight w:val="none"/>
          <w:lang w:bidi="ar"/>
        </w:rPr>
        <w:t>平谷区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，南与</w:t>
      </w:r>
      <w:r>
        <w:rPr>
          <w:highlight w:val="none"/>
        </w:rPr>
        <w:fldChar w:fldCharType="begin"/>
      </w:r>
      <w:r>
        <w:rPr>
          <w:highlight w:val="none"/>
        </w:rPr>
        <w:instrText xml:space="preserve"> HYPERLINK "https://baike.baidu.com/item/%E9%80%9A%E5%B7%9E%E5%8C%BA/5203?fromModule=lemma_inlink" \t "/Users/liuning/Documentsx/_blank" </w:instrText>
      </w:r>
      <w:r>
        <w:rPr>
          <w:highlight w:val="none"/>
        </w:rPr>
        <w:fldChar w:fldCharType="separate"/>
      </w:r>
      <w:r>
        <w:rPr>
          <w:rFonts w:ascii="Arial" w:hAnsi="Arial" w:eastAsia="仿宋" w:cs="Arial"/>
          <w:sz w:val="28"/>
          <w:szCs w:val="28"/>
          <w:highlight w:val="none"/>
          <w:lang w:bidi="ar"/>
        </w:rPr>
        <w:t>通州区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、河北省廊坊市三河市接壤，西南、西与</w:t>
      </w:r>
      <w:r>
        <w:rPr>
          <w:highlight w:val="none"/>
        </w:rPr>
        <w:fldChar w:fldCharType="begin"/>
      </w:r>
      <w:r>
        <w:rPr>
          <w:highlight w:val="none"/>
        </w:rPr>
        <w:instrText xml:space="preserve"> HYPERLINK "https://baike.baidu.com/item/%E6%98%8C%E5%B9%B3%E5%8C%BA/2504992?fromModule=lemma_inlink" \t "/Users/liuning/Documentsx/_blank" </w:instrText>
      </w:r>
      <w:r>
        <w:rPr>
          <w:highlight w:val="none"/>
        </w:rPr>
        <w:fldChar w:fldCharType="separate"/>
      </w:r>
      <w:r>
        <w:rPr>
          <w:rFonts w:ascii="Arial" w:hAnsi="Arial" w:eastAsia="仿宋" w:cs="Arial"/>
          <w:sz w:val="28"/>
          <w:szCs w:val="28"/>
          <w:highlight w:val="none"/>
          <w:lang w:bidi="ar"/>
        </w:rPr>
        <w:t>昌平区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w:t>
      </w:r>
      <w:r>
        <w:rPr>
          <w:highlight w:val="none"/>
        </w:rPr>
        <w:fldChar w:fldCharType="begin"/>
      </w:r>
      <w:r>
        <w:rPr>
          <w:highlight w:val="none"/>
        </w:rPr>
        <w:instrText xml:space="preserve"> HYPERLINK "https://baike.baidu.com/item/%E6%9C%9D%E9%98%B3%E5%8C%BA/2134?fromModule=lemma_inlink" \t "/Users/liuning/Documentsx/_blank" </w:instrText>
      </w:r>
      <w:r>
        <w:rPr>
          <w:highlight w:val="none"/>
        </w:rPr>
        <w:fldChar w:fldCharType="separate"/>
      </w:r>
      <w:r>
        <w:rPr>
          <w:rFonts w:ascii="Arial" w:hAnsi="Arial" w:eastAsia="仿宋" w:cs="Arial"/>
          <w:sz w:val="28"/>
          <w:szCs w:val="28"/>
          <w:highlight w:val="none"/>
          <w:lang w:bidi="ar"/>
        </w:rPr>
        <w:t>朝阳区</w:t>
      </w:r>
      <w:r>
        <w:rPr>
          <w:rFonts w:ascii="Arial" w:hAnsi="Arial" w:eastAsia="仿宋" w:cs="Arial"/>
          <w:sz w:val="28"/>
          <w:szCs w:val="28"/>
          <w:highlight w:val="none"/>
          <w:lang w:bidi="ar"/>
        </w:rPr>
        <w:fldChar w:fldCharType="end"/>
      </w:r>
      <w:r>
        <w:rPr>
          <w:rFonts w:ascii="Arial" w:hAnsi="Arial" w:eastAsia="仿宋" w:cs="Arial"/>
          <w:sz w:val="28"/>
          <w:szCs w:val="28"/>
          <w:highlight w:val="none"/>
          <w:lang w:bidi="ar"/>
        </w:rPr>
        <w:t>隔温榆河为界。总面积1021平方公里，其中平原面积占95.7%。全区常住人口132.5万人，下辖19个建制镇和6个街道办事处。按照新版北京城市总体规划，顺义区是北京市“一核一主一副、两轴多点一区”城市空间结构中的“多点”之一，也是“国门”所在地、首都重点平原新城、中心城区适宜功能产业的重要承接地，正在建设“港城融合的国际航空中心核心区，创新引领的区域经济提升发展先行区，城乡协调的首都和谐宜居示范区”。</w:t>
      </w:r>
    </w:p>
    <w:p w14:paraId="50E9DAE2">
      <w:pPr>
        <w:widowControl/>
        <w:adjustRightInd/>
        <w:spacing w:line="300" w:lineRule="auto"/>
        <w:ind w:firstLine="560" w:firstLineChars="200"/>
        <w:rPr>
          <w:rFonts w:ascii="Arial" w:hAnsi="Arial" w:eastAsia="仿宋" w:cs="Arial"/>
          <w:sz w:val="28"/>
          <w:szCs w:val="28"/>
          <w:highlight w:val="none"/>
          <w:lang w:bidi="ar"/>
        </w:rPr>
      </w:pPr>
      <w:r>
        <w:rPr>
          <w:rFonts w:ascii="Arial" w:hAnsi="Arial" w:eastAsia="仿宋" w:cs="Arial"/>
          <w:sz w:val="28"/>
          <w:szCs w:val="28"/>
          <w:highlight w:val="none"/>
          <w:lang w:bidi="ar"/>
        </w:rPr>
        <w:t>顺义区地势北高南低，东北边界屏障燕山，境内平原为河流洪水携带沉积物质造成，表面堆积物主要是砂、亚砂土，面积占95.7%。北部山地最高点海拔为637米，境内最低点海拔为24米，平均海拔35米。顺义区境内有大小河流20余条，潮白河等河流分流其间，均呈南北走向，分属北运河、潮白河、蓟运河3个水系。河道总长232千米，径流总量1.7亿立方米。</w:t>
      </w:r>
    </w:p>
    <w:p w14:paraId="367EFC39">
      <w:pPr>
        <w:adjustRightInd/>
        <w:spacing w:line="300" w:lineRule="auto"/>
        <w:ind w:firstLine="560" w:firstLineChars="200"/>
        <w:jc w:val="both"/>
        <w:rPr>
          <w:rFonts w:ascii="Arial" w:hAnsi="Arial" w:eastAsia="仿宋" w:cs="Arial"/>
          <w:i/>
          <w:sz w:val="28"/>
          <w:szCs w:val="28"/>
          <w:highlight w:val="none"/>
        </w:rPr>
      </w:pPr>
      <w:r>
        <w:rPr>
          <w:rFonts w:ascii="Arial" w:hAnsi="Arial" w:eastAsia="仿宋" w:cs="Arial"/>
          <w:sz w:val="28"/>
          <w:szCs w:val="28"/>
          <w:highlight w:val="none"/>
          <w:lang w:bidi="ar"/>
        </w:rPr>
        <w:t>顺义区公路已形成机场高速、京承高速、机场北线高速、京平高速、机场南线高速、六环路等高速公路为龙头，京密路、顺平路等国、市道主干线路网为骨架，县乡公路为支脉，“六横”、“十四纵”、“二放射”、“六高速”，“棋盘</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网格</w:t>
      </w:r>
      <w:r>
        <w:rPr>
          <w:rFonts w:hint="eastAsia" w:ascii="Arial" w:hAnsi="Arial" w:eastAsia="仿宋" w:cs="Arial"/>
          <w:sz w:val="28"/>
          <w:szCs w:val="28"/>
          <w:highlight w:val="none"/>
          <w:lang w:eastAsia="zh-CN" w:bidi="ar"/>
        </w:rPr>
        <w:t>＋</w:t>
      </w:r>
      <w:r>
        <w:rPr>
          <w:rFonts w:ascii="Arial" w:hAnsi="Arial" w:eastAsia="仿宋" w:cs="Arial"/>
          <w:sz w:val="28"/>
          <w:szCs w:val="28"/>
          <w:highlight w:val="none"/>
          <w:lang w:bidi="ar"/>
        </w:rPr>
        <w:t>环线”纵横交错、四通八达的公路网体系。</w:t>
      </w:r>
    </w:p>
    <w:p w14:paraId="409EF4A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2.交通条件</w:t>
      </w:r>
    </w:p>
    <w:p w14:paraId="2D1D156B">
      <w:pPr>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p w14:paraId="4FCB86C8">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3.环境条件</w:t>
      </w:r>
    </w:p>
    <w:p w14:paraId="4DFE897C">
      <w:pPr>
        <w:adjustRightInd/>
        <w:spacing w:line="300" w:lineRule="auto"/>
        <w:ind w:firstLine="560" w:firstLineChars="200"/>
        <w:jc w:val="both"/>
        <w:rPr>
          <w:rFonts w:ascii="Arial" w:hAnsi="Arial" w:eastAsia="仿宋" w:cs="Arial"/>
          <w:sz w:val="28"/>
          <w:szCs w:val="28"/>
          <w:highlight w:val="none"/>
          <w:lang w:bidi="ar"/>
        </w:rPr>
      </w:pPr>
      <w:r>
        <w:rPr>
          <w:rFonts w:ascii="Arial" w:hAnsi="Arial" w:eastAsia="仿宋" w:cs="Arial"/>
          <w:sz w:val="28"/>
          <w:szCs w:val="28"/>
          <w:highlight w:val="none"/>
          <w:lang w:bidi="ar"/>
        </w:rPr>
        <w:t>估价对位于北京市顺义区高丽营镇夏县营村，</w:t>
      </w:r>
      <w:r>
        <w:rPr>
          <w:rFonts w:hint="eastAsia" w:ascii="Arial" w:hAnsi="Arial" w:eastAsia="仿宋" w:cs="Arial"/>
          <w:sz w:val="28"/>
          <w:szCs w:val="28"/>
          <w:highlight w:val="none"/>
          <w:lang w:eastAsia="zh-CN" w:bidi="ar"/>
        </w:rPr>
        <w:t>周边2公里范围内有南郎中休闲公园、口袋公园、方氏渠等自然环境；人文环境较少</w:t>
      </w:r>
      <w:r>
        <w:rPr>
          <w:rFonts w:ascii="Arial" w:hAnsi="Arial" w:eastAsia="仿宋" w:cs="Arial"/>
          <w:sz w:val="28"/>
          <w:szCs w:val="28"/>
          <w:highlight w:val="none"/>
          <w:lang w:bidi="ar"/>
        </w:rPr>
        <w:t>；综合评价环境状况一般。</w:t>
      </w:r>
    </w:p>
    <w:p w14:paraId="38ED4A4A">
      <w:pPr>
        <w:adjustRightInd/>
        <w:spacing w:line="300" w:lineRule="auto"/>
        <w:ind w:firstLine="560" w:firstLineChars="200"/>
        <w:jc w:val="both"/>
        <w:rPr>
          <w:rFonts w:ascii="Arial" w:hAnsi="Arial" w:eastAsia="仿宋" w:cs="Arial"/>
          <w:i/>
          <w:sz w:val="28"/>
          <w:szCs w:val="28"/>
          <w:highlight w:val="none"/>
        </w:rPr>
      </w:pPr>
      <w:r>
        <w:rPr>
          <w:rFonts w:ascii="Arial" w:hAnsi="Arial" w:eastAsia="仿宋" w:cs="Arial"/>
          <w:sz w:val="28"/>
          <w:szCs w:val="28"/>
          <w:highlight w:val="none"/>
        </w:rPr>
        <w:t>4.基础设施设施条件</w:t>
      </w:r>
    </w:p>
    <w:p w14:paraId="0247D679">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估价对象所在区域内基础设施配套条件达到</w:t>
      </w:r>
      <w:r>
        <w:rPr>
          <w:rFonts w:hint="eastAsia" w:ascii="Arial" w:hAnsi="Arial" w:eastAsia="仿宋" w:cs="Arial"/>
          <w:sz w:val="28"/>
          <w:szCs w:val="28"/>
          <w:highlight w:val="none"/>
          <w:lang w:eastAsia="zh-CN"/>
        </w:rPr>
        <w:t>“七通”</w:t>
      </w:r>
      <w:r>
        <w:rPr>
          <w:rFonts w:ascii="Arial" w:hAnsi="Arial" w:eastAsia="仿宋" w:cs="Arial"/>
          <w:sz w:val="28"/>
          <w:szCs w:val="28"/>
          <w:highlight w:val="none"/>
        </w:rPr>
        <w:t>（即通路、通上水、通下水、通电、通讯、通燃气、通热力），能够保证工作、生产需要，基础设施配套完善度好。</w:t>
      </w:r>
    </w:p>
    <w:p w14:paraId="18FB8E6A">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5.公共服务设施状况</w:t>
      </w:r>
    </w:p>
    <w:p w14:paraId="059343A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估价对象周边</w:t>
      </w:r>
      <w:r>
        <w:rPr>
          <w:rFonts w:ascii="Arial" w:hAnsi="Arial" w:eastAsia="仿宋" w:cs="Arial"/>
          <w:sz w:val="28"/>
          <w:szCs w:val="28"/>
          <w:highlight w:val="none"/>
          <w:lang w:bidi="ar"/>
        </w:rPr>
        <w:t>约</w:t>
      </w:r>
      <w:r>
        <w:rPr>
          <w:rFonts w:ascii="Arial" w:hAnsi="Arial" w:eastAsia="仿宋" w:cs="Arial"/>
          <w:sz w:val="28"/>
          <w:szCs w:val="28"/>
          <w:highlight w:val="none"/>
        </w:rPr>
        <w:t>2公里范围内</w:t>
      </w:r>
      <w:r>
        <w:rPr>
          <w:rFonts w:hint="eastAsia" w:ascii="Arial" w:hAnsi="Arial" w:eastAsia="仿宋" w:cs="Arial"/>
          <w:sz w:val="28"/>
          <w:szCs w:val="28"/>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ascii="Arial" w:hAnsi="Arial" w:eastAsia="仿宋" w:cs="Arial"/>
          <w:sz w:val="28"/>
          <w:szCs w:val="28"/>
          <w:highlight w:val="none"/>
        </w:rPr>
        <w:t>，公共配套设施齐备情况一般。</w:t>
      </w:r>
    </w:p>
    <w:p w14:paraId="7D97A25A">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6</w:t>
      </w:r>
      <w:r>
        <w:rPr>
          <w:rFonts w:ascii="Arial" w:hAnsi="Arial" w:eastAsia="仿宋" w:cs="Arial"/>
          <w:sz w:val="28"/>
          <w:szCs w:val="28"/>
          <w:highlight w:val="none"/>
          <w:lang w:eastAsia="zh-Hans"/>
        </w:rPr>
        <w:t>.</w:t>
      </w:r>
      <w:r>
        <w:rPr>
          <w:rFonts w:ascii="Arial" w:hAnsi="Arial" w:eastAsia="仿宋" w:cs="Arial"/>
          <w:sz w:val="28"/>
          <w:szCs w:val="28"/>
          <w:highlight w:val="none"/>
        </w:rPr>
        <w:t>居住社区成熟度</w:t>
      </w:r>
    </w:p>
    <w:p w14:paraId="3D3C4F7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，周边</w:t>
      </w:r>
      <w:r>
        <w:rPr>
          <w:rFonts w:ascii="Arial" w:hAnsi="Arial" w:eastAsia="仿宋" w:cs="Arial"/>
          <w:sz w:val="28"/>
          <w:szCs w:val="28"/>
          <w:highlight w:val="none"/>
          <w:lang w:bidi="ar"/>
        </w:rPr>
        <w:t>约</w:t>
      </w:r>
      <w:r>
        <w:rPr>
          <w:rFonts w:ascii="Arial" w:hAnsi="Arial" w:eastAsia="仿宋" w:cs="Arial"/>
          <w:sz w:val="28"/>
          <w:szCs w:val="28"/>
          <w:highlight w:val="none"/>
        </w:rPr>
        <w:t>2公里范围内有丽喜花园、东君府、moma万万树、壹号东临院等社区，居住小区规模和社区发展完善程度较完善，综合评价居住社区成熟度一般。</w:t>
      </w:r>
    </w:p>
    <w:p w14:paraId="4DC1F407">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7.商服繁华程度</w:t>
      </w:r>
    </w:p>
    <w:p w14:paraId="24BBA249">
      <w:pPr>
        <w:adjustRightInd/>
        <w:spacing w:line="300" w:lineRule="auto"/>
        <w:ind w:firstLine="560" w:firstLineChars="200"/>
        <w:jc w:val="both"/>
        <w:rPr>
          <w:rFonts w:ascii="Arial" w:hAnsi="Arial" w:eastAsia="仿宋" w:cs="Arial"/>
          <w:sz w:val="28"/>
          <w:szCs w:val="28"/>
          <w:highlight w:val="none"/>
          <w:lang w:eastAsia="zh-Hans"/>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，周边</w:t>
      </w:r>
      <w:r>
        <w:rPr>
          <w:rFonts w:ascii="Arial" w:hAnsi="Arial" w:eastAsia="仿宋" w:cs="Arial"/>
          <w:sz w:val="28"/>
          <w:szCs w:val="28"/>
          <w:highlight w:val="none"/>
          <w:lang w:bidi="ar"/>
        </w:rPr>
        <w:t>约</w:t>
      </w:r>
      <w:r>
        <w:rPr>
          <w:rFonts w:ascii="Arial" w:hAnsi="Arial" w:eastAsia="仿宋" w:cs="Arial"/>
          <w:sz w:val="28"/>
          <w:szCs w:val="28"/>
          <w:highlight w:val="none"/>
        </w:rPr>
        <w:t>2公里范围内有社区商业街，北京超天商贸中心、隆华购物中心以及零星临街商铺，无大型购物中心，商业繁华度较差。</w:t>
      </w:r>
    </w:p>
    <w:p w14:paraId="4D4D9A05">
      <w:pPr>
        <w:adjustRightInd/>
        <w:spacing w:line="300" w:lineRule="auto"/>
        <w:ind w:firstLine="560" w:firstLineChars="200"/>
        <w:jc w:val="both"/>
        <w:rPr>
          <w:rFonts w:ascii="Arial" w:hAnsi="Arial" w:eastAsia="仿宋" w:cs="Arial"/>
          <w:sz w:val="28"/>
          <w:szCs w:val="28"/>
          <w:highlight w:val="none"/>
          <w:lang w:eastAsia="zh-Hans"/>
        </w:rPr>
      </w:pPr>
      <w:r>
        <w:rPr>
          <w:rFonts w:ascii="Arial" w:hAnsi="Arial" w:eastAsia="仿宋" w:cs="Arial"/>
          <w:sz w:val="28"/>
          <w:szCs w:val="28"/>
          <w:highlight w:val="none"/>
          <w:lang w:eastAsia="zh-Hans"/>
        </w:rPr>
        <w:t>8.物业集聚程度</w:t>
      </w:r>
    </w:p>
    <w:p w14:paraId="351A80F1">
      <w:pPr>
        <w:adjustRightInd/>
        <w:spacing w:line="300" w:lineRule="auto"/>
        <w:ind w:firstLine="560" w:firstLineChars="200"/>
        <w:jc w:val="both"/>
        <w:rPr>
          <w:rFonts w:ascii="Arial" w:hAnsi="Arial" w:eastAsia="仿宋" w:cs="Arial"/>
          <w:sz w:val="28"/>
          <w:szCs w:val="28"/>
          <w:highlight w:val="none"/>
          <w:lang w:eastAsia="zh-Hans"/>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w:t>
      </w:r>
      <w:r>
        <w:rPr>
          <w:rFonts w:ascii="Arial" w:hAnsi="Arial" w:eastAsia="仿宋" w:cs="Arial"/>
          <w:sz w:val="28"/>
          <w:szCs w:val="28"/>
          <w:highlight w:val="none"/>
          <w:lang w:eastAsia="zh-Hans"/>
        </w:rPr>
        <w:t>周边</w:t>
      </w:r>
      <w:r>
        <w:rPr>
          <w:rFonts w:ascii="Arial" w:hAnsi="Arial" w:eastAsia="仿宋" w:cs="Arial"/>
          <w:sz w:val="28"/>
          <w:szCs w:val="28"/>
          <w:highlight w:val="none"/>
          <w:lang w:bidi="ar"/>
        </w:rPr>
        <w:t>约</w:t>
      </w:r>
      <w:r>
        <w:rPr>
          <w:rFonts w:ascii="Arial" w:hAnsi="Arial" w:eastAsia="仿宋" w:cs="Arial"/>
          <w:sz w:val="28"/>
          <w:szCs w:val="28"/>
          <w:highlight w:val="none"/>
          <w:lang w:eastAsia="zh-Hans"/>
        </w:rPr>
        <w:t>2公里范围内有双悦大楼、智慧谷商务中心等办公项目，周边公共服务物业数量较少，物业集聚程度较差。</w:t>
      </w:r>
    </w:p>
    <w:p w14:paraId="54D17032">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9.规划限制</w:t>
      </w:r>
    </w:p>
    <w:p w14:paraId="01CA156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，无特别规划限制，对估价对象土地发展利用无不利影响。</w:t>
      </w:r>
    </w:p>
    <w:p w14:paraId="40A468E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综上所述，估价对象所处区域</w:t>
      </w:r>
      <w:r>
        <w:rPr>
          <w:rFonts w:ascii="Arial" w:hAnsi="Arial" w:eastAsia="仿宋" w:cs="Arial"/>
          <w:iCs/>
          <w:sz w:val="28"/>
          <w:szCs w:val="28"/>
          <w:highlight w:val="none"/>
        </w:rPr>
        <w:t>地理位置条件</w:t>
      </w:r>
      <w:r>
        <w:rPr>
          <w:rFonts w:ascii="Arial" w:hAnsi="Arial" w:eastAsia="仿宋" w:cs="Arial"/>
          <w:iCs/>
          <w:sz w:val="28"/>
          <w:szCs w:val="28"/>
          <w:highlight w:val="none"/>
          <w:lang w:eastAsia="zh-Hans"/>
        </w:rPr>
        <w:t>较差</w:t>
      </w:r>
      <w:r>
        <w:rPr>
          <w:rFonts w:ascii="Arial" w:hAnsi="Arial" w:eastAsia="仿宋" w:cs="Arial"/>
          <w:iCs/>
          <w:sz w:val="28"/>
          <w:szCs w:val="28"/>
          <w:highlight w:val="none"/>
        </w:rPr>
        <w:t>、交通条件</w:t>
      </w:r>
      <w:r>
        <w:rPr>
          <w:rFonts w:ascii="Arial" w:hAnsi="Arial" w:eastAsia="仿宋" w:cs="Arial"/>
          <w:iCs/>
          <w:sz w:val="28"/>
          <w:szCs w:val="28"/>
          <w:highlight w:val="none"/>
          <w:lang w:eastAsia="zh-Hans"/>
        </w:rPr>
        <w:t>较差</w:t>
      </w:r>
      <w:r>
        <w:rPr>
          <w:rFonts w:ascii="Arial" w:hAnsi="Arial" w:eastAsia="仿宋" w:cs="Arial"/>
          <w:iCs/>
          <w:sz w:val="28"/>
          <w:szCs w:val="28"/>
          <w:highlight w:val="none"/>
        </w:rPr>
        <w:t>，公用设施一般，基础设施水平好，环境条件</w:t>
      </w:r>
      <w:r>
        <w:rPr>
          <w:rFonts w:ascii="Arial" w:hAnsi="Arial" w:eastAsia="仿宋" w:cs="Arial"/>
          <w:iCs/>
          <w:sz w:val="28"/>
          <w:szCs w:val="28"/>
          <w:highlight w:val="none"/>
          <w:lang w:eastAsia="zh-Hans"/>
        </w:rPr>
        <w:t>一般</w:t>
      </w:r>
      <w:r>
        <w:rPr>
          <w:rFonts w:ascii="Arial" w:hAnsi="Arial" w:eastAsia="仿宋" w:cs="Arial"/>
          <w:iCs/>
          <w:sz w:val="28"/>
          <w:szCs w:val="28"/>
          <w:highlight w:val="none"/>
        </w:rPr>
        <w:t>，</w:t>
      </w:r>
      <w:r>
        <w:rPr>
          <w:rFonts w:ascii="Arial" w:hAnsi="Arial" w:eastAsia="仿宋" w:cs="Arial"/>
          <w:iCs/>
          <w:sz w:val="28"/>
          <w:szCs w:val="28"/>
          <w:highlight w:val="none"/>
          <w:lang w:eastAsia="zh-Hans"/>
        </w:rPr>
        <w:t>居住社区成熟度一般，商业繁华程度较差，</w:t>
      </w:r>
      <w:r>
        <w:rPr>
          <w:rFonts w:ascii="Arial" w:hAnsi="Arial" w:eastAsia="仿宋" w:cs="Arial"/>
          <w:sz w:val="28"/>
          <w:szCs w:val="28"/>
          <w:highlight w:val="none"/>
          <w:lang w:eastAsia="zh-Hans"/>
        </w:rPr>
        <w:t>物业集聚程度</w:t>
      </w:r>
      <w:r>
        <w:rPr>
          <w:rFonts w:ascii="Arial" w:hAnsi="Arial" w:eastAsia="仿宋" w:cs="Arial"/>
          <w:iCs/>
          <w:sz w:val="28"/>
          <w:szCs w:val="28"/>
          <w:highlight w:val="none"/>
          <w:lang w:eastAsia="zh-Hans"/>
        </w:rPr>
        <w:t>较差</w:t>
      </w:r>
      <w:r>
        <w:rPr>
          <w:rFonts w:ascii="Arial" w:hAnsi="Arial" w:eastAsia="仿宋" w:cs="Arial"/>
          <w:iCs/>
          <w:sz w:val="28"/>
          <w:szCs w:val="28"/>
          <w:highlight w:val="none"/>
        </w:rPr>
        <w:t>。综合区域发展空间进行综合评价，</w:t>
      </w:r>
      <w:r>
        <w:rPr>
          <w:rFonts w:ascii="Arial" w:hAnsi="Arial" w:eastAsia="仿宋" w:cs="Arial"/>
          <w:sz w:val="28"/>
          <w:szCs w:val="28"/>
          <w:highlight w:val="none"/>
        </w:rPr>
        <w:t>总体评价影响估价对象的区域因素</w:t>
      </w:r>
      <w:r>
        <w:rPr>
          <w:rFonts w:ascii="Arial" w:hAnsi="Arial" w:eastAsia="仿宋" w:cs="Arial"/>
          <w:iCs/>
          <w:sz w:val="28"/>
          <w:szCs w:val="28"/>
          <w:highlight w:val="none"/>
          <w:lang w:eastAsia="zh-Hans"/>
        </w:rPr>
        <w:t>较差</w:t>
      </w:r>
      <w:r>
        <w:rPr>
          <w:rFonts w:ascii="Arial" w:hAnsi="Arial" w:eastAsia="仿宋" w:cs="Arial"/>
          <w:sz w:val="28"/>
          <w:szCs w:val="28"/>
          <w:highlight w:val="none"/>
        </w:rPr>
        <w:t>。</w:t>
      </w:r>
    </w:p>
    <w:p w14:paraId="7E589D16">
      <w:pPr>
        <w:adjustRightInd/>
        <w:spacing w:line="300" w:lineRule="auto"/>
        <w:jc w:val="both"/>
        <w:rPr>
          <w:rFonts w:ascii="Arial" w:hAnsi="Arial" w:eastAsia="仿宋" w:cs="Arial"/>
          <w:sz w:val="28"/>
          <w:szCs w:val="28"/>
          <w:highlight w:val="none"/>
        </w:rPr>
      </w:pPr>
      <w:r>
        <w:rPr>
          <w:rFonts w:ascii="Arial" w:hAnsi="Arial" w:eastAsia="仿宋" w:cs="Arial"/>
          <w:sz w:val="28"/>
          <w:szCs w:val="28"/>
          <w:highlight w:val="none"/>
        </w:rPr>
        <w:t>（三）个别因素</w:t>
      </w:r>
    </w:p>
    <w:p w14:paraId="288F56E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估价对象位于</w:t>
      </w:r>
      <w:r>
        <w:rPr>
          <w:rFonts w:ascii="Arial" w:hAnsi="Arial" w:eastAsia="仿宋" w:cs="Arial"/>
          <w:sz w:val="28"/>
          <w:szCs w:val="28"/>
          <w:highlight w:val="none"/>
          <w:lang w:bidi="ar"/>
        </w:rPr>
        <w:t>北京市顺义区高丽营镇夏县营村</w:t>
      </w:r>
      <w:r>
        <w:rPr>
          <w:rFonts w:ascii="Arial" w:hAnsi="Arial" w:eastAsia="仿宋" w:cs="Arial"/>
          <w:sz w:val="28"/>
          <w:szCs w:val="28"/>
          <w:highlight w:val="none"/>
        </w:rPr>
        <w:t>，为北京市顺义区高丽营镇夏县营村棚户区改造土地开发项目01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020地块R2二类居住用地、A334托幼用地国有建设用地使用权项目。根据《北京市人民政府关于更新出让国有建设用地使用权基准地价的通知》（京政发（2022）12号）的规定，估价对象属于住宅类九级IX</w:t>
      </w:r>
      <w:r>
        <w:rPr>
          <w:rFonts w:hint="eastAsia" w:ascii="Arial" w:hAnsi="Arial" w:eastAsia="仿宋" w:cs="Arial"/>
          <w:sz w:val="28"/>
          <w:szCs w:val="28"/>
          <w:highlight w:val="none"/>
          <w:lang w:eastAsia="zh-CN"/>
        </w:rPr>
        <w:t>－</w:t>
      </w:r>
      <w:r>
        <w:rPr>
          <w:rFonts w:ascii="Arial" w:hAnsi="Arial" w:eastAsia="仿宋" w:cs="Arial"/>
          <w:sz w:val="28"/>
          <w:szCs w:val="28"/>
          <w:highlight w:val="none"/>
        </w:rPr>
        <w:t>顺5区片、商服类九级IX</w:t>
      </w:r>
      <w:r>
        <w:rPr>
          <w:rFonts w:hint="eastAsia" w:ascii="Arial" w:hAnsi="Arial" w:eastAsia="仿宋" w:cs="Arial"/>
          <w:sz w:val="28"/>
          <w:szCs w:val="28"/>
          <w:highlight w:val="none"/>
          <w:lang w:eastAsia="zh-CN"/>
        </w:rPr>
        <w:t>－</w:t>
      </w:r>
      <w:r>
        <w:rPr>
          <w:rFonts w:ascii="Arial" w:hAnsi="Arial" w:eastAsia="仿宋" w:cs="Arial"/>
          <w:sz w:val="28"/>
          <w:szCs w:val="28"/>
          <w:highlight w:val="none"/>
        </w:rPr>
        <w:t>顺5区片、公共服务类九级IX</w:t>
      </w:r>
      <w:r>
        <w:rPr>
          <w:rFonts w:hint="eastAsia" w:ascii="Arial" w:hAnsi="Arial" w:eastAsia="仿宋" w:cs="Arial"/>
          <w:sz w:val="28"/>
          <w:szCs w:val="28"/>
          <w:highlight w:val="none"/>
          <w:lang w:eastAsia="zh-CN"/>
        </w:rPr>
        <w:t>－</w:t>
      </w:r>
      <w:r>
        <w:rPr>
          <w:rFonts w:ascii="Arial" w:hAnsi="Arial" w:eastAsia="仿宋" w:cs="Arial"/>
          <w:sz w:val="28"/>
          <w:szCs w:val="28"/>
          <w:highlight w:val="none"/>
        </w:rPr>
        <w:t>顺5区片范围内。</w:t>
      </w:r>
    </w:p>
    <w:p w14:paraId="1E064E0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1.临街道路状况</w:t>
      </w:r>
    </w:p>
    <w:p w14:paraId="72EB9E5B">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bCs/>
          <w:sz w:val="28"/>
          <w:szCs w:val="28"/>
          <w:highlight w:val="none"/>
        </w:rPr>
        <w:t>估价对象紧邻城市主干道——</w:t>
      </w:r>
      <w:r>
        <w:rPr>
          <w:rFonts w:ascii="Arial" w:hAnsi="Arial" w:eastAsia="仿宋" w:cs="Arial"/>
          <w:sz w:val="28"/>
          <w:szCs w:val="28"/>
          <w:highlight w:val="none"/>
        </w:rPr>
        <w:t>火寺路</w:t>
      </w:r>
      <w:r>
        <w:rPr>
          <w:rFonts w:ascii="Arial" w:hAnsi="Arial" w:eastAsia="仿宋" w:cs="Arial"/>
          <w:bCs/>
          <w:sz w:val="28"/>
          <w:szCs w:val="28"/>
          <w:highlight w:val="none"/>
        </w:rPr>
        <w:t>。</w:t>
      </w:r>
      <w:r>
        <w:rPr>
          <w:rFonts w:ascii="Arial" w:hAnsi="Arial" w:eastAsia="仿宋" w:cs="Arial"/>
          <w:sz w:val="28"/>
          <w:szCs w:val="28"/>
          <w:highlight w:val="none"/>
        </w:rPr>
        <w:t>道路状况较好。</w:t>
      </w:r>
    </w:p>
    <w:p w14:paraId="5426FE05">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2.临街宽度和深度</w:t>
      </w:r>
    </w:p>
    <w:p w14:paraId="76EBF47C">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经土地估价专业评估师实地查勘，估价对象临街宽度与深度比例值较适合于住宅项目的开发，临街宽度和深度条件一般。</w:t>
      </w:r>
    </w:p>
    <w:p w14:paraId="550F1DC0">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3.宗地形状及可利用程度</w:t>
      </w:r>
    </w:p>
    <w:p w14:paraId="3FF52D62">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宗地形状规则，对宗地利用无不利影响 宗地形状及可利用程度好。</w:t>
      </w:r>
    </w:p>
    <w:p w14:paraId="3BDAF240">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4.地形、地质条件</w:t>
      </w:r>
    </w:p>
    <w:p w14:paraId="598C5F6F">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估价对象地形平坦，地基承载力基本满足建筑要求。</w:t>
      </w:r>
    </w:p>
    <w:p w14:paraId="79360B86">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5.容积率</w:t>
      </w:r>
    </w:p>
    <w:p w14:paraId="29650A98">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估价对象容积率设定为1.2。</w:t>
      </w:r>
    </w:p>
    <w:p w14:paraId="245426E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6.土地开发程度</w:t>
      </w:r>
    </w:p>
    <w:p w14:paraId="4B6498BF">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本次评估设定的估价对象土地开发程度为</w:t>
      </w:r>
      <w:r>
        <w:rPr>
          <w:rFonts w:hint="eastAsia" w:ascii="Arial" w:hAnsi="Arial" w:eastAsia="仿宋" w:cs="Arial"/>
          <w:sz w:val="28"/>
          <w:szCs w:val="28"/>
          <w:highlight w:val="none"/>
          <w:lang w:eastAsia="zh-CN"/>
        </w:rPr>
        <w:t>“七通”（通路、通上水（自来水、中水）、通下水（雨水、污水）、通电、通讯、通燃气、通热力）</w:t>
      </w:r>
      <w:r>
        <w:rPr>
          <w:rFonts w:ascii="Arial" w:hAnsi="Arial" w:eastAsia="仿宋" w:cs="Arial"/>
          <w:sz w:val="28"/>
          <w:szCs w:val="28"/>
          <w:highlight w:val="none"/>
        </w:rPr>
        <w:t>。</w:t>
      </w:r>
    </w:p>
    <w:p w14:paraId="6D44BFC2">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7.规划条件</w:t>
      </w:r>
    </w:p>
    <w:p w14:paraId="017D76A8">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，本次估价对象01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008等地块共4宗地，用地规模合计为60990.43平方米，全部为建设用地，建筑规模合计为71508.52平方米。其中，估价对象01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008地块（R2二类居住用地）建设用地规模为24804.85平方米，地上建筑规模为29765.82平方米，容积率为1.2；估价对象01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016地块（R2二类居住用地）建设用地规模为23103.85平方米，地上建筑规模为27724.62平方米，容积率为1.2；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1地块（R2二类居住用地）建设用地规模为8881.75平方米，地上建筑规模为10658.10平方米，容积率为1.2；另有估价对象01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020地块（A334托幼用地，不出让）建设用地规模为4199.98平方米，地上建筑规模为3359.98平方米，容积率为0.8。</w:t>
      </w:r>
      <w:r>
        <w:rPr>
          <w:rFonts w:hint="eastAsia" w:ascii="Arial" w:hAnsi="Arial" w:eastAsia="仿宋" w:cs="Arial"/>
          <w:sz w:val="28"/>
          <w:szCs w:val="28"/>
          <w:highlight w:val="none"/>
          <w:lang w:eastAsia="zh-CN"/>
        </w:rPr>
        <w:t>根据《北京市国有建设用地使用权出让地价评估技术导则》（2026年2月10日实施）中的相关规定，本次评估01－008、01－016、01－026－1地块（R2二类居住用地）容积率为1.2</w:t>
      </w:r>
      <w:r>
        <w:rPr>
          <w:rFonts w:ascii="Arial" w:hAnsi="Arial" w:eastAsia="仿宋" w:cs="Arial"/>
          <w:sz w:val="28"/>
          <w:szCs w:val="28"/>
          <w:highlight w:val="none"/>
        </w:rPr>
        <w:t>。</w:t>
      </w:r>
    </w:p>
    <w:p w14:paraId="453DC434">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本次拟出让建设用地规模为</w:t>
      </w:r>
      <w:r>
        <w:rPr>
          <w:rFonts w:hint="eastAsia" w:ascii="Arial" w:hAnsi="Arial" w:eastAsia="仿宋" w:cs="Arial"/>
          <w:sz w:val="28"/>
          <w:szCs w:val="28"/>
          <w:highlight w:val="none"/>
          <w:lang w:eastAsia="zh-CN"/>
        </w:rPr>
        <w:t>56790.45</w:t>
      </w:r>
      <w:r>
        <w:rPr>
          <w:rFonts w:ascii="Arial" w:hAnsi="Arial" w:eastAsia="仿宋" w:cs="Arial"/>
          <w:sz w:val="28"/>
          <w:szCs w:val="28"/>
          <w:highlight w:val="none"/>
        </w:rPr>
        <w:t>平方米，具体规划主要技术经济指标详见下表：</w:t>
      </w:r>
    </w:p>
    <w:tbl>
      <w:tblPr>
        <w:tblStyle w:val="34"/>
        <w:tblW w:w="90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443"/>
        <w:gridCol w:w="1119"/>
        <w:gridCol w:w="1248"/>
        <w:gridCol w:w="1586"/>
        <w:gridCol w:w="862"/>
        <w:gridCol w:w="1671"/>
        <w:gridCol w:w="1294"/>
        <w:gridCol w:w="849"/>
      </w:tblGrid>
      <w:tr w14:paraId="30080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207E1DE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序号</w:t>
            </w:r>
          </w:p>
        </w:tc>
        <w:tc>
          <w:tcPr>
            <w:tcW w:w="617" w:type="pct"/>
            <w:vAlign w:val="center"/>
          </w:tcPr>
          <w:p w14:paraId="214D6B0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规划地块编号</w:t>
            </w:r>
          </w:p>
        </w:tc>
        <w:tc>
          <w:tcPr>
            <w:tcW w:w="688" w:type="pct"/>
            <w:vAlign w:val="center"/>
          </w:tcPr>
          <w:p w14:paraId="3210A68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用地性质</w:t>
            </w:r>
          </w:p>
        </w:tc>
        <w:tc>
          <w:tcPr>
            <w:tcW w:w="874" w:type="pct"/>
            <w:vAlign w:val="center"/>
          </w:tcPr>
          <w:p w14:paraId="43D1EDA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建设用地规模</w:t>
            </w:r>
          </w:p>
          <w:p w14:paraId="6796DA4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475" w:type="pct"/>
            <w:vAlign w:val="center"/>
          </w:tcPr>
          <w:p w14:paraId="214017D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容积率</w:t>
            </w:r>
          </w:p>
        </w:tc>
        <w:tc>
          <w:tcPr>
            <w:tcW w:w="921" w:type="pct"/>
            <w:vAlign w:val="center"/>
          </w:tcPr>
          <w:p w14:paraId="32DEF18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地上建筑规模</w:t>
            </w:r>
          </w:p>
          <w:p w14:paraId="2DE5069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713" w:type="pct"/>
            <w:vAlign w:val="center"/>
          </w:tcPr>
          <w:p w14:paraId="463A7EF6">
            <w:pPr>
              <w:widowControl/>
              <w:adjustRightInd/>
              <w:spacing w:line="240" w:lineRule="exact"/>
              <w:jc w:val="center"/>
              <w:textAlignment w:val="auto"/>
              <w:rPr>
                <w:rFonts w:ascii="Arial" w:hAnsi="Arial" w:eastAsia="仿宋" w:cs="Arial"/>
                <w:sz w:val="18"/>
                <w:szCs w:val="18"/>
                <w:highlight w:val="none"/>
              </w:rPr>
            </w:pPr>
            <w:r>
              <w:rPr>
                <w:rFonts w:ascii="Arial" w:hAnsi="Arial" w:eastAsia="仿宋" w:cs="Arial"/>
                <w:sz w:val="18"/>
                <w:szCs w:val="18"/>
                <w:highlight w:val="none"/>
              </w:rPr>
              <w:t>控制高度（m）</w:t>
            </w:r>
          </w:p>
        </w:tc>
        <w:tc>
          <w:tcPr>
            <w:tcW w:w="468" w:type="pct"/>
            <w:vAlign w:val="center"/>
          </w:tcPr>
          <w:p w14:paraId="4D256E5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是否出让</w:t>
            </w:r>
          </w:p>
        </w:tc>
      </w:tr>
      <w:tr w14:paraId="7F9E1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3EC9162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w:t>
            </w:r>
          </w:p>
        </w:tc>
        <w:tc>
          <w:tcPr>
            <w:tcW w:w="617" w:type="pct"/>
            <w:vAlign w:val="center"/>
          </w:tcPr>
          <w:p w14:paraId="43630D7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008</w:t>
            </w:r>
          </w:p>
        </w:tc>
        <w:tc>
          <w:tcPr>
            <w:tcW w:w="688" w:type="pct"/>
            <w:vMerge w:val="restart"/>
            <w:vAlign w:val="center"/>
          </w:tcPr>
          <w:p w14:paraId="4A0946E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R2二类居住用地</w:t>
            </w:r>
          </w:p>
        </w:tc>
        <w:tc>
          <w:tcPr>
            <w:tcW w:w="874" w:type="pct"/>
            <w:vAlign w:val="center"/>
          </w:tcPr>
          <w:p w14:paraId="60F20B9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24804.85</w:t>
            </w:r>
          </w:p>
        </w:tc>
        <w:tc>
          <w:tcPr>
            <w:tcW w:w="475" w:type="pct"/>
            <w:vMerge w:val="restart"/>
            <w:vAlign w:val="center"/>
          </w:tcPr>
          <w:p w14:paraId="40B3B3D7">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49070EF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29765.82</w:t>
            </w:r>
          </w:p>
        </w:tc>
        <w:tc>
          <w:tcPr>
            <w:tcW w:w="713" w:type="pct"/>
            <w:vMerge w:val="restart"/>
            <w:vAlign w:val="center"/>
          </w:tcPr>
          <w:p w14:paraId="2ED67EC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30</w:t>
            </w:r>
          </w:p>
        </w:tc>
        <w:tc>
          <w:tcPr>
            <w:tcW w:w="468" w:type="pct"/>
            <w:vMerge w:val="restart"/>
            <w:vAlign w:val="center"/>
          </w:tcPr>
          <w:p w14:paraId="75CAC96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出让</w:t>
            </w:r>
          </w:p>
        </w:tc>
      </w:tr>
      <w:tr w14:paraId="74C60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6FD9264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w:t>
            </w:r>
          </w:p>
        </w:tc>
        <w:tc>
          <w:tcPr>
            <w:tcW w:w="617" w:type="pct"/>
            <w:vAlign w:val="center"/>
          </w:tcPr>
          <w:p w14:paraId="789DE26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016</w:t>
            </w:r>
          </w:p>
        </w:tc>
        <w:tc>
          <w:tcPr>
            <w:tcW w:w="688" w:type="pct"/>
            <w:vMerge w:val="continue"/>
            <w:vAlign w:val="center"/>
          </w:tcPr>
          <w:p w14:paraId="5C048D2C">
            <w:pPr>
              <w:adjustRightInd/>
              <w:spacing w:line="240" w:lineRule="exact"/>
              <w:jc w:val="center"/>
              <w:rPr>
                <w:rFonts w:ascii="Arial" w:hAnsi="Arial" w:eastAsia="仿宋" w:cs="Arial"/>
                <w:sz w:val="18"/>
                <w:szCs w:val="18"/>
                <w:highlight w:val="none"/>
              </w:rPr>
            </w:pPr>
          </w:p>
        </w:tc>
        <w:tc>
          <w:tcPr>
            <w:tcW w:w="874" w:type="pct"/>
            <w:vAlign w:val="center"/>
          </w:tcPr>
          <w:p w14:paraId="35A8AA8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23103.85</w:t>
            </w:r>
          </w:p>
        </w:tc>
        <w:tc>
          <w:tcPr>
            <w:tcW w:w="475" w:type="pct"/>
            <w:vMerge w:val="continue"/>
            <w:vAlign w:val="center"/>
          </w:tcPr>
          <w:p w14:paraId="22A2B2D8">
            <w:pPr>
              <w:adjustRightInd/>
              <w:spacing w:line="240" w:lineRule="exact"/>
              <w:jc w:val="center"/>
              <w:rPr>
                <w:rFonts w:ascii="Arial" w:hAnsi="Arial" w:eastAsia="仿宋" w:cs="Arial"/>
                <w:sz w:val="18"/>
                <w:szCs w:val="18"/>
                <w:highlight w:val="none"/>
              </w:rPr>
            </w:pPr>
          </w:p>
        </w:tc>
        <w:tc>
          <w:tcPr>
            <w:tcW w:w="921" w:type="pct"/>
            <w:vAlign w:val="center"/>
          </w:tcPr>
          <w:p w14:paraId="56B3CBF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27724.62</w:t>
            </w:r>
          </w:p>
        </w:tc>
        <w:tc>
          <w:tcPr>
            <w:tcW w:w="713" w:type="pct"/>
            <w:vMerge w:val="continue"/>
            <w:vAlign w:val="center"/>
          </w:tcPr>
          <w:p w14:paraId="4AA528E9">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3D1F4C7C">
            <w:pPr>
              <w:adjustRightInd/>
              <w:spacing w:line="240" w:lineRule="exact"/>
              <w:jc w:val="center"/>
              <w:rPr>
                <w:rFonts w:ascii="Arial" w:hAnsi="Arial" w:eastAsia="仿宋" w:cs="Arial"/>
                <w:sz w:val="18"/>
                <w:szCs w:val="18"/>
                <w:highlight w:val="none"/>
              </w:rPr>
            </w:pPr>
          </w:p>
        </w:tc>
      </w:tr>
      <w:tr w14:paraId="77D7C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44" w:type="pct"/>
            <w:vAlign w:val="center"/>
          </w:tcPr>
          <w:p w14:paraId="6B63263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w:t>
            </w:r>
          </w:p>
        </w:tc>
        <w:tc>
          <w:tcPr>
            <w:tcW w:w="617" w:type="pct"/>
            <w:vAlign w:val="center"/>
          </w:tcPr>
          <w:p w14:paraId="55BE9A19">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026</w:t>
            </w:r>
            <w:r>
              <w:rPr>
                <w:rFonts w:hint="eastAsia" w:ascii="Arial" w:hAnsi="Arial" w:eastAsia="仿宋" w:cs="Arial"/>
                <w:sz w:val="18"/>
                <w:szCs w:val="18"/>
                <w:highlight w:val="none"/>
                <w:lang w:eastAsia="zh-CN"/>
              </w:rPr>
              <w:t>－</w:t>
            </w:r>
            <w:r>
              <w:rPr>
                <w:rFonts w:ascii="Arial" w:hAnsi="Arial" w:eastAsia="仿宋" w:cs="Arial"/>
                <w:sz w:val="18"/>
                <w:szCs w:val="18"/>
                <w:highlight w:val="none"/>
              </w:rPr>
              <w:t>1</w:t>
            </w:r>
          </w:p>
        </w:tc>
        <w:tc>
          <w:tcPr>
            <w:tcW w:w="688" w:type="pct"/>
            <w:vMerge w:val="continue"/>
            <w:vAlign w:val="center"/>
          </w:tcPr>
          <w:p w14:paraId="0C2A83E2">
            <w:pPr>
              <w:adjustRightInd/>
              <w:spacing w:line="240" w:lineRule="exact"/>
              <w:jc w:val="center"/>
              <w:rPr>
                <w:rFonts w:ascii="Arial" w:hAnsi="Arial" w:eastAsia="仿宋" w:cs="Arial"/>
                <w:sz w:val="18"/>
                <w:szCs w:val="18"/>
                <w:highlight w:val="none"/>
              </w:rPr>
            </w:pPr>
          </w:p>
        </w:tc>
        <w:tc>
          <w:tcPr>
            <w:tcW w:w="874" w:type="pct"/>
            <w:vAlign w:val="center"/>
          </w:tcPr>
          <w:p w14:paraId="56121D90">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8881.75</w:t>
            </w:r>
          </w:p>
        </w:tc>
        <w:tc>
          <w:tcPr>
            <w:tcW w:w="475" w:type="pct"/>
            <w:vMerge w:val="continue"/>
            <w:vAlign w:val="center"/>
          </w:tcPr>
          <w:p w14:paraId="1004FA74">
            <w:pPr>
              <w:adjustRightInd/>
              <w:spacing w:line="240" w:lineRule="exact"/>
              <w:jc w:val="center"/>
              <w:rPr>
                <w:rFonts w:ascii="Arial" w:hAnsi="Arial" w:eastAsia="仿宋" w:cs="Arial"/>
                <w:sz w:val="18"/>
                <w:szCs w:val="18"/>
                <w:highlight w:val="none"/>
              </w:rPr>
            </w:pPr>
          </w:p>
        </w:tc>
        <w:tc>
          <w:tcPr>
            <w:tcW w:w="921" w:type="pct"/>
            <w:vAlign w:val="center"/>
          </w:tcPr>
          <w:p w14:paraId="2A08DF27">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10658.10</w:t>
            </w:r>
          </w:p>
        </w:tc>
        <w:tc>
          <w:tcPr>
            <w:tcW w:w="713" w:type="pct"/>
            <w:vMerge w:val="continue"/>
            <w:vAlign w:val="center"/>
          </w:tcPr>
          <w:p w14:paraId="316598AF">
            <w:pPr>
              <w:adjustRightInd/>
              <w:spacing w:line="240" w:lineRule="exact"/>
              <w:jc w:val="center"/>
              <w:rPr>
                <w:rFonts w:ascii="Arial" w:hAnsi="Arial" w:eastAsia="仿宋" w:cs="Arial"/>
                <w:sz w:val="18"/>
                <w:szCs w:val="18"/>
                <w:highlight w:val="none"/>
              </w:rPr>
            </w:pPr>
          </w:p>
        </w:tc>
        <w:tc>
          <w:tcPr>
            <w:tcW w:w="468" w:type="pct"/>
            <w:vMerge w:val="continue"/>
            <w:vAlign w:val="center"/>
          </w:tcPr>
          <w:p w14:paraId="219F5049">
            <w:pPr>
              <w:adjustRightInd/>
              <w:spacing w:line="240" w:lineRule="exact"/>
              <w:jc w:val="center"/>
              <w:rPr>
                <w:rFonts w:ascii="Arial" w:hAnsi="Arial" w:eastAsia="仿宋" w:cs="Arial"/>
                <w:sz w:val="18"/>
                <w:szCs w:val="18"/>
                <w:highlight w:val="none"/>
              </w:rPr>
            </w:pPr>
          </w:p>
        </w:tc>
      </w:tr>
      <w:tr w14:paraId="0F868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549" w:type="pct"/>
            <w:gridSpan w:val="3"/>
            <w:vAlign w:val="center"/>
          </w:tcPr>
          <w:p w14:paraId="2C8AE7F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合计</w:t>
            </w:r>
          </w:p>
        </w:tc>
        <w:tc>
          <w:tcPr>
            <w:tcW w:w="874" w:type="pct"/>
            <w:vAlign w:val="center"/>
          </w:tcPr>
          <w:p w14:paraId="67F2E1FF">
            <w:pPr>
              <w:adjustRightInd/>
              <w:spacing w:line="240" w:lineRule="exact"/>
              <w:jc w:val="center"/>
              <w:rPr>
                <w:rFonts w:hint="eastAsia" w:ascii="Arial" w:hAnsi="Arial" w:eastAsia="仿宋" w:cs="Arial"/>
                <w:sz w:val="18"/>
                <w:szCs w:val="18"/>
                <w:highlight w:val="none"/>
                <w:lang w:eastAsia="zh-CN"/>
              </w:rPr>
            </w:pPr>
            <w:r>
              <w:rPr>
                <w:rFonts w:hint="eastAsia" w:ascii="Arial" w:hAnsi="Arial" w:eastAsia="仿宋" w:cs="Arial"/>
                <w:sz w:val="18"/>
                <w:szCs w:val="18"/>
                <w:highlight w:val="none"/>
                <w:lang w:eastAsia="zh-CN"/>
              </w:rPr>
              <w:t>56790.45</w:t>
            </w:r>
          </w:p>
        </w:tc>
        <w:tc>
          <w:tcPr>
            <w:tcW w:w="475" w:type="pct"/>
            <w:vAlign w:val="center"/>
          </w:tcPr>
          <w:p w14:paraId="6BD4F4F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21" w:type="pct"/>
            <w:vAlign w:val="center"/>
          </w:tcPr>
          <w:p w14:paraId="63C66ED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68148.54</w:t>
            </w:r>
          </w:p>
        </w:tc>
        <w:tc>
          <w:tcPr>
            <w:tcW w:w="1181" w:type="pct"/>
            <w:gridSpan w:val="2"/>
            <w:vAlign w:val="center"/>
          </w:tcPr>
          <w:p w14:paraId="4E96F01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bl>
    <w:p w14:paraId="375DEAA7">
      <w:pPr>
        <w:spacing w:line="300" w:lineRule="auto"/>
        <w:ind w:firstLine="560" w:firstLineChars="200"/>
        <w:jc w:val="both"/>
        <w:rPr>
          <w:rFonts w:ascii="Arial" w:hAnsi="Arial" w:eastAsia="仿宋_GB2312" w:cs="Arial"/>
          <w:i/>
          <w:sz w:val="28"/>
          <w:highlight w:val="none"/>
        </w:rPr>
      </w:pPr>
      <w:r>
        <w:rPr>
          <w:rFonts w:ascii="Arial" w:hAnsi="Arial" w:eastAsia="仿宋_GB2312" w:cs="Arial"/>
          <w:i/>
          <w:sz w:val="28"/>
          <w:highlight w:val="none"/>
        </w:rPr>
        <w:br w:type="page"/>
      </w:r>
    </w:p>
    <w:p w14:paraId="28FFD2D9">
      <w:pPr>
        <w:spacing w:line="300" w:lineRule="auto"/>
        <w:jc w:val="center"/>
        <w:outlineLvl w:val="0"/>
        <w:rPr>
          <w:rFonts w:ascii="Arial" w:hAnsi="Arial" w:cs="Arial"/>
          <w:b/>
          <w:sz w:val="32"/>
          <w:highlight w:val="none"/>
        </w:rPr>
      </w:pPr>
      <w:bookmarkStart w:id="360" w:name="_Toc138063027"/>
      <w:r>
        <w:rPr>
          <w:rFonts w:ascii="Arial" w:hAnsi="Arial" w:cs="Arial"/>
          <w:b/>
          <w:sz w:val="32"/>
          <w:highlight w:val="none"/>
        </w:rPr>
        <w:t>第三部分  土地估价</w:t>
      </w:r>
      <w:bookmarkEnd w:id="353"/>
      <w:bookmarkEnd w:id="354"/>
      <w:bookmarkEnd w:id="355"/>
      <w:bookmarkEnd w:id="356"/>
      <w:bookmarkEnd w:id="357"/>
      <w:bookmarkEnd w:id="358"/>
      <w:bookmarkEnd w:id="359"/>
      <w:bookmarkEnd w:id="360"/>
    </w:p>
    <w:p w14:paraId="7948A1ED">
      <w:pPr>
        <w:spacing w:line="300" w:lineRule="auto"/>
        <w:rPr>
          <w:rFonts w:ascii="Arial" w:hAnsi="Arial" w:eastAsia="仿宋_GB2312" w:cs="Arial"/>
          <w:b/>
          <w:sz w:val="28"/>
          <w:highlight w:val="none"/>
        </w:rPr>
      </w:pPr>
    </w:p>
    <w:p w14:paraId="7278EBCB">
      <w:pPr>
        <w:spacing w:line="300" w:lineRule="auto"/>
        <w:outlineLvl w:val="1"/>
        <w:rPr>
          <w:rFonts w:ascii="Arial" w:hAnsi="Arial" w:eastAsia="仿宋_GB2312" w:cs="Arial"/>
          <w:sz w:val="28"/>
          <w:highlight w:val="none"/>
        </w:rPr>
      </w:pPr>
      <w:bookmarkStart w:id="361" w:name="_Toc132016756"/>
      <w:bookmarkStart w:id="362" w:name="_Toc416783600"/>
      <w:bookmarkStart w:id="363" w:name="_Toc469066169"/>
      <w:bookmarkStart w:id="364" w:name="_Toc516488205"/>
      <w:bookmarkStart w:id="365" w:name="_Toc515457823"/>
      <w:bookmarkStart w:id="366" w:name="_Toc138063028"/>
      <w:bookmarkStart w:id="367" w:name="_Toc132016639"/>
      <w:bookmarkStart w:id="368" w:name="_Toc416783696"/>
      <w:r>
        <w:rPr>
          <w:rFonts w:ascii="Arial" w:hAnsi="Arial" w:eastAsia="仿宋_GB2312" w:cs="Arial"/>
          <w:b/>
          <w:sz w:val="28"/>
          <w:highlight w:val="none"/>
        </w:rPr>
        <w:t>一、估价原则</w:t>
      </w:r>
      <w:bookmarkEnd w:id="361"/>
      <w:bookmarkEnd w:id="362"/>
      <w:bookmarkEnd w:id="363"/>
      <w:bookmarkEnd w:id="364"/>
      <w:bookmarkEnd w:id="365"/>
      <w:bookmarkEnd w:id="366"/>
      <w:bookmarkEnd w:id="367"/>
      <w:bookmarkEnd w:id="368"/>
    </w:p>
    <w:p w14:paraId="23FABDC3">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土地价格是由其效用、相对稀缺性及有效需求三者相互作用和影响而形成，这些因素又经常处于变动之中，土地估价必须要对此进行细致分析并正确判断其变动趋向，了解土地价格组成的各项因素及各因素之间的相互作用，才能做出正确估价。在土地估价的实践和理论的探索中，在对土地价格形成和变化的规律认识的基础上，总结出一些在估价活动中应当遵循的法则或标准，而在估价作业时，这些原则又指导人们的估价实践。</w:t>
      </w:r>
    </w:p>
    <w:p w14:paraId="14A4D4F9">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土地估价机构及其土地估价专业人员从事土地估价活动，应当坚持独立、客观、公正原则、回避原则、保密原则，保持专业独立性，杜绝外部不当干预。具体业务实施中，还应遵循以下技术原则。</w:t>
      </w:r>
    </w:p>
    <w:p w14:paraId="654EB4C9">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1.替代原则</w:t>
      </w:r>
    </w:p>
    <w:p w14:paraId="177A5FC9">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替代原则是指土地估价应以相邻地区或类似地区功能相同、条件相似的土地市场交易价格为依据，估价结果不得明显偏离具有替代性质的土地正常价格。</w:t>
      </w:r>
    </w:p>
    <w:p w14:paraId="4CB9508D">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经济学认为，根据市场运行规律，在同一商品市场中，商品或提供服务的效用相同或大致相似时，价格最低者吸引最大需求；价格相同时效用大者吸引最大需求，即当同时存在两个以上的有互相替代性的商品或服务时，商品或服务的价格是经过相互影响比较后才决定的，并最后趋于一致。同一原理同样适用于土地市场，即具有相同使用价值、有替代性的宗地之间的价格会相互影响、相互牵制而最终趋于一致。</w:t>
      </w:r>
    </w:p>
    <w:p w14:paraId="7C540357">
      <w:pPr>
        <w:kinsoku w:val="0"/>
        <w:overflowPunct w:val="0"/>
        <w:autoSpaceDE w:val="0"/>
        <w:autoSpaceDN w:val="0"/>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替代原则可以概括为三点：（1）土地价格水平由具有相同性质的替代性土地的价格所决定；（2）土地价格水平是由最了解行情的买卖者按市场交易实例相互比较后决定；（3）土地价格可以通过比较地块的条件及使用价值来确定。因此，替代原则中所指土地估价应以相邻地区或类似地区功能相同、条件相似的土地市场交易价格为依据，估价结果不得明显偏离具有替代性质的土地正常价格。</w:t>
      </w:r>
    </w:p>
    <w:p w14:paraId="3E1123CE">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替代原则的适用范围广，是本次估价基准地价系数修正法、剩余法中嵌套的市场比较法的理论基础。</w:t>
      </w:r>
    </w:p>
    <w:p w14:paraId="329771C6">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2.最有效利用原则</w:t>
      </w:r>
    </w:p>
    <w:p w14:paraId="76F48DE5">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由于土地具有用途的多样性，不同的利用方式能为权利人带来不同的收益量，且土地权利人都期望从其所占有的土地上获取更多的收益，并以能满足这一目的为确定土地利用方式的依据。所以，土地估价应以宗地的最有效利用为前提的。本次评估以设定规划条件符合最有效使用原则为前提。</w:t>
      </w:r>
    </w:p>
    <w:p w14:paraId="1EF489A6">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3.预期收益原则</w:t>
      </w:r>
    </w:p>
    <w:p w14:paraId="265157BC">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对于价格的评估，重要的并非是过去，而是未来。过去收益的重要意义，在于为推测未来的收益变化动向提供依据。因此，商品的价格是由反映该商品将来的总收益所决定的。土地也是如此，它的价格也是受预期收益形成因素的变动所左右。所以，土地投资者是在预测该土地将来所能带来的收益或效用后进行投资的。这就要求估价者必须了解过去的收益状况，并对土地市场现状、发展趋势、政治经济形势及政策规定对土地市场的影响进行细致分析，预测以待估宗地在正常利用条件下的未来客观有效的预期收益。本次评估在运用剩余法计算估价对象土地价格时，就是以该原则为原理。</w:t>
      </w:r>
    </w:p>
    <w:p w14:paraId="199F8424">
      <w:pPr>
        <w:adjustRightInd/>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4</w:t>
      </w:r>
      <w:r>
        <w:rPr>
          <w:rFonts w:ascii="Arial" w:hAnsi="Arial" w:eastAsia="仿宋_GB2312" w:cs="Arial"/>
          <w:sz w:val="28"/>
          <w:highlight w:val="none"/>
        </w:rPr>
        <w:t>.供需原则</w:t>
      </w:r>
    </w:p>
    <w:p w14:paraId="179D1F70">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在完全的市场竞争中，一般商品的价格取决于供求的均衡点，需求大于供给，价格就会提高，否则价格就会降低。由于土地与一般商品相比，具有独特的人文和自然条件，因此土地市场形成了自己的供求规律，主要表现在土地的价格容易形成垄断，所以地价形成于不完全竞争的市场。在评估中我们以市场供需决定土地价格为依据，并充分的考虑了土地供需的特殊性和土地市场的地域性。估价对象位于</w:t>
      </w:r>
      <w:r>
        <w:rPr>
          <w:rFonts w:hint="eastAsia" w:ascii="Arial" w:hAnsi="Arial" w:eastAsia="仿宋_GB2312" w:cs="Arial"/>
          <w:sz w:val="28"/>
          <w:highlight w:val="none"/>
        </w:rPr>
        <w:t>顺义区高丽营镇</w:t>
      </w:r>
      <w:r>
        <w:rPr>
          <w:rFonts w:ascii="Arial" w:hAnsi="Arial" w:eastAsia="仿宋_GB2312" w:cs="Arial"/>
          <w:sz w:val="28"/>
          <w:highlight w:val="none"/>
        </w:rPr>
        <w:t>，土地用途为</w:t>
      </w:r>
      <w:r>
        <w:rPr>
          <w:rFonts w:hint="eastAsia" w:ascii="Arial" w:hAnsi="Arial" w:eastAsia="仿宋_GB2312" w:cs="Arial"/>
          <w:sz w:val="28"/>
          <w:highlight w:val="none"/>
          <w:lang w:eastAsia="zh-CN"/>
        </w:rPr>
        <w:t>城镇住宅用地、其他商业服务业用地、公共管理与公共服务用地</w:t>
      </w:r>
      <w:r>
        <w:rPr>
          <w:rFonts w:ascii="Arial" w:hAnsi="Arial" w:eastAsia="仿宋_GB2312" w:cs="Arial"/>
          <w:sz w:val="28"/>
          <w:highlight w:val="none"/>
        </w:rPr>
        <w:t>，土地性质为出让国有建设用地使用权。估价对象所处区域内土地资产存在较大增值潜力。评估中剩余法的运用主要考虑此项原则。</w:t>
      </w:r>
    </w:p>
    <w:p w14:paraId="01CBD4AC">
      <w:pPr>
        <w:adjustRightInd/>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5</w:t>
      </w:r>
      <w:r>
        <w:rPr>
          <w:rFonts w:ascii="Arial" w:hAnsi="Arial" w:eastAsia="仿宋_GB2312" w:cs="Arial"/>
          <w:sz w:val="28"/>
          <w:highlight w:val="none"/>
        </w:rPr>
        <w:t>.贡献原则</w:t>
      </w:r>
    </w:p>
    <w:p w14:paraId="03AA7AD1">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不动产的总收益是由土地及建筑物等其他生产要素共同作用的结果。就土地部分的贡献而言，由于地价是在生产经营活动之前优先支付的，故土地的贡献具有优先性和特殊性，评估时应特别考虑。同时，土地的价格可根据土地对不动产收益的贡献大小确定。</w:t>
      </w:r>
    </w:p>
    <w:p w14:paraId="3E365D79">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highlight w:val="none"/>
        </w:rPr>
        <w:t>6</w:t>
      </w:r>
      <w:r>
        <w:rPr>
          <w:rFonts w:ascii="Arial" w:hAnsi="Arial" w:eastAsia="仿宋_GB2312" w:cs="Arial"/>
          <w:sz w:val="28"/>
          <w:szCs w:val="28"/>
          <w:highlight w:val="none"/>
        </w:rPr>
        <w:t>.价值主导原则</w:t>
      </w:r>
    </w:p>
    <w:p w14:paraId="46ACC89C">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价值主导原则是指</w:t>
      </w:r>
      <w:r>
        <w:rPr>
          <w:rFonts w:ascii="Arial" w:hAnsi="Arial" w:eastAsia="仿宋_GB2312" w:cs="Arial"/>
          <w:sz w:val="28"/>
          <w:highlight w:val="none"/>
        </w:rPr>
        <w:t>土地</w:t>
      </w:r>
      <w:r>
        <w:rPr>
          <w:rFonts w:ascii="Arial" w:hAnsi="Arial" w:eastAsia="仿宋_GB2312" w:cs="Arial"/>
          <w:sz w:val="28"/>
          <w:szCs w:val="28"/>
          <w:highlight w:val="none"/>
        </w:rPr>
        <w:t>综合质量优劣是对土地价格产生影响的主要因素。</w:t>
      </w:r>
    </w:p>
    <w:p w14:paraId="6D98D52C">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城镇土地分等定级就是根据土地的经济和自然两个方面的属性及其在城镇社会经济中的地位和作用，综合评定土地质量，划分城镇土地等级的过程。</w:t>
      </w:r>
    </w:p>
    <w:p w14:paraId="1B36E449">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估价对象位于</w:t>
      </w:r>
      <w:r>
        <w:rPr>
          <w:rFonts w:hint="eastAsia" w:ascii="Arial" w:hAnsi="Arial" w:eastAsia="仿宋_GB2312" w:cs="Arial"/>
          <w:sz w:val="28"/>
          <w:highlight w:val="none"/>
        </w:rPr>
        <w:t>顺义区高丽营镇</w:t>
      </w:r>
      <w:r>
        <w:rPr>
          <w:rFonts w:ascii="Arial" w:hAnsi="Arial" w:eastAsia="仿宋_GB2312" w:cs="Arial"/>
          <w:sz w:val="28"/>
          <w:szCs w:val="28"/>
          <w:highlight w:val="none"/>
        </w:rPr>
        <w:t>，属于</w:t>
      </w:r>
      <w:r>
        <w:rPr>
          <w:rFonts w:ascii="Arial" w:hAnsi="Arial" w:eastAsia="仿宋_GB2312" w:cs="Arial"/>
          <w:sz w:val="28"/>
          <w:highlight w:val="none"/>
        </w:rPr>
        <w:t>住宅类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顺5区片</w:t>
      </w:r>
      <w:r>
        <w:rPr>
          <w:rFonts w:ascii="Arial" w:hAnsi="Arial" w:eastAsia="仿宋_GB2312" w:cs="Arial"/>
          <w:sz w:val="28"/>
          <w:highlight w:val="none"/>
        </w:rPr>
        <w:t>、商</w:t>
      </w:r>
      <w:r>
        <w:rPr>
          <w:rFonts w:hint="eastAsia" w:ascii="Arial" w:hAnsi="Arial" w:eastAsia="仿宋_GB2312" w:cs="Arial"/>
          <w:sz w:val="28"/>
          <w:highlight w:val="none"/>
        </w:rPr>
        <w:t>服</w:t>
      </w:r>
      <w:r>
        <w:rPr>
          <w:rFonts w:ascii="Arial" w:hAnsi="Arial" w:eastAsia="仿宋_GB2312" w:cs="Arial"/>
          <w:sz w:val="28"/>
          <w:highlight w:val="none"/>
        </w:rPr>
        <w:t>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顺5区片</w:t>
      </w:r>
      <w:r>
        <w:rPr>
          <w:rFonts w:ascii="Arial" w:hAnsi="Arial" w:eastAsia="仿宋_GB2312" w:cs="Arial"/>
          <w:sz w:val="28"/>
          <w:highlight w:val="none"/>
        </w:rPr>
        <w:t>、</w:t>
      </w:r>
      <w:r>
        <w:rPr>
          <w:rFonts w:hint="eastAsia" w:ascii="Arial" w:hAnsi="Arial" w:eastAsia="仿宋_GB2312" w:cs="Arial"/>
          <w:sz w:val="28"/>
          <w:highlight w:val="none"/>
        </w:rPr>
        <w:t>公共</w:t>
      </w:r>
      <w:r>
        <w:rPr>
          <w:rFonts w:ascii="Arial" w:hAnsi="Arial" w:eastAsia="仿宋_GB2312" w:cs="Arial"/>
          <w:sz w:val="28"/>
          <w:highlight w:val="none"/>
        </w:rPr>
        <w:t>服务类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顺5区片</w:t>
      </w:r>
      <w:r>
        <w:rPr>
          <w:rFonts w:ascii="Arial" w:hAnsi="Arial" w:eastAsia="仿宋_GB2312" w:cs="Arial"/>
          <w:sz w:val="28"/>
          <w:szCs w:val="28"/>
          <w:highlight w:val="none"/>
        </w:rPr>
        <w:t>，估价中土地估价专业评估师是根据现场查勘，并依据《城镇土地分等定级规程》对估价对象进行综合判断。</w:t>
      </w:r>
    </w:p>
    <w:p w14:paraId="23E07C31">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7</w:t>
      </w:r>
      <w:r>
        <w:rPr>
          <w:rFonts w:ascii="Arial" w:hAnsi="Arial" w:eastAsia="仿宋_GB2312" w:cs="Arial"/>
          <w:sz w:val="28"/>
          <w:szCs w:val="28"/>
          <w:highlight w:val="none"/>
        </w:rPr>
        <w:t xml:space="preserve">.审慎原则 </w:t>
      </w:r>
    </w:p>
    <w:p w14:paraId="76093C10">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审慎原则是指在评估中确定相关参数和结果时，应分析并充分考虑土地市场运行状况、有关行业发展状况，以及存在的风险。在不确定性条件下做出估计和判断时要保持一定程度的谨慎，以便不高估也不低估估价对象的价值。</w:t>
      </w:r>
    </w:p>
    <w:p w14:paraId="5B5230F7">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本次估价考虑估价对象的具体情况，结合估价目的，在估价过程中确定相关参数和结果时，仔细分析并充分考虑土地市场运行状况、有关行业发展状况、存在的风险，严格遵循着审慎原则。</w:t>
      </w:r>
    </w:p>
    <w:p w14:paraId="7B2D5702">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8</w:t>
      </w:r>
      <w:r>
        <w:rPr>
          <w:rFonts w:ascii="Arial" w:hAnsi="Arial" w:eastAsia="仿宋_GB2312" w:cs="Arial"/>
          <w:sz w:val="28"/>
          <w:szCs w:val="28"/>
          <w:highlight w:val="none"/>
        </w:rPr>
        <w:t>.公开市场原则</w:t>
      </w:r>
    </w:p>
    <w:p w14:paraId="156FDB6B">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公开市场原则是指评估结果在公平、公正、公开的土地市场上可实现。</w:t>
      </w:r>
    </w:p>
    <w:p w14:paraId="7F415CBA">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公开市场是指交易双方的交易的目的在于最大限度地追求经济利益，并掌握必要的市场信息，有较充裕的时间进行交易，交易对象具有必要的专业知识，交易条件公开并不具有排它性的交易市场。本次估价结果是估价对象所在区域内的正常市场价格（熟地价），即在公平、公正、公开的土地市场上可实现的价格。</w:t>
      </w:r>
    </w:p>
    <w:p w14:paraId="098F4901">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9</w:t>
      </w:r>
      <w:r>
        <w:rPr>
          <w:rFonts w:ascii="Arial" w:hAnsi="Arial" w:eastAsia="仿宋_GB2312" w:cs="Arial"/>
          <w:sz w:val="28"/>
          <w:szCs w:val="28"/>
          <w:highlight w:val="none"/>
        </w:rPr>
        <w:t>.</w:t>
      </w:r>
      <w:r>
        <w:rPr>
          <w:rFonts w:hint="eastAsia" w:ascii="Arial" w:hAnsi="Arial" w:eastAsia="仿宋_GB2312" w:cs="Arial"/>
          <w:sz w:val="28"/>
          <w:szCs w:val="28"/>
          <w:highlight w:val="none"/>
        </w:rPr>
        <w:t>其他原则</w:t>
      </w:r>
    </w:p>
    <w:p w14:paraId="58F06189">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评估公共管理与公共服务用地价格</w:t>
      </w:r>
      <w:r>
        <w:rPr>
          <w:rFonts w:hint="eastAsia" w:ascii="Arial" w:hAnsi="Arial" w:eastAsia="仿宋_GB2312" w:cs="Arial"/>
          <w:sz w:val="28"/>
          <w:szCs w:val="28"/>
          <w:highlight w:val="none"/>
        </w:rPr>
        <w:t>，</w:t>
      </w:r>
      <w:r>
        <w:rPr>
          <w:rFonts w:ascii="Arial" w:hAnsi="Arial" w:eastAsia="仿宋_GB2312" w:cs="Arial"/>
          <w:sz w:val="28"/>
          <w:szCs w:val="28"/>
          <w:highlight w:val="none"/>
        </w:rPr>
        <w:t>首先应考虑发现并模拟市场价格原则</w:t>
      </w:r>
      <w:r>
        <w:rPr>
          <w:rFonts w:hint="eastAsia" w:ascii="Arial" w:hAnsi="Arial" w:eastAsia="仿宋_GB2312" w:cs="Arial"/>
          <w:sz w:val="28"/>
          <w:szCs w:val="28"/>
          <w:highlight w:val="none"/>
        </w:rPr>
        <w:t>，</w:t>
      </w:r>
      <w:r>
        <w:rPr>
          <w:rFonts w:ascii="Arial" w:hAnsi="Arial" w:eastAsia="仿宋_GB2312" w:cs="Arial"/>
          <w:sz w:val="28"/>
          <w:szCs w:val="28"/>
          <w:highlight w:val="none"/>
        </w:rPr>
        <w:t>评估该类用地的正常市场价格</w:t>
      </w:r>
      <w:r>
        <w:rPr>
          <w:rFonts w:hint="eastAsia" w:ascii="Arial" w:hAnsi="Arial" w:eastAsia="仿宋_GB2312" w:cs="Arial"/>
          <w:sz w:val="28"/>
          <w:szCs w:val="28"/>
          <w:highlight w:val="none"/>
        </w:rPr>
        <w:t>。</w:t>
      </w:r>
      <w:r>
        <w:rPr>
          <w:rFonts w:ascii="Arial" w:hAnsi="Arial" w:eastAsia="仿宋_GB2312" w:cs="Arial"/>
          <w:sz w:val="28"/>
          <w:szCs w:val="28"/>
          <w:highlight w:val="none"/>
        </w:rPr>
        <w:t>在特定市场情况下</w:t>
      </w:r>
      <w:r>
        <w:rPr>
          <w:rFonts w:hint="eastAsia" w:ascii="Arial" w:hAnsi="Arial" w:eastAsia="仿宋_GB2312" w:cs="Arial"/>
          <w:sz w:val="28"/>
          <w:szCs w:val="28"/>
          <w:highlight w:val="none"/>
        </w:rPr>
        <w:t>，</w:t>
      </w:r>
      <w:r>
        <w:rPr>
          <w:rFonts w:ascii="Arial" w:hAnsi="Arial" w:eastAsia="仿宋_GB2312" w:cs="Arial"/>
          <w:sz w:val="28"/>
          <w:szCs w:val="28"/>
          <w:highlight w:val="none"/>
        </w:rPr>
        <w:t>可根据国家及北京市的相关法规与政策</w:t>
      </w:r>
      <w:r>
        <w:rPr>
          <w:rFonts w:hint="eastAsia" w:ascii="Arial" w:hAnsi="Arial" w:eastAsia="仿宋_GB2312" w:cs="Arial"/>
          <w:sz w:val="28"/>
          <w:szCs w:val="28"/>
          <w:highlight w:val="none"/>
        </w:rPr>
        <w:t>，</w:t>
      </w:r>
      <w:r>
        <w:rPr>
          <w:rFonts w:ascii="Arial" w:hAnsi="Arial" w:eastAsia="仿宋_GB2312" w:cs="Arial"/>
          <w:sz w:val="28"/>
          <w:szCs w:val="28"/>
          <w:highlight w:val="none"/>
        </w:rPr>
        <w:t>对前述的正常市场价格进行修正</w:t>
      </w:r>
      <w:r>
        <w:rPr>
          <w:rFonts w:hint="eastAsia" w:ascii="Arial" w:hAnsi="Arial" w:eastAsia="仿宋_GB2312" w:cs="Arial"/>
          <w:sz w:val="28"/>
          <w:szCs w:val="28"/>
          <w:highlight w:val="none"/>
        </w:rPr>
        <w:t>，</w:t>
      </w:r>
      <w:r>
        <w:rPr>
          <w:rFonts w:ascii="Arial" w:hAnsi="Arial" w:eastAsia="仿宋_GB2312" w:cs="Arial"/>
          <w:sz w:val="28"/>
          <w:szCs w:val="28"/>
          <w:highlight w:val="none"/>
        </w:rPr>
        <w:t>测算基于特定正常约束下的参考性价格</w:t>
      </w:r>
      <w:r>
        <w:rPr>
          <w:rFonts w:hint="eastAsia" w:ascii="Arial" w:hAnsi="Arial" w:eastAsia="仿宋_GB2312" w:cs="Arial"/>
          <w:sz w:val="28"/>
          <w:szCs w:val="28"/>
          <w:highlight w:val="none"/>
        </w:rPr>
        <w:t>，体现</w:t>
      </w:r>
      <w:r>
        <w:rPr>
          <w:rFonts w:ascii="Arial" w:hAnsi="Arial" w:eastAsia="仿宋_GB2312" w:cs="Arial"/>
          <w:sz w:val="28"/>
          <w:szCs w:val="28"/>
          <w:highlight w:val="none"/>
        </w:rPr>
        <w:t>区分市场定价与政策优惠的原则</w:t>
      </w:r>
      <w:r>
        <w:rPr>
          <w:rFonts w:hint="eastAsia" w:ascii="Arial" w:hAnsi="Arial" w:eastAsia="仿宋_GB2312" w:cs="Arial"/>
          <w:sz w:val="28"/>
          <w:szCs w:val="28"/>
          <w:highlight w:val="none"/>
        </w:rPr>
        <w:t>。同时，在评估时应考虑</w:t>
      </w:r>
      <w:r>
        <w:rPr>
          <w:rFonts w:ascii="Arial" w:hAnsi="Arial" w:eastAsia="仿宋_GB2312" w:cs="Arial"/>
          <w:sz w:val="28"/>
          <w:szCs w:val="28"/>
          <w:highlight w:val="none"/>
        </w:rPr>
        <w:t>区位效用为主</w:t>
      </w:r>
      <w:r>
        <w:rPr>
          <w:rFonts w:hint="eastAsia" w:ascii="Arial" w:hAnsi="Arial" w:eastAsia="仿宋_GB2312" w:cs="Arial"/>
          <w:sz w:val="28"/>
          <w:szCs w:val="28"/>
          <w:highlight w:val="none"/>
        </w:rPr>
        <w:t>、</w:t>
      </w:r>
      <w:r>
        <w:rPr>
          <w:rFonts w:ascii="Arial" w:hAnsi="Arial" w:eastAsia="仿宋_GB2312" w:cs="Arial"/>
          <w:sz w:val="28"/>
          <w:szCs w:val="28"/>
          <w:highlight w:val="none"/>
        </w:rPr>
        <w:t>兼顾用途差异的原则</w:t>
      </w:r>
      <w:r>
        <w:rPr>
          <w:rFonts w:hint="eastAsia" w:ascii="Arial" w:hAnsi="Arial" w:eastAsia="仿宋_GB2312" w:cs="Arial"/>
          <w:sz w:val="28"/>
          <w:szCs w:val="28"/>
          <w:highlight w:val="none"/>
        </w:rPr>
        <w:t>。</w:t>
      </w:r>
    </w:p>
    <w:p w14:paraId="17E3A2C0">
      <w:pPr>
        <w:kinsoku w:val="0"/>
        <w:overflowPunct w:val="0"/>
        <w:autoSpaceDE w:val="0"/>
        <w:autoSpaceDN w:val="0"/>
        <w:adjustRightInd/>
        <w:spacing w:line="300" w:lineRule="auto"/>
        <w:ind w:firstLine="560" w:firstLineChars="200"/>
        <w:jc w:val="both"/>
        <w:rPr>
          <w:rFonts w:ascii="Arial" w:hAnsi="Arial" w:eastAsia="仿宋_GB2312" w:cs="Arial"/>
          <w:b/>
          <w:sz w:val="28"/>
          <w:highlight w:val="none"/>
        </w:rPr>
      </w:pPr>
      <w:r>
        <w:rPr>
          <w:rFonts w:hint="eastAsia" w:ascii="Arial" w:hAnsi="Arial" w:eastAsia="仿宋_GB2312" w:cs="Arial"/>
          <w:sz w:val="28"/>
          <w:szCs w:val="28"/>
          <w:highlight w:val="none"/>
        </w:rPr>
        <w:t>估价对象土地用途为</w:t>
      </w:r>
      <w:r>
        <w:rPr>
          <w:rFonts w:hint="eastAsia" w:ascii="Arial" w:hAnsi="Arial" w:eastAsia="仿宋" w:cs="Arial"/>
          <w:sz w:val="28"/>
          <w:szCs w:val="28"/>
          <w:highlight w:val="none"/>
          <w:lang w:eastAsia="zh-CN"/>
        </w:rPr>
        <w:t>城镇住宅用地、其他商业服务业用地及公共管理与公共服务用地</w:t>
      </w:r>
      <w:r>
        <w:rPr>
          <w:rFonts w:hint="eastAsia" w:ascii="Arial" w:hAnsi="Arial" w:eastAsia="仿宋_GB2312" w:cs="Arial"/>
          <w:sz w:val="28"/>
          <w:szCs w:val="28"/>
          <w:highlight w:val="none"/>
        </w:rPr>
        <w:t>，包含</w:t>
      </w:r>
      <w:r>
        <w:rPr>
          <w:rFonts w:ascii="Arial" w:hAnsi="Arial" w:eastAsia="仿宋_GB2312" w:cs="Arial"/>
          <w:sz w:val="28"/>
          <w:szCs w:val="28"/>
          <w:highlight w:val="none"/>
        </w:rPr>
        <w:t>公共管理与公共服务用途</w:t>
      </w:r>
      <w:r>
        <w:rPr>
          <w:rFonts w:hint="eastAsia" w:ascii="Arial" w:hAnsi="Arial" w:eastAsia="仿宋_GB2312" w:cs="Arial"/>
          <w:sz w:val="28"/>
          <w:szCs w:val="28"/>
          <w:highlight w:val="none"/>
        </w:rPr>
        <w:t>。本次评估选取周边</w:t>
      </w:r>
      <w:r>
        <w:rPr>
          <w:rFonts w:ascii="Arial" w:hAnsi="Arial" w:eastAsia="仿宋_GB2312" w:cs="Arial"/>
          <w:sz w:val="28"/>
          <w:szCs w:val="28"/>
          <w:highlight w:val="none"/>
        </w:rPr>
        <w:t>4</w:t>
      </w:r>
      <w:r>
        <w:rPr>
          <w:rFonts w:hint="eastAsia" w:ascii="Arial" w:hAnsi="Arial" w:eastAsia="仿宋_GB2312" w:cs="Arial"/>
          <w:sz w:val="28"/>
          <w:szCs w:val="28"/>
          <w:highlight w:val="none"/>
        </w:rPr>
        <w:t>公里范围内类似不动产的交易实例，考虑用途差异进行修正，对估价对象市场价格形成过程进行模拟，正是考虑了</w:t>
      </w:r>
      <w:r>
        <w:rPr>
          <w:rFonts w:ascii="Arial" w:hAnsi="Arial" w:eastAsia="仿宋_GB2312" w:cs="Arial"/>
          <w:sz w:val="28"/>
          <w:szCs w:val="28"/>
          <w:highlight w:val="none"/>
        </w:rPr>
        <w:t>发现并模拟市场价格的原则</w:t>
      </w:r>
      <w:r>
        <w:rPr>
          <w:rFonts w:hint="eastAsia" w:ascii="Arial" w:hAnsi="Arial" w:eastAsia="仿宋_GB2312" w:cs="Arial"/>
          <w:sz w:val="28"/>
          <w:szCs w:val="28"/>
          <w:highlight w:val="none"/>
        </w:rPr>
        <w:t>、</w:t>
      </w:r>
      <w:r>
        <w:rPr>
          <w:rFonts w:ascii="Arial" w:hAnsi="Arial" w:eastAsia="仿宋_GB2312" w:cs="Arial"/>
          <w:sz w:val="28"/>
          <w:szCs w:val="28"/>
          <w:highlight w:val="none"/>
        </w:rPr>
        <w:t>区分市场定价与政策优惠的原则</w:t>
      </w:r>
      <w:r>
        <w:rPr>
          <w:rFonts w:hint="eastAsia" w:ascii="Arial" w:hAnsi="Arial" w:eastAsia="仿宋_GB2312" w:cs="Arial"/>
          <w:sz w:val="28"/>
          <w:szCs w:val="28"/>
          <w:highlight w:val="none"/>
        </w:rPr>
        <w:t>和</w:t>
      </w:r>
      <w:r>
        <w:rPr>
          <w:rFonts w:ascii="Arial" w:hAnsi="Arial" w:eastAsia="仿宋_GB2312" w:cs="Arial"/>
          <w:sz w:val="28"/>
          <w:szCs w:val="28"/>
          <w:highlight w:val="none"/>
        </w:rPr>
        <w:t>区位效用为主兼顾用途差异的原则</w:t>
      </w:r>
      <w:r>
        <w:rPr>
          <w:rFonts w:hint="eastAsia" w:ascii="Arial" w:hAnsi="Arial" w:eastAsia="仿宋_GB2312" w:cs="Arial"/>
          <w:sz w:val="28"/>
          <w:szCs w:val="28"/>
          <w:highlight w:val="none"/>
        </w:rPr>
        <w:t>。</w:t>
      </w:r>
    </w:p>
    <w:p w14:paraId="12E7551A">
      <w:pPr>
        <w:spacing w:line="300" w:lineRule="auto"/>
        <w:jc w:val="both"/>
        <w:outlineLvl w:val="1"/>
        <w:rPr>
          <w:rFonts w:ascii="Arial" w:hAnsi="Arial" w:eastAsia="仿宋_GB2312" w:cs="Arial"/>
          <w:b/>
          <w:sz w:val="28"/>
          <w:highlight w:val="none"/>
        </w:rPr>
      </w:pPr>
      <w:bookmarkStart w:id="369" w:name="_Toc416783697"/>
      <w:bookmarkStart w:id="370" w:name="_Toc515457824"/>
      <w:bookmarkStart w:id="371" w:name="_Toc416783601"/>
      <w:bookmarkStart w:id="372" w:name="_Toc469066170"/>
      <w:bookmarkStart w:id="373" w:name="_Toc516488206"/>
      <w:bookmarkStart w:id="374" w:name="_Toc132016640"/>
      <w:bookmarkStart w:id="375" w:name="_Toc138063029"/>
      <w:bookmarkStart w:id="376" w:name="_Toc132016757"/>
      <w:r>
        <w:rPr>
          <w:rFonts w:ascii="Arial" w:hAnsi="Arial" w:eastAsia="仿宋_GB2312" w:cs="Arial"/>
          <w:b/>
          <w:sz w:val="28"/>
          <w:highlight w:val="none"/>
        </w:rPr>
        <w:t>二、估价方法与估价过程</w:t>
      </w:r>
      <w:bookmarkEnd w:id="369"/>
      <w:bookmarkEnd w:id="370"/>
      <w:bookmarkEnd w:id="371"/>
      <w:bookmarkEnd w:id="372"/>
      <w:bookmarkEnd w:id="373"/>
      <w:bookmarkEnd w:id="374"/>
      <w:bookmarkEnd w:id="375"/>
      <w:bookmarkEnd w:id="376"/>
    </w:p>
    <w:p w14:paraId="4FB88682">
      <w:pPr>
        <w:pStyle w:val="57"/>
        <w:autoSpaceDE w:val="0"/>
        <w:autoSpaceDN w:val="0"/>
        <w:adjustRightInd/>
        <w:spacing w:line="300" w:lineRule="auto"/>
        <w:jc w:val="both"/>
        <w:textAlignment w:val="bottom"/>
        <w:rPr>
          <w:rFonts w:ascii="Arial" w:hAnsi="Arial" w:eastAsia="仿宋_GB2312" w:cs="Arial"/>
          <w:bCs/>
          <w:sz w:val="28"/>
          <w:highlight w:val="none"/>
        </w:rPr>
      </w:pPr>
      <w:r>
        <w:rPr>
          <w:rFonts w:ascii="Arial" w:hAnsi="Arial" w:eastAsia="仿宋_GB2312" w:cs="Arial"/>
          <w:bCs/>
          <w:sz w:val="28"/>
          <w:highlight w:val="none"/>
        </w:rPr>
        <w:t>（一）估价方法选择</w:t>
      </w:r>
    </w:p>
    <w:p w14:paraId="750D0EAD">
      <w:pPr>
        <w:adjustRightInd/>
        <w:spacing w:line="300" w:lineRule="auto"/>
        <w:ind w:firstLine="560" w:firstLineChars="200"/>
        <w:jc w:val="both"/>
        <w:rPr>
          <w:rFonts w:ascii="Arial" w:hAnsi="Arial" w:eastAsia="仿宋_GB2312" w:cs="Arial"/>
          <w:sz w:val="28"/>
          <w:highlight w:val="none"/>
        </w:rPr>
      </w:pPr>
      <w:bookmarkStart w:id="377" w:name="_Toc416783602"/>
      <w:bookmarkStart w:id="378" w:name="_Toc416783698"/>
      <w:r>
        <w:rPr>
          <w:rFonts w:ascii="Arial" w:hAnsi="Arial" w:eastAsia="仿宋_GB2312" w:cs="Arial"/>
          <w:sz w:val="28"/>
          <w:highlight w:val="none"/>
        </w:rPr>
        <w:t>1.方法选择</w:t>
      </w:r>
    </w:p>
    <w:p w14:paraId="10F900CE">
      <w:pPr>
        <w:adjustRightInd/>
        <w:spacing w:line="300" w:lineRule="auto"/>
        <w:ind w:firstLine="562"/>
        <w:jc w:val="both"/>
        <w:rPr>
          <w:rFonts w:ascii="Arial" w:hAnsi="Arial" w:eastAsia="仿宋_GB2312" w:cs="Arial"/>
          <w:sz w:val="28"/>
          <w:szCs w:val="28"/>
          <w:highlight w:val="none"/>
        </w:rPr>
      </w:pPr>
      <w:r>
        <w:rPr>
          <w:rFonts w:ascii="Arial" w:hAnsi="Arial" w:eastAsia="仿宋_GB2312" w:cs="Arial"/>
          <w:sz w:val="28"/>
          <w:szCs w:val="28"/>
          <w:highlight w:val="none"/>
        </w:rPr>
        <w:drawing>
          <wp:anchor distT="0" distB="0" distL="114300" distR="114300" simplePos="0" relativeHeight="251661312" behindDoc="0" locked="0" layoutInCell="1" allowOverlap="0">
            <wp:simplePos x="0" y="0"/>
            <wp:positionH relativeFrom="page">
              <wp:posOffset>804545</wp:posOffset>
            </wp:positionH>
            <wp:positionV relativeFrom="page">
              <wp:posOffset>4762500</wp:posOffset>
            </wp:positionV>
            <wp:extent cx="24130" cy="12065"/>
            <wp:effectExtent l="0" t="0" r="0" b="0"/>
            <wp:wrapSquare wrapText="bothSides"/>
            <wp:docPr id="27" name="Picture 20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0430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4130" cy="12065"/>
                    </a:xfrm>
                    <a:prstGeom prst="rect">
                      <a:avLst/>
                    </a:prstGeom>
                    <a:noFill/>
                    <a:ln>
                      <a:noFill/>
                    </a:ln>
                  </pic:spPr>
                </pic:pic>
              </a:graphicData>
            </a:graphic>
          </wp:anchor>
        </w:drawing>
      </w:r>
      <w:r>
        <w:rPr>
          <w:rFonts w:ascii="Arial" w:hAnsi="Arial" w:eastAsia="仿宋_GB2312" w:cs="Arial"/>
          <w:sz w:val="28"/>
          <w:szCs w:val="28"/>
          <w:highlight w:val="none"/>
        </w:rPr>
        <w:t>根据《城镇土地估价规程》</w:t>
      </w:r>
      <w:r>
        <w:rPr>
          <w:rFonts w:ascii="Arial" w:hAnsi="Arial" w:eastAsia="仿宋_GB2312" w:cs="Arial"/>
          <w:sz w:val="28"/>
          <w:highlight w:val="none"/>
        </w:rPr>
        <w:t>（GB/T 18508</w:t>
      </w:r>
      <w:r>
        <w:rPr>
          <w:rFonts w:hint="eastAsia" w:ascii="Arial" w:hAnsi="Arial" w:eastAsia="仿宋_GB2312" w:cs="Arial"/>
          <w:sz w:val="28"/>
          <w:highlight w:val="none"/>
          <w:lang w:eastAsia="zh-CN"/>
        </w:rPr>
        <w:t>－</w:t>
      </w:r>
      <w:r>
        <w:rPr>
          <w:rFonts w:ascii="Arial" w:hAnsi="Arial" w:eastAsia="仿宋_GB2312" w:cs="Arial"/>
          <w:sz w:val="28"/>
          <w:highlight w:val="none"/>
        </w:rPr>
        <w:t>2014）</w:t>
      </w:r>
      <w:r>
        <w:rPr>
          <w:rFonts w:ascii="Arial" w:hAnsi="Arial" w:eastAsia="仿宋_GB2312" w:cs="Arial"/>
          <w:sz w:val="28"/>
          <w:szCs w:val="28"/>
          <w:highlight w:val="none"/>
        </w:rPr>
        <w:t>，</w:t>
      </w:r>
      <w:r>
        <w:rPr>
          <w:rFonts w:hint="eastAsia" w:ascii="Arial" w:hAnsi="Arial" w:eastAsia="仿宋_GB2312" w:cs="Arial"/>
          <w:sz w:val="28"/>
          <w:szCs w:val="28"/>
          <w:highlight w:val="none"/>
          <w:lang w:val="en-US" w:eastAsia="zh-CN"/>
        </w:rPr>
        <w:t>地价</w:t>
      </w:r>
      <w:r>
        <w:rPr>
          <w:rFonts w:ascii="Arial" w:hAnsi="Arial" w:eastAsia="仿宋_GB2312" w:cs="Arial"/>
          <w:sz w:val="28"/>
          <w:szCs w:val="28"/>
          <w:highlight w:val="none"/>
        </w:rPr>
        <w:t>估价方法有市场比较法、收益还原法、剩余法、成本逼近法、公示地价系数修正法等。估价方法的选择应按照《城镇土地估价规程》</w:t>
      </w:r>
      <w:r>
        <w:rPr>
          <w:rFonts w:ascii="Arial" w:hAnsi="Arial" w:eastAsia="仿宋_GB2312" w:cs="Arial"/>
          <w:sz w:val="28"/>
          <w:highlight w:val="none"/>
        </w:rPr>
        <w:t>（GB/T 18508</w:t>
      </w:r>
      <w:r>
        <w:rPr>
          <w:rFonts w:hint="eastAsia" w:ascii="Arial" w:hAnsi="Arial" w:eastAsia="仿宋_GB2312" w:cs="Arial"/>
          <w:sz w:val="28"/>
          <w:highlight w:val="none"/>
          <w:lang w:eastAsia="zh-CN"/>
        </w:rPr>
        <w:t>－</w:t>
      </w:r>
      <w:r>
        <w:rPr>
          <w:rFonts w:ascii="Arial" w:hAnsi="Arial" w:eastAsia="仿宋_GB2312" w:cs="Arial"/>
          <w:sz w:val="28"/>
          <w:highlight w:val="none"/>
        </w:rPr>
        <w:t>2014）</w:t>
      </w:r>
      <w:r>
        <w:rPr>
          <w:rFonts w:ascii="Arial" w:hAnsi="Arial" w:eastAsia="仿宋_GB2312" w:cs="Arial"/>
          <w:sz w:val="28"/>
          <w:szCs w:val="28"/>
          <w:highlight w:val="none"/>
        </w:rPr>
        <w:t>，根据区域内地产市场发育情况并结合估价对象的特点及估价目的等，选择适当的估价方法。在一项土地估价中所选方法不少于两种。</w:t>
      </w:r>
    </w:p>
    <w:p w14:paraId="3BA09F5A">
      <w:pPr>
        <w:adjustRightInd/>
        <w:spacing w:line="300" w:lineRule="auto"/>
        <w:ind w:firstLine="557"/>
        <w:jc w:val="both"/>
        <w:rPr>
          <w:rFonts w:ascii="Arial" w:hAnsi="Arial" w:eastAsia="仿宋_GB2312" w:cs="Arial"/>
          <w:sz w:val="28"/>
          <w:szCs w:val="28"/>
          <w:highlight w:val="none"/>
        </w:rPr>
      </w:pPr>
      <w:r>
        <w:rPr>
          <w:rFonts w:ascii="Arial" w:hAnsi="Arial" w:eastAsia="仿宋_GB2312" w:cs="Arial"/>
          <w:sz w:val="28"/>
          <w:szCs w:val="28"/>
          <w:highlight w:val="none"/>
        </w:rPr>
        <w:t>根据《</w:t>
      </w:r>
      <w:r>
        <w:rPr>
          <w:rFonts w:ascii="Arial" w:hAnsi="Arial" w:eastAsia="仿宋_GB2312" w:cs="Arial"/>
          <w:sz w:val="28"/>
          <w:highlight w:val="none"/>
        </w:rPr>
        <w:t>国土资源部办公厅关于发布&lt;国有建设用地使用权出让地价评估技术规范&gt;的通知》（国土资厅发（2018）4号</w:t>
      </w:r>
      <w:r>
        <w:rPr>
          <w:rFonts w:hint="eastAsia" w:ascii="Arial" w:hAnsi="Arial" w:eastAsia="仿宋_GB2312" w:cs="Arial"/>
          <w:sz w:val="28"/>
          <w:highlight w:val="none"/>
        </w:rPr>
        <w:t>）</w:t>
      </w:r>
      <w:r>
        <w:rPr>
          <w:rFonts w:hint="eastAsia" w:ascii="Arial" w:hAnsi="Arial" w:eastAsia="仿宋_GB2312" w:cs="Arial"/>
          <w:sz w:val="28"/>
          <w:highlight w:val="none"/>
          <w:lang w:eastAsia="zh-CN"/>
        </w:rPr>
        <w:t>、《北京市国有建设用地使用权出让地价评估技术导则》（2026年2月10日实施）</w:t>
      </w:r>
      <w:r>
        <w:rPr>
          <w:rFonts w:ascii="Arial" w:hAnsi="Arial" w:eastAsia="仿宋_GB2312" w:cs="Arial"/>
          <w:sz w:val="28"/>
          <w:szCs w:val="28"/>
          <w:highlight w:val="none"/>
        </w:rPr>
        <w:t>，出让地价评估，应至少采用两种评估方法，包括市场比较法、收益还原法、剩余法之一，以及成本逼近法或公示地价系数修正法。</w:t>
      </w:r>
    </w:p>
    <w:p w14:paraId="1C0E023C">
      <w:pPr>
        <w:pStyle w:val="57"/>
        <w:autoSpaceDE w:val="0"/>
        <w:autoSpaceDN w:val="0"/>
        <w:adjustRightInd/>
        <w:spacing w:line="300" w:lineRule="auto"/>
        <w:ind w:firstLine="560" w:firstLineChars="200"/>
        <w:jc w:val="both"/>
        <w:textAlignment w:val="bottom"/>
        <w:rPr>
          <w:rFonts w:ascii="Arial" w:hAnsi="Arial" w:eastAsia="仿宋_GB2312" w:cs="Arial"/>
          <w:sz w:val="28"/>
          <w:highlight w:val="none"/>
        </w:rPr>
      </w:pPr>
      <w:r>
        <w:rPr>
          <w:rFonts w:ascii="Arial" w:hAnsi="Arial" w:eastAsia="仿宋_GB2312" w:cs="Arial"/>
          <w:sz w:val="28"/>
          <w:szCs w:val="28"/>
          <w:highlight w:val="none"/>
        </w:rPr>
        <w:t>根据估价对象土地的本身的实际状况及项目特点，结合目前北京市房地产市场的发展状况与现行政策，本次评估采用基准地价系数修正法和剩余法进行评估。这是出于以下考虑：一是估价对象位于北京市国有建设用地使用权基准地价覆盖区域；二是估价对象为规划新建项目，符合剩余法的应用条件及适用范围。</w:t>
      </w:r>
    </w:p>
    <w:p w14:paraId="607876A9">
      <w:pPr>
        <w:pStyle w:val="57"/>
        <w:autoSpaceDE w:val="0"/>
        <w:autoSpaceDN w:val="0"/>
        <w:adjustRightInd/>
        <w:spacing w:line="300" w:lineRule="auto"/>
        <w:ind w:firstLine="560" w:firstLineChars="200"/>
        <w:jc w:val="both"/>
        <w:textAlignment w:val="bottom"/>
        <w:rPr>
          <w:rFonts w:ascii="Arial" w:hAnsi="Arial" w:eastAsia="仿宋_GB2312" w:cs="Arial"/>
          <w:sz w:val="28"/>
          <w:highlight w:val="none"/>
        </w:rPr>
      </w:pPr>
      <w:r>
        <w:rPr>
          <w:rFonts w:ascii="Arial" w:hAnsi="Arial" w:eastAsia="仿宋_GB2312" w:cs="Arial"/>
          <w:sz w:val="28"/>
          <w:highlight w:val="none"/>
        </w:rPr>
        <w:t>2.本次评估所采用的估价方法简述如下：</w:t>
      </w:r>
    </w:p>
    <w:p w14:paraId="086D1A73">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（1）基准地价系数修正法</w:t>
      </w:r>
    </w:p>
    <w:p w14:paraId="34830D53">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基准地价系数修正法，是我国土地估价的方法之一。它是利用基准地价和基准地价修正系数表等成果，按照替代原则，就待估宗地的区域条件和个别条件等与其所处区域的平均条件相比较，并对照修正系数表选取相应的修正系数对基准地价进行修正，进而求取待估宗地价格的方法。</w:t>
      </w:r>
    </w:p>
    <w:p w14:paraId="5C9C5437">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基准地价系数修正法的基本原理是替代原理，即正常的市场条件下，具有相似土地条件和使用价值的土地，在交易双方具有同等市场信息的基础上，应当具有相似的价格。基准地价，是某一级别或均质地域内分用途的土地使用权平均价格，该级别或均质区域内该类用地的其他宗地价格在基准地价上下波动。基准地价相对应的土地条件，是土地级别或均质地域内该类用途土地的一般条件。因此，通过待估宗地条件与级别或区域内同类用地一般条件的比较，并根据二者在区域条件、个别条件、使用年期和估价期日等方面的差异大小，对照因素修正系数表选取适宜的修正系数，对基准地价进行修正，即可得到待估宗地地价。</w:t>
      </w:r>
    </w:p>
    <w:p w14:paraId="60344F42">
      <w:pPr>
        <w:adjustRightInd/>
        <w:spacing w:line="300" w:lineRule="auto"/>
        <w:ind w:firstLine="560" w:firstLineChars="200"/>
        <w:jc w:val="both"/>
        <w:rPr>
          <w:rFonts w:hint="default" w:ascii="Arial" w:hAnsi="Arial" w:eastAsia="仿宋_GB2312" w:cs="Arial"/>
          <w:sz w:val="28"/>
          <w:szCs w:val="28"/>
          <w:highlight w:val="none"/>
          <w:lang w:val="en-US" w:eastAsia="zh-CN"/>
        </w:rPr>
      </w:pPr>
      <w:r>
        <w:rPr>
          <w:rFonts w:hint="eastAsia" w:ascii="Arial" w:hAnsi="Arial" w:eastAsia="仿宋_GB2312" w:cs="Arial"/>
          <w:sz w:val="28"/>
          <w:szCs w:val="28"/>
          <w:highlight w:val="none"/>
        </w:rPr>
        <w:t>本次评估估价目的为出让方通过集体决策确定土地出让底价提供参考依据，其估价目的与基准地价系数修正法适用范围完全吻合。估价对象属于北京市基准地价覆盖范围内，可直观获取基准地价系数修正法所需评估参数</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办公厅关于加强城镇建设用地基准地价管理的通知》（自然资办发（2024）45号）规定：基准地价原则上每3年全面更新一次，土地级别因素、土地质量空间分布或不动产市场价格水平发生重大变化时，基准地价应当及时更新。凡现有基准地价已3年以上未及时更新或地价水平已发生重大变化的，要立即部署启动基准地价更新工作。超过6年未全面更新的，宗地评估不得使用基准地价系数修正法，集体决策确定土地供应底价时不能作为依据使用。市、县自然资源主管部门应及时向社会公布恭准地价更新成果。公布内容要包括各用途各级别或均质区域的范围界线价格标准、修正体系等。</w:t>
      </w:r>
    </w:p>
    <w:p w14:paraId="08CF28A6">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lang w:val="en-US" w:eastAsia="zh-CN"/>
        </w:rPr>
        <w:t>根据</w:t>
      </w:r>
      <w:r>
        <w:rPr>
          <w:rFonts w:hint="eastAsia" w:ascii="Arial" w:hAnsi="Arial" w:eastAsia="仿宋_GB2312" w:cs="Arial"/>
          <w:sz w:val="28"/>
          <w:szCs w:val="28"/>
          <w:highlight w:val="none"/>
        </w:rPr>
        <w:t>《北京市出让国有建设用地使用权基准地价更新成果》</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2022年3月14日印发</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，基准期日为2021年1月1日，本次估价的估价期日为2026年</w:t>
      </w:r>
      <w:r>
        <w:rPr>
          <w:rFonts w:hint="eastAsia" w:ascii="Arial" w:hAnsi="Arial" w:eastAsia="仿宋_GB2312" w:cs="Arial"/>
          <w:sz w:val="28"/>
          <w:szCs w:val="28"/>
          <w:highlight w:val="none"/>
          <w:lang w:val="en-US" w:eastAsia="zh-CN"/>
        </w:rPr>
        <w:t>3</w:t>
      </w:r>
      <w:r>
        <w:rPr>
          <w:rFonts w:hint="eastAsia" w:ascii="Arial" w:hAnsi="Arial" w:eastAsia="仿宋_GB2312" w:cs="Arial"/>
          <w:sz w:val="28"/>
          <w:szCs w:val="28"/>
          <w:highlight w:val="none"/>
        </w:rPr>
        <w:t>月</w:t>
      </w:r>
      <w:r>
        <w:rPr>
          <w:rFonts w:hint="eastAsia" w:ascii="Arial" w:hAnsi="Arial" w:eastAsia="仿宋_GB2312" w:cs="Arial"/>
          <w:sz w:val="28"/>
          <w:szCs w:val="28"/>
          <w:highlight w:val="none"/>
          <w:lang w:val="en-US" w:eastAsia="zh-CN"/>
        </w:rPr>
        <w:t>26</w:t>
      </w:r>
      <w:r>
        <w:rPr>
          <w:rFonts w:hint="eastAsia" w:ascii="Arial" w:hAnsi="Arial" w:eastAsia="仿宋_GB2312" w:cs="Arial"/>
          <w:sz w:val="28"/>
          <w:szCs w:val="28"/>
          <w:highlight w:val="none"/>
        </w:rPr>
        <w:t>日，估价期日距基准期日超过3年未超过6年，估价对象处于基准地价覆盖范围内，所处土地级别明确，基准地价体系完整，方法科学，数据严谨，近年来北京市地价监测工作较完善，可通过选用符合市场变动的地价监测数据对基准地价进行调整，故基准地价更新成果虽未及时更新，但经测算的基准地价系数修正法评估结果仍有可信性，故可利用基准地价修正体系对估价对象各项用地条件进行分析，选用基准地价系数修正法测算地价。</w:t>
      </w:r>
    </w:p>
    <w:p w14:paraId="7457A2C9">
      <w:pPr>
        <w:adjustRightInd/>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（2）剩余法</w:t>
      </w:r>
    </w:p>
    <w:p w14:paraId="610CECEF">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剩余法是指在预计开发完成后的开发价值的基础上，扣除预计正常的开发成本和利润，以价格余额来计算土地价格的方法。剩余法允许运用于以下情形：</w:t>
      </w:r>
      <w:r>
        <w:rPr>
          <w:rFonts w:hint="eastAsia" w:ascii="宋体" w:hAnsi="宋体" w:cs="宋体"/>
          <w:sz w:val="28"/>
          <w:highlight w:val="none"/>
        </w:rPr>
        <w:t>①</w:t>
      </w:r>
      <w:r>
        <w:rPr>
          <w:rFonts w:ascii="Arial" w:hAnsi="Arial" w:eastAsia="仿宋_GB2312" w:cs="Arial"/>
          <w:sz w:val="28"/>
          <w:highlight w:val="none"/>
        </w:rPr>
        <w:t>待开发房地产或待拆迁改造后再开发房地产的土地估价；</w:t>
      </w:r>
      <w:r>
        <w:rPr>
          <w:rFonts w:hint="eastAsia" w:ascii="宋体" w:hAnsi="宋体" w:cs="宋体"/>
          <w:sz w:val="28"/>
          <w:highlight w:val="none"/>
        </w:rPr>
        <w:t>②</w:t>
      </w:r>
      <w:r>
        <w:rPr>
          <w:rFonts w:ascii="Arial" w:hAnsi="Arial" w:eastAsia="仿宋_GB2312" w:cs="Arial"/>
          <w:sz w:val="28"/>
          <w:highlight w:val="none"/>
        </w:rPr>
        <w:t>仅将土地开发整理成可供直接利用的土地估价；</w:t>
      </w:r>
      <w:r>
        <w:rPr>
          <w:rFonts w:hint="eastAsia" w:ascii="宋体" w:hAnsi="宋体" w:cs="宋体"/>
          <w:sz w:val="28"/>
          <w:highlight w:val="none"/>
        </w:rPr>
        <w:t>③</w:t>
      </w:r>
      <w:r>
        <w:rPr>
          <w:rFonts w:ascii="Arial" w:hAnsi="Arial" w:eastAsia="仿宋_GB2312" w:cs="Arial"/>
          <w:sz w:val="28"/>
          <w:highlight w:val="none"/>
        </w:rPr>
        <w:t>现有房地产中地价的单独评估。</w:t>
      </w:r>
    </w:p>
    <w:p w14:paraId="47EA66AA">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1）评估待开发土地价格的公式为：</w:t>
      </w:r>
    </w:p>
    <w:p w14:paraId="0671596F">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待估宗地价格</w:t>
      </w:r>
      <w:r>
        <w:rPr>
          <w:rFonts w:hint="eastAsia" w:ascii="Arial" w:hAnsi="Arial" w:eastAsia="仿宋_GB2312" w:cs="Arial"/>
          <w:sz w:val="28"/>
          <w:highlight w:val="none"/>
          <w:lang w:eastAsia="zh-CN"/>
        </w:rPr>
        <w:t>＝</w:t>
      </w:r>
      <w:r>
        <w:rPr>
          <w:rFonts w:ascii="Arial" w:hAnsi="Arial" w:eastAsia="仿宋_GB2312" w:cs="Arial"/>
          <w:sz w:val="28"/>
          <w:highlight w:val="none"/>
        </w:rPr>
        <w:t>不动产总价</w:t>
      </w:r>
      <w:r>
        <w:rPr>
          <w:rFonts w:hint="eastAsia" w:ascii="Arial" w:hAnsi="Arial" w:eastAsia="仿宋_GB2312" w:cs="Arial"/>
          <w:sz w:val="28"/>
          <w:highlight w:val="none"/>
          <w:lang w:eastAsia="zh-CN"/>
        </w:rPr>
        <w:t>－</w:t>
      </w:r>
      <w:r>
        <w:rPr>
          <w:rFonts w:ascii="Arial" w:hAnsi="Arial" w:eastAsia="仿宋_GB2312" w:cs="Arial"/>
          <w:sz w:val="28"/>
          <w:highlight w:val="none"/>
        </w:rPr>
        <w:t>开发项目整体的开发成本</w:t>
      </w:r>
      <w:r>
        <w:rPr>
          <w:rFonts w:hint="eastAsia" w:ascii="Arial" w:hAnsi="Arial" w:eastAsia="仿宋_GB2312" w:cs="Arial"/>
          <w:sz w:val="28"/>
          <w:highlight w:val="none"/>
          <w:lang w:eastAsia="zh-CN"/>
        </w:rPr>
        <w:t>－</w:t>
      </w:r>
      <w:r>
        <w:rPr>
          <w:rFonts w:ascii="Arial" w:hAnsi="Arial" w:eastAsia="仿宋_GB2312" w:cs="Arial"/>
          <w:sz w:val="28"/>
          <w:highlight w:val="none"/>
        </w:rPr>
        <w:t xml:space="preserve">客观开发利润    </w:t>
      </w:r>
    </w:p>
    <w:p w14:paraId="4580AA5A">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2）评估现有不动产中所含土地价格的公式为：</w:t>
      </w:r>
    </w:p>
    <w:p w14:paraId="74140CEB">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待估宗地价格</w:t>
      </w:r>
      <w:r>
        <w:rPr>
          <w:rFonts w:hint="eastAsia" w:ascii="Arial" w:hAnsi="Arial" w:eastAsia="仿宋_GB2312" w:cs="Arial"/>
          <w:sz w:val="28"/>
          <w:highlight w:val="none"/>
          <w:lang w:eastAsia="zh-CN"/>
        </w:rPr>
        <w:t>＝</w:t>
      </w:r>
      <w:r>
        <w:rPr>
          <w:rFonts w:ascii="Arial" w:hAnsi="Arial" w:eastAsia="仿宋_GB2312" w:cs="Arial"/>
          <w:sz w:val="28"/>
          <w:highlight w:val="none"/>
        </w:rPr>
        <w:t>不动产交易价格</w:t>
      </w:r>
      <w:r>
        <w:rPr>
          <w:rFonts w:hint="eastAsia" w:ascii="Arial" w:hAnsi="Arial" w:eastAsia="仿宋_GB2312" w:cs="Arial"/>
          <w:sz w:val="28"/>
          <w:highlight w:val="none"/>
          <w:lang w:eastAsia="zh-CN"/>
        </w:rPr>
        <w:t>－</w:t>
      </w:r>
      <w:r>
        <w:rPr>
          <w:rFonts w:ascii="Arial" w:hAnsi="Arial" w:eastAsia="仿宋_GB2312" w:cs="Arial"/>
          <w:sz w:val="28"/>
          <w:highlight w:val="none"/>
        </w:rPr>
        <w:t>房屋现值</w:t>
      </w:r>
      <w:r>
        <w:rPr>
          <w:rFonts w:hint="eastAsia" w:ascii="Arial" w:hAnsi="Arial" w:eastAsia="仿宋_GB2312" w:cs="Arial"/>
          <w:sz w:val="28"/>
          <w:highlight w:val="none"/>
          <w:lang w:eastAsia="zh-CN"/>
        </w:rPr>
        <w:t>－</w:t>
      </w:r>
      <w:r>
        <w:rPr>
          <w:rFonts w:ascii="Arial" w:hAnsi="Arial" w:eastAsia="仿宋_GB2312" w:cs="Arial"/>
          <w:sz w:val="28"/>
          <w:highlight w:val="none"/>
        </w:rPr>
        <w:t>交易税费</w:t>
      </w:r>
    </w:p>
    <w:p w14:paraId="4040857D">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3.未选取的估价方法以及理由如下：</w:t>
      </w:r>
    </w:p>
    <w:p w14:paraId="064DD877">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市场比较法是以在估价期日近期有过交易的类似土地成交价格为基础，选取适当的因素，并根据因素条件对成交价格进行相应修正以求取估价对象房地产客观价格或价值的一种估价方法。但由于每个项目配建的情况不一致，难以统一价格基础，故不选用市场比较法。</w:t>
      </w:r>
    </w:p>
    <w:p w14:paraId="73760EB7">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由于估价对象现状为空地，难以找到土地租赁案例，故未采用收益还原法。</w:t>
      </w:r>
    </w:p>
    <w:p w14:paraId="131F793F">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成本逼近法是将构成土地成本的各项费用累加来测算土地的价值，估价对象成本资料不易获得，各项目成本内涵不一致，且土地增值额的确定没有权威依据，故未采用成本逼近法。</w:t>
      </w:r>
    </w:p>
    <w:p w14:paraId="397B159E">
      <w:pPr>
        <w:spacing w:line="300" w:lineRule="auto"/>
        <w:jc w:val="both"/>
        <w:rPr>
          <w:rFonts w:ascii="Arial" w:hAnsi="Arial" w:eastAsia="仿宋_GB2312" w:cs="Arial"/>
          <w:b/>
          <w:bCs/>
          <w:sz w:val="28"/>
          <w:highlight w:val="none"/>
        </w:rPr>
      </w:pPr>
      <w:r>
        <w:rPr>
          <w:rFonts w:ascii="Arial" w:hAnsi="Arial" w:eastAsia="仿宋_GB2312" w:cs="Arial"/>
          <w:b/>
          <w:bCs/>
          <w:sz w:val="28"/>
          <w:highlight w:val="none"/>
        </w:rPr>
        <w:t>（二）估价过程</w:t>
      </w:r>
      <w:bookmarkEnd w:id="377"/>
      <w:bookmarkEnd w:id="378"/>
    </w:p>
    <w:p w14:paraId="41F91CEC">
      <w:pPr>
        <w:pStyle w:val="57"/>
        <w:autoSpaceDE w:val="0"/>
        <w:autoSpaceDN w:val="0"/>
        <w:spacing w:line="300" w:lineRule="auto"/>
        <w:ind w:right="140" w:firstLine="562" w:firstLineChars="200"/>
        <w:jc w:val="both"/>
        <w:textAlignment w:val="bottom"/>
        <w:rPr>
          <w:rFonts w:ascii="Arial" w:hAnsi="Arial" w:eastAsia="仿宋_GB2312" w:cs="Arial"/>
          <w:b/>
          <w:sz w:val="28"/>
          <w:highlight w:val="none"/>
        </w:rPr>
      </w:pPr>
      <w:r>
        <w:rPr>
          <w:rFonts w:ascii="Arial" w:hAnsi="Arial" w:eastAsia="仿宋_GB2312" w:cs="Arial"/>
          <w:b/>
          <w:sz w:val="28"/>
          <w:highlight w:val="none"/>
        </w:rPr>
        <w:t>相关参数</w:t>
      </w:r>
    </w:p>
    <w:p w14:paraId="0CD7715D">
      <w:pPr>
        <w:pStyle w:val="57"/>
        <w:autoSpaceDE w:val="0"/>
        <w:autoSpaceDN w:val="0"/>
        <w:adjustRightInd/>
        <w:spacing w:line="300" w:lineRule="auto"/>
        <w:ind w:firstLine="560" w:firstLineChars="200"/>
        <w:jc w:val="both"/>
        <w:textAlignment w:val="bottom"/>
        <w:rPr>
          <w:rFonts w:ascii="Arial" w:hAnsi="Arial" w:eastAsia="仿宋_GB2312" w:cs="Arial"/>
          <w:sz w:val="28"/>
          <w:highlight w:val="none"/>
        </w:rPr>
      </w:pPr>
      <w:r>
        <w:rPr>
          <w:rFonts w:ascii="Arial" w:hAnsi="Arial" w:eastAsia="仿宋_GB2312" w:cs="Arial"/>
          <w:sz w:val="28"/>
          <w:highlight w:val="none"/>
        </w:rPr>
        <w:t>1.估价对象土地及建筑物经济技术指标</w:t>
      </w:r>
    </w:p>
    <w:p w14:paraId="081977A0">
      <w:pPr>
        <w:tabs>
          <w:tab w:val="left" w:pos="9027"/>
        </w:tabs>
        <w:adjustRightInd/>
        <w:spacing w:line="300" w:lineRule="auto"/>
        <w:ind w:firstLine="560" w:firstLineChars="200"/>
        <w:jc w:val="both"/>
        <w:rPr>
          <w:rFonts w:ascii="Arial" w:hAnsi="Arial" w:eastAsia="仿宋_GB2312" w:cs="Arial"/>
          <w:b/>
          <w:sz w:val="28"/>
          <w:szCs w:val="28"/>
          <w:highlight w:val="none"/>
        </w:rPr>
      </w:pPr>
      <w:r>
        <w:rPr>
          <w:rFonts w:ascii="Arial" w:hAnsi="Arial" w:eastAsia="仿宋" w:cs="Arial"/>
          <w:sz w:val="28"/>
          <w:szCs w:val="28"/>
          <w:highlight w:val="none"/>
        </w:rPr>
        <w:t>根据</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，本次估价对象01</w:t>
      </w:r>
      <w:r>
        <w:rPr>
          <w:rFonts w:hint="eastAsia" w:ascii="Arial" w:hAnsi="Arial" w:eastAsia="仿宋" w:cs="Arial"/>
          <w:sz w:val="28"/>
          <w:highlight w:val="none"/>
          <w:lang w:eastAsia="zh-CN"/>
        </w:rPr>
        <w:t>－</w:t>
      </w:r>
      <w:r>
        <w:rPr>
          <w:rFonts w:ascii="Arial" w:hAnsi="Arial" w:eastAsia="仿宋" w:cs="Arial"/>
          <w:sz w:val="28"/>
          <w:highlight w:val="none"/>
        </w:rPr>
        <w:t>008等地块共4宗地，用地规模合计为60990.43平方米，全部为建设用地，建筑规模合计为71508.52平方米。</w:t>
      </w:r>
      <w:r>
        <w:rPr>
          <w:rFonts w:ascii="Arial" w:hAnsi="Arial" w:eastAsia="仿宋" w:cs="Arial"/>
          <w:sz w:val="28"/>
          <w:szCs w:val="28"/>
          <w:highlight w:val="none"/>
        </w:rPr>
        <w:t>其中，估价对象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008地块（R2二类居住用地）建设用地规模为24804.85平方米，地上建筑规模为29765.82平方米，容积率为1.2；</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016地块（R2二类居住用地）建设用地规模为23103.85平方米，地上建筑规模为27724.62平方米，容积率为1.2；</w:t>
      </w:r>
      <w:r>
        <w:rPr>
          <w:rFonts w:ascii="Arial" w:hAnsi="Arial" w:eastAsia="仿宋" w:cs="Arial"/>
          <w:sz w:val="28"/>
          <w:szCs w:val="28"/>
          <w:highlight w:val="none"/>
        </w:rPr>
        <w:t xml:space="preserve"> 估价对象01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026</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highlight w:val="none"/>
        </w:rPr>
        <w:t>地块（R2二类居住用地）建设用地规模为8881.75平方米，地上建筑规模为10658.10平方米，容积率为1.2；另有</w:t>
      </w:r>
      <w:r>
        <w:rPr>
          <w:rFonts w:ascii="Arial" w:hAnsi="Arial" w:eastAsia="仿宋" w:cs="Arial"/>
          <w:sz w:val="28"/>
          <w:szCs w:val="28"/>
          <w:highlight w:val="none"/>
        </w:rPr>
        <w:t>估价对象</w:t>
      </w:r>
      <w:r>
        <w:rPr>
          <w:rFonts w:ascii="Arial" w:hAnsi="Arial" w:eastAsia="仿宋" w:cs="Arial"/>
          <w:sz w:val="28"/>
          <w:highlight w:val="none"/>
        </w:rPr>
        <w:t>01</w:t>
      </w:r>
      <w:r>
        <w:rPr>
          <w:rFonts w:hint="eastAsia" w:ascii="Arial" w:hAnsi="Arial" w:eastAsia="仿宋" w:cs="Arial"/>
          <w:sz w:val="28"/>
          <w:highlight w:val="none"/>
          <w:lang w:eastAsia="zh-CN"/>
        </w:rPr>
        <w:t>－</w:t>
      </w:r>
      <w:r>
        <w:rPr>
          <w:rFonts w:ascii="Arial" w:hAnsi="Arial" w:eastAsia="仿宋" w:cs="Arial"/>
          <w:sz w:val="28"/>
          <w:highlight w:val="none"/>
        </w:rPr>
        <w:t>020地块（A334托幼用地，不出让）建设用地规模为4199.98平方米，地上建筑规模为3359.98平方米，容积率为0.8。</w:t>
      </w:r>
      <w:r>
        <w:rPr>
          <w:rFonts w:hint="eastAsia" w:ascii="Arial" w:hAnsi="Arial" w:eastAsia="仿宋" w:cs="Arial"/>
          <w:sz w:val="28"/>
          <w:highlight w:val="none"/>
          <w:lang w:eastAsia="zh-CN"/>
        </w:rPr>
        <w:t>根据《北京市国有建设用地使用权出让地价评估技术导则》（2026年2月10日实施）中的相关规定，本次评估01－008、01－016、01－026－1地块（R2二类居住用地）容积率为1.2</w:t>
      </w:r>
      <w:r>
        <w:rPr>
          <w:rFonts w:hint="eastAsia" w:ascii="Arial" w:hAnsi="Arial" w:eastAsia="仿宋_GB2312" w:cs="Arial"/>
          <w:sz w:val="28"/>
          <w:highlight w:val="none"/>
        </w:rPr>
        <w:t>；</w:t>
      </w:r>
      <w:r>
        <w:rPr>
          <w:rFonts w:ascii="Arial" w:hAnsi="Arial" w:eastAsia="仿宋_GB2312" w:cs="Arial"/>
          <w:sz w:val="28"/>
          <w:highlight w:val="none"/>
        </w:rPr>
        <w:t>具体详见下表：</w:t>
      </w:r>
      <w:r>
        <w:rPr>
          <w:rFonts w:ascii="Arial" w:hAnsi="Arial" w:eastAsia="仿宋_GB2312" w:cs="Arial"/>
          <w:b/>
          <w:sz w:val="28"/>
          <w:szCs w:val="28"/>
          <w:highlight w:val="none"/>
        </w:rPr>
        <w:br w:type="page"/>
      </w:r>
    </w:p>
    <w:p w14:paraId="5BBE5E2C">
      <w:pPr>
        <w:tabs>
          <w:tab w:val="left" w:pos="9027"/>
        </w:tabs>
        <w:spacing w:line="300" w:lineRule="auto"/>
        <w:jc w:val="center"/>
        <w:rPr>
          <w:rFonts w:ascii="Arial" w:hAnsi="Arial" w:eastAsia="仿宋_GB2312" w:cs="Arial"/>
          <w:b/>
          <w:sz w:val="28"/>
          <w:szCs w:val="28"/>
          <w:highlight w:val="none"/>
        </w:rPr>
      </w:pPr>
      <w:r>
        <w:rPr>
          <w:rFonts w:ascii="Arial" w:hAnsi="Arial" w:eastAsia="仿宋_GB2312" w:cs="Arial"/>
          <w:b/>
          <w:sz w:val="28"/>
          <w:szCs w:val="28"/>
          <w:highlight w:val="none"/>
        </w:rPr>
        <w:t>土地用途及建筑规模表</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28" w:type="dxa"/>
          <w:bottom w:w="57" w:type="dxa"/>
          <w:right w:w="28" w:type="dxa"/>
        </w:tblCellMar>
      </w:tblPr>
      <w:tblGrid>
        <w:gridCol w:w="1618"/>
        <w:gridCol w:w="2206"/>
        <w:gridCol w:w="1617"/>
        <w:gridCol w:w="1173"/>
        <w:gridCol w:w="1766"/>
        <w:gridCol w:w="1026"/>
      </w:tblGrid>
      <w:tr w14:paraId="74DE3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312FAAC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规划地块编号</w:t>
            </w:r>
          </w:p>
        </w:tc>
        <w:tc>
          <w:tcPr>
            <w:tcW w:w="1171" w:type="pct"/>
            <w:vAlign w:val="center"/>
          </w:tcPr>
          <w:p w14:paraId="0CB78A9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用地性质</w:t>
            </w:r>
          </w:p>
        </w:tc>
        <w:tc>
          <w:tcPr>
            <w:tcW w:w="859" w:type="pct"/>
            <w:vAlign w:val="center"/>
          </w:tcPr>
          <w:p w14:paraId="784D2EE0">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建设用地规模</w:t>
            </w:r>
          </w:p>
          <w:p w14:paraId="440C4E0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623" w:type="pct"/>
            <w:vAlign w:val="center"/>
          </w:tcPr>
          <w:p w14:paraId="2719FF6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容积率</w:t>
            </w:r>
          </w:p>
        </w:tc>
        <w:tc>
          <w:tcPr>
            <w:tcW w:w="938" w:type="pct"/>
            <w:vAlign w:val="center"/>
          </w:tcPr>
          <w:p w14:paraId="2B67768C">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地上建筑规模</w:t>
            </w:r>
          </w:p>
          <w:p w14:paraId="3B3B9CD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（平方米）</w:t>
            </w:r>
          </w:p>
        </w:tc>
        <w:tc>
          <w:tcPr>
            <w:tcW w:w="545" w:type="pct"/>
            <w:vAlign w:val="center"/>
          </w:tcPr>
          <w:p w14:paraId="78FBF47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备注</w:t>
            </w:r>
          </w:p>
        </w:tc>
      </w:tr>
      <w:tr w14:paraId="781B6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0C7115F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008</w:t>
            </w:r>
          </w:p>
        </w:tc>
        <w:tc>
          <w:tcPr>
            <w:tcW w:w="1171" w:type="pct"/>
            <w:vMerge w:val="restart"/>
            <w:vAlign w:val="center"/>
          </w:tcPr>
          <w:p w14:paraId="69647008">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R2二类居住用地</w:t>
            </w:r>
          </w:p>
        </w:tc>
        <w:tc>
          <w:tcPr>
            <w:tcW w:w="859" w:type="pct"/>
            <w:vAlign w:val="center"/>
          </w:tcPr>
          <w:p w14:paraId="4D2AD1C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24804.85</w:t>
            </w:r>
          </w:p>
        </w:tc>
        <w:tc>
          <w:tcPr>
            <w:tcW w:w="623" w:type="pct"/>
            <w:vMerge w:val="restart"/>
            <w:vAlign w:val="center"/>
          </w:tcPr>
          <w:p w14:paraId="7EBF78B7">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38" w:type="pct"/>
            <w:vAlign w:val="center"/>
          </w:tcPr>
          <w:p w14:paraId="1286FD1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29765.82</w:t>
            </w:r>
          </w:p>
        </w:tc>
        <w:tc>
          <w:tcPr>
            <w:tcW w:w="545" w:type="pct"/>
            <w:vAlign w:val="center"/>
          </w:tcPr>
          <w:p w14:paraId="5FA92C7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r w14:paraId="6600F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4E273A5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016</w:t>
            </w:r>
          </w:p>
        </w:tc>
        <w:tc>
          <w:tcPr>
            <w:tcW w:w="1171" w:type="pct"/>
            <w:vMerge w:val="continue"/>
            <w:vAlign w:val="center"/>
          </w:tcPr>
          <w:p w14:paraId="51F532C8">
            <w:pPr>
              <w:adjustRightInd/>
              <w:spacing w:line="240" w:lineRule="exact"/>
              <w:jc w:val="center"/>
              <w:rPr>
                <w:rFonts w:ascii="Arial" w:hAnsi="Arial" w:eastAsia="仿宋" w:cs="Arial"/>
                <w:sz w:val="18"/>
                <w:szCs w:val="18"/>
                <w:highlight w:val="none"/>
              </w:rPr>
            </w:pPr>
          </w:p>
        </w:tc>
        <w:tc>
          <w:tcPr>
            <w:tcW w:w="859" w:type="pct"/>
            <w:vAlign w:val="center"/>
          </w:tcPr>
          <w:p w14:paraId="46A9F81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23103.85</w:t>
            </w:r>
          </w:p>
        </w:tc>
        <w:tc>
          <w:tcPr>
            <w:tcW w:w="623" w:type="pct"/>
            <w:vMerge w:val="continue"/>
            <w:vAlign w:val="center"/>
          </w:tcPr>
          <w:p w14:paraId="019ECD71">
            <w:pPr>
              <w:adjustRightInd/>
              <w:spacing w:line="240" w:lineRule="exact"/>
              <w:jc w:val="center"/>
              <w:rPr>
                <w:rFonts w:ascii="Arial" w:hAnsi="Arial" w:eastAsia="仿宋" w:cs="Arial"/>
                <w:sz w:val="18"/>
                <w:szCs w:val="18"/>
                <w:highlight w:val="none"/>
              </w:rPr>
            </w:pPr>
          </w:p>
        </w:tc>
        <w:tc>
          <w:tcPr>
            <w:tcW w:w="938" w:type="pct"/>
            <w:vAlign w:val="center"/>
          </w:tcPr>
          <w:p w14:paraId="443C280A">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27724.62</w:t>
            </w:r>
          </w:p>
        </w:tc>
        <w:tc>
          <w:tcPr>
            <w:tcW w:w="545" w:type="pct"/>
            <w:vAlign w:val="center"/>
          </w:tcPr>
          <w:p w14:paraId="52D8E61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r w14:paraId="539DA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4DA05B50">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026</w:t>
            </w:r>
            <w:r>
              <w:rPr>
                <w:rFonts w:hint="eastAsia" w:ascii="Arial" w:hAnsi="Arial" w:eastAsia="仿宋" w:cs="Arial"/>
                <w:sz w:val="18"/>
                <w:szCs w:val="18"/>
                <w:highlight w:val="none"/>
                <w:lang w:eastAsia="zh-CN"/>
              </w:rPr>
              <w:t>－</w:t>
            </w:r>
            <w:r>
              <w:rPr>
                <w:rFonts w:ascii="Arial" w:hAnsi="Arial" w:eastAsia="仿宋" w:cs="Arial"/>
                <w:sz w:val="18"/>
                <w:szCs w:val="18"/>
                <w:highlight w:val="none"/>
              </w:rPr>
              <w:t>1</w:t>
            </w:r>
          </w:p>
        </w:tc>
        <w:tc>
          <w:tcPr>
            <w:tcW w:w="1171" w:type="pct"/>
            <w:vMerge w:val="continue"/>
            <w:vAlign w:val="center"/>
          </w:tcPr>
          <w:p w14:paraId="1BDBE0CF">
            <w:pPr>
              <w:adjustRightInd/>
              <w:spacing w:line="240" w:lineRule="exact"/>
              <w:jc w:val="center"/>
              <w:rPr>
                <w:rFonts w:ascii="Arial" w:hAnsi="Arial" w:eastAsia="仿宋" w:cs="Arial"/>
                <w:sz w:val="18"/>
                <w:szCs w:val="18"/>
                <w:highlight w:val="none"/>
              </w:rPr>
            </w:pPr>
          </w:p>
        </w:tc>
        <w:tc>
          <w:tcPr>
            <w:tcW w:w="859" w:type="pct"/>
            <w:vAlign w:val="center"/>
          </w:tcPr>
          <w:p w14:paraId="5D4C296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8881.75</w:t>
            </w:r>
          </w:p>
        </w:tc>
        <w:tc>
          <w:tcPr>
            <w:tcW w:w="623" w:type="pct"/>
            <w:vMerge w:val="continue"/>
            <w:vAlign w:val="center"/>
          </w:tcPr>
          <w:p w14:paraId="4DDC79AE">
            <w:pPr>
              <w:adjustRightInd/>
              <w:spacing w:line="240" w:lineRule="exact"/>
              <w:jc w:val="center"/>
              <w:rPr>
                <w:rFonts w:ascii="Arial" w:hAnsi="Arial" w:eastAsia="仿宋" w:cs="Arial"/>
                <w:sz w:val="18"/>
                <w:szCs w:val="18"/>
                <w:highlight w:val="none"/>
              </w:rPr>
            </w:pPr>
          </w:p>
        </w:tc>
        <w:tc>
          <w:tcPr>
            <w:tcW w:w="938" w:type="pct"/>
            <w:vAlign w:val="center"/>
          </w:tcPr>
          <w:p w14:paraId="1E34E35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10658.10</w:t>
            </w:r>
          </w:p>
        </w:tc>
        <w:tc>
          <w:tcPr>
            <w:tcW w:w="545" w:type="pct"/>
            <w:vAlign w:val="center"/>
          </w:tcPr>
          <w:p w14:paraId="6E01BC32">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r w14:paraId="663C7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62982173">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小计</w:t>
            </w:r>
          </w:p>
        </w:tc>
        <w:tc>
          <w:tcPr>
            <w:tcW w:w="859" w:type="pct"/>
            <w:vAlign w:val="center"/>
          </w:tcPr>
          <w:p w14:paraId="01482354">
            <w:pPr>
              <w:adjustRightInd/>
              <w:spacing w:line="240" w:lineRule="exact"/>
              <w:jc w:val="center"/>
              <w:rPr>
                <w:rFonts w:hint="eastAsia" w:ascii="Arial" w:hAnsi="Arial" w:eastAsia="仿宋" w:cs="Arial"/>
                <w:sz w:val="18"/>
                <w:szCs w:val="18"/>
                <w:highlight w:val="none"/>
                <w:lang w:eastAsia="zh-CN"/>
              </w:rPr>
            </w:pPr>
            <w:r>
              <w:rPr>
                <w:rFonts w:hint="eastAsia" w:ascii="Arial" w:hAnsi="Arial" w:eastAsia="仿宋" w:cs="Arial"/>
                <w:sz w:val="18"/>
                <w:szCs w:val="18"/>
                <w:highlight w:val="none"/>
                <w:lang w:eastAsia="zh-CN"/>
              </w:rPr>
              <w:t>56790.45</w:t>
            </w:r>
          </w:p>
        </w:tc>
        <w:tc>
          <w:tcPr>
            <w:tcW w:w="623" w:type="pct"/>
            <w:vAlign w:val="center"/>
          </w:tcPr>
          <w:p w14:paraId="47800C3B">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1.2</w:t>
            </w:r>
          </w:p>
        </w:tc>
        <w:tc>
          <w:tcPr>
            <w:tcW w:w="938" w:type="pct"/>
            <w:vAlign w:val="center"/>
          </w:tcPr>
          <w:p w14:paraId="16620E8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68148.54</w:t>
            </w:r>
          </w:p>
        </w:tc>
        <w:tc>
          <w:tcPr>
            <w:tcW w:w="545" w:type="pct"/>
            <w:vAlign w:val="center"/>
          </w:tcPr>
          <w:p w14:paraId="4AD4F15E">
            <w:pPr>
              <w:adjustRightInd/>
              <w:spacing w:line="240" w:lineRule="exact"/>
              <w:jc w:val="center"/>
              <w:rPr>
                <w:rFonts w:ascii="Arial" w:hAnsi="Arial" w:eastAsia="仿宋" w:cs="Arial"/>
                <w:sz w:val="18"/>
                <w:szCs w:val="18"/>
                <w:highlight w:val="none"/>
              </w:rPr>
            </w:pPr>
          </w:p>
        </w:tc>
      </w:tr>
      <w:tr w14:paraId="61804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860" w:type="pct"/>
            <w:vAlign w:val="center"/>
          </w:tcPr>
          <w:p w14:paraId="394ECAB0">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01</w:t>
            </w:r>
            <w:r>
              <w:rPr>
                <w:rFonts w:hint="eastAsia" w:ascii="Arial" w:hAnsi="Arial" w:eastAsia="仿宋" w:cs="Arial"/>
                <w:sz w:val="18"/>
                <w:szCs w:val="18"/>
                <w:highlight w:val="none"/>
                <w:lang w:eastAsia="zh-CN"/>
              </w:rPr>
              <w:t>－</w:t>
            </w:r>
            <w:r>
              <w:rPr>
                <w:rFonts w:ascii="Arial" w:hAnsi="Arial" w:eastAsia="仿宋" w:cs="Arial"/>
                <w:sz w:val="18"/>
                <w:szCs w:val="18"/>
                <w:highlight w:val="none"/>
              </w:rPr>
              <w:t>020</w:t>
            </w:r>
          </w:p>
        </w:tc>
        <w:tc>
          <w:tcPr>
            <w:tcW w:w="1171" w:type="pct"/>
            <w:vAlign w:val="center"/>
          </w:tcPr>
          <w:p w14:paraId="1EC28B2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A334托幼用地</w:t>
            </w:r>
          </w:p>
        </w:tc>
        <w:tc>
          <w:tcPr>
            <w:tcW w:w="859" w:type="pct"/>
            <w:vAlign w:val="center"/>
          </w:tcPr>
          <w:p w14:paraId="2860CFA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4199.98</w:t>
            </w:r>
          </w:p>
        </w:tc>
        <w:tc>
          <w:tcPr>
            <w:tcW w:w="623" w:type="pct"/>
            <w:vAlign w:val="center"/>
          </w:tcPr>
          <w:p w14:paraId="250BF36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0.8</w:t>
            </w:r>
          </w:p>
        </w:tc>
        <w:tc>
          <w:tcPr>
            <w:tcW w:w="938" w:type="pct"/>
            <w:vAlign w:val="center"/>
          </w:tcPr>
          <w:p w14:paraId="56853179">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3359.98</w:t>
            </w:r>
          </w:p>
        </w:tc>
        <w:tc>
          <w:tcPr>
            <w:tcW w:w="545" w:type="pct"/>
            <w:vAlign w:val="center"/>
          </w:tcPr>
          <w:p w14:paraId="4EC7C93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不出让</w:t>
            </w:r>
          </w:p>
        </w:tc>
      </w:tr>
      <w:tr w14:paraId="4BA8A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11CA4C6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小计</w:t>
            </w:r>
          </w:p>
        </w:tc>
        <w:tc>
          <w:tcPr>
            <w:tcW w:w="859" w:type="pct"/>
            <w:vAlign w:val="center"/>
          </w:tcPr>
          <w:p w14:paraId="18E168CE">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4199.98</w:t>
            </w:r>
          </w:p>
        </w:tc>
        <w:tc>
          <w:tcPr>
            <w:tcW w:w="623" w:type="pct"/>
            <w:vAlign w:val="center"/>
          </w:tcPr>
          <w:p w14:paraId="1A7E5D7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0.8</w:t>
            </w:r>
          </w:p>
        </w:tc>
        <w:tc>
          <w:tcPr>
            <w:tcW w:w="938" w:type="pct"/>
            <w:vAlign w:val="center"/>
          </w:tcPr>
          <w:p w14:paraId="7CD43B4D">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3359.98</w:t>
            </w:r>
          </w:p>
        </w:tc>
        <w:tc>
          <w:tcPr>
            <w:tcW w:w="545" w:type="pct"/>
            <w:vAlign w:val="center"/>
          </w:tcPr>
          <w:p w14:paraId="74F3E517">
            <w:pPr>
              <w:adjustRightInd/>
              <w:spacing w:line="240" w:lineRule="exact"/>
              <w:jc w:val="center"/>
              <w:rPr>
                <w:rFonts w:ascii="Arial" w:hAnsi="Arial" w:eastAsia="仿宋" w:cs="Arial"/>
                <w:sz w:val="18"/>
                <w:szCs w:val="18"/>
                <w:highlight w:val="none"/>
              </w:rPr>
            </w:pPr>
          </w:p>
        </w:tc>
      </w:tr>
      <w:tr w14:paraId="366A7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2032" w:type="pct"/>
            <w:gridSpan w:val="2"/>
            <w:vAlign w:val="center"/>
          </w:tcPr>
          <w:p w14:paraId="20386F75">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合计</w:t>
            </w:r>
          </w:p>
        </w:tc>
        <w:tc>
          <w:tcPr>
            <w:tcW w:w="859" w:type="pct"/>
            <w:vAlign w:val="center"/>
          </w:tcPr>
          <w:p w14:paraId="301894E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60990.43</w:t>
            </w:r>
          </w:p>
        </w:tc>
        <w:tc>
          <w:tcPr>
            <w:tcW w:w="623" w:type="pct"/>
            <w:vAlign w:val="center"/>
          </w:tcPr>
          <w:p w14:paraId="3A151AA4">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c>
          <w:tcPr>
            <w:tcW w:w="938" w:type="pct"/>
            <w:vAlign w:val="center"/>
          </w:tcPr>
          <w:p w14:paraId="56ABCC4F">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71508.52</w:t>
            </w:r>
          </w:p>
        </w:tc>
        <w:tc>
          <w:tcPr>
            <w:tcW w:w="545" w:type="pct"/>
            <w:vAlign w:val="center"/>
          </w:tcPr>
          <w:p w14:paraId="17C9DE86">
            <w:pPr>
              <w:adjustRightInd/>
              <w:spacing w:line="240" w:lineRule="exact"/>
              <w:jc w:val="center"/>
              <w:rPr>
                <w:rFonts w:ascii="Arial" w:hAnsi="Arial" w:eastAsia="仿宋" w:cs="Arial"/>
                <w:sz w:val="18"/>
                <w:szCs w:val="18"/>
                <w:highlight w:val="none"/>
              </w:rPr>
            </w:pPr>
            <w:r>
              <w:rPr>
                <w:rFonts w:ascii="Arial" w:hAnsi="Arial" w:eastAsia="仿宋" w:cs="Arial"/>
                <w:sz w:val="18"/>
                <w:szCs w:val="18"/>
                <w:highlight w:val="none"/>
              </w:rPr>
              <w:t>——</w:t>
            </w:r>
          </w:p>
        </w:tc>
      </w:tr>
    </w:tbl>
    <w:p w14:paraId="2E414CFC">
      <w:pPr>
        <w:tabs>
          <w:tab w:val="left" w:pos="9027"/>
        </w:tabs>
        <w:adjustRightInd/>
        <w:spacing w:line="240" w:lineRule="exact"/>
        <w:ind w:firstLine="360" w:firstLineChars="200"/>
        <w:jc w:val="both"/>
        <w:rPr>
          <w:rFonts w:ascii="Arial" w:hAnsi="Arial" w:eastAsia="仿宋_GB2312" w:cs="Arial"/>
          <w:sz w:val="18"/>
          <w:szCs w:val="18"/>
          <w:highlight w:val="none"/>
        </w:rPr>
      </w:pPr>
    </w:p>
    <w:p w14:paraId="1A333AF6">
      <w:pPr>
        <w:tabs>
          <w:tab w:val="left" w:pos="9027"/>
        </w:tabs>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（2）</w:t>
      </w:r>
      <w:r>
        <w:rPr>
          <w:rFonts w:hint="eastAsia" w:ascii="Arial" w:hAnsi="Arial" w:eastAsia="仿宋_GB2312" w:cs="Arial"/>
          <w:sz w:val="28"/>
          <w:highlight w:val="none"/>
        </w:rPr>
        <w:t>开发</w:t>
      </w:r>
      <w:r>
        <w:rPr>
          <w:rFonts w:ascii="Arial" w:hAnsi="Arial" w:eastAsia="仿宋_GB2312" w:cs="Arial"/>
          <w:sz w:val="28"/>
          <w:highlight w:val="none"/>
        </w:rPr>
        <w:t>利润率</w:t>
      </w:r>
    </w:p>
    <w:p w14:paraId="3A69B9EC">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开发利润是指房地产开发商投资房地产开发项目应取得的资金报酬及承担风险补偿。以当地房地产开发的一般水平为基础，并参考项目所在区域房地产营利水平的具体情况确定。根据土地估价专业评估师的调查以及查阅相关资料，房地产开发利润受开发环境、政策等众多因素影响，项目开发周期长，开发价值相对较高。而且，近年来北京市住宅、综合等各用途开发利润率均有较大幅度的增长。</w:t>
      </w:r>
    </w:p>
    <w:p w14:paraId="050E6250">
      <w:pPr>
        <w:pStyle w:val="57"/>
        <w:autoSpaceDE w:val="0"/>
        <w:autoSpaceDN w:val="0"/>
        <w:adjustRightInd/>
        <w:spacing w:line="300" w:lineRule="auto"/>
        <w:ind w:firstLine="568" w:firstLineChars="203"/>
        <w:jc w:val="both"/>
        <w:textAlignment w:val="bottom"/>
        <w:rPr>
          <w:rFonts w:ascii="Arial" w:hAnsi="Arial" w:eastAsia="仿宋_GB2312" w:cs="Arial"/>
          <w:sz w:val="28"/>
          <w:highlight w:val="none"/>
        </w:rPr>
      </w:pPr>
      <w:r>
        <w:rPr>
          <w:rFonts w:ascii="Arial" w:hAnsi="Arial" w:eastAsia="仿宋_GB2312" w:cs="Arial"/>
          <w:sz w:val="28"/>
          <w:highlight w:val="none"/>
        </w:rPr>
        <w:t>估价对象位于北京市</w:t>
      </w:r>
      <w:r>
        <w:rPr>
          <w:rFonts w:hint="eastAsia" w:ascii="Arial" w:hAnsi="Arial" w:eastAsia="仿宋_GB2312" w:cs="Arial"/>
          <w:sz w:val="28"/>
          <w:highlight w:val="none"/>
        </w:rPr>
        <w:t>顺义</w:t>
      </w:r>
      <w:r>
        <w:rPr>
          <w:rFonts w:ascii="Arial" w:hAnsi="Arial" w:eastAsia="仿宋_GB2312" w:cs="Arial"/>
          <w:sz w:val="28"/>
          <w:highlight w:val="none"/>
        </w:rPr>
        <w:t>区，</w:t>
      </w:r>
      <w:r>
        <w:rPr>
          <w:rFonts w:hint="eastAsia" w:ascii="Arial" w:hAnsi="Arial" w:eastAsia="仿宋_GB2312" w:cs="Arial"/>
          <w:sz w:val="28"/>
          <w:highlight w:val="none"/>
        </w:rPr>
        <w:t>规划用途为</w:t>
      </w:r>
      <w:r>
        <w:rPr>
          <w:rFonts w:hint="eastAsia" w:ascii="Arial" w:hAnsi="Arial" w:eastAsia="仿宋" w:cs="Arial"/>
          <w:sz w:val="28"/>
          <w:highlight w:val="none"/>
          <w:lang w:eastAsia="zh-CN"/>
        </w:rPr>
        <w:t>城镇住宅用地、其他商业服务业用地、公共管理与公共服务用地</w:t>
      </w:r>
      <w:r>
        <w:rPr>
          <w:rFonts w:ascii="Arial" w:hAnsi="Arial" w:eastAsia="仿宋" w:cs="Arial"/>
          <w:sz w:val="28"/>
          <w:highlight w:val="none"/>
        </w:rPr>
        <w:t>用地</w:t>
      </w:r>
      <w:r>
        <w:rPr>
          <w:rFonts w:hint="eastAsia" w:ascii="Arial" w:hAnsi="Arial" w:eastAsia="仿宋_GB2312" w:cs="Arial"/>
          <w:sz w:val="28"/>
          <w:highlight w:val="none"/>
        </w:rPr>
        <w:t>。</w:t>
      </w:r>
      <w:r>
        <w:rPr>
          <w:rFonts w:ascii="Arial" w:hAnsi="Arial" w:eastAsia="仿宋_GB2312" w:cs="Arial"/>
          <w:sz w:val="28"/>
          <w:highlight w:val="none"/>
        </w:rPr>
        <w:t>根据估价对象的实际情况，本次取项目</w:t>
      </w:r>
      <w:r>
        <w:rPr>
          <w:rFonts w:hint="eastAsia" w:ascii="Arial" w:hAnsi="Arial" w:eastAsia="仿宋_GB2312" w:cs="Arial"/>
          <w:sz w:val="28"/>
          <w:highlight w:val="none"/>
        </w:rPr>
        <w:t>住宅</w:t>
      </w:r>
      <w:r>
        <w:rPr>
          <w:rFonts w:ascii="Arial" w:hAnsi="Arial" w:eastAsia="仿宋_GB2312" w:cs="Arial"/>
          <w:sz w:val="28"/>
          <w:highlight w:val="none"/>
        </w:rPr>
        <w:t>用途综合利润率为30%</w:t>
      </w:r>
      <w:r>
        <w:rPr>
          <w:rFonts w:hint="eastAsia" w:ascii="Arial" w:hAnsi="Arial" w:eastAsia="仿宋_GB2312" w:cs="Arial"/>
          <w:sz w:val="28"/>
          <w:highlight w:val="none"/>
        </w:rPr>
        <w:t>，</w:t>
      </w:r>
      <w:r>
        <w:rPr>
          <w:rFonts w:hint="eastAsia" w:ascii="Arial" w:hAnsi="Arial" w:eastAsia="仿宋_GB2312" w:cs="Arial"/>
          <w:sz w:val="28"/>
          <w:highlight w:val="none"/>
          <w:lang w:eastAsia="zh-CN"/>
        </w:rPr>
        <w:t>其他商业服务业用地</w:t>
      </w:r>
      <w:r>
        <w:rPr>
          <w:rFonts w:ascii="Arial" w:hAnsi="Arial" w:eastAsia="仿宋_GB2312" w:cs="Arial"/>
          <w:sz w:val="28"/>
          <w:highlight w:val="none"/>
        </w:rPr>
        <w:t>用途综合利润率为2</w:t>
      </w:r>
      <w:r>
        <w:rPr>
          <w:rFonts w:hint="eastAsia" w:ascii="Arial" w:hAnsi="Arial" w:eastAsia="仿宋_GB2312" w:cs="Arial"/>
          <w:sz w:val="28"/>
          <w:highlight w:val="none"/>
          <w:lang w:val="en-US" w:eastAsia="zh-CN"/>
        </w:rPr>
        <w:t>5</w:t>
      </w:r>
      <w:r>
        <w:rPr>
          <w:rFonts w:ascii="Arial" w:hAnsi="Arial" w:eastAsia="仿宋_GB2312" w:cs="Arial"/>
          <w:sz w:val="28"/>
          <w:highlight w:val="none"/>
        </w:rPr>
        <w:t>%</w:t>
      </w:r>
      <w:r>
        <w:rPr>
          <w:rFonts w:hint="eastAsia" w:ascii="Arial" w:hAnsi="Arial" w:eastAsia="仿宋_GB2312" w:cs="Arial"/>
          <w:sz w:val="28"/>
          <w:highlight w:val="none"/>
        </w:rPr>
        <w:t>，公共服务</w:t>
      </w:r>
      <w:r>
        <w:rPr>
          <w:rFonts w:ascii="Arial" w:hAnsi="Arial" w:eastAsia="仿宋_GB2312" w:cs="Arial"/>
          <w:sz w:val="28"/>
          <w:highlight w:val="none"/>
        </w:rPr>
        <w:t>用途综合利润率为10%。</w:t>
      </w:r>
    </w:p>
    <w:p w14:paraId="13DE46CB">
      <w:pPr>
        <w:pStyle w:val="57"/>
        <w:autoSpaceDE w:val="0"/>
        <w:autoSpaceDN w:val="0"/>
        <w:adjustRightInd/>
        <w:spacing w:line="300" w:lineRule="auto"/>
        <w:ind w:firstLine="560" w:firstLineChars="200"/>
        <w:jc w:val="both"/>
        <w:textAlignment w:val="bottom"/>
        <w:rPr>
          <w:rFonts w:ascii="Arial" w:hAnsi="Arial" w:eastAsia="仿宋_GB2312" w:cs="Arial"/>
          <w:sz w:val="28"/>
          <w:highlight w:val="none"/>
        </w:rPr>
      </w:pPr>
      <w:r>
        <w:rPr>
          <w:rFonts w:ascii="Arial" w:hAnsi="Arial" w:eastAsia="仿宋_GB2312" w:cs="Arial"/>
          <w:sz w:val="28"/>
          <w:highlight w:val="none"/>
        </w:rPr>
        <w:t>2.工期情况说明：</w:t>
      </w:r>
    </w:p>
    <w:p w14:paraId="514EA845">
      <w:pPr>
        <w:pStyle w:val="57"/>
        <w:autoSpaceDE w:val="0"/>
        <w:autoSpaceDN w:val="0"/>
        <w:adjustRightInd/>
        <w:spacing w:line="300" w:lineRule="auto"/>
        <w:ind w:firstLine="570"/>
        <w:jc w:val="both"/>
        <w:textAlignment w:val="bottom"/>
        <w:rPr>
          <w:rFonts w:ascii="Arial" w:hAnsi="Arial" w:eastAsia="仿宋_GB2312" w:cs="Arial"/>
          <w:sz w:val="28"/>
          <w:highlight w:val="none"/>
        </w:rPr>
      </w:pPr>
      <w:r>
        <w:rPr>
          <w:rFonts w:ascii="Arial" w:hAnsi="Arial" w:eastAsia="仿宋_GB2312" w:cs="Arial"/>
          <w:sz w:val="28"/>
          <w:highlight w:val="none"/>
        </w:rPr>
        <w:t>土地开发期：0年</w:t>
      </w:r>
    </w:p>
    <w:p w14:paraId="03A29EEB">
      <w:pPr>
        <w:pStyle w:val="57"/>
        <w:autoSpaceDE w:val="0"/>
        <w:autoSpaceDN w:val="0"/>
        <w:adjustRightInd/>
        <w:spacing w:line="300" w:lineRule="auto"/>
        <w:ind w:firstLine="570"/>
        <w:jc w:val="both"/>
        <w:textAlignment w:val="bottom"/>
        <w:rPr>
          <w:rFonts w:ascii="Arial" w:hAnsi="Arial" w:eastAsia="仿宋_GB2312" w:cs="Arial"/>
          <w:sz w:val="28"/>
          <w:highlight w:val="none"/>
        </w:rPr>
      </w:pPr>
      <w:r>
        <w:rPr>
          <w:rFonts w:ascii="Arial" w:hAnsi="Arial" w:eastAsia="仿宋_GB2312" w:cs="Arial"/>
          <w:sz w:val="28"/>
          <w:highlight w:val="none"/>
        </w:rPr>
        <w:t>建筑物建设期：</w:t>
      </w:r>
      <w:r>
        <w:rPr>
          <w:rFonts w:hint="eastAsia" w:ascii="Arial" w:hAnsi="Arial" w:eastAsia="仿宋_GB2312" w:cs="Arial"/>
          <w:sz w:val="28"/>
          <w:highlight w:val="none"/>
          <w:lang w:val="en-US" w:eastAsia="zh-CN"/>
        </w:rPr>
        <w:t>3</w:t>
      </w:r>
      <w:r>
        <w:rPr>
          <w:rFonts w:ascii="Arial" w:hAnsi="Arial" w:eastAsia="仿宋_GB2312" w:cs="Arial"/>
          <w:sz w:val="28"/>
          <w:highlight w:val="none"/>
        </w:rPr>
        <w:t>年</w:t>
      </w:r>
    </w:p>
    <w:p w14:paraId="38AB62E2">
      <w:pPr>
        <w:rPr>
          <w:rFonts w:ascii="Arial" w:hAnsi="Arial" w:eastAsia="仿宋_GB2312" w:cs="Arial"/>
          <w:b/>
          <w:sz w:val="28"/>
          <w:highlight w:val="none"/>
        </w:rPr>
      </w:pPr>
      <w:r>
        <w:rPr>
          <w:rFonts w:ascii="Arial" w:hAnsi="Arial" w:eastAsia="仿宋_GB2312" w:cs="Arial"/>
          <w:b/>
          <w:sz w:val="28"/>
          <w:highlight w:val="none"/>
        </w:rPr>
        <w:br w:type="page"/>
      </w:r>
    </w:p>
    <w:p w14:paraId="10B73D72">
      <w:pPr>
        <w:spacing w:line="300" w:lineRule="auto"/>
        <w:ind w:firstLine="562" w:firstLineChars="200"/>
        <w:jc w:val="both"/>
        <w:rPr>
          <w:rFonts w:ascii="Arial" w:hAnsi="Arial" w:eastAsia="仿宋_GB2312" w:cs="Arial"/>
          <w:b/>
          <w:sz w:val="28"/>
          <w:highlight w:val="none"/>
        </w:rPr>
      </w:pPr>
      <w:r>
        <w:rPr>
          <w:rFonts w:ascii="Arial" w:hAnsi="Arial" w:eastAsia="仿宋_GB2312" w:cs="Arial"/>
          <w:b/>
          <w:sz w:val="28"/>
          <w:highlight w:val="none"/>
        </w:rPr>
        <w:t>测算过程</w:t>
      </w:r>
    </w:p>
    <w:p w14:paraId="60BCE7FF">
      <w:pPr>
        <w:adjustRightInd/>
        <w:snapToGrid w:val="0"/>
        <w:spacing w:line="300" w:lineRule="auto"/>
        <w:ind w:firstLine="562" w:firstLineChars="200"/>
        <w:textAlignment w:val="auto"/>
        <w:rPr>
          <w:rFonts w:ascii="Arial" w:hAnsi="Arial" w:eastAsia="仿宋_GB2312" w:cs="Arial"/>
          <w:b/>
          <w:bCs/>
          <w:sz w:val="28"/>
          <w:highlight w:val="none"/>
        </w:rPr>
      </w:pPr>
      <w:r>
        <w:rPr>
          <w:rFonts w:hint="eastAsia" w:ascii="Arial" w:hAnsi="Arial" w:eastAsia="仿宋_GB2312" w:cs="Arial"/>
          <w:b/>
          <w:bCs/>
          <w:sz w:val="28"/>
          <w:highlight w:val="none"/>
        </w:rPr>
        <w:t>1.</w:t>
      </w:r>
      <w:r>
        <w:rPr>
          <w:rFonts w:ascii="Arial" w:hAnsi="Arial" w:eastAsia="仿宋_GB2312" w:cs="Arial"/>
          <w:b/>
          <w:bCs/>
          <w:sz w:val="28"/>
          <w:highlight w:val="none"/>
        </w:rPr>
        <w:t>基准地价系数修正法</w:t>
      </w:r>
    </w:p>
    <w:p w14:paraId="4A1D1A92">
      <w:pPr>
        <w:spacing w:line="300" w:lineRule="auto"/>
        <w:ind w:firstLine="562" w:firstLineChars="200"/>
        <w:jc w:val="both"/>
        <w:rPr>
          <w:rFonts w:hint="eastAsia" w:ascii="Arial" w:hAnsi="Arial" w:eastAsia="仿宋" w:cs="Arial"/>
          <w:b/>
          <w:bCs/>
          <w:sz w:val="28"/>
          <w:highlight w:val="none"/>
          <w:lang w:eastAsia="zh-CN"/>
        </w:rPr>
      </w:pPr>
      <w:r>
        <w:rPr>
          <w:rFonts w:hint="eastAsia" w:ascii="Arial" w:hAnsi="Arial" w:eastAsia="仿宋_GB2312" w:cs="Arial"/>
          <w:b/>
          <w:bCs/>
          <w:sz w:val="28"/>
          <w:highlight w:val="none"/>
        </w:rPr>
        <w:t>（</w:t>
      </w:r>
      <w:r>
        <w:rPr>
          <w:rFonts w:ascii="Arial" w:hAnsi="Arial" w:eastAsia="仿宋_GB2312" w:cs="Arial"/>
          <w:b/>
          <w:bCs/>
          <w:sz w:val="28"/>
          <w:highlight w:val="none"/>
        </w:rPr>
        <w:t>1</w:t>
      </w:r>
      <w:r>
        <w:rPr>
          <w:rFonts w:hint="eastAsia" w:ascii="Arial" w:hAnsi="Arial" w:eastAsia="仿宋_GB2312" w:cs="Arial"/>
          <w:b/>
          <w:bCs/>
          <w:sz w:val="28"/>
          <w:highlight w:val="none"/>
        </w:rPr>
        <w:t>）</w:t>
      </w:r>
      <w:r>
        <w:rPr>
          <w:rFonts w:ascii="Arial" w:hAnsi="Arial" w:eastAsia="仿宋_GB2312" w:cs="Arial"/>
          <w:b/>
          <w:bCs/>
          <w:sz w:val="28"/>
          <w:highlight w:val="none"/>
        </w:rPr>
        <w:t xml:space="preserve"> </w:t>
      </w:r>
      <w:r>
        <w:rPr>
          <w:rFonts w:ascii="Arial" w:hAnsi="Arial" w:eastAsia="仿宋" w:cs="Arial"/>
          <w:b/>
          <w:bCs/>
          <w:sz w:val="28"/>
          <w:szCs w:val="28"/>
          <w:highlight w:val="none"/>
        </w:rPr>
        <w:t>求取估价对象住宅用地</w:t>
      </w:r>
      <w:r>
        <w:rPr>
          <w:rFonts w:hint="eastAsia" w:ascii="Arial" w:hAnsi="Arial" w:eastAsia="仿宋" w:cs="Arial"/>
          <w:b/>
          <w:bCs/>
          <w:sz w:val="28"/>
          <w:szCs w:val="28"/>
          <w:highlight w:val="none"/>
          <w:lang w:eastAsia="zh-CN"/>
        </w:rPr>
        <w:t>楼面地价</w:t>
      </w:r>
    </w:p>
    <w:p w14:paraId="59913352">
      <w:pPr>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A.</w:t>
      </w:r>
      <w:r>
        <w:rPr>
          <w:rFonts w:ascii="Arial" w:hAnsi="Arial" w:eastAsia="仿宋" w:cs="Arial"/>
          <w:sz w:val="28"/>
          <w:szCs w:val="28"/>
          <w:highlight w:val="none"/>
        </w:rPr>
        <w:t xml:space="preserve"> 有关北京市基准地价的说明</w:t>
      </w:r>
    </w:p>
    <w:p w14:paraId="326ABA4A">
      <w:pPr>
        <w:pStyle w:val="11"/>
        <w:overflowPunct w:val="0"/>
        <w:snapToGrid w:val="0"/>
        <w:spacing w:line="300" w:lineRule="auto"/>
        <w:ind w:firstLine="560" w:firstLineChars="200"/>
        <w:rPr>
          <w:rFonts w:ascii="Arial" w:hAnsi="Arial" w:eastAsia="仿宋" w:cs="Arial"/>
          <w:sz w:val="28"/>
          <w:szCs w:val="28"/>
          <w:highlight w:val="none"/>
        </w:rPr>
      </w:pPr>
      <w:r>
        <w:rPr>
          <w:rFonts w:hint="eastAsia" w:ascii="Arial" w:hAnsi="Arial" w:eastAsia="仿宋_GB2312" w:cs="Arial"/>
          <w:sz w:val="28"/>
          <w:highlight w:val="none"/>
        </w:rPr>
        <w:t>a.</w:t>
      </w:r>
      <w:r>
        <w:rPr>
          <w:rFonts w:ascii="Arial" w:hAnsi="Arial" w:eastAsia="仿宋" w:cs="Arial"/>
          <w:sz w:val="28"/>
          <w:szCs w:val="28"/>
          <w:highlight w:val="none"/>
        </w:rPr>
        <w:t xml:space="preserve"> 北京市人民政府于2022年3月14日印发了《北京市人民政府关于更新出让国有建设用地使用权基准地价的通知》（京政发【2022】12号），根据《中华人民共和国城市房地产管理法》和《中共中央国务院关于构建更加完善的要素市场化配置体制机制的意见》精神，为进一步加强自然资源管理，完善地价管理体系，规范土地市场秩序，发挥政府的指导调控作用，对北京市出让国有建设用地使用权基准地价进行了更新，自印发之日起施行。</w:t>
      </w:r>
    </w:p>
    <w:p w14:paraId="43797922">
      <w:pPr>
        <w:overflowPunct w:val="0"/>
        <w:adjustRightInd/>
        <w:snapToGrid w:val="0"/>
        <w:spacing w:line="300" w:lineRule="auto"/>
        <w:ind w:firstLine="560" w:firstLineChars="200"/>
        <w:jc w:val="both"/>
        <w:textAlignment w:val="auto"/>
        <w:rPr>
          <w:rFonts w:ascii="Arial" w:hAnsi="Arial" w:eastAsia="仿宋" w:cs="Arial"/>
          <w:sz w:val="28"/>
          <w:szCs w:val="28"/>
          <w:highlight w:val="none"/>
        </w:rPr>
      </w:pPr>
      <w:r>
        <w:rPr>
          <w:rFonts w:ascii="Arial" w:hAnsi="Arial" w:eastAsia="仿宋" w:cs="Arial"/>
          <w:sz w:val="28"/>
          <w:szCs w:val="28"/>
          <w:highlight w:val="none"/>
        </w:rPr>
        <w:t>基准地价成果属于政府公示地价，作为确定国有建设用地使用权出让价格审定、国有建设用地租赁租金审定、企业改制土地资产价格处置等依据之一。其他情形参照执行。</w:t>
      </w:r>
    </w:p>
    <w:p w14:paraId="2628D56F">
      <w:pPr>
        <w:overflowPunct w:val="0"/>
        <w:adjustRightInd/>
        <w:snapToGrid w:val="0"/>
        <w:spacing w:line="300" w:lineRule="auto"/>
        <w:ind w:firstLine="560" w:firstLineChars="200"/>
        <w:jc w:val="both"/>
        <w:textAlignment w:val="auto"/>
        <w:rPr>
          <w:rFonts w:ascii="Arial" w:hAnsi="Arial" w:eastAsia="仿宋" w:cs="Arial"/>
          <w:sz w:val="28"/>
          <w:szCs w:val="28"/>
          <w:highlight w:val="none"/>
        </w:rPr>
      </w:pPr>
      <w:r>
        <w:rPr>
          <w:rFonts w:ascii="Arial" w:hAnsi="Arial" w:eastAsia="仿宋" w:cs="Arial"/>
          <w:sz w:val="28"/>
          <w:szCs w:val="28"/>
          <w:highlight w:val="none"/>
        </w:rPr>
        <w:t>《北京市出让国有建设用地使用权基准地价更新成果》包括基准地价基本内容、基准地价表、基准地价级别</w:t>
      </w:r>
      <w:r>
        <w:rPr>
          <w:rFonts w:hint="eastAsia" w:ascii="Arial" w:hAnsi="Arial" w:eastAsia="仿宋" w:cs="Arial"/>
          <w:sz w:val="28"/>
          <w:szCs w:val="28"/>
          <w:highlight w:val="none"/>
          <w:lang w:eastAsia="zh-CN"/>
        </w:rPr>
        <w:t>（</w:t>
      </w:r>
      <w:r>
        <w:rPr>
          <w:rFonts w:ascii="Arial" w:hAnsi="Arial" w:eastAsia="仿宋" w:cs="Arial"/>
          <w:sz w:val="28"/>
          <w:szCs w:val="28"/>
          <w:highlight w:val="none"/>
        </w:rPr>
        <w:t>区片</w:t>
      </w:r>
      <w:r>
        <w:rPr>
          <w:rFonts w:hint="eastAsia" w:ascii="Arial" w:hAnsi="Arial" w:eastAsia="仿宋" w:cs="Arial"/>
          <w:sz w:val="28"/>
          <w:szCs w:val="28"/>
          <w:highlight w:val="none"/>
          <w:lang w:eastAsia="zh-CN"/>
        </w:rPr>
        <w:t>）</w:t>
      </w:r>
      <w:r>
        <w:rPr>
          <w:rFonts w:ascii="Arial" w:hAnsi="Arial" w:eastAsia="仿宋" w:cs="Arial"/>
          <w:sz w:val="28"/>
          <w:szCs w:val="28"/>
          <w:highlight w:val="none"/>
        </w:rPr>
        <w:t>范围说明、基准地价应用说明等。</w:t>
      </w:r>
    </w:p>
    <w:p w14:paraId="0790D320">
      <w:pPr>
        <w:overflowPunct w:val="0"/>
        <w:adjustRightInd/>
        <w:snapToGrid w:val="0"/>
        <w:spacing w:line="300" w:lineRule="auto"/>
        <w:ind w:firstLine="560" w:firstLineChars="200"/>
        <w:jc w:val="both"/>
        <w:textAlignment w:val="auto"/>
        <w:rPr>
          <w:rFonts w:ascii="Arial" w:hAnsi="Arial" w:eastAsia="仿宋" w:cs="Arial"/>
          <w:sz w:val="28"/>
          <w:szCs w:val="28"/>
          <w:highlight w:val="none"/>
        </w:rPr>
      </w:pPr>
      <w:r>
        <w:rPr>
          <w:rFonts w:ascii="Arial" w:hAnsi="Arial" w:eastAsia="仿宋" w:cs="Arial"/>
          <w:sz w:val="28"/>
          <w:szCs w:val="28"/>
          <w:highlight w:val="none"/>
        </w:rPr>
        <w:t>在《北京市出让国有建设用地使用权基准地价更新成果》中，级别（区片）基准地价是在正常市场条件下各土地级别（区片）内，土地开发程度为宗地外通路、通电、通讯、通上水、通下水、通燃气、通热及宗地内平整（简称“七通一平”）或宗地外通路、通电、通讯、通上水、通下水及宗地内平整（简称“五通一平”），在平均容积率条件下，各土地用途的法定最高出让年限条件下国有建设用地使用权的平均价格。</w:t>
      </w:r>
    </w:p>
    <w:p w14:paraId="5A003742">
      <w:pPr>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基准地价的基准期日为2021年1月1日；土地用途划分为商业、办公、住宅、工业、公共服务五类；级别基准地价土地开发程度一至七级为宗地外通路、通电、通讯、通上水、通下水、通燃气、通热及宗地内平整（简称“七通一平”），八至十二级为宗地外通路、通电、通讯、通上水、通下水及宗地内平整（简称“五通一平”）；级别平均容积率详见下表：</w:t>
      </w:r>
    </w:p>
    <w:p w14:paraId="09BF1DA9">
      <w:pPr>
        <w:spacing w:line="300" w:lineRule="auto"/>
        <w:ind w:firstLine="560" w:firstLineChars="200"/>
        <w:jc w:val="both"/>
        <w:rPr>
          <w:rFonts w:ascii="Arial" w:hAnsi="Arial" w:eastAsia="仿宋" w:cs="Arial"/>
          <w:sz w:val="28"/>
          <w:szCs w:val="28"/>
          <w:highlight w:val="none"/>
        </w:rPr>
      </w:pPr>
    </w:p>
    <w:p w14:paraId="00928197">
      <w:pPr>
        <w:spacing w:line="300" w:lineRule="auto"/>
        <w:ind w:firstLine="560" w:firstLineChars="200"/>
        <w:jc w:val="both"/>
        <w:rPr>
          <w:rFonts w:ascii="Arial" w:hAnsi="Arial" w:eastAsia="仿宋" w:cs="Arial"/>
          <w:sz w:val="28"/>
          <w:szCs w:val="28"/>
          <w:highlight w:val="none"/>
        </w:rPr>
      </w:pPr>
    </w:p>
    <w:p w14:paraId="12466910">
      <w:pPr>
        <w:spacing w:line="300" w:lineRule="auto"/>
        <w:ind w:firstLine="560" w:firstLineChars="200"/>
        <w:jc w:val="both"/>
        <w:rPr>
          <w:rFonts w:ascii="Arial" w:hAnsi="Arial" w:eastAsia="仿宋" w:cs="Arial"/>
          <w:sz w:val="28"/>
          <w:szCs w:val="28"/>
          <w:highlight w:val="none"/>
        </w:rPr>
      </w:pP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57" w:type="dxa"/>
          <w:bottom w:w="57" w:type="dxa"/>
          <w:right w:w="57" w:type="dxa"/>
        </w:tblCellMar>
      </w:tblPr>
      <w:tblGrid>
        <w:gridCol w:w="1077"/>
        <w:gridCol w:w="1077"/>
        <w:gridCol w:w="1756"/>
        <w:gridCol w:w="1871"/>
        <w:gridCol w:w="1892"/>
        <w:gridCol w:w="1791"/>
      </w:tblGrid>
      <w:tr w14:paraId="23BB02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tcBorders>
              <w:tl2br w:val="single" w:color="auto" w:sz="4" w:space="0"/>
            </w:tcBorders>
            <w:shd w:val="clear" w:color="auto" w:fill="auto"/>
            <w:noWrap/>
            <w:vAlign w:val="center"/>
          </w:tcPr>
          <w:p w14:paraId="5554C780">
            <w:pPr>
              <w:widowControl/>
              <w:adjustRightInd/>
              <w:spacing w:line="240" w:lineRule="exact"/>
              <w:ind w:firstLine="1050" w:firstLineChars="500"/>
              <w:jc w:val="right"/>
              <w:textAlignment w:val="auto"/>
              <w:rPr>
                <w:rFonts w:ascii="Arial" w:hAnsi="Arial" w:eastAsia="仿宋" w:cs="Arial"/>
                <w:sz w:val="21"/>
                <w:szCs w:val="21"/>
                <w:highlight w:val="none"/>
              </w:rPr>
            </w:pPr>
            <w:r>
              <w:rPr>
                <w:rFonts w:ascii="Arial" w:hAnsi="Arial" w:eastAsia="仿宋" w:cs="Arial"/>
                <w:sz w:val="21"/>
                <w:szCs w:val="21"/>
                <w:highlight w:val="none"/>
              </w:rPr>
              <w:t>土地级别</w:t>
            </w:r>
          </w:p>
          <w:p w14:paraId="30766240">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土地用途</w:t>
            </w:r>
          </w:p>
        </w:tc>
        <w:tc>
          <w:tcPr>
            <w:tcW w:w="930" w:type="pct"/>
            <w:shd w:val="clear" w:color="auto" w:fill="auto"/>
            <w:noWrap/>
            <w:vAlign w:val="center"/>
          </w:tcPr>
          <w:p w14:paraId="48A4088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一级至二级</w:t>
            </w:r>
          </w:p>
        </w:tc>
        <w:tc>
          <w:tcPr>
            <w:tcW w:w="990" w:type="pct"/>
            <w:shd w:val="clear" w:color="auto" w:fill="auto"/>
            <w:noWrap/>
            <w:vAlign w:val="center"/>
          </w:tcPr>
          <w:p w14:paraId="57E8876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三级至五级</w:t>
            </w:r>
          </w:p>
        </w:tc>
        <w:tc>
          <w:tcPr>
            <w:tcW w:w="1002" w:type="pct"/>
            <w:shd w:val="clear" w:color="auto" w:fill="auto"/>
            <w:noWrap/>
            <w:vAlign w:val="center"/>
          </w:tcPr>
          <w:p w14:paraId="0EA02CA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六级至七级</w:t>
            </w:r>
          </w:p>
        </w:tc>
        <w:tc>
          <w:tcPr>
            <w:tcW w:w="948" w:type="pct"/>
            <w:shd w:val="clear" w:color="auto" w:fill="auto"/>
            <w:noWrap/>
            <w:vAlign w:val="center"/>
          </w:tcPr>
          <w:p w14:paraId="31DDC42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八级至十二级</w:t>
            </w:r>
          </w:p>
        </w:tc>
      </w:tr>
      <w:tr w14:paraId="33D93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586C3A7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930" w:type="pct"/>
            <w:shd w:val="clear" w:color="auto" w:fill="auto"/>
            <w:noWrap/>
            <w:vAlign w:val="center"/>
          </w:tcPr>
          <w:p w14:paraId="4B0C483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3.5</w:t>
            </w:r>
          </w:p>
        </w:tc>
        <w:tc>
          <w:tcPr>
            <w:tcW w:w="1992" w:type="pct"/>
            <w:gridSpan w:val="2"/>
            <w:shd w:val="clear" w:color="auto" w:fill="auto"/>
            <w:noWrap/>
            <w:vAlign w:val="center"/>
          </w:tcPr>
          <w:p w14:paraId="313C37E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c>
          <w:tcPr>
            <w:tcW w:w="948" w:type="pct"/>
            <w:shd w:val="clear" w:color="auto" w:fill="auto"/>
            <w:noWrap/>
            <w:vAlign w:val="center"/>
          </w:tcPr>
          <w:p w14:paraId="6E39A0C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w:t>
            </w:r>
          </w:p>
        </w:tc>
      </w:tr>
      <w:tr w14:paraId="073E9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3048DA1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930" w:type="pct"/>
            <w:shd w:val="clear" w:color="auto" w:fill="auto"/>
            <w:noWrap/>
            <w:vAlign w:val="center"/>
          </w:tcPr>
          <w:p w14:paraId="75E265E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3.5</w:t>
            </w:r>
          </w:p>
        </w:tc>
        <w:tc>
          <w:tcPr>
            <w:tcW w:w="1992" w:type="pct"/>
            <w:gridSpan w:val="2"/>
            <w:shd w:val="clear" w:color="auto" w:fill="auto"/>
            <w:noWrap/>
            <w:vAlign w:val="center"/>
          </w:tcPr>
          <w:p w14:paraId="096B99A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c>
          <w:tcPr>
            <w:tcW w:w="948" w:type="pct"/>
            <w:shd w:val="clear" w:color="auto" w:fill="auto"/>
            <w:noWrap/>
            <w:vAlign w:val="center"/>
          </w:tcPr>
          <w:p w14:paraId="7FF2233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w:t>
            </w:r>
          </w:p>
        </w:tc>
      </w:tr>
      <w:tr w14:paraId="38DF3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07EF9E0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住宅类</w:t>
            </w:r>
          </w:p>
        </w:tc>
        <w:tc>
          <w:tcPr>
            <w:tcW w:w="2923" w:type="pct"/>
            <w:gridSpan w:val="3"/>
            <w:shd w:val="clear" w:color="auto" w:fill="auto"/>
            <w:noWrap/>
            <w:vAlign w:val="center"/>
          </w:tcPr>
          <w:p w14:paraId="0E8D188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c>
          <w:tcPr>
            <w:tcW w:w="948" w:type="pct"/>
            <w:shd w:val="clear" w:color="auto" w:fill="auto"/>
            <w:noWrap/>
            <w:vAlign w:val="center"/>
          </w:tcPr>
          <w:p w14:paraId="55F1D0A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1.5</w:t>
            </w:r>
          </w:p>
        </w:tc>
      </w:tr>
      <w:tr w14:paraId="06F90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64" w:type="pct"/>
            <w:vMerge w:val="restart"/>
            <w:shd w:val="clear" w:color="auto" w:fill="auto"/>
            <w:noWrap/>
            <w:vAlign w:val="center"/>
          </w:tcPr>
          <w:p w14:paraId="6783F85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564" w:type="pct"/>
            <w:shd w:val="clear" w:color="auto" w:fill="auto"/>
            <w:vAlign w:val="center"/>
          </w:tcPr>
          <w:p w14:paraId="4CDB418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M4</w:t>
            </w:r>
          </w:p>
        </w:tc>
        <w:tc>
          <w:tcPr>
            <w:tcW w:w="930" w:type="pct"/>
            <w:shd w:val="clear" w:color="auto" w:fill="auto"/>
            <w:noWrap/>
            <w:vAlign w:val="center"/>
          </w:tcPr>
          <w:p w14:paraId="126CBD2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c>
          <w:tcPr>
            <w:tcW w:w="1992" w:type="pct"/>
            <w:gridSpan w:val="2"/>
            <w:shd w:val="clear" w:color="auto" w:fill="auto"/>
            <w:noWrap/>
            <w:vAlign w:val="center"/>
          </w:tcPr>
          <w:p w14:paraId="70A1E32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2.0</w:t>
            </w:r>
          </w:p>
        </w:tc>
        <w:tc>
          <w:tcPr>
            <w:tcW w:w="948" w:type="pct"/>
            <w:shd w:val="clear" w:color="auto" w:fill="auto"/>
            <w:noWrap/>
            <w:vAlign w:val="center"/>
          </w:tcPr>
          <w:p w14:paraId="0D94226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1.5</w:t>
            </w:r>
          </w:p>
        </w:tc>
      </w:tr>
      <w:tr w14:paraId="30707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64" w:type="pct"/>
            <w:vMerge w:val="continue"/>
            <w:shd w:val="clear" w:color="auto" w:fill="auto"/>
            <w:noWrap/>
            <w:vAlign w:val="center"/>
          </w:tcPr>
          <w:p w14:paraId="1BBBB2F0">
            <w:pPr>
              <w:widowControl/>
              <w:adjustRightInd/>
              <w:spacing w:line="240" w:lineRule="exact"/>
              <w:textAlignment w:val="auto"/>
              <w:rPr>
                <w:rFonts w:ascii="Arial" w:hAnsi="Arial" w:eastAsia="仿宋" w:cs="Arial"/>
                <w:sz w:val="21"/>
                <w:szCs w:val="21"/>
                <w:highlight w:val="none"/>
              </w:rPr>
            </w:pPr>
          </w:p>
        </w:tc>
        <w:tc>
          <w:tcPr>
            <w:tcW w:w="564" w:type="pct"/>
            <w:shd w:val="clear" w:color="auto" w:fill="auto"/>
            <w:vAlign w:val="center"/>
          </w:tcPr>
          <w:p w14:paraId="0ACC70B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一般类</w:t>
            </w:r>
          </w:p>
        </w:tc>
        <w:tc>
          <w:tcPr>
            <w:tcW w:w="1921" w:type="pct"/>
            <w:gridSpan w:val="2"/>
            <w:shd w:val="clear" w:color="auto" w:fill="auto"/>
            <w:noWrap/>
            <w:vAlign w:val="center"/>
          </w:tcPr>
          <w:p w14:paraId="600BDF0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1.5</w:t>
            </w:r>
          </w:p>
        </w:tc>
        <w:tc>
          <w:tcPr>
            <w:tcW w:w="1002" w:type="pct"/>
            <w:shd w:val="clear" w:color="auto" w:fill="auto"/>
            <w:vAlign w:val="center"/>
          </w:tcPr>
          <w:p w14:paraId="42793B7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948" w:type="pct"/>
            <w:shd w:val="clear" w:color="auto" w:fill="auto"/>
            <w:noWrap/>
            <w:vAlign w:val="center"/>
          </w:tcPr>
          <w:p w14:paraId="3FEADEC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w:t>
            </w:r>
          </w:p>
        </w:tc>
      </w:tr>
      <w:tr w14:paraId="26136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1128" w:type="pct"/>
            <w:gridSpan w:val="2"/>
            <w:shd w:val="clear" w:color="auto" w:fill="auto"/>
            <w:noWrap/>
            <w:vAlign w:val="center"/>
          </w:tcPr>
          <w:p w14:paraId="65A4ED6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c>
          <w:tcPr>
            <w:tcW w:w="930" w:type="pct"/>
            <w:shd w:val="clear" w:color="auto" w:fill="auto"/>
            <w:noWrap/>
            <w:vAlign w:val="center"/>
          </w:tcPr>
          <w:p w14:paraId="0334269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xml:space="preserve">2.5 </w:t>
            </w:r>
          </w:p>
        </w:tc>
        <w:tc>
          <w:tcPr>
            <w:tcW w:w="1992" w:type="pct"/>
            <w:gridSpan w:val="2"/>
            <w:shd w:val="clear" w:color="auto" w:fill="auto"/>
            <w:vAlign w:val="center"/>
          </w:tcPr>
          <w:p w14:paraId="02BA369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2.0</w:t>
            </w:r>
          </w:p>
        </w:tc>
        <w:tc>
          <w:tcPr>
            <w:tcW w:w="948" w:type="pct"/>
            <w:shd w:val="clear" w:color="auto" w:fill="auto"/>
            <w:noWrap/>
            <w:vAlign w:val="center"/>
          </w:tcPr>
          <w:p w14:paraId="3CCD2BB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xml:space="preserve">1.5 </w:t>
            </w:r>
          </w:p>
        </w:tc>
      </w:tr>
    </w:tbl>
    <w:p w14:paraId="5235B526">
      <w:pPr>
        <w:keepNext w:val="0"/>
        <w:keepLines w:val="0"/>
        <w:pageBreakBefore w:val="0"/>
        <w:widowControl w:val="0"/>
        <w:kinsoku/>
        <w:wordWrap/>
        <w:overflowPunct w:val="0"/>
        <w:topLinePunct w:val="0"/>
        <w:autoSpaceDE/>
        <w:autoSpaceDN/>
        <w:bidi w:val="0"/>
        <w:adjustRightInd/>
        <w:snapToGrid w:val="0"/>
        <w:spacing w:before="157" w:beforeLines="50" w:line="300" w:lineRule="auto"/>
        <w:ind w:firstLine="560" w:firstLineChars="200"/>
        <w:jc w:val="both"/>
        <w:textAlignment w:val="auto"/>
        <w:rPr>
          <w:rFonts w:ascii="Arial" w:hAnsi="Arial" w:eastAsia="仿宋" w:cs="Arial"/>
          <w:sz w:val="28"/>
          <w:szCs w:val="28"/>
          <w:highlight w:val="none"/>
        </w:rPr>
      </w:pPr>
      <w:r>
        <w:rPr>
          <w:rFonts w:ascii="Arial" w:hAnsi="Arial" w:eastAsia="仿宋" w:cs="Arial"/>
          <w:sz w:val="28"/>
          <w:szCs w:val="28"/>
          <w:highlight w:val="none"/>
        </w:rPr>
        <w:t>基准地价的表示形式为</w:t>
      </w:r>
      <w:r>
        <w:rPr>
          <w:rFonts w:hint="eastAsia" w:ascii="Arial" w:hAnsi="Arial" w:eastAsia="仿宋" w:cs="Arial"/>
          <w:sz w:val="28"/>
          <w:szCs w:val="28"/>
          <w:highlight w:val="none"/>
          <w:lang w:eastAsia="zh-CN"/>
        </w:rPr>
        <w:t>楼面地价</w:t>
      </w:r>
      <w:r>
        <w:rPr>
          <w:rFonts w:ascii="Arial" w:hAnsi="Arial" w:eastAsia="仿宋" w:cs="Arial"/>
          <w:sz w:val="28"/>
          <w:szCs w:val="28"/>
          <w:highlight w:val="none"/>
        </w:rPr>
        <w:t>。</w:t>
      </w:r>
      <w:r>
        <w:rPr>
          <w:rFonts w:hint="eastAsia" w:ascii="Arial" w:hAnsi="Arial" w:eastAsia="仿宋" w:cs="Arial"/>
          <w:sz w:val="28"/>
          <w:szCs w:val="28"/>
          <w:highlight w:val="none"/>
          <w:lang w:eastAsia="zh-CN"/>
        </w:rPr>
        <w:t>楼面地价</w:t>
      </w:r>
      <w:r>
        <w:rPr>
          <w:rFonts w:ascii="Arial" w:hAnsi="Arial" w:eastAsia="仿宋" w:cs="Arial"/>
          <w:sz w:val="28"/>
          <w:szCs w:val="28"/>
          <w:highlight w:val="none"/>
        </w:rPr>
        <w:t>是指各土地级别（区片）内，在设定土地开发程度和平均容积率条件下，每建筑面积分摊的国有建设用地使用权的平均价格。</w:t>
      </w:r>
    </w:p>
    <w:p w14:paraId="732CFB1F">
      <w:pPr>
        <w:overflowPunct w:val="0"/>
        <w:adjustRightInd/>
        <w:snapToGrid w:val="0"/>
        <w:spacing w:line="300" w:lineRule="auto"/>
        <w:ind w:firstLine="560" w:firstLineChars="200"/>
        <w:jc w:val="both"/>
        <w:textAlignment w:val="auto"/>
        <w:rPr>
          <w:rFonts w:ascii="Arial" w:hAnsi="Arial" w:eastAsia="仿宋" w:cs="Arial"/>
          <w:sz w:val="28"/>
          <w:szCs w:val="28"/>
          <w:highlight w:val="none"/>
        </w:rPr>
      </w:pPr>
      <w:r>
        <w:rPr>
          <w:rFonts w:ascii="Arial" w:hAnsi="Arial" w:eastAsia="仿宋" w:cs="Arial"/>
          <w:sz w:val="28"/>
          <w:szCs w:val="28"/>
          <w:highlight w:val="none"/>
        </w:rPr>
        <w:t>B.计算公式如下：</w:t>
      </w:r>
    </w:p>
    <w:p w14:paraId="1FAAD5F7">
      <w:pPr>
        <w:overflowPunct w:val="0"/>
        <w:adjustRightInd/>
        <w:snapToGrid w:val="0"/>
        <w:spacing w:line="300" w:lineRule="auto"/>
        <w:ind w:firstLine="560" w:firstLineChars="200"/>
        <w:jc w:val="both"/>
        <w:rPr>
          <w:rFonts w:ascii="Arial" w:hAnsi="Arial" w:eastAsia="仿宋" w:cs="Arial"/>
          <w:snapToGrid w:val="0"/>
          <w:sz w:val="28"/>
          <w:szCs w:val="28"/>
          <w:highlight w:val="none"/>
        </w:rPr>
      </w:pPr>
      <w:r>
        <w:rPr>
          <w:rFonts w:hint="eastAsia" w:ascii="Arial" w:hAnsi="Arial" w:eastAsia="仿宋" w:cs="Arial"/>
          <w:snapToGrid w:val="0"/>
          <w:sz w:val="28"/>
          <w:szCs w:val="28"/>
          <w:highlight w:val="none"/>
          <w:lang w:eastAsia="zh-CN"/>
        </w:rPr>
        <w:t>楼面地价</w:t>
      </w:r>
      <w:r>
        <w:rPr>
          <w:rFonts w:hint="eastAsia" w:ascii="Arial" w:hAnsi="Arial" w:eastAsia="仿宋" w:cs="Arial"/>
          <w:sz w:val="28"/>
          <w:szCs w:val="28"/>
          <w:highlight w:val="none"/>
          <w:lang w:eastAsia="zh-CN"/>
        </w:rPr>
        <w:t>＝</w:t>
      </w:r>
      <w:r>
        <w:rPr>
          <w:rFonts w:ascii="Arial" w:hAnsi="Arial" w:eastAsia="仿宋" w:cs="Arial"/>
          <w:snapToGrid w:val="0"/>
          <w:sz w:val="28"/>
          <w:szCs w:val="28"/>
          <w:highlight w:val="none"/>
        </w:rPr>
        <w:t>适用的基准地价</w:t>
      </w:r>
      <w:r>
        <w:rPr>
          <w:rFonts w:hint="eastAsia" w:ascii="Arial" w:hAnsi="Arial" w:eastAsia="仿宋" w:cs="Arial"/>
          <w:sz w:val="28"/>
          <w:szCs w:val="28"/>
          <w:highlight w:val="none"/>
          <w:lang w:eastAsia="zh-CN"/>
        </w:rPr>
        <w:t>×</w:t>
      </w:r>
      <w:r>
        <w:rPr>
          <w:rFonts w:ascii="Arial" w:hAnsi="Arial" w:eastAsia="仿宋" w:cs="Arial"/>
          <w:snapToGrid w:val="0"/>
          <w:sz w:val="28"/>
          <w:szCs w:val="28"/>
          <w:highlight w:val="none"/>
        </w:rPr>
        <w:t>用途修正系数</w:t>
      </w:r>
      <w:r>
        <w:rPr>
          <w:rFonts w:hint="eastAsia" w:ascii="Arial" w:hAnsi="Arial" w:eastAsia="仿宋" w:cs="Arial"/>
          <w:sz w:val="28"/>
          <w:szCs w:val="28"/>
          <w:highlight w:val="none"/>
          <w:lang w:eastAsia="zh-CN"/>
        </w:rPr>
        <w:t>×</w:t>
      </w:r>
      <w:r>
        <w:rPr>
          <w:rFonts w:ascii="Arial" w:hAnsi="Arial" w:eastAsia="仿宋" w:cs="Arial"/>
          <w:snapToGrid w:val="0"/>
          <w:sz w:val="28"/>
          <w:szCs w:val="28"/>
          <w:highlight w:val="none"/>
        </w:rPr>
        <w:t>期日修正系数</w:t>
      </w:r>
      <w:r>
        <w:rPr>
          <w:rFonts w:hint="eastAsia" w:ascii="Arial" w:hAnsi="Arial" w:eastAsia="仿宋" w:cs="Arial"/>
          <w:sz w:val="28"/>
          <w:szCs w:val="28"/>
          <w:highlight w:val="none"/>
          <w:lang w:eastAsia="zh-CN"/>
        </w:rPr>
        <w:t>×</w:t>
      </w:r>
      <w:r>
        <w:rPr>
          <w:rFonts w:ascii="Arial" w:hAnsi="Arial" w:eastAsia="仿宋" w:cs="Arial"/>
          <w:snapToGrid w:val="0"/>
          <w:sz w:val="28"/>
          <w:szCs w:val="28"/>
          <w:highlight w:val="none"/>
        </w:rPr>
        <w:t>年期修正系数</w:t>
      </w:r>
      <w:r>
        <w:rPr>
          <w:rFonts w:hint="eastAsia" w:ascii="Arial" w:hAnsi="Arial" w:eastAsia="仿宋" w:cs="Arial"/>
          <w:sz w:val="28"/>
          <w:szCs w:val="28"/>
          <w:highlight w:val="none"/>
          <w:lang w:eastAsia="zh-CN"/>
        </w:rPr>
        <w:t>×</w:t>
      </w:r>
      <w:r>
        <w:rPr>
          <w:rFonts w:ascii="Arial" w:hAnsi="Arial" w:eastAsia="仿宋" w:cs="Arial"/>
          <w:snapToGrid w:val="0"/>
          <w:sz w:val="28"/>
          <w:szCs w:val="28"/>
          <w:highlight w:val="none"/>
        </w:rPr>
        <w:t>容积率修正系数</w:t>
      </w:r>
      <w:r>
        <w:rPr>
          <w:rFonts w:hint="eastAsia" w:ascii="Arial" w:hAnsi="Arial" w:eastAsia="仿宋" w:cs="Arial"/>
          <w:sz w:val="28"/>
          <w:szCs w:val="28"/>
          <w:highlight w:val="none"/>
          <w:lang w:eastAsia="zh-CN"/>
        </w:rPr>
        <w:t>×</w:t>
      </w:r>
      <w:r>
        <w:rPr>
          <w:rFonts w:ascii="Arial" w:hAnsi="Arial" w:eastAsia="仿宋" w:cs="Arial"/>
          <w:snapToGrid w:val="0"/>
          <w:sz w:val="28"/>
          <w:szCs w:val="28"/>
          <w:highlight w:val="none"/>
        </w:rPr>
        <w:t>因素修正系数</w:t>
      </w:r>
    </w:p>
    <w:p w14:paraId="77DF2863">
      <w:pPr>
        <w:ind w:firstLine="560" w:firstLineChars="200"/>
        <w:rPr>
          <w:rFonts w:ascii="Arial" w:hAnsi="Arial" w:eastAsia="仿宋" w:cs="Arial"/>
          <w:sz w:val="28"/>
          <w:szCs w:val="28"/>
          <w:highlight w:val="none"/>
        </w:rPr>
      </w:pPr>
      <w:r>
        <w:rPr>
          <w:rFonts w:ascii="Arial" w:hAnsi="Arial" w:eastAsia="仿宋" w:cs="Arial"/>
          <w:sz w:val="28"/>
          <w:szCs w:val="28"/>
          <w:highlight w:val="none"/>
        </w:rPr>
        <w:t>C.测算过程</w:t>
      </w:r>
    </w:p>
    <w:p w14:paraId="471D5EFE">
      <w:pPr>
        <w:overflowPunct w:val="0"/>
        <w:adjustRightInd/>
        <w:snapToGrid w:val="0"/>
        <w:spacing w:line="300" w:lineRule="auto"/>
        <w:ind w:firstLine="560" w:firstLineChars="200"/>
        <w:jc w:val="both"/>
        <w:rPr>
          <w:rFonts w:hint="eastAsia" w:ascii="Arial" w:hAnsi="Arial" w:eastAsia="仿宋" w:cs="Arial"/>
          <w:sz w:val="28"/>
          <w:szCs w:val="28"/>
          <w:highlight w:val="none"/>
          <w:lang w:eastAsia="zh-CN"/>
        </w:rPr>
      </w:pPr>
      <w:r>
        <w:rPr>
          <w:rFonts w:ascii="Arial" w:hAnsi="Arial" w:eastAsia="仿宋" w:cs="Arial"/>
          <w:sz w:val="28"/>
          <w:szCs w:val="28"/>
          <w:highlight w:val="none"/>
        </w:rPr>
        <w:t>（A）求取估价对象住宅用地</w:t>
      </w:r>
      <w:r>
        <w:rPr>
          <w:rFonts w:hint="eastAsia" w:ascii="Arial" w:hAnsi="Arial" w:eastAsia="仿宋" w:cs="Arial"/>
          <w:sz w:val="28"/>
          <w:szCs w:val="28"/>
          <w:highlight w:val="none"/>
          <w:lang w:eastAsia="zh-CN"/>
        </w:rPr>
        <w:t>楼面地价</w:t>
      </w:r>
    </w:p>
    <w:p w14:paraId="4CD20805">
      <w:pPr>
        <w:overflowPunct w:val="0"/>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A）宗地适用基准地价水平的确定</w:t>
      </w:r>
    </w:p>
    <w:p w14:paraId="308A882D">
      <w:pPr>
        <w:overflowPunct w:val="0"/>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a.估价对象用途为</w:t>
      </w:r>
      <w:r>
        <w:rPr>
          <w:rFonts w:hint="eastAsia" w:ascii="Arial" w:hAnsi="Arial" w:eastAsia="仿宋" w:cs="Arial"/>
          <w:sz w:val="28"/>
          <w:szCs w:val="28"/>
          <w:highlight w:val="none"/>
          <w:lang w:val="en-US" w:eastAsia="zh-CN"/>
        </w:rPr>
        <w:t>城镇</w:t>
      </w:r>
      <w:r>
        <w:rPr>
          <w:rFonts w:ascii="Arial" w:hAnsi="Arial" w:eastAsia="仿宋" w:cs="Arial"/>
          <w:sz w:val="28"/>
          <w:szCs w:val="28"/>
          <w:highlight w:val="none"/>
        </w:rPr>
        <w:t>住宅</w:t>
      </w:r>
      <w:r>
        <w:rPr>
          <w:rFonts w:hint="eastAsia" w:ascii="Arial" w:hAnsi="Arial" w:eastAsia="仿宋" w:cs="Arial"/>
          <w:sz w:val="28"/>
          <w:szCs w:val="28"/>
          <w:highlight w:val="none"/>
          <w:lang w:val="en-US" w:eastAsia="zh-CN"/>
        </w:rPr>
        <w:t>用地</w:t>
      </w:r>
      <w:r>
        <w:rPr>
          <w:rFonts w:ascii="Arial" w:hAnsi="Arial" w:eastAsia="仿宋" w:cs="Arial"/>
          <w:sz w:val="28"/>
          <w:szCs w:val="28"/>
          <w:highlight w:val="none"/>
        </w:rPr>
        <w:t>，位于北京市顺义区</w:t>
      </w:r>
      <w:r>
        <w:rPr>
          <w:rFonts w:hint="eastAsia" w:ascii="Arial" w:hAnsi="Arial" w:eastAsia="仿宋" w:cs="Arial"/>
          <w:sz w:val="28"/>
          <w:szCs w:val="28"/>
          <w:highlight w:val="none"/>
        </w:rPr>
        <w:t>高丽营镇</w:t>
      </w:r>
      <w:r>
        <w:rPr>
          <w:rFonts w:ascii="Arial" w:hAnsi="Arial" w:eastAsia="仿宋" w:cs="Arial"/>
          <w:sz w:val="28"/>
          <w:szCs w:val="28"/>
          <w:highlight w:val="none"/>
        </w:rPr>
        <w:t>夏县营</w:t>
      </w:r>
      <w:r>
        <w:rPr>
          <w:rFonts w:hint="eastAsia" w:ascii="Arial" w:hAnsi="Arial" w:eastAsia="仿宋" w:cs="Arial"/>
          <w:sz w:val="28"/>
          <w:szCs w:val="28"/>
          <w:highlight w:val="none"/>
        </w:rPr>
        <w:t>村</w:t>
      </w:r>
      <w:r>
        <w:rPr>
          <w:rFonts w:ascii="Arial" w:hAnsi="Arial" w:eastAsia="仿宋" w:cs="Arial"/>
          <w:sz w:val="28"/>
          <w:szCs w:val="28"/>
          <w:highlight w:val="none"/>
        </w:rPr>
        <w:t>，参照《北京市基准地价级别（区片）图》及《北京市基准地价级别（区片）范围文字说明》，估价对象地处住宅类</w:t>
      </w:r>
      <w:r>
        <w:rPr>
          <w:rFonts w:ascii="Arial" w:hAnsi="Arial" w:eastAsia="仿宋_GB2312" w:cs="Arial"/>
          <w:sz w:val="28"/>
          <w:highlight w:val="none"/>
        </w:rPr>
        <w:t>IX</w:t>
      </w:r>
      <w:r>
        <w:rPr>
          <w:rFonts w:ascii="Arial" w:hAnsi="Arial" w:eastAsia="仿宋" w:cs="Arial"/>
          <w:sz w:val="28"/>
          <w:szCs w:val="28"/>
          <w:highlight w:val="none"/>
        </w:rPr>
        <w:t>级地价区，属住宅类</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szCs w:val="28"/>
          <w:highlight w:val="none"/>
        </w:rPr>
        <w:t>区片。</w:t>
      </w:r>
    </w:p>
    <w:p w14:paraId="1D458368">
      <w:pPr>
        <w:overflowPunct w:val="0"/>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北京市区片基准地价详见下表：</w:t>
      </w:r>
    </w:p>
    <w:p w14:paraId="32935E45">
      <w:pPr>
        <w:pStyle w:val="12"/>
        <w:spacing w:line="240" w:lineRule="auto"/>
        <w:ind w:firstLine="0"/>
        <w:jc w:val="center"/>
        <w:rPr>
          <w:rFonts w:ascii="仿宋" w:hAnsi="仿宋" w:eastAsia="仿宋"/>
          <w:szCs w:val="28"/>
          <w:highlight w:val="none"/>
        </w:rPr>
      </w:pPr>
      <w:r>
        <w:rPr>
          <w:rFonts w:hint="eastAsia" w:ascii="仿宋" w:hAnsi="仿宋" w:eastAsia="仿宋"/>
          <w:szCs w:val="28"/>
          <w:highlight w:val="none"/>
        </w:rPr>
        <w:t>北京市区片基准地价表（楼面地价）</w:t>
      </w:r>
    </w:p>
    <w:p w14:paraId="5A944585">
      <w:pPr>
        <w:pStyle w:val="12"/>
        <w:spacing w:line="240" w:lineRule="auto"/>
        <w:ind w:firstLine="0"/>
        <w:rPr>
          <w:rFonts w:ascii="Arial" w:hAnsi="Arial" w:eastAsia="方正黑体简体"/>
          <w:b/>
          <w:sz w:val="24"/>
          <w:highlight w:val="none"/>
        </w:rPr>
      </w:pPr>
      <w:r>
        <w:rPr>
          <w:rFonts w:hint="eastAsia" w:ascii="Arial" w:hAnsi="Arial" w:eastAsia="华文细黑"/>
          <w:sz w:val="18"/>
          <w:szCs w:val="24"/>
          <w:highlight w:val="none"/>
        </w:rPr>
        <w:t>基准日期：2021年1月1日                                                             单位：元/平方米</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57" w:type="dxa"/>
          <w:bottom w:w="57" w:type="dxa"/>
          <w:right w:w="57" w:type="dxa"/>
        </w:tblCellMar>
      </w:tblPr>
      <w:tblGrid>
        <w:gridCol w:w="983"/>
        <w:gridCol w:w="1720"/>
        <w:gridCol w:w="1352"/>
        <w:gridCol w:w="1352"/>
        <w:gridCol w:w="1352"/>
        <w:gridCol w:w="1352"/>
        <w:gridCol w:w="1353"/>
      </w:tblGrid>
      <w:tr w14:paraId="0791E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519" w:type="pct"/>
            <w:vMerge w:val="restart"/>
            <w:shd w:val="clear" w:color="auto" w:fill="auto"/>
            <w:vAlign w:val="center"/>
          </w:tcPr>
          <w:p w14:paraId="053BF1F6">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级别</w:t>
            </w:r>
          </w:p>
        </w:tc>
        <w:tc>
          <w:tcPr>
            <w:tcW w:w="908" w:type="pct"/>
            <w:vMerge w:val="restart"/>
            <w:shd w:val="clear" w:color="auto" w:fill="auto"/>
            <w:noWrap/>
            <w:vAlign w:val="center"/>
          </w:tcPr>
          <w:p w14:paraId="67BE1A65">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区片编号</w:t>
            </w:r>
          </w:p>
        </w:tc>
        <w:tc>
          <w:tcPr>
            <w:tcW w:w="714" w:type="pct"/>
            <w:shd w:val="clear" w:color="auto" w:fill="auto"/>
            <w:noWrap/>
            <w:vAlign w:val="center"/>
          </w:tcPr>
          <w:p w14:paraId="03077F18">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商业类</w:t>
            </w:r>
          </w:p>
        </w:tc>
        <w:tc>
          <w:tcPr>
            <w:tcW w:w="714" w:type="pct"/>
            <w:shd w:val="clear" w:color="auto" w:fill="auto"/>
            <w:noWrap/>
            <w:vAlign w:val="center"/>
          </w:tcPr>
          <w:p w14:paraId="51A36C7F">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办公类</w:t>
            </w:r>
          </w:p>
        </w:tc>
        <w:tc>
          <w:tcPr>
            <w:tcW w:w="714" w:type="pct"/>
            <w:shd w:val="clear" w:color="auto" w:fill="auto"/>
            <w:noWrap/>
            <w:vAlign w:val="center"/>
          </w:tcPr>
          <w:p w14:paraId="0586277F">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住宅类</w:t>
            </w:r>
          </w:p>
        </w:tc>
        <w:tc>
          <w:tcPr>
            <w:tcW w:w="714" w:type="pct"/>
            <w:shd w:val="clear" w:color="auto" w:fill="auto"/>
            <w:noWrap/>
            <w:vAlign w:val="center"/>
          </w:tcPr>
          <w:p w14:paraId="06A5F813">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工业类</w:t>
            </w:r>
          </w:p>
        </w:tc>
        <w:tc>
          <w:tcPr>
            <w:tcW w:w="714" w:type="pct"/>
            <w:shd w:val="clear" w:color="auto" w:fill="auto"/>
            <w:noWrap/>
            <w:vAlign w:val="center"/>
          </w:tcPr>
          <w:p w14:paraId="282AA893">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公共服务类</w:t>
            </w:r>
          </w:p>
        </w:tc>
      </w:tr>
      <w:tr w14:paraId="6689E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519" w:type="pct"/>
            <w:vMerge w:val="continue"/>
            <w:shd w:val="clear" w:color="auto" w:fill="auto"/>
            <w:vAlign w:val="center"/>
          </w:tcPr>
          <w:p w14:paraId="037163EA">
            <w:pPr>
              <w:widowControl/>
              <w:adjustRightInd/>
              <w:spacing w:line="240" w:lineRule="exact"/>
              <w:jc w:val="both"/>
              <w:textAlignment w:val="auto"/>
              <w:rPr>
                <w:rFonts w:ascii="Arial" w:hAnsi="Arial" w:eastAsia="仿宋" w:cs="Arial"/>
                <w:bCs/>
                <w:sz w:val="21"/>
                <w:szCs w:val="21"/>
                <w:highlight w:val="none"/>
              </w:rPr>
            </w:pPr>
          </w:p>
        </w:tc>
        <w:tc>
          <w:tcPr>
            <w:tcW w:w="908" w:type="pct"/>
            <w:vMerge w:val="continue"/>
            <w:shd w:val="clear" w:color="auto" w:fill="auto"/>
            <w:noWrap/>
            <w:vAlign w:val="center"/>
          </w:tcPr>
          <w:p w14:paraId="3012C4DA">
            <w:pPr>
              <w:widowControl/>
              <w:adjustRightInd/>
              <w:spacing w:line="240" w:lineRule="exact"/>
              <w:jc w:val="both"/>
              <w:textAlignment w:val="auto"/>
              <w:rPr>
                <w:rFonts w:ascii="Arial" w:hAnsi="Arial" w:eastAsia="仿宋" w:cs="Arial"/>
                <w:bCs/>
                <w:sz w:val="21"/>
                <w:szCs w:val="21"/>
                <w:highlight w:val="none"/>
              </w:rPr>
            </w:pPr>
          </w:p>
        </w:tc>
        <w:tc>
          <w:tcPr>
            <w:tcW w:w="714" w:type="pct"/>
            <w:shd w:val="clear" w:color="auto" w:fill="auto"/>
            <w:noWrap/>
            <w:vAlign w:val="center"/>
          </w:tcPr>
          <w:p w14:paraId="5B16A58D">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区片价格</w:t>
            </w:r>
          </w:p>
        </w:tc>
        <w:tc>
          <w:tcPr>
            <w:tcW w:w="714" w:type="pct"/>
            <w:shd w:val="clear" w:color="auto" w:fill="auto"/>
            <w:noWrap/>
            <w:vAlign w:val="center"/>
          </w:tcPr>
          <w:p w14:paraId="0EDA0192">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区片价格</w:t>
            </w:r>
          </w:p>
        </w:tc>
        <w:tc>
          <w:tcPr>
            <w:tcW w:w="714" w:type="pct"/>
            <w:shd w:val="clear" w:color="auto" w:fill="auto"/>
            <w:noWrap/>
            <w:vAlign w:val="center"/>
          </w:tcPr>
          <w:p w14:paraId="5C7AEE5E">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区片价格</w:t>
            </w:r>
          </w:p>
        </w:tc>
        <w:tc>
          <w:tcPr>
            <w:tcW w:w="714" w:type="pct"/>
            <w:shd w:val="clear" w:color="auto" w:fill="auto"/>
            <w:noWrap/>
            <w:vAlign w:val="center"/>
          </w:tcPr>
          <w:p w14:paraId="73176C0E">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区片价格</w:t>
            </w:r>
          </w:p>
        </w:tc>
        <w:tc>
          <w:tcPr>
            <w:tcW w:w="714" w:type="pct"/>
            <w:shd w:val="clear" w:color="auto" w:fill="auto"/>
            <w:noWrap/>
            <w:vAlign w:val="center"/>
          </w:tcPr>
          <w:p w14:paraId="6499421B">
            <w:pPr>
              <w:widowControl/>
              <w:adjustRightInd/>
              <w:spacing w:line="240" w:lineRule="exact"/>
              <w:jc w:val="both"/>
              <w:textAlignment w:val="auto"/>
              <w:rPr>
                <w:rFonts w:ascii="Arial" w:hAnsi="Arial" w:eastAsia="仿宋" w:cs="Arial"/>
                <w:bCs/>
                <w:sz w:val="21"/>
                <w:szCs w:val="21"/>
                <w:highlight w:val="none"/>
              </w:rPr>
            </w:pPr>
            <w:r>
              <w:rPr>
                <w:rFonts w:ascii="Arial" w:hAnsi="Arial" w:eastAsia="仿宋" w:cs="Arial"/>
                <w:bCs/>
                <w:sz w:val="21"/>
                <w:szCs w:val="21"/>
                <w:highlight w:val="none"/>
              </w:rPr>
              <w:t>区片价格</w:t>
            </w:r>
          </w:p>
        </w:tc>
      </w:tr>
      <w:tr w14:paraId="0C6C2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3FF21D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DC1EC0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01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388A7D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5790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C9C31D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F3097D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6730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63DD67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1110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59786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3460</w:t>
            </w:r>
          </w:p>
        </w:tc>
      </w:tr>
      <w:tr w14:paraId="4EB89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C87EF8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75FBBB9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02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57A11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CC9DB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DCA661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BA810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F5B89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3420</w:t>
            </w:r>
          </w:p>
        </w:tc>
      </w:tr>
      <w:tr w14:paraId="33F5A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99F22F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90D042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门1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365C66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4760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27A378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4720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5B0765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DB94BC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9C6C5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2850</w:t>
            </w:r>
          </w:p>
        </w:tc>
      </w:tr>
      <w:tr w14:paraId="34570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19E456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FDAB61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门2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87CF6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4010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92C1D0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62460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4710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1251BA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A3072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2390</w:t>
            </w:r>
          </w:p>
        </w:tc>
      </w:tr>
      <w:tr w14:paraId="2165B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9F1480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864C66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门潭</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1B338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4480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795B0E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4B000A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5230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F16011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A3514A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2660</w:t>
            </w:r>
          </w:p>
        </w:tc>
      </w:tr>
      <w:tr w14:paraId="2084E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6D5563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159463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房1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E845D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5360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CCEF8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5300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E0CCE8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6190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C5BE06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BC43E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3190</w:t>
            </w:r>
          </w:p>
        </w:tc>
      </w:tr>
      <w:tr w14:paraId="53204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609455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CB70B5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房2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53A69B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CF7316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230248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5720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BF6012B">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797BC5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2950</w:t>
            </w:r>
          </w:p>
        </w:tc>
      </w:tr>
      <w:tr w14:paraId="594A5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8348C8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300BBA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房3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2B41D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88D47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4B44B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6520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A9769B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DBF270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3360</w:t>
            </w:r>
          </w:p>
        </w:tc>
      </w:tr>
      <w:tr w14:paraId="78377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2F687F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6C9DB5B">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房4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8F0EB6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5340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82C05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5290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1A2DE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6170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3602F1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BFB715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3180</w:t>
            </w:r>
          </w:p>
        </w:tc>
      </w:tr>
      <w:tr w14:paraId="6AC5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2584EA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0CEF8B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房5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F289BA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4890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3E98E8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4840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20E620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CD2B5B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A917F1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2910</w:t>
            </w:r>
          </w:p>
        </w:tc>
      </w:tr>
      <w:tr w14:paraId="6D3D6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208B8E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3AA497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通1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D1220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012A76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AC095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5730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0EFCF1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AE84F7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2960</w:t>
            </w:r>
          </w:p>
        </w:tc>
      </w:tr>
      <w:tr w14:paraId="7808C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760D8D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96C165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通2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2A2A83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4350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51CACF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4300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825195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248DCC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04A28B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2590</w:t>
            </w:r>
          </w:p>
        </w:tc>
      </w:tr>
      <w:tr w14:paraId="39DF7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3141D2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5AF5F2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顺1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3E10F1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5230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C0BD1C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5170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7A6CA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6060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A7C59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55350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3120</w:t>
            </w:r>
          </w:p>
        </w:tc>
      </w:tr>
      <w:tr w14:paraId="0F211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DAB73C8">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585AAA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顺2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3F0B13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3CA8D8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CA5318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695FE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902D28">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3320</w:t>
            </w:r>
          </w:p>
        </w:tc>
      </w:tr>
      <w:tr w14:paraId="30AA5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3C9A538">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9D404F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顺3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5D0988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E796B5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3177D5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6320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731185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17F033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3250</w:t>
            </w:r>
          </w:p>
        </w:tc>
      </w:tr>
      <w:tr w14:paraId="64EF2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160B9E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6C9951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顺4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6A2F1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A9E1A2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5360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E5DB02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6270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3C3A5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096D17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3230</w:t>
            </w:r>
          </w:p>
        </w:tc>
      </w:tr>
      <w:tr w14:paraId="31092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597E20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EC6753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顺5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E8C916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5320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1B414F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5270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493E4D8">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6160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8BF325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9FC59A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3170</w:t>
            </w:r>
          </w:p>
        </w:tc>
      </w:tr>
      <w:tr w14:paraId="3E112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683549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750B1E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昌1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C568E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5260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955F6B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5210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1E6253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6100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52F8AC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BEC94B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3150</w:t>
            </w:r>
          </w:p>
        </w:tc>
      </w:tr>
      <w:tr w14:paraId="59253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36AA1D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CCF0B9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昌2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DFCAE4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1B7588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1CCE2E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6530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C289A7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CBBBBE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3360</w:t>
            </w:r>
          </w:p>
        </w:tc>
      </w:tr>
      <w:tr w14:paraId="79A03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408C74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FD11E6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昌3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487E65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9CE67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A42EA2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6430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41DC27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4BA497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3310</w:t>
            </w:r>
          </w:p>
        </w:tc>
      </w:tr>
      <w:tr w14:paraId="19F730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191C6C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08370A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昌4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D8463A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AF0842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0A3E0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6370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BF99FE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2783E3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3270</w:t>
            </w:r>
          </w:p>
        </w:tc>
      </w:tr>
      <w:tr w14:paraId="410AF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B00F02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E0A5AB8">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昌5</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E47080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5090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60CD84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5D2EC4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5910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7BFEFC8">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95EB32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3040</w:t>
            </w:r>
          </w:p>
        </w:tc>
      </w:tr>
      <w:tr w14:paraId="12D75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C2388B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A3FB3F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兴1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8E8A18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F8A008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5380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43FDC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6280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6AE1E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69405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3240</w:t>
            </w:r>
          </w:p>
        </w:tc>
      </w:tr>
      <w:tr w14:paraId="3CC13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9C80FF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B1A369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兴2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AD75A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4740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48875D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21DAD0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783729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8CF88D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2830</w:t>
            </w:r>
          </w:p>
        </w:tc>
      </w:tr>
      <w:tr w14:paraId="4BEF7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A7D68A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825AA7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兴3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80A37A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4870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B04FA7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90AC04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7EBA4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BD443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2910</w:t>
            </w:r>
          </w:p>
        </w:tc>
      </w:tr>
      <w:tr w14:paraId="6BE7D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BC4CC5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7DF081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怀1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246D4F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265DE4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90E1B7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6410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41A3B8">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A326F6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3300</w:t>
            </w:r>
          </w:p>
        </w:tc>
      </w:tr>
      <w:tr w14:paraId="52966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9038C98">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835789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怀2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65F01E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D7FF3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6698B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CFDF6C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5F2118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3370</w:t>
            </w:r>
          </w:p>
        </w:tc>
      </w:tr>
      <w:tr w14:paraId="11214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EBE893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EA436F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怀3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CDE608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A2AD67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8736E5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F5E211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928E68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3390</w:t>
            </w:r>
          </w:p>
        </w:tc>
      </w:tr>
      <w:tr w14:paraId="1198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46D716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5A40D4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怀4</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19E319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CE21F3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D35578">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6460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B82BF0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E8232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3340</w:t>
            </w:r>
          </w:p>
        </w:tc>
      </w:tr>
      <w:tr w14:paraId="67C16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B096AF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35911A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平1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B06BC3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C6F323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E6569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6440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F94232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14D87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3320</w:t>
            </w:r>
          </w:p>
        </w:tc>
      </w:tr>
      <w:tr w14:paraId="127DA0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1CDCE82">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F77FFA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平2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998A7B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67828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E076DD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6590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E0D305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B05398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3380</w:t>
            </w:r>
          </w:p>
        </w:tc>
      </w:tr>
      <w:tr w14:paraId="52F658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89381A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DE2EB6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密1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56D4CD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5620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D29DB6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9D3C01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6540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B7CDD8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4ADC6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3370</w:t>
            </w:r>
          </w:p>
        </w:tc>
      </w:tr>
      <w:tr w14:paraId="33282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FA73A2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D6DBAE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延1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A85BF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5060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DC7B4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3723240">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6370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FEAAD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AEC37D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3020</w:t>
            </w:r>
          </w:p>
        </w:tc>
      </w:tr>
      <w:tr w14:paraId="5F119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6DF05A2">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4E7D8F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延2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D7B4FA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5150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EAB7DE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5110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40AD92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6500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39376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1072D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3080</w:t>
            </w:r>
          </w:p>
        </w:tc>
      </w:tr>
      <w:tr w14:paraId="226B2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421E213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8EC33A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亦1</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886B29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4750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7DF65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4710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5F426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282BC5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C7F159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2840</w:t>
            </w:r>
          </w:p>
        </w:tc>
      </w:tr>
      <w:tr w14:paraId="76BC3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2CEDEB6">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55429E0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亦2</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B4FE9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4690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987A8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4640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5A0FDA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5420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30F36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CF74FC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2800</w:t>
            </w:r>
          </w:p>
        </w:tc>
      </w:tr>
      <w:tr w14:paraId="4CAF1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E33CB3B">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408633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亦3</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0D3D59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4810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9B668D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4760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5E199A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5550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AD1BFCB">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BB793D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2870</w:t>
            </w:r>
          </w:p>
        </w:tc>
      </w:tr>
      <w:tr w14:paraId="36122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438150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68ACE3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房山工业园西</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616ABD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ECB1AF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0D74B7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E7772E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78074E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66B57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0DB697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2C6982A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房山工业园东</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6C4F4C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CEFB9D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3B9E38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D5B354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F186A5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345EA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A80E19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D5C554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永乐开发区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A3F2C7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9A0EF2">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53C56D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6DB8842">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07413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35661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DF9CED4">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38054C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采育开发区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D417E9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4A1F29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3E58518">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72FC090">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DFB1BC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11902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9D43D4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E3FD8A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雁栖开发区A</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268902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06E4B0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2415437">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48987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F0D054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1C9D5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61E4568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0FD97EF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雁栖开发区B</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5E8D3D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013166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7502618">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D2401C">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1020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4F2406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70DB6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ACB552D">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58F803B">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雁栖开发区C</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372BF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89E054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13D8C9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147A392">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1050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45AF7A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33D50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2CDC6D1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F52DCC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兴谷开发区A</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8EBD58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A6C11E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F6E384">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08325AF">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2495F2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4EF8F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0EB23272">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545ECE5">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兴谷开发区B</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69DF0D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42D7EA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06009D5">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F660952">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960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880599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4C087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3FBB6C4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143515F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马坊工业园</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39967F8">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F3685D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BA30E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66F3AC11">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880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D1CFC51">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6B5AA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7BE625A2">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473EBCD9">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密云开发区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CDFBA8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E04BEB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7163ABD">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0AD85BF3">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930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294C3359">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5793B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10E193C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38EF754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延庆开发区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573679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75A8956">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775394E3">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C83B0D7">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900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32402FE">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r w14:paraId="3AC62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519" w:type="pct"/>
            <w:tcBorders>
              <w:top w:val="single" w:color="auto" w:sz="4" w:space="0"/>
              <w:left w:val="single" w:color="auto" w:sz="4" w:space="0"/>
              <w:bottom w:val="single" w:color="auto" w:sz="4" w:space="0"/>
              <w:right w:val="single" w:color="auto" w:sz="4" w:space="0"/>
            </w:tcBorders>
            <w:shd w:val="clear" w:color="auto" w:fill="auto"/>
            <w:vAlign w:val="center"/>
          </w:tcPr>
          <w:p w14:paraId="57F1885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九级</w:t>
            </w:r>
          </w:p>
        </w:tc>
        <w:tc>
          <w:tcPr>
            <w:tcW w:w="908" w:type="pct"/>
            <w:tcBorders>
              <w:top w:val="single" w:color="auto" w:sz="4" w:space="0"/>
              <w:left w:val="single" w:color="auto" w:sz="4" w:space="0"/>
              <w:bottom w:val="single" w:color="auto" w:sz="4" w:space="0"/>
              <w:right w:val="single" w:color="auto" w:sz="4" w:space="0"/>
            </w:tcBorders>
            <w:shd w:val="clear" w:color="auto" w:fill="auto"/>
            <w:vAlign w:val="center"/>
          </w:tcPr>
          <w:p w14:paraId="6808B82A">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Ⅸ</w:t>
            </w:r>
            <w:r>
              <w:rPr>
                <w:rFonts w:hint="eastAsia" w:ascii="Arial" w:hAnsi="Arial" w:eastAsia="仿宋" w:cs="Arial"/>
                <w:sz w:val="21"/>
                <w:szCs w:val="21"/>
                <w:highlight w:val="none"/>
                <w:lang w:eastAsia="zh-CN" w:bidi="ar"/>
              </w:rPr>
              <w:t>－</w:t>
            </w:r>
            <w:r>
              <w:rPr>
                <w:rFonts w:hint="eastAsia" w:ascii="Arial" w:hAnsi="Arial" w:eastAsia="仿宋" w:cs="Arial"/>
                <w:sz w:val="21"/>
                <w:szCs w:val="21"/>
                <w:highlight w:val="none"/>
                <w:lang w:bidi="ar"/>
              </w:rPr>
              <w:t>八达岭开发区</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8E0A6F">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313322BC">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11C85B0B">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4E59792E">
            <w:pPr>
              <w:widowControl/>
              <w:adjustRightInd/>
              <w:spacing w:line="240" w:lineRule="exact"/>
              <w:jc w:val="both"/>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790</w:t>
            </w:r>
          </w:p>
        </w:tc>
        <w:tc>
          <w:tcPr>
            <w:tcW w:w="714" w:type="pct"/>
            <w:tcBorders>
              <w:top w:val="single" w:color="auto" w:sz="4" w:space="0"/>
              <w:left w:val="single" w:color="auto" w:sz="4" w:space="0"/>
              <w:bottom w:val="single" w:color="auto" w:sz="4" w:space="0"/>
              <w:right w:val="single" w:color="auto" w:sz="4" w:space="0"/>
            </w:tcBorders>
            <w:shd w:val="clear" w:color="auto" w:fill="auto"/>
            <w:vAlign w:val="center"/>
          </w:tcPr>
          <w:p w14:paraId="598ABECA">
            <w:pPr>
              <w:widowControl/>
              <w:adjustRightInd/>
              <w:spacing w:line="240" w:lineRule="exact"/>
              <w:jc w:val="both"/>
              <w:rPr>
                <w:rFonts w:ascii="Arial" w:hAnsi="Arial" w:eastAsia="仿宋" w:cs="Arial"/>
                <w:sz w:val="21"/>
                <w:szCs w:val="21"/>
                <w:highlight w:val="none"/>
                <w:lang w:bidi="ar"/>
              </w:rPr>
            </w:pPr>
            <w:r>
              <w:rPr>
                <w:rFonts w:hint="eastAsia" w:ascii="Arial" w:hAnsi="Arial" w:eastAsia="仿宋" w:cs="Arial"/>
                <w:sz w:val="21"/>
                <w:szCs w:val="21"/>
                <w:highlight w:val="none"/>
                <w:lang w:bidi="ar"/>
              </w:rPr>
              <w:t>　</w:t>
            </w:r>
          </w:p>
        </w:tc>
      </w:tr>
    </w:tbl>
    <w:p w14:paraId="7A16E3C4">
      <w:pPr>
        <w:keepNext w:val="0"/>
        <w:keepLines w:val="0"/>
        <w:pageBreakBefore w:val="0"/>
        <w:widowControl w:val="0"/>
        <w:kinsoku/>
        <w:wordWrap/>
        <w:overflowPunct/>
        <w:topLinePunct w:val="0"/>
        <w:autoSpaceDE/>
        <w:autoSpaceDN/>
        <w:bidi w:val="0"/>
        <w:adjustRightInd/>
        <w:snapToGrid w:val="0"/>
        <w:spacing w:before="157" w:beforeLines="50" w:line="300" w:lineRule="auto"/>
        <w:ind w:firstLine="560" w:firstLineChars="200"/>
        <w:jc w:val="both"/>
        <w:textAlignment w:val="baseline"/>
        <w:rPr>
          <w:rFonts w:ascii="Arial" w:hAnsi="Arial" w:eastAsia="仿宋" w:cs="Arial"/>
          <w:sz w:val="28"/>
          <w:szCs w:val="28"/>
          <w:highlight w:val="none"/>
        </w:rPr>
      </w:pPr>
      <w:r>
        <w:rPr>
          <w:rFonts w:ascii="Arial" w:hAnsi="Arial" w:eastAsia="仿宋" w:cs="Arial"/>
          <w:sz w:val="28"/>
          <w:szCs w:val="28"/>
          <w:highlight w:val="none"/>
        </w:rPr>
        <w:t>依据上表，估价对象所在住宅用途</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szCs w:val="28"/>
          <w:highlight w:val="none"/>
        </w:rPr>
        <w:t>区片的区片基准地价为6160元/平方米。</w:t>
      </w:r>
    </w:p>
    <w:p w14:paraId="5B2CD129">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b.特殊情况修正</w:t>
      </w:r>
    </w:p>
    <w:p w14:paraId="6160EE94">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估价对象为住宅用地，以估价对象距离</w:t>
      </w:r>
      <w:r>
        <w:rPr>
          <w:rFonts w:hint="eastAsia" w:ascii="Arial" w:hAnsi="Arial" w:eastAsia="仿宋" w:cs="Arial"/>
          <w:sz w:val="28"/>
          <w:szCs w:val="28"/>
          <w:highlight w:val="none"/>
        </w:rPr>
        <w:t>水系</w:t>
      </w:r>
      <w:r>
        <w:rPr>
          <w:rFonts w:ascii="Arial" w:hAnsi="Arial" w:eastAsia="仿宋" w:cs="Arial"/>
          <w:sz w:val="28"/>
          <w:szCs w:val="28"/>
          <w:highlight w:val="none"/>
        </w:rPr>
        <w:t>（</w:t>
      </w:r>
      <w:r>
        <w:rPr>
          <w:rFonts w:hint="eastAsia" w:ascii="Arial" w:hAnsi="Arial" w:eastAsia="仿宋" w:cs="Arial"/>
          <w:sz w:val="28"/>
          <w:szCs w:val="28"/>
          <w:highlight w:val="none"/>
        </w:rPr>
        <w:t>方氏渠</w:t>
      </w:r>
      <w:r>
        <w:rPr>
          <w:rFonts w:ascii="Arial" w:hAnsi="Arial" w:eastAsia="仿宋" w:cs="Arial"/>
          <w:sz w:val="28"/>
          <w:szCs w:val="28"/>
          <w:highlight w:val="none"/>
        </w:rPr>
        <w:t>）</w:t>
      </w:r>
      <w:r>
        <w:rPr>
          <w:rFonts w:hint="eastAsia" w:ascii="Arial" w:hAnsi="Arial" w:eastAsia="仿宋" w:cs="Arial"/>
          <w:sz w:val="28"/>
          <w:szCs w:val="28"/>
          <w:highlight w:val="none"/>
        </w:rPr>
        <w:t>650米</w:t>
      </w:r>
      <w:r>
        <w:rPr>
          <w:rFonts w:ascii="Arial" w:hAnsi="Arial" w:eastAsia="仿宋" w:cs="Arial"/>
          <w:sz w:val="28"/>
          <w:szCs w:val="28"/>
          <w:highlight w:val="none"/>
        </w:rPr>
        <w:t>。因此，需先进行特殊情况修正。修正表如下：</w:t>
      </w:r>
    </w:p>
    <w:p w14:paraId="5EAD980E">
      <w:pPr>
        <w:spacing w:line="240" w:lineRule="auto"/>
        <w:jc w:val="center"/>
        <w:rPr>
          <w:rFonts w:ascii="Arial" w:hAnsi="Arial" w:eastAsia="仿宋" w:cs="Arial"/>
          <w:sz w:val="28"/>
          <w:szCs w:val="28"/>
          <w:highlight w:val="none"/>
        </w:rPr>
      </w:pPr>
      <w:bookmarkStart w:id="379" w:name="OLE_LINK19"/>
      <w:bookmarkStart w:id="380" w:name="OLE_LINK20"/>
      <w:bookmarkStart w:id="381" w:name="OLE_LINK21"/>
      <w:bookmarkStart w:id="382" w:name="OLE_LINK22"/>
      <w:r>
        <w:rPr>
          <w:rFonts w:ascii="Arial" w:hAnsi="Arial" w:eastAsia="仿宋" w:cs="Arial"/>
          <w:sz w:val="28"/>
          <w:szCs w:val="28"/>
          <w:highlight w:val="none"/>
        </w:rPr>
        <w:t>住宅用地特殊情况修正</w:t>
      </w:r>
      <w:bookmarkEnd w:id="379"/>
      <w:bookmarkEnd w:id="380"/>
      <w:r>
        <w:rPr>
          <w:rFonts w:ascii="Arial" w:hAnsi="Arial" w:eastAsia="仿宋" w:cs="Arial"/>
          <w:sz w:val="28"/>
          <w:szCs w:val="28"/>
          <w:highlight w:val="none"/>
        </w:rPr>
        <w:t>系数</w:t>
      </w:r>
      <w:bookmarkEnd w:id="381"/>
      <w:bookmarkEnd w:id="382"/>
    </w:p>
    <w:tbl>
      <w:tblPr>
        <w:tblStyle w:val="34"/>
        <w:tblW w:w="9299" w:type="dxa"/>
        <w:jc w:val="center"/>
        <w:tblLayout w:type="fixed"/>
        <w:tblCellMar>
          <w:top w:w="57" w:type="dxa"/>
          <w:left w:w="57" w:type="dxa"/>
          <w:bottom w:w="57" w:type="dxa"/>
          <w:right w:w="57" w:type="dxa"/>
        </w:tblCellMar>
      </w:tblPr>
      <w:tblGrid>
        <w:gridCol w:w="1135"/>
        <w:gridCol w:w="1276"/>
        <w:gridCol w:w="1276"/>
        <w:gridCol w:w="1870"/>
        <w:gridCol w:w="1871"/>
        <w:gridCol w:w="1871"/>
      </w:tblGrid>
      <w:tr w14:paraId="56F378F6">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44AF275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特殊情况</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0E849DF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公园</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10AD5F3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水系</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62A307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轨道交通站点周边</w:t>
            </w:r>
          </w:p>
          <w:p w14:paraId="7B93537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（500米范围内）</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5DF632E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轨道交通站点周边</w:t>
            </w:r>
          </w:p>
          <w:p w14:paraId="490BC22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（500</w:t>
            </w:r>
            <w:r>
              <w:rPr>
                <w:rFonts w:hint="eastAsia" w:ascii="Arial" w:hAnsi="Arial" w:eastAsia="仿宋" w:cs="Arial"/>
                <w:sz w:val="21"/>
                <w:szCs w:val="21"/>
                <w:highlight w:val="none"/>
                <w:lang w:eastAsia="zh-CN"/>
              </w:rPr>
              <w:t>－</w:t>
            </w:r>
            <w:r>
              <w:rPr>
                <w:rFonts w:ascii="Arial" w:hAnsi="Arial" w:eastAsia="仿宋" w:cs="Arial"/>
                <w:sz w:val="21"/>
                <w:szCs w:val="21"/>
                <w:highlight w:val="none"/>
              </w:rPr>
              <w:t>1000米）</w:t>
            </w:r>
          </w:p>
        </w:tc>
        <w:tc>
          <w:tcPr>
            <w:tcW w:w="1871" w:type="dxa"/>
            <w:tcBorders>
              <w:top w:val="single" w:color="404040" w:sz="2" w:space="0"/>
              <w:left w:val="single" w:color="404040" w:sz="2" w:space="0"/>
              <w:bottom w:val="single" w:color="404040" w:sz="2" w:space="0"/>
              <w:right w:val="single" w:color="404040" w:sz="2" w:space="0"/>
            </w:tcBorders>
            <w:shd w:val="clear" w:color="auto" w:fill="auto"/>
            <w:vAlign w:val="center"/>
          </w:tcPr>
          <w:p w14:paraId="6323294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轨道交通站点周边（1000</w:t>
            </w:r>
            <w:r>
              <w:rPr>
                <w:rFonts w:hint="eastAsia" w:ascii="Arial" w:hAnsi="Arial" w:eastAsia="仿宋" w:cs="Arial"/>
                <w:sz w:val="21"/>
                <w:szCs w:val="21"/>
                <w:highlight w:val="none"/>
                <w:lang w:eastAsia="zh-CN"/>
              </w:rPr>
              <w:t>－</w:t>
            </w:r>
            <w:r>
              <w:rPr>
                <w:rFonts w:ascii="Arial" w:hAnsi="Arial" w:eastAsia="仿宋" w:cs="Arial"/>
                <w:sz w:val="21"/>
                <w:szCs w:val="21"/>
                <w:highlight w:val="none"/>
              </w:rPr>
              <w:t>1500米）</w:t>
            </w:r>
          </w:p>
        </w:tc>
      </w:tr>
      <w:tr w14:paraId="3A968DC8">
        <w:tblPrEx>
          <w:tblCellMar>
            <w:top w:w="57" w:type="dxa"/>
            <w:left w:w="57" w:type="dxa"/>
            <w:bottom w:w="57" w:type="dxa"/>
            <w:right w:w="57" w:type="dxa"/>
          </w:tblCellMar>
        </w:tblPrEx>
        <w:trPr>
          <w:cantSplit/>
          <w:jc w:val="center"/>
        </w:trPr>
        <w:tc>
          <w:tcPr>
            <w:tcW w:w="1135"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55744BF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修正系数</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993DB7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1.1~1.15</w:t>
            </w:r>
          </w:p>
        </w:tc>
        <w:tc>
          <w:tcPr>
            <w:tcW w:w="1276"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6858153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1.05~1.1</w:t>
            </w:r>
          </w:p>
        </w:tc>
        <w:tc>
          <w:tcPr>
            <w:tcW w:w="1870"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1631B6E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1.1~1.15</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0C431F1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1.05~1.1</w:t>
            </w:r>
          </w:p>
        </w:tc>
        <w:tc>
          <w:tcPr>
            <w:tcW w:w="1871" w:type="dxa"/>
            <w:tcBorders>
              <w:top w:val="single" w:color="404040" w:sz="2" w:space="0"/>
              <w:left w:val="single" w:color="404040" w:sz="2" w:space="0"/>
              <w:bottom w:val="single" w:color="404040" w:sz="2" w:space="0"/>
              <w:right w:val="single" w:color="404040" w:sz="2" w:space="0"/>
            </w:tcBorders>
            <w:shd w:val="clear" w:color="auto" w:fill="auto"/>
            <w:noWrap/>
            <w:vAlign w:val="center"/>
          </w:tcPr>
          <w:p w14:paraId="060CF81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1~1.05</w:t>
            </w:r>
          </w:p>
        </w:tc>
      </w:tr>
    </w:tbl>
    <w:p w14:paraId="2BD7B374">
      <w:pPr>
        <w:keepNext w:val="0"/>
        <w:keepLines w:val="0"/>
        <w:pageBreakBefore w:val="0"/>
        <w:widowControl w:val="0"/>
        <w:kinsoku/>
        <w:wordWrap/>
        <w:overflowPunct/>
        <w:topLinePunct w:val="0"/>
        <w:autoSpaceDE/>
        <w:autoSpaceDN/>
        <w:bidi w:val="0"/>
        <w:adjustRightInd w:val="0"/>
        <w:snapToGrid w:val="0"/>
        <w:spacing w:before="157" w:beforeLines="50" w:line="300" w:lineRule="auto"/>
        <w:ind w:firstLine="560" w:firstLineChars="200"/>
        <w:textAlignment w:val="baseline"/>
        <w:rPr>
          <w:rFonts w:hint="eastAsia" w:ascii="Arial" w:hAnsi="Arial" w:eastAsia="仿宋" w:cs="Arial"/>
          <w:sz w:val="28"/>
          <w:szCs w:val="28"/>
          <w:highlight w:val="none"/>
          <w:lang w:eastAsia="zh-CN"/>
        </w:rPr>
      </w:pPr>
      <w:r>
        <w:rPr>
          <w:rFonts w:ascii="Arial" w:hAnsi="Arial" w:eastAsia="仿宋" w:cs="Arial"/>
          <w:sz w:val="28"/>
          <w:szCs w:val="28"/>
          <w:highlight w:val="none"/>
        </w:rPr>
        <w:t>估价对象距离</w:t>
      </w:r>
      <w:r>
        <w:rPr>
          <w:rFonts w:hint="eastAsia" w:ascii="Arial" w:hAnsi="Arial" w:eastAsia="仿宋" w:cs="Arial"/>
          <w:sz w:val="28"/>
          <w:szCs w:val="28"/>
          <w:highlight w:val="none"/>
        </w:rPr>
        <w:t>方氏渠650米，</w:t>
      </w:r>
      <w:r>
        <w:rPr>
          <w:rFonts w:ascii="Arial" w:hAnsi="Arial" w:eastAsia="仿宋" w:cs="Arial"/>
          <w:sz w:val="28"/>
          <w:szCs w:val="28"/>
          <w:highlight w:val="none"/>
        </w:rPr>
        <w:t>本次评估修正系数为1.05。则有：住宅用地特殊情况修正</w:t>
      </w:r>
      <w:bookmarkStart w:id="383" w:name="OLE_LINK27"/>
      <w:bookmarkStart w:id="384" w:name="OLE_LINK28"/>
      <w:r>
        <w:rPr>
          <w:rFonts w:ascii="Arial" w:hAnsi="Arial" w:eastAsia="仿宋" w:cs="Arial"/>
          <w:sz w:val="28"/>
          <w:szCs w:val="28"/>
          <w:highlight w:val="none"/>
        </w:rPr>
        <w:t>系数</w:t>
      </w:r>
      <w:bookmarkEnd w:id="383"/>
      <w:bookmarkEnd w:id="384"/>
      <w:r>
        <w:rPr>
          <w:rFonts w:hint="eastAsia" w:ascii="Arial" w:hAnsi="Arial" w:eastAsia="仿宋" w:cs="Arial"/>
          <w:sz w:val="28"/>
          <w:szCs w:val="28"/>
          <w:highlight w:val="none"/>
          <w:lang w:val="en-US" w:eastAsia="zh-CN"/>
        </w:rPr>
        <w:t>为</w:t>
      </w:r>
      <w:r>
        <w:rPr>
          <w:rFonts w:ascii="Arial" w:hAnsi="Arial" w:eastAsia="仿宋" w:cs="Arial"/>
          <w:sz w:val="28"/>
          <w:szCs w:val="28"/>
          <w:highlight w:val="none"/>
        </w:rPr>
        <w:t>1.05</w:t>
      </w:r>
      <w:r>
        <w:rPr>
          <w:rFonts w:hint="eastAsia" w:ascii="Arial" w:hAnsi="Arial" w:eastAsia="仿宋" w:cs="Arial"/>
          <w:sz w:val="28"/>
          <w:szCs w:val="28"/>
          <w:highlight w:val="none"/>
          <w:lang w:eastAsia="zh-CN"/>
        </w:rPr>
        <w:t>。</w:t>
      </w:r>
    </w:p>
    <w:p w14:paraId="0D0C211E">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c.土地开发程度修正</w:t>
      </w:r>
    </w:p>
    <w:p w14:paraId="255F2350">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估价对象设定宗地土地开发程度为</w:t>
      </w:r>
      <w:r>
        <w:rPr>
          <w:rFonts w:hint="eastAsia" w:ascii="Arial" w:hAnsi="Arial" w:eastAsia="仿宋" w:cs="Arial"/>
          <w:sz w:val="28"/>
          <w:szCs w:val="28"/>
          <w:highlight w:val="none"/>
          <w:lang w:eastAsia="zh-CN"/>
        </w:rPr>
        <w:t>“七通”（通路、通上水（自来水、中水）、通下水（雨水、污水）、通电、通讯、通燃气、通热力）</w:t>
      </w:r>
      <w:r>
        <w:rPr>
          <w:rFonts w:ascii="Arial" w:hAnsi="Arial" w:eastAsia="仿宋" w:cs="Arial"/>
          <w:sz w:val="28"/>
          <w:szCs w:val="28"/>
          <w:highlight w:val="none"/>
        </w:rPr>
        <w:t>，估价对象所在区域为</w:t>
      </w:r>
      <w:r>
        <w:rPr>
          <w:rFonts w:hint="eastAsia" w:ascii="Arial" w:hAnsi="Arial" w:eastAsia="仿宋" w:cs="Arial"/>
          <w:sz w:val="28"/>
          <w:szCs w:val="28"/>
          <w:highlight w:val="none"/>
        </w:rPr>
        <w:t>九</w:t>
      </w:r>
      <w:r>
        <w:rPr>
          <w:rFonts w:ascii="Arial" w:hAnsi="Arial" w:eastAsia="仿宋" w:cs="Arial"/>
          <w:sz w:val="28"/>
          <w:szCs w:val="28"/>
          <w:highlight w:val="none"/>
        </w:rPr>
        <w:t>级地价区，级别基准地价土地开发程度为“</w:t>
      </w:r>
      <w:r>
        <w:rPr>
          <w:rFonts w:hint="eastAsia" w:ascii="Arial" w:hAnsi="Arial" w:eastAsia="仿宋" w:cs="Arial"/>
          <w:sz w:val="28"/>
          <w:szCs w:val="28"/>
          <w:highlight w:val="none"/>
        </w:rPr>
        <w:t>五</w:t>
      </w:r>
      <w:r>
        <w:rPr>
          <w:rFonts w:ascii="Arial" w:hAnsi="Arial" w:eastAsia="仿宋" w:cs="Arial"/>
          <w:sz w:val="28"/>
          <w:szCs w:val="28"/>
          <w:highlight w:val="none"/>
        </w:rPr>
        <w:t>通”</w:t>
      </w:r>
      <w:r>
        <w:rPr>
          <w:rFonts w:hint="eastAsia" w:ascii="仿宋_GB2312" w:hAnsi="Arial" w:eastAsia="仿宋_GB2312"/>
          <w:sz w:val="28"/>
          <w:highlight w:val="none"/>
        </w:rPr>
        <w:t>（通路、通上水、通下水、通电、通讯）</w:t>
      </w:r>
      <w:r>
        <w:rPr>
          <w:rFonts w:ascii="Arial" w:hAnsi="Arial" w:eastAsia="仿宋" w:cs="Arial"/>
          <w:sz w:val="28"/>
          <w:szCs w:val="28"/>
          <w:highlight w:val="none"/>
        </w:rPr>
        <w:t>，相应用途级别平均容积率为1.5。估价对象设定状况与级别开发程度不一致，需进行修正。修正表如下：</w:t>
      </w:r>
    </w:p>
    <w:p w14:paraId="393CAD83">
      <w:pPr>
        <w:rPr>
          <w:rFonts w:ascii="Arial" w:hAnsi="Arial" w:eastAsia="仿宋" w:cs="Arial"/>
          <w:bCs/>
          <w:color w:val="000000"/>
          <w:sz w:val="28"/>
          <w:szCs w:val="28"/>
          <w:highlight w:val="none"/>
        </w:rPr>
      </w:pPr>
      <w:r>
        <w:rPr>
          <w:rFonts w:ascii="Arial" w:hAnsi="Arial" w:eastAsia="仿宋" w:cs="Arial"/>
          <w:bCs/>
          <w:color w:val="000000"/>
          <w:sz w:val="28"/>
          <w:szCs w:val="28"/>
          <w:highlight w:val="none"/>
        </w:rPr>
        <w:br w:type="page"/>
      </w:r>
    </w:p>
    <w:p w14:paraId="4DDA7C5E">
      <w:pPr>
        <w:spacing w:line="240" w:lineRule="auto"/>
        <w:jc w:val="center"/>
        <w:rPr>
          <w:rFonts w:ascii="Arial" w:hAnsi="Arial" w:eastAsia="仿宋" w:cs="Arial"/>
          <w:bCs/>
          <w:color w:val="000000"/>
          <w:sz w:val="28"/>
          <w:szCs w:val="28"/>
          <w:highlight w:val="none"/>
        </w:rPr>
      </w:pPr>
      <w:r>
        <w:rPr>
          <w:rFonts w:ascii="Arial" w:hAnsi="Arial" w:eastAsia="仿宋" w:cs="Arial"/>
          <w:bCs/>
          <w:color w:val="000000"/>
          <w:sz w:val="28"/>
          <w:szCs w:val="28"/>
          <w:highlight w:val="none"/>
        </w:rPr>
        <w:t>基础设施建设费（土地开发费）</w:t>
      </w:r>
    </w:p>
    <w:p w14:paraId="51E206DA">
      <w:pPr>
        <w:adjustRightInd/>
        <w:spacing w:line="240" w:lineRule="auto"/>
        <w:jc w:val="right"/>
        <w:rPr>
          <w:rFonts w:ascii="Arial" w:hAnsi="Arial"/>
          <w:sz w:val="21"/>
          <w:highlight w:val="none"/>
        </w:rPr>
      </w:pPr>
      <w:r>
        <w:rPr>
          <w:rFonts w:hint="eastAsia" w:ascii="Arial" w:hAnsi="Arial" w:eastAsia="华文细黑" w:cs="宋体"/>
          <w:color w:val="000000"/>
          <w:sz w:val="18"/>
          <w:szCs w:val="24"/>
          <w:highlight w:val="none"/>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3BD522F5">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672DB7D4">
            <w:pPr>
              <w:widowControl/>
              <w:adjustRightInd/>
              <w:spacing w:line="240" w:lineRule="exact"/>
              <w:ind w:firstLine="945" w:firstLineChars="450"/>
              <w:jc w:val="righ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费用</w:t>
            </w:r>
          </w:p>
          <w:p w14:paraId="5FF229AA">
            <w:pPr>
              <w:spacing w:line="240" w:lineRule="exact"/>
              <w:rPr>
                <w:rFonts w:ascii="Arial" w:hAnsi="Arial" w:eastAsia="仿宋" w:cs="Arial"/>
                <w:color w:val="000000"/>
                <w:sz w:val="21"/>
                <w:szCs w:val="21"/>
                <w:highlight w:val="none"/>
              </w:rPr>
            </w:pPr>
            <w:r>
              <w:rPr>
                <w:rFonts w:ascii="Arial" w:hAnsi="Arial" w:eastAsia="仿宋" w:cs="Arial"/>
                <w:color w:val="000000"/>
                <w:sz w:val="21"/>
                <w:szCs w:val="21"/>
                <w:highlight w:val="none"/>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8353CF1">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D6FCFC0">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581EFA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4D40A5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59DDE0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45ADF3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326825">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D23680">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8184EC">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合计</w:t>
            </w:r>
          </w:p>
        </w:tc>
      </w:tr>
      <w:tr w14:paraId="7C373C93">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AAE6F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96AB8D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42E64D">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78A0704">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53C05A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B1083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4961E0C">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0B7EE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11891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C5115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375</w:t>
            </w:r>
          </w:p>
        </w:tc>
      </w:tr>
      <w:tr w14:paraId="59E593F8">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1BCAE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B44420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4A70534">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67F67D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0C09087">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7585ED">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59FAAB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966061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04ED6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A159AE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315</w:t>
            </w:r>
          </w:p>
        </w:tc>
      </w:tr>
      <w:tr w14:paraId="444E9D1E">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6A866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CB4150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397C367">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03004A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D30853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7462E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1042246">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6A39AC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761C8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3195D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255</w:t>
            </w:r>
          </w:p>
        </w:tc>
      </w:tr>
    </w:tbl>
    <w:p w14:paraId="16EE6855">
      <w:pPr>
        <w:widowControl/>
        <w:adjustRightInd/>
        <w:spacing w:line="240" w:lineRule="exact"/>
        <w:textAlignment w:val="auto"/>
        <w:rPr>
          <w:rFonts w:ascii="Arial" w:hAnsi="Arial" w:eastAsia="华文细黑" w:cs="宋体"/>
          <w:color w:val="000000"/>
          <w:sz w:val="18"/>
          <w:szCs w:val="24"/>
          <w:highlight w:val="none"/>
        </w:rPr>
      </w:pPr>
    </w:p>
    <w:p w14:paraId="532555F3">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土地开发程度修正</w:t>
      </w:r>
    </w:p>
    <w:p w14:paraId="5A5F39A5">
      <w:pPr>
        <w:adjustRightInd/>
        <w:snapToGrid w:val="0"/>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w:t>
      </w:r>
      <w:r>
        <w:rPr>
          <w:rFonts w:ascii="Arial" w:hAnsi="Arial" w:eastAsia="仿宋" w:cs="Arial"/>
          <w:sz w:val="28"/>
          <w:szCs w:val="28"/>
          <w:highlight w:val="none"/>
        </w:rPr>
        <w:t>60</w:t>
      </w:r>
      <w:r>
        <w:rPr>
          <w:rFonts w:hint="eastAsia" w:ascii="Arial" w:hAnsi="Arial" w:eastAsia="仿宋" w:cs="Arial"/>
          <w:sz w:val="28"/>
          <w:szCs w:val="28"/>
          <w:highlight w:val="none"/>
          <w:lang w:eastAsia="zh-CN"/>
        </w:rPr>
        <w:t>＋</w:t>
      </w:r>
      <w:r>
        <w:rPr>
          <w:rFonts w:ascii="Arial" w:hAnsi="Arial" w:eastAsia="仿宋" w:cs="Arial"/>
          <w:sz w:val="28"/>
          <w:szCs w:val="28"/>
          <w:highlight w:val="none"/>
        </w:rPr>
        <w:t>50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w:t>
      </w:r>
      <w:r>
        <w:rPr>
          <w:rFonts w:hint="eastAsia" w:ascii="Arial" w:hAnsi="Arial" w:eastAsia="仿宋" w:cs="Arial"/>
          <w:sz w:val="28"/>
          <w:szCs w:val="28"/>
          <w:highlight w:val="none"/>
          <w:lang w:eastAsia="zh-CN"/>
        </w:rPr>
        <w:t>＋</w:t>
      </w:r>
      <w:r>
        <w:rPr>
          <w:rFonts w:ascii="Arial" w:hAnsi="Arial" w:eastAsia="仿宋" w:cs="Arial"/>
          <w:sz w:val="28"/>
          <w:szCs w:val="28"/>
          <w:highlight w:val="none"/>
        </w:rPr>
        <w:t>35</w:t>
      </w:r>
      <w:r>
        <w:rPr>
          <w:rFonts w:hint="eastAsia" w:ascii="Arial" w:hAnsi="Arial" w:eastAsia="仿宋" w:cs="Arial"/>
          <w:sz w:val="28"/>
          <w:szCs w:val="28"/>
          <w:highlight w:val="none"/>
          <w:lang w:eastAsia="zh-CN"/>
        </w:rPr>
        <w:t>＋</w:t>
      </w:r>
      <w:r>
        <w:rPr>
          <w:rFonts w:ascii="Arial" w:hAnsi="Arial" w:eastAsia="仿宋" w:cs="Arial"/>
          <w:sz w:val="28"/>
          <w:szCs w:val="28"/>
          <w:highlight w:val="none"/>
        </w:rPr>
        <w:t>40</w:t>
      </w:r>
      <w:r>
        <w:rPr>
          <w:rFonts w:hint="eastAsia" w:ascii="Arial" w:hAnsi="Arial" w:eastAsia="仿宋" w:cs="Arial"/>
          <w:sz w:val="28"/>
          <w:szCs w:val="28"/>
          <w:highlight w:val="none"/>
          <w:lang w:eastAsia="zh-CN"/>
        </w:rPr>
        <w:t>＋</w:t>
      </w:r>
      <w:r>
        <w:rPr>
          <w:rFonts w:ascii="Arial" w:hAnsi="Arial" w:eastAsia="仿宋" w:cs="Arial"/>
          <w:sz w:val="28"/>
          <w:szCs w:val="28"/>
          <w:highlight w:val="none"/>
        </w:rPr>
        <w:t>30</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w:t>
      </w:r>
      <w:r>
        <w:rPr>
          <w:rFonts w:hint="eastAsia"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185）</w:t>
      </w:r>
      <w:r>
        <w:rPr>
          <w:rFonts w:hint="eastAsia" w:ascii="Arial" w:hAnsi="Arial" w:eastAsia="仿宋" w:cs="Arial"/>
          <w:sz w:val="28"/>
          <w:szCs w:val="28"/>
          <w:highlight w:val="none"/>
          <w:lang w:eastAsia="zh-CN"/>
        </w:rPr>
        <w:t>÷</w:t>
      </w:r>
      <w:r>
        <w:rPr>
          <w:rFonts w:ascii="Arial" w:hAnsi="Arial" w:eastAsia="仿宋" w:cs="Arial"/>
          <w:sz w:val="28"/>
          <w:szCs w:val="28"/>
          <w:highlight w:val="none"/>
        </w:rPr>
        <w:t>1.5</w:t>
      </w:r>
    </w:p>
    <w:p w14:paraId="12335E23">
      <w:pPr>
        <w:adjustRightInd/>
        <w:snapToGrid w:val="0"/>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46.67</w:t>
      </w:r>
      <w:r>
        <w:rPr>
          <w:rFonts w:ascii="Arial" w:hAnsi="Arial" w:eastAsia="仿宋" w:cs="Arial"/>
          <w:sz w:val="28"/>
          <w:szCs w:val="28"/>
          <w:highlight w:val="none"/>
        </w:rPr>
        <w:t>（元/平方米）</w:t>
      </w:r>
    </w:p>
    <w:p w14:paraId="57AF2D78">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（B）用途修正系数的确定</w:t>
      </w:r>
    </w:p>
    <w:p w14:paraId="76703CBE">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《北京市出让国有建设用地使用权基准地价更新成果》根据《土地利用现状分类》（GB/T21010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4AD7314B">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地上部分：</w:t>
      </w:r>
    </w:p>
    <w:p w14:paraId="3C8AF638">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估价对象地上用途为住宅——城镇住宅用地（指城镇用于生活居住的各类房屋用地及其附属设施用地,不含配套的商业服务设施等用地），需依据《北京市基准地价土地用途二级分类用地修正系数表》进行用途修正。</w:t>
      </w:r>
    </w:p>
    <w:p w14:paraId="3A14925E">
      <w:pPr>
        <w:adjustRightInd/>
        <w:snapToGrid w:val="0"/>
        <w:spacing w:line="300" w:lineRule="auto"/>
        <w:ind w:firstLine="560" w:firstLineChars="200"/>
        <w:jc w:val="center"/>
        <w:rPr>
          <w:rFonts w:ascii="Arial" w:hAnsi="Arial" w:eastAsia="仿宋" w:cs="Arial"/>
          <w:sz w:val="28"/>
          <w:szCs w:val="28"/>
          <w:highlight w:val="none"/>
        </w:rPr>
      </w:pPr>
      <w:r>
        <w:rPr>
          <w:rFonts w:hint="eastAsia" w:ascii="Arial" w:hAnsi="Arial" w:eastAsia="仿宋" w:cs="Arial"/>
          <w:sz w:val="28"/>
          <w:szCs w:val="28"/>
          <w:highlight w:val="none"/>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33892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blHeader/>
          <w:jc w:val="center"/>
        </w:trPr>
        <w:tc>
          <w:tcPr>
            <w:tcW w:w="994" w:type="dxa"/>
            <w:shd w:val="clear" w:color="auto" w:fill="auto"/>
            <w:vAlign w:val="center"/>
          </w:tcPr>
          <w:p w14:paraId="423FF9B0">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一级类</w:t>
            </w:r>
          </w:p>
        </w:tc>
        <w:tc>
          <w:tcPr>
            <w:tcW w:w="1842" w:type="dxa"/>
            <w:shd w:val="clear" w:color="auto" w:fill="auto"/>
            <w:vAlign w:val="center"/>
          </w:tcPr>
          <w:p w14:paraId="2B5AB11A">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二级类</w:t>
            </w:r>
          </w:p>
        </w:tc>
        <w:tc>
          <w:tcPr>
            <w:tcW w:w="4536" w:type="dxa"/>
            <w:shd w:val="clear" w:color="auto" w:fill="auto"/>
            <w:vAlign w:val="center"/>
          </w:tcPr>
          <w:p w14:paraId="5148F5F4">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含义</w:t>
            </w:r>
          </w:p>
        </w:tc>
        <w:tc>
          <w:tcPr>
            <w:tcW w:w="1134" w:type="dxa"/>
            <w:shd w:val="clear" w:color="auto" w:fill="auto"/>
            <w:vAlign w:val="center"/>
          </w:tcPr>
          <w:p w14:paraId="771084BA">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参照基准</w:t>
            </w:r>
          </w:p>
        </w:tc>
        <w:tc>
          <w:tcPr>
            <w:tcW w:w="793" w:type="dxa"/>
            <w:shd w:val="clear" w:color="auto" w:fill="auto"/>
            <w:vAlign w:val="center"/>
          </w:tcPr>
          <w:p w14:paraId="4FC0D3C6">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用途修正系数</w:t>
            </w:r>
          </w:p>
        </w:tc>
      </w:tr>
      <w:tr w14:paraId="7A306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shd w:val="clear" w:color="auto" w:fill="auto"/>
            <w:noWrap/>
            <w:vAlign w:val="center"/>
          </w:tcPr>
          <w:p w14:paraId="2F50E135">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住宅</w:t>
            </w:r>
          </w:p>
        </w:tc>
        <w:tc>
          <w:tcPr>
            <w:tcW w:w="1842" w:type="dxa"/>
            <w:shd w:val="clear" w:color="auto" w:fill="auto"/>
            <w:noWrap/>
            <w:vAlign w:val="center"/>
          </w:tcPr>
          <w:p w14:paraId="4CDC785C">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城镇住宅用地</w:t>
            </w:r>
          </w:p>
        </w:tc>
        <w:tc>
          <w:tcPr>
            <w:tcW w:w="4536" w:type="dxa"/>
            <w:shd w:val="clear" w:color="auto" w:fill="auto"/>
            <w:noWrap/>
            <w:vAlign w:val="center"/>
          </w:tcPr>
          <w:p w14:paraId="41022D8D">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指城镇用于生活居住的各类房屋用地及其附属设施用地,不含配套的商业服务设施等用地。</w:t>
            </w:r>
          </w:p>
        </w:tc>
        <w:tc>
          <w:tcPr>
            <w:tcW w:w="1134" w:type="dxa"/>
            <w:shd w:val="clear" w:color="auto" w:fill="auto"/>
            <w:noWrap/>
            <w:vAlign w:val="center"/>
          </w:tcPr>
          <w:p w14:paraId="0B9A42AF">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住宅类</w:t>
            </w:r>
          </w:p>
        </w:tc>
        <w:tc>
          <w:tcPr>
            <w:tcW w:w="793" w:type="dxa"/>
            <w:shd w:val="clear" w:color="auto" w:fill="auto"/>
            <w:noWrap/>
            <w:vAlign w:val="center"/>
          </w:tcPr>
          <w:p w14:paraId="37FCD97D">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1</w:t>
            </w:r>
          </w:p>
        </w:tc>
      </w:tr>
    </w:tbl>
    <w:p w14:paraId="2DE4B0DF">
      <w:pPr>
        <w:keepNext w:val="0"/>
        <w:keepLines w:val="0"/>
        <w:pageBreakBefore w:val="0"/>
        <w:widowControl w:val="0"/>
        <w:kinsoku/>
        <w:wordWrap/>
        <w:overflowPunct/>
        <w:topLinePunct w:val="0"/>
        <w:autoSpaceDE/>
        <w:autoSpaceDN/>
        <w:bidi w:val="0"/>
        <w:adjustRightInd/>
        <w:snapToGrid w:val="0"/>
        <w:spacing w:before="157" w:beforeLines="50" w:line="300" w:lineRule="auto"/>
        <w:ind w:firstLine="560" w:firstLineChars="200"/>
        <w:textAlignment w:val="baseline"/>
        <w:rPr>
          <w:rFonts w:ascii="Arial" w:hAnsi="Arial" w:eastAsia="仿宋" w:cs="Arial"/>
          <w:sz w:val="28"/>
          <w:szCs w:val="28"/>
          <w:highlight w:val="none"/>
        </w:rPr>
      </w:pPr>
      <w:r>
        <w:rPr>
          <w:rFonts w:ascii="Arial" w:hAnsi="Arial" w:eastAsia="仿宋" w:cs="Arial"/>
          <w:sz w:val="28"/>
          <w:szCs w:val="28"/>
          <w:highlight w:val="none"/>
        </w:rPr>
        <w:t>依据上表，估价对象地上部分用途修正系数为1。</w:t>
      </w:r>
    </w:p>
    <w:p w14:paraId="39623227">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（C）期日修正系数的确定</w:t>
      </w:r>
    </w:p>
    <w:p w14:paraId="072AE587">
      <w:pPr>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《北京市出让国有建设用地使用权基准地价更新成果（二〇二一年）》规定，基准地价期日修正系数必须以北京市地价动态监测成果公布的地价增值率为准。</w:t>
      </w:r>
    </w:p>
    <w:p w14:paraId="018D1ACF">
      <w:pPr>
        <w:snapToGrid w:val="0"/>
        <w:spacing w:line="300" w:lineRule="auto"/>
        <w:ind w:firstLine="560" w:firstLineChars="200"/>
        <w:rPr>
          <w:rFonts w:ascii="Arial" w:hAnsi="Arial" w:eastAsia="仿宋" w:cs="Arial"/>
          <w:bCs/>
          <w:sz w:val="28"/>
          <w:szCs w:val="28"/>
          <w:highlight w:val="none"/>
        </w:rPr>
      </w:pPr>
      <w:r>
        <w:rPr>
          <w:rFonts w:ascii="Arial" w:hAnsi="Arial" w:eastAsia="仿宋" w:cs="Arial"/>
          <w:sz w:val="28"/>
          <w:szCs w:val="28"/>
          <w:highlight w:val="none"/>
        </w:rPr>
        <w:t>北京市基准地价更新成果的基准日为2021年1月1日，本次评估的估价期日为</w:t>
      </w:r>
      <w:r>
        <w:rPr>
          <w:rFonts w:hint="eastAsia" w:ascii="Arial" w:hAnsi="Arial" w:eastAsia="仿宋" w:cs="Arial"/>
          <w:sz w:val="28"/>
          <w:szCs w:val="28"/>
          <w:highlight w:val="none"/>
          <w:lang w:eastAsia="zh-CN"/>
        </w:rPr>
        <w:t>2026年3月26日</w:t>
      </w:r>
      <w:r>
        <w:rPr>
          <w:rFonts w:ascii="Arial" w:hAnsi="Arial" w:eastAsia="仿宋" w:cs="Arial"/>
          <w:sz w:val="28"/>
          <w:szCs w:val="28"/>
          <w:highlight w:val="none"/>
        </w:rPr>
        <w:t>，熟地价期日修正以北京市地价动态监测成果公布的地价增长率为准：</w:t>
      </w:r>
    </w:p>
    <w:p w14:paraId="7A102718">
      <w:pPr>
        <w:rPr>
          <w:rFonts w:ascii="Arial" w:hAnsi="Arial" w:eastAsia="仿宋" w:cs="Arial"/>
          <w:bCs/>
          <w:sz w:val="28"/>
          <w:szCs w:val="28"/>
          <w:highlight w:val="none"/>
        </w:rPr>
      </w:pPr>
      <w:r>
        <w:rPr>
          <w:rFonts w:ascii="Arial" w:hAnsi="Arial" w:eastAsia="仿宋" w:cs="Arial"/>
          <w:bCs/>
          <w:sz w:val="28"/>
          <w:szCs w:val="28"/>
          <w:highlight w:val="none"/>
        </w:rPr>
        <w:br w:type="page"/>
      </w:r>
    </w:p>
    <w:p w14:paraId="7F554C8E">
      <w:pPr>
        <w:spacing w:line="240" w:lineRule="auto"/>
        <w:jc w:val="center"/>
        <w:rPr>
          <w:rFonts w:ascii="Arial" w:hAnsi="Arial" w:eastAsia="仿宋" w:cs="Arial"/>
          <w:bCs/>
          <w:sz w:val="28"/>
          <w:szCs w:val="28"/>
          <w:highlight w:val="none"/>
        </w:rPr>
      </w:pPr>
      <w:r>
        <w:rPr>
          <w:rFonts w:ascii="Arial" w:hAnsi="Arial" w:eastAsia="仿宋" w:cs="Arial"/>
          <w:bCs/>
          <w:sz w:val="28"/>
          <w:szCs w:val="28"/>
          <w:highlight w:val="none"/>
        </w:rPr>
        <w:t>北京市地价增长率（住宅类）</w:t>
      </w:r>
    </w:p>
    <w:p w14:paraId="0666E165">
      <w:pPr>
        <w:adjustRightInd/>
        <w:spacing w:line="240" w:lineRule="auto"/>
        <w:jc w:val="right"/>
        <w:rPr>
          <w:rFonts w:ascii="Arial" w:hAnsi="Arial" w:eastAsia="华文细黑" w:cs="宋体"/>
          <w:sz w:val="18"/>
          <w:szCs w:val="24"/>
          <w:highlight w:val="none"/>
        </w:rPr>
      </w:pPr>
      <w:r>
        <w:rPr>
          <w:rFonts w:hint="eastAsia" w:ascii="Arial" w:hAnsi="Arial" w:eastAsia="华文细黑" w:cs="宋体"/>
          <w:sz w:val="18"/>
          <w:szCs w:val="24"/>
          <w:highlight w:val="none"/>
        </w:rPr>
        <w:t xml:space="preserve"> 单位%</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57" w:type="dxa"/>
          <w:bottom w:w="57" w:type="dxa"/>
          <w:right w:w="57" w:type="dxa"/>
        </w:tblCellMar>
      </w:tblPr>
      <w:tblGrid>
        <w:gridCol w:w="1890"/>
        <w:gridCol w:w="1893"/>
        <w:gridCol w:w="1893"/>
        <w:gridCol w:w="1893"/>
        <w:gridCol w:w="1893"/>
      </w:tblGrid>
      <w:tr w14:paraId="7C17A5D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tcBorders>
              <w:tl2br w:val="single" w:color="auto" w:sz="4" w:space="0"/>
            </w:tcBorders>
            <w:shd w:val="clear" w:color="auto" w:fill="auto"/>
            <w:vAlign w:val="center"/>
          </w:tcPr>
          <w:p w14:paraId="33E19245">
            <w:pPr>
              <w:tabs>
                <w:tab w:val="left" w:pos="2160"/>
              </w:tabs>
              <w:spacing w:line="240" w:lineRule="exact"/>
              <w:ind w:firstLine="945" w:firstLineChars="450"/>
              <w:jc w:val="right"/>
              <w:rPr>
                <w:rFonts w:ascii="Arial" w:hAnsi="Arial" w:eastAsia="仿宋" w:cs="Arial"/>
                <w:sz w:val="21"/>
                <w:szCs w:val="21"/>
                <w:highlight w:val="none"/>
              </w:rPr>
            </w:pPr>
            <w:r>
              <w:rPr>
                <w:rFonts w:ascii="Arial" w:hAnsi="Arial" w:eastAsia="仿宋" w:cs="Arial"/>
                <w:sz w:val="21"/>
                <w:szCs w:val="21"/>
                <w:highlight w:val="none"/>
              </w:rPr>
              <w:t>季度</w:t>
            </w:r>
          </w:p>
          <w:p w14:paraId="6FB52BD8">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年度</w:t>
            </w:r>
          </w:p>
        </w:tc>
        <w:tc>
          <w:tcPr>
            <w:tcW w:w="1000" w:type="pct"/>
            <w:shd w:val="clear" w:color="auto" w:fill="auto"/>
            <w:vAlign w:val="center"/>
          </w:tcPr>
          <w:p w14:paraId="145FE1F3">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1季度</w:t>
            </w:r>
          </w:p>
        </w:tc>
        <w:tc>
          <w:tcPr>
            <w:tcW w:w="1000" w:type="pct"/>
            <w:shd w:val="clear" w:color="auto" w:fill="auto"/>
            <w:vAlign w:val="center"/>
          </w:tcPr>
          <w:p w14:paraId="3D6BF115">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2季度</w:t>
            </w:r>
          </w:p>
        </w:tc>
        <w:tc>
          <w:tcPr>
            <w:tcW w:w="1000" w:type="pct"/>
            <w:shd w:val="clear" w:color="auto" w:fill="auto"/>
            <w:vAlign w:val="center"/>
          </w:tcPr>
          <w:p w14:paraId="710C893E">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3季度</w:t>
            </w:r>
          </w:p>
        </w:tc>
        <w:tc>
          <w:tcPr>
            <w:tcW w:w="1000" w:type="pct"/>
            <w:shd w:val="clear" w:color="auto" w:fill="auto"/>
            <w:vAlign w:val="center"/>
          </w:tcPr>
          <w:p w14:paraId="08FA0ED5">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4季度</w:t>
            </w:r>
          </w:p>
        </w:tc>
      </w:tr>
      <w:tr w14:paraId="6BE831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32432119">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2021</w:t>
            </w:r>
          </w:p>
        </w:tc>
        <w:tc>
          <w:tcPr>
            <w:tcW w:w="1000" w:type="pct"/>
            <w:shd w:val="clear" w:color="auto" w:fill="auto"/>
            <w:vAlign w:val="center"/>
          </w:tcPr>
          <w:p w14:paraId="545981D7">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0.98</w:t>
            </w:r>
          </w:p>
        </w:tc>
        <w:tc>
          <w:tcPr>
            <w:tcW w:w="1000" w:type="pct"/>
            <w:shd w:val="clear" w:color="auto" w:fill="auto"/>
            <w:vAlign w:val="center"/>
          </w:tcPr>
          <w:p w14:paraId="08D6F312">
            <w:pPr>
              <w:tabs>
                <w:tab w:val="left" w:pos="2160"/>
              </w:tabs>
              <w:spacing w:line="240" w:lineRule="exact"/>
              <w:rPr>
                <w:rFonts w:hint="eastAsia" w:ascii="Arial" w:hAnsi="Arial" w:eastAsia="仿宋" w:cs="Arial"/>
                <w:sz w:val="21"/>
                <w:szCs w:val="21"/>
                <w:highlight w:val="none"/>
                <w:lang w:val="en-US" w:eastAsia="zh-CN"/>
              </w:rPr>
            </w:pPr>
            <w:r>
              <w:rPr>
                <w:rFonts w:ascii="Arial" w:hAnsi="Arial" w:eastAsia="仿宋" w:cs="Arial"/>
                <w:sz w:val="21"/>
                <w:szCs w:val="21"/>
                <w:highlight w:val="none"/>
              </w:rPr>
              <w:t>1.1</w:t>
            </w:r>
            <w:r>
              <w:rPr>
                <w:rFonts w:hint="eastAsia" w:ascii="Arial" w:hAnsi="Arial" w:eastAsia="仿宋" w:cs="Arial"/>
                <w:sz w:val="21"/>
                <w:szCs w:val="21"/>
                <w:highlight w:val="none"/>
                <w:lang w:val="en-US" w:eastAsia="zh-CN"/>
              </w:rPr>
              <w:t>0</w:t>
            </w:r>
          </w:p>
        </w:tc>
        <w:tc>
          <w:tcPr>
            <w:tcW w:w="1000" w:type="pct"/>
            <w:shd w:val="clear" w:color="auto" w:fill="auto"/>
            <w:vAlign w:val="center"/>
          </w:tcPr>
          <w:p w14:paraId="3937A479">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0.91</w:t>
            </w:r>
          </w:p>
        </w:tc>
        <w:tc>
          <w:tcPr>
            <w:tcW w:w="1000" w:type="pct"/>
            <w:shd w:val="clear" w:color="auto" w:fill="auto"/>
            <w:vAlign w:val="center"/>
          </w:tcPr>
          <w:p w14:paraId="26AD92DF">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0.68</w:t>
            </w:r>
          </w:p>
        </w:tc>
      </w:tr>
      <w:tr w14:paraId="3A514DB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45BF0590">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2022</w:t>
            </w:r>
          </w:p>
        </w:tc>
        <w:tc>
          <w:tcPr>
            <w:tcW w:w="1000" w:type="pct"/>
            <w:shd w:val="clear" w:color="auto" w:fill="auto"/>
            <w:vAlign w:val="center"/>
          </w:tcPr>
          <w:p w14:paraId="4C45430C">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0.53</w:t>
            </w:r>
          </w:p>
        </w:tc>
        <w:tc>
          <w:tcPr>
            <w:tcW w:w="1000" w:type="pct"/>
            <w:shd w:val="clear" w:color="auto" w:fill="auto"/>
            <w:vAlign w:val="center"/>
          </w:tcPr>
          <w:p w14:paraId="182A061E">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0.53</w:t>
            </w:r>
          </w:p>
        </w:tc>
        <w:tc>
          <w:tcPr>
            <w:tcW w:w="1000" w:type="pct"/>
            <w:shd w:val="clear" w:color="auto" w:fill="auto"/>
            <w:vAlign w:val="center"/>
          </w:tcPr>
          <w:p w14:paraId="1F396FD0">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0.83</w:t>
            </w:r>
          </w:p>
        </w:tc>
        <w:tc>
          <w:tcPr>
            <w:tcW w:w="1000" w:type="pct"/>
            <w:shd w:val="clear" w:color="auto" w:fill="auto"/>
            <w:vAlign w:val="center"/>
          </w:tcPr>
          <w:p w14:paraId="798339E7">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0.38</w:t>
            </w:r>
          </w:p>
        </w:tc>
      </w:tr>
      <w:tr w14:paraId="7EF88E2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5C1FA752">
            <w:pPr>
              <w:tabs>
                <w:tab w:val="left" w:pos="2160"/>
              </w:tabs>
              <w:spacing w:line="240" w:lineRule="exact"/>
              <w:rPr>
                <w:rFonts w:ascii="Arial" w:hAnsi="Arial" w:eastAsia="仿宋" w:cs="Arial"/>
                <w:sz w:val="21"/>
                <w:szCs w:val="21"/>
                <w:highlight w:val="none"/>
              </w:rPr>
            </w:pPr>
            <w:r>
              <w:rPr>
                <w:rFonts w:hint="eastAsia" w:ascii="Arial" w:hAnsi="Arial" w:eastAsia="仿宋" w:cs="Arial"/>
                <w:sz w:val="21"/>
                <w:szCs w:val="21"/>
                <w:highlight w:val="none"/>
              </w:rPr>
              <w:t>2023</w:t>
            </w:r>
          </w:p>
        </w:tc>
        <w:tc>
          <w:tcPr>
            <w:tcW w:w="1000" w:type="pct"/>
            <w:shd w:val="clear" w:color="auto" w:fill="auto"/>
            <w:vAlign w:val="center"/>
          </w:tcPr>
          <w:p w14:paraId="4562CAF5">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rPr>
              <w:t>0.</w:t>
            </w:r>
            <w:r>
              <w:rPr>
                <w:rFonts w:hint="eastAsia" w:ascii="Arial" w:hAnsi="Arial" w:eastAsia="仿宋" w:cs="Arial"/>
                <w:sz w:val="21"/>
                <w:szCs w:val="21"/>
                <w:highlight w:val="none"/>
                <w:lang w:val="en-US" w:eastAsia="zh-CN"/>
              </w:rPr>
              <w:t>64</w:t>
            </w:r>
          </w:p>
        </w:tc>
        <w:tc>
          <w:tcPr>
            <w:tcW w:w="1000" w:type="pct"/>
            <w:shd w:val="clear" w:color="auto" w:fill="auto"/>
            <w:vAlign w:val="center"/>
          </w:tcPr>
          <w:p w14:paraId="7A10EE7E">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0.89</w:t>
            </w:r>
          </w:p>
        </w:tc>
        <w:tc>
          <w:tcPr>
            <w:tcW w:w="1000" w:type="pct"/>
            <w:shd w:val="clear" w:color="auto" w:fill="auto"/>
            <w:vAlign w:val="center"/>
          </w:tcPr>
          <w:p w14:paraId="769A61A3">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0.52</w:t>
            </w:r>
          </w:p>
        </w:tc>
        <w:tc>
          <w:tcPr>
            <w:tcW w:w="1000" w:type="pct"/>
            <w:shd w:val="clear" w:color="auto" w:fill="auto"/>
            <w:vAlign w:val="center"/>
          </w:tcPr>
          <w:p w14:paraId="1BA0B2D0">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0.03</w:t>
            </w:r>
          </w:p>
        </w:tc>
      </w:tr>
      <w:tr w14:paraId="1BB0E2E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6227889E">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2024</w:t>
            </w:r>
          </w:p>
        </w:tc>
        <w:tc>
          <w:tcPr>
            <w:tcW w:w="1000" w:type="pct"/>
            <w:shd w:val="clear" w:color="auto" w:fill="auto"/>
            <w:vAlign w:val="center"/>
          </w:tcPr>
          <w:p w14:paraId="3199504C">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－0.63</w:t>
            </w:r>
          </w:p>
        </w:tc>
        <w:tc>
          <w:tcPr>
            <w:tcW w:w="1000" w:type="pct"/>
            <w:shd w:val="clear" w:color="auto" w:fill="auto"/>
            <w:vAlign w:val="center"/>
          </w:tcPr>
          <w:p w14:paraId="1B6B998C">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1.23</w:t>
            </w:r>
          </w:p>
        </w:tc>
        <w:tc>
          <w:tcPr>
            <w:tcW w:w="1000" w:type="pct"/>
            <w:shd w:val="clear" w:color="auto" w:fill="auto"/>
            <w:vAlign w:val="center"/>
          </w:tcPr>
          <w:p w14:paraId="5EF1B4FB">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－2.87</w:t>
            </w:r>
          </w:p>
        </w:tc>
        <w:tc>
          <w:tcPr>
            <w:tcW w:w="1000" w:type="pct"/>
            <w:shd w:val="clear" w:color="auto" w:fill="auto"/>
            <w:vAlign w:val="center"/>
          </w:tcPr>
          <w:p w14:paraId="4CC77F92">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－0.88</w:t>
            </w:r>
          </w:p>
        </w:tc>
      </w:tr>
      <w:tr w14:paraId="18A97F0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3A5E14D2">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2025</w:t>
            </w:r>
          </w:p>
        </w:tc>
        <w:tc>
          <w:tcPr>
            <w:tcW w:w="1000" w:type="pct"/>
            <w:shd w:val="clear" w:color="auto" w:fill="auto"/>
            <w:vAlign w:val="center"/>
          </w:tcPr>
          <w:p w14:paraId="1A7C4F34">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－0.51</w:t>
            </w:r>
          </w:p>
        </w:tc>
        <w:tc>
          <w:tcPr>
            <w:tcW w:w="1000" w:type="pct"/>
            <w:shd w:val="clear" w:color="auto" w:fill="auto"/>
            <w:vAlign w:val="center"/>
          </w:tcPr>
          <w:p w14:paraId="56D123C4">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0.03</w:t>
            </w:r>
          </w:p>
        </w:tc>
        <w:tc>
          <w:tcPr>
            <w:tcW w:w="1000" w:type="pct"/>
            <w:shd w:val="clear" w:color="auto" w:fill="auto"/>
            <w:vAlign w:val="center"/>
          </w:tcPr>
          <w:p w14:paraId="41F6E7CE">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－0.62</w:t>
            </w:r>
          </w:p>
        </w:tc>
        <w:tc>
          <w:tcPr>
            <w:tcW w:w="1000" w:type="pct"/>
            <w:shd w:val="clear" w:color="auto" w:fill="auto"/>
            <w:vAlign w:val="center"/>
          </w:tcPr>
          <w:p w14:paraId="302562BF">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－2.43</w:t>
            </w:r>
          </w:p>
        </w:tc>
      </w:tr>
      <w:tr w14:paraId="02DA95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999" w:type="pct"/>
            <w:shd w:val="clear" w:color="auto" w:fill="auto"/>
            <w:vAlign w:val="center"/>
          </w:tcPr>
          <w:p w14:paraId="208AFFC5">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2026</w:t>
            </w:r>
          </w:p>
        </w:tc>
        <w:tc>
          <w:tcPr>
            <w:tcW w:w="1000" w:type="pct"/>
            <w:shd w:val="clear" w:color="auto" w:fill="auto"/>
            <w:vAlign w:val="center"/>
          </w:tcPr>
          <w:p w14:paraId="6E703B75">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－0.77</w:t>
            </w:r>
          </w:p>
        </w:tc>
        <w:tc>
          <w:tcPr>
            <w:tcW w:w="1000" w:type="pct"/>
            <w:shd w:val="clear" w:color="auto" w:fill="auto"/>
            <w:vAlign w:val="center"/>
          </w:tcPr>
          <w:p w14:paraId="69A452B2">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c>
          <w:tcPr>
            <w:tcW w:w="1000" w:type="pct"/>
            <w:shd w:val="clear" w:color="auto" w:fill="auto"/>
            <w:vAlign w:val="center"/>
          </w:tcPr>
          <w:p w14:paraId="20A73EAA">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c>
          <w:tcPr>
            <w:tcW w:w="1000" w:type="pct"/>
            <w:shd w:val="clear" w:color="auto" w:fill="auto"/>
            <w:vAlign w:val="center"/>
          </w:tcPr>
          <w:p w14:paraId="62CBE6B0">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r>
    </w:tbl>
    <w:p w14:paraId="3F4EA871">
      <w:pPr>
        <w:keepNext w:val="0"/>
        <w:keepLines w:val="0"/>
        <w:pageBreakBefore w:val="0"/>
        <w:widowControl w:val="0"/>
        <w:kinsoku/>
        <w:wordWrap/>
        <w:overflowPunct/>
        <w:topLinePunct w:val="0"/>
        <w:autoSpaceDE/>
        <w:autoSpaceDN/>
        <w:bidi w:val="0"/>
        <w:adjustRightInd/>
        <w:snapToGrid w:val="0"/>
        <w:spacing w:before="157" w:beforeLines="50" w:line="300" w:lineRule="auto"/>
        <w:ind w:firstLine="560" w:firstLineChars="200"/>
        <w:textAlignment w:val="baseline"/>
        <w:rPr>
          <w:rFonts w:hint="eastAsia" w:ascii="Arial" w:hAnsi="Arial" w:eastAsia="仿宋" w:cs="Arial"/>
          <w:sz w:val="28"/>
          <w:szCs w:val="28"/>
          <w:highlight w:val="none"/>
          <w:lang w:eastAsia="zh-CN"/>
        </w:rPr>
      </w:pPr>
      <w:r>
        <w:rPr>
          <w:rFonts w:hint="eastAsia" w:ascii="Arial" w:hAnsi="Arial" w:eastAsia="仿宋" w:cs="Arial"/>
          <w:sz w:val="28"/>
          <w:szCs w:val="28"/>
          <w:highlight w:val="none"/>
        </w:rPr>
        <w:t>采用2021年</w:t>
      </w:r>
      <w:r>
        <w:rPr>
          <w:rFonts w:hint="eastAsia" w:ascii="Arial" w:hAnsi="Arial" w:eastAsia="仿宋" w:cs="Arial"/>
          <w:sz w:val="28"/>
          <w:szCs w:val="28"/>
          <w:highlight w:val="none"/>
          <w:lang w:val="en-US" w:eastAsia="zh-CN"/>
        </w:rPr>
        <w:t>1</w:t>
      </w:r>
      <w:r>
        <w:rPr>
          <w:rFonts w:hint="eastAsia" w:ascii="Arial" w:hAnsi="Arial" w:eastAsia="仿宋" w:cs="Arial"/>
          <w:sz w:val="28"/>
          <w:szCs w:val="28"/>
          <w:highlight w:val="none"/>
        </w:rPr>
        <w:t>季度至202</w:t>
      </w:r>
      <w:r>
        <w:rPr>
          <w:rFonts w:hint="eastAsia" w:ascii="Arial" w:hAnsi="Arial" w:eastAsia="仿宋" w:cs="Arial"/>
          <w:sz w:val="28"/>
          <w:szCs w:val="28"/>
          <w:highlight w:val="none"/>
          <w:lang w:val="en-US" w:eastAsia="zh-CN"/>
        </w:rPr>
        <w:t>6</w:t>
      </w:r>
      <w:r>
        <w:rPr>
          <w:rFonts w:hint="eastAsia" w:ascii="Arial" w:hAnsi="Arial" w:eastAsia="仿宋" w:cs="Arial"/>
          <w:sz w:val="28"/>
          <w:szCs w:val="28"/>
          <w:highlight w:val="none"/>
        </w:rPr>
        <w:t>年</w:t>
      </w:r>
      <w:r>
        <w:rPr>
          <w:rFonts w:hint="eastAsia" w:ascii="Arial" w:hAnsi="Arial" w:eastAsia="仿宋" w:cs="Arial"/>
          <w:sz w:val="28"/>
          <w:szCs w:val="28"/>
          <w:highlight w:val="none"/>
          <w:lang w:val="en-US" w:eastAsia="zh-CN"/>
        </w:rPr>
        <w:t>1</w:t>
      </w:r>
      <w:r>
        <w:rPr>
          <w:rFonts w:hint="eastAsia" w:ascii="Arial" w:hAnsi="Arial" w:eastAsia="仿宋" w:cs="Arial"/>
          <w:sz w:val="28"/>
          <w:szCs w:val="28"/>
          <w:highlight w:val="none"/>
        </w:rPr>
        <w:t>季度居住</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规划新城</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地价增长率的数据</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 xml:space="preserve">本项目估价期日为 </w:t>
      </w:r>
      <w:r>
        <w:rPr>
          <w:rFonts w:hint="eastAsia" w:ascii="Arial" w:hAnsi="Arial" w:eastAsia="仿宋" w:cs="Arial"/>
          <w:sz w:val="28"/>
          <w:szCs w:val="28"/>
          <w:highlight w:val="none"/>
          <w:lang w:eastAsia="zh-CN"/>
        </w:rPr>
        <w:t>2026年3月26日</w:t>
      </w:r>
      <w:r>
        <w:rPr>
          <w:rFonts w:hint="eastAsia" w:ascii="Arial" w:hAnsi="Arial" w:eastAsia="仿宋" w:cs="Arial"/>
          <w:sz w:val="28"/>
          <w:szCs w:val="28"/>
          <w:highlight w:val="none"/>
        </w:rPr>
        <w:t>，属于2026年1季度，计算过程如下</w:t>
      </w:r>
      <w:r>
        <w:rPr>
          <w:rFonts w:hint="eastAsia" w:ascii="Arial" w:hAnsi="Arial" w:eastAsia="仿宋" w:cs="Arial"/>
          <w:sz w:val="28"/>
          <w:szCs w:val="28"/>
          <w:highlight w:val="none"/>
          <w:lang w:eastAsia="zh-CN"/>
        </w:rPr>
        <w:t>：</w:t>
      </w:r>
    </w:p>
    <w:p w14:paraId="47A0C653">
      <w:pPr>
        <w:spacing w:line="300" w:lineRule="auto"/>
        <w:ind w:firstLine="560" w:firstLineChars="200"/>
        <w:jc w:val="both"/>
        <w:rPr>
          <w:rFonts w:hint="default" w:ascii="Arial" w:hAnsi="Arial" w:eastAsia="仿宋" w:cs="Arial"/>
          <w:sz w:val="28"/>
          <w:szCs w:val="28"/>
          <w:highlight w:val="none"/>
          <w:lang w:val="en-US"/>
        </w:rPr>
      </w:pPr>
      <w:r>
        <w:rPr>
          <w:rFonts w:ascii="Arial" w:hAnsi="Arial" w:eastAsia="仿宋" w:cs="Arial"/>
          <w:sz w:val="28"/>
          <w:szCs w:val="28"/>
          <w:highlight w:val="none"/>
        </w:rPr>
        <w:t>期日修正系数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0.98%）</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1.1</w:t>
      </w:r>
      <w:r>
        <w:rPr>
          <w:rFonts w:hint="eastAsia" w:ascii="Arial" w:hAnsi="Arial" w:eastAsia="仿宋" w:cs="Arial"/>
          <w:sz w:val="28"/>
          <w:szCs w:val="28"/>
          <w:highlight w:val="none"/>
          <w:lang w:val="en-US" w:eastAsia="zh-CN"/>
        </w:rPr>
        <w:t>0</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0.91%）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0.68%）</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0.53%）</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0.53%）</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0.83%）</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0.38%）</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0.64%）</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0.89</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52</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03</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－0.63</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1.2</w:t>
      </w:r>
      <w:r>
        <w:rPr>
          <w:rFonts w:ascii="Arial" w:hAnsi="Arial" w:eastAsia="仿宋" w:cs="Arial"/>
          <w:sz w:val="28"/>
          <w:szCs w:val="28"/>
          <w:highlight w:val="none"/>
        </w:rPr>
        <w:t>3%）</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－2.87</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8</w:t>
      </w:r>
      <w:r>
        <w:rPr>
          <w:rFonts w:ascii="Arial" w:hAnsi="Arial" w:eastAsia="仿宋" w:cs="Arial"/>
          <w:sz w:val="28"/>
          <w:szCs w:val="28"/>
          <w:highlight w:val="none"/>
        </w:rPr>
        <w:t>8%）</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－0.51</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03</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－0.62</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－2.43</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－0.77</w:t>
      </w:r>
      <w:r>
        <w:rPr>
          <w:rFonts w:ascii="Arial" w:hAnsi="Arial" w:eastAsia="仿宋" w:cs="Arial"/>
          <w:sz w:val="28"/>
          <w:szCs w:val="28"/>
          <w:highlight w:val="none"/>
        </w:rPr>
        <w:t>%</w:t>
      </w:r>
      <w:r>
        <w:rPr>
          <w:rFonts w:hint="eastAsia" w:ascii="Arial" w:hAnsi="Arial" w:eastAsia="仿宋" w:cs="Arial"/>
          <w:sz w:val="28"/>
          <w:szCs w:val="28"/>
          <w:highlight w:val="none"/>
          <w:lang w:val="en-US" w:eastAsia="zh-CN"/>
        </w:rPr>
        <w:t>÷90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85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1.0049</w:t>
      </w:r>
    </w:p>
    <w:p w14:paraId="7DE53EBB">
      <w:pPr>
        <w:snapToGrid w:val="0"/>
        <w:spacing w:before="120" w:beforeLines="50"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（D）年期修正系数的确定</w:t>
      </w:r>
    </w:p>
    <w:p w14:paraId="5EA4914E">
      <w:pPr>
        <w:snapToGrid w:val="0"/>
        <w:spacing w:before="120" w:beforeLines="50"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年期修正系数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（1＋r）</w:t>
      </w:r>
      <w:r>
        <w:rPr>
          <w:rFonts w:ascii="Arial" w:hAnsi="Arial" w:eastAsia="仿宋" w:cs="Arial"/>
          <w:sz w:val="28"/>
          <w:szCs w:val="28"/>
          <w:highlight w:val="none"/>
          <w:vertAlign w:val="superscript"/>
        </w:rPr>
        <w:t>n</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（1＋r）</w:t>
      </w:r>
      <w:r>
        <w:rPr>
          <w:rFonts w:ascii="Arial" w:hAnsi="Arial" w:eastAsia="仿宋" w:cs="Arial"/>
          <w:sz w:val="28"/>
          <w:szCs w:val="28"/>
          <w:highlight w:val="none"/>
          <w:vertAlign w:val="superscript"/>
        </w:rPr>
        <w:t>N</w:t>
      </w:r>
      <w:r>
        <w:rPr>
          <w:rFonts w:ascii="Arial" w:hAnsi="Arial" w:eastAsia="仿宋" w:cs="Arial"/>
          <w:sz w:val="28"/>
          <w:szCs w:val="28"/>
          <w:highlight w:val="none"/>
        </w:rPr>
        <w:t>）</w:t>
      </w:r>
    </w:p>
    <w:p w14:paraId="6A674376">
      <w:pPr>
        <w:snapToGrid w:val="0"/>
        <w:spacing w:before="120" w:beforeLines="50"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其中：r</w:t>
      </w:r>
      <w:r>
        <w:rPr>
          <w:rFonts w:hint="eastAsia" w:ascii="Arial" w:hAnsi="Arial" w:eastAsia="仿宋" w:cs="Arial"/>
          <w:sz w:val="28"/>
          <w:szCs w:val="28"/>
          <w:highlight w:val="none"/>
          <w:lang w:eastAsia="zh-CN"/>
        </w:rPr>
        <w:t>－－－－</w:t>
      </w:r>
      <w:r>
        <w:rPr>
          <w:rFonts w:ascii="Arial" w:hAnsi="Arial" w:eastAsia="仿宋" w:cs="Arial"/>
          <w:sz w:val="28"/>
          <w:szCs w:val="28"/>
          <w:highlight w:val="none"/>
        </w:rPr>
        <w:t>土地还原率</w:t>
      </w:r>
    </w:p>
    <w:p w14:paraId="1693F5D0">
      <w:pPr>
        <w:snapToGrid w:val="0"/>
        <w:spacing w:before="120" w:beforeLines="50"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n</w:t>
      </w:r>
      <w:r>
        <w:rPr>
          <w:rFonts w:hint="eastAsia" w:ascii="Arial" w:hAnsi="Arial" w:eastAsia="仿宋" w:cs="Arial"/>
          <w:sz w:val="28"/>
          <w:szCs w:val="28"/>
          <w:highlight w:val="none"/>
          <w:lang w:eastAsia="zh-CN"/>
        </w:rPr>
        <w:t>－－－－</w:t>
      </w:r>
      <w:r>
        <w:rPr>
          <w:rFonts w:ascii="Arial" w:hAnsi="Arial" w:eastAsia="仿宋" w:cs="Arial"/>
          <w:sz w:val="28"/>
          <w:szCs w:val="28"/>
          <w:highlight w:val="none"/>
        </w:rPr>
        <w:t>宗地剩余土地使用年限</w:t>
      </w:r>
    </w:p>
    <w:p w14:paraId="4549EE46">
      <w:pPr>
        <w:snapToGrid w:val="0"/>
        <w:spacing w:before="120" w:beforeLines="50"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N</w:t>
      </w:r>
      <w:r>
        <w:rPr>
          <w:rFonts w:hint="eastAsia" w:ascii="Arial" w:hAnsi="Arial" w:eastAsia="仿宋" w:cs="Arial"/>
          <w:sz w:val="28"/>
          <w:szCs w:val="28"/>
          <w:highlight w:val="none"/>
          <w:lang w:eastAsia="zh-CN"/>
        </w:rPr>
        <w:t>－－－－</w:t>
      </w:r>
      <w:r>
        <w:rPr>
          <w:rFonts w:ascii="Arial" w:hAnsi="Arial" w:eastAsia="仿宋" w:cs="Arial"/>
          <w:sz w:val="28"/>
          <w:szCs w:val="28"/>
          <w:highlight w:val="none"/>
        </w:rPr>
        <w:t>基准地价规定的相应用途土地使用年限</w:t>
      </w:r>
    </w:p>
    <w:p w14:paraId="4046D8BC">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商业、办公、居住、工业、公共服务用途的土地还原率原则上按同期中国人民银行公布的一年期贷款利率分别上浮25％、20％、15％、10％、15％确定，且须分别不低于5.5％、5.5％、5％、5％、5％，不高于6.5％、6.5％、6％、6％、6％。估价对象用途为住宅，按照上述利率计算得出的土地还原率为5%，低于所要求的的最低值。故土地还原率取住宅用途最低值5%。</w:t>
      </w:r>
    </w:p>
    <w:p w14:paraId="78F56DF3">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估价对象剩余土地使用年限为70年，住宅用途法定用途最高出让年限为70年，故不做修正。</w:t>
      </w:r>
    </w:p>
    <w:p w14:paraId="7A87F251">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（E）容积率修正系数的确定</w:t>
      </w:r>
    </w:p>
    <w:p w14:paraId="4C68151F">
      <w:pPr>
        <w:spacing w:line="300" w:lineRule="auto"/>
        <w:ind w:firstLine="560" w:firstLineChars="200"/>
        <w:jc w:val="left"/>
        <w:rPr>
          <w:rFonts w:ascii="Arial" w:hAnsi="Arial" w:eastAsia="仿宋" w:cs="Arial"/>
          <w:sz w:val="28"/>
          <w:szCs w:val="28"/>
          <w:highlight w:val="none"/>
        </w:rPr>
      </w:pPr>
      <w:r>
        <w:rPr>
          <w:rFonts w:ascii="Arial" w:hAnsi="Arial" w:eastAsia="仿宋" w:cs="Arial"/>
          <w:sz w:val="28"/>
          <w:szCs w:val="28"/>
          <w:highlight w:val="none"/>
        </w:rPr>
        <w:t>依据《北京市基准地价容积率修正系数表（住宅类）》（详见下表）。</w:t>
      </w:r>
    </w:p>
    <w:p w14:paraId="4FFF1E4D">
      <w:pPr>
        <w:spacing w:line="240" w:lineRule="auto"/>
        <w:jc w:val="center"/>
        <w:rPr>
          <w:rFonts w:ascii="Arial" w:hAnsi="Arial" w:eastAsia="仿宋" w:cs="Arial"/>
          <w:sz w:val="28"/>
          <w:szCs w:val="28"/>
          <w:highlight w:val="none"/>
        </w:rPr>
      </w:pPr>
      <w:r>
        <w:rPr>
          <w:rFonts w:ascii="Arial" w:hAnsi="Arial" w:eastAsia="仿宋" w:cs="Arial"/>
          <w:bCs/>
          <w:sz w:val="28"/>
          <w:szCs w:val="28"/>
          <w:highlight w:val="none"/>
        </w:rPr>
        <w:t>北京市基准地价容积率修正系数表（住宅）</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28" w:type="dxa"/>
          <w:left w:w="28" w:type="dxa"/>
          <w:bottom w:w="28" w:type="dxa"/>
          <w:right w:w="28" w:type="dxa"/>
        </w:tblCellMar>
      </w:tblPr>
      <w:tblGrid>
        <w:gridCol w:w="1192"/>
        <w:gridCol w:w="1110"/>
        <w:gridCol w:w="1266"/>
        <w:gridCol w:w="1266"/>
        <w:gridCol w:w="1193"/>
        <w:gridCol w:w="990"/>
        <w:gridCol w:w="1193"/>
        <w:gridCol w:w="1196"/>
      </w:tblGrid>
      <w:tr w14:paraId="215BE65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634" w:type="pct"/>
            <w:shd w:val="clear" w:color="auto" w:fill="auto"/>
            <w:noWrap/>
            <w:vAlign w:val="center"/>
          </w:tcPr>
          <w:p w14:paraId="093A5A3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容积率</w:t>
            </w:r>
          </w:p>
        </w:tc>
        <w:tc>
          <w:tcPr>
            <w:tcW w:w="590" w:type="pct"/>
            <w:shd w:val="clear" w:color="auto" w:fill="auto"/>
            <w:noWrap/>
            <w:vAlign w:val="center"/>
          </w:tcPr>
          <w:p w14:paraId="1EA405E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r>
              <w:rPr>
                <w:rFonts w:hint="eastAsia" w:ascii="Arial" w:hAnsi="Arial" w:eastAsia="仿宋" w:cs="Arial"/>
                <w:sz w:val="20"/>
                <w:highlight w:val="none"/>
                <w:lang w:eastAsia="zh-CN"/>
              </w:rPr>
              <w:t>－</w:t>
            </w:r>
            <w:r>
              <w:rPr>
                <w:rFonts w:ascii="Arial" w:hAnsi="Arial" w:eastAsia="仿宋" w:cs="Arial"/>
                <w:sz w:val="20"/>
                <w:highlight w:val="none"/>
              </w:rPr>
              <w:t>2级</w:t>
            </w:r>
          </w:p>
        </w:tc>
        <w:tc>
          <w:tcPr>
            <w:tcW w:w="673" w:type="pct"/>
            <w:shd w:val="clear" w:color="auto" w:fill="auto"/>
            <w:vAlign w:val="center"/>
          </w:tcPr>
          <w:p w14:paraId="1583A73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3</w:t>
            </w:r>
            <w:r>
              <w:rPr>
                <w:rFonts w:hint="eastAsia" w:ascii="Arial" w:hAnsi="Arial" w:eastAsia="仿宋" w:cs="Arial"/>
                <w:sz w:val="20"/>
                <w:highlight w:val="none"/>
                <w:lang w:eastAsia="zh-CN"/>
              </w:rPr>
              <w:t>－</w:t>
            </w:r>
            <w:r>
              <w:rPr>
                <w:rFonts w:ascii="Arial" w:hAnsi="Arial" w:eastAsia="仿宋" w:cs="Arial"/>
                <w:sz w:val="20"/>
                <w:highlight w:val="none"/>
              </w:rPr>
              <w:t>7级</w:t>
            </w:r>
          </w:p>
        </w:tc>
        <w:tc>
          <w:tcPr>
            <w:tcW w:w="673" w:type="pct"/>
            <w:shd w:val="clear" w:color="auto" w:fill="auto"/>
            <w:vAlign w:val="center"/>
          </w:tcPr>
          <w:p w14:paraId="76B3C91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8</w:t>
            </w:r>
            <w:r>
              <w:rPr>
                <w:rFonts w:hint="eastAsia" w:ascii="Arial" w:hAnsi="Arial" w:eastAsia="仿宋" w:cs="Arial"/>
                <w:sz w:val="20"/>
                <w:highlight w:val="none"/>
                <w:lang w:eastAsia="zh-CN"/>
              </w:rPr>
              <w:t>－</w:t>
            </w:r>
            <w:r>
              <w:rPr>
                <w:rFonts w:ascii="Arial" w:hAnsi="Arial" w:eastAsia="仿宋" w:cs="Arial"/>
                <w:sz w:val="20"/>
                <w:highlight w:val="none"/>
              </w:rPr>
              <w:t>12级</w:t>
            </w:r>
          </w:p>
        </w:tc>
        <w:tc>
          <w:tcPr>
            <w:tcW w:w="634" w:type="pct"/>
            <w:shd w:val="clear" w:color="auto" w:fill="auto"/>
            <w:noWrap/>
            <w:vAlign w:val="center"/>
          </w:tcPr>
          <w:p w14:paraId="6A357F5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容积率</w:t>
            </w:r>
          </w:p>
        </w:tc>
        <w:tc>
          <w:tcPr>
            <w:tcW w:w="526" w:type="pct"/>
            <w:shd w:val="clear" w:color="auto" w:fill="auto"/>
            <w:noWrap/>
            <w:vAlign w:val="center"/>
          </w:tcPr>
          <w:p w14:paraId="2162473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r>
              <w:rPr>
                <w:rFonts w:hint="eastAsia" w:ascii="Arial" w:hAnsi="Arial" w:eastAsia="仿宋" w:cs="Arial"/>
                <w:sz w:val="20"/>
                <w:highlight w:val="none"/>
                <w:lang w:eastAsia="zh-CN"/>
              </w:rPr>
              <w:t>－</w:t>
            </w:r>
            <w:r>
              <w:rPr>
                <w:rFonts w:ascii="Arial" w:hAnsi="Arial" w:eastAsia="仿宋" w:cs="Arial"/>
                <w:sz w:val="20"/>
                <w:highlight w:val="none"/>
              </w:rPr>
              <w:t>2级</w:t>
            </w:r>
          </w:p>
        </w:tc>
        <w:tc>
          <w:tcPr>
            <w:tcW w:w="634" w:type="pct"/>
            <w:shd w:val="clear" w:color="auto" w:fill="auto"/>
            <w:vAlign w:val="center"/>
          </w:tcPr>
          <w:p w14:paraId="52535F2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3</w:t>
            </w:r>
            <w:r>
              <w:rPr>
                <w:rFonts w:hint="eastAsia" w:ascii="Arial" w:hAnsi="Arial" w:eastAsia="仿宋" w:cs="Arial"/>
                <w:sz w:val="20"/>
                <w:highlight w:val="none"/>
                <w:lang w:eastAsia="zh-CN"/>
              </w:rPr>
              <w:t>－</w:t>
            </w:r>
            <w:r>
              <w:rPr>
                <w:rFonts w:ascii="Arial" w:hAnsi="Arial" w:eastAsia="仿宋" w:cs="Arial"/>
                <w:sz w:val="20"/>
                <w:highlight w:val="none"/>
              </w:rPr>
              <w:t>7级</w:t>
            </w:r>
          </w:p>
        </w:tc>
        <w:tc>
          <w:tcPr>
            <w:tcW w:w="634" w:type="pct"/>
            <w:shd w:val="clear" w:color="auto" w:fill="auto"/>
            <w:vAlign w:val="center"/>
          </w:tcPr>
          <w:p w14:paraId="63752D6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8</w:t>
            </w:r>
            <w:r>
              <w:rPr>
                <w:rFonts w:hint="eastAsia" w:ascii="Arial" w:hAnsi="Arial" w:eastAsia="仿宋" w:cs="Arial"/>
                <w:sz w:val="20"/>
                <w:highlight w:val="none"/>
                <w:lang w:eastAsia="zh-CN"/>
              </w:rPr>
              <w:t>－</w:t>
            </w:r>
            <w:r>
              <w:rPr>
                <w:rFonts w:ascii="Arial" w:hAnsi="Arial" w:eastAsia="仿宋" w:cs="Arial"/>
                <w:sz w:val="20"/>
                <w:highlight w:val="none"/>
              </w:rPr>
              <w:t>12级</w:t>
            </w:r>
          </w:p>
        </w:tc>
      </w:tr>
      <w:tr w14:paraId="0FFECB0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DA17A1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1.0 </w:t>
            </w:r>
          </w:p>
        </w:tc>
        <w:tc>
          <w:tcPr>
            <w:tcW w:w="590" w:type="pct"/>
            <w:shd w:val="clear" w:color="auto" w:fill="auto"/>
            <w:noWrap/>
            <w:vAlign w:val="center"/>
          </w:tcPr>
          <w:p w14:paraId="16D5AB4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1.1902</w:t>
            </w:r>
          </w:p>
        </w:tc>
        <w:tc>
          <w:tcPr>
            <w:tcW w:w="673" w:type="pct"/>
            <w:shd w:val="clear" w:color="auto" w:fill="auto"/>
            <w:noWrap/>
            <w:vAlign w:val="center"/>
          </w:tcPr>
          <w:p w14:paraId="1E19BF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1.222</w:t>
            </w:r>
          </w:p>
        </w:tc>
        <w:tc>
          <w:tcPr>
            <w:tcW w:w="673" w:type="pct"/>
            <w:shd w:val="clear" w:color="auto" w:fill="auto"/>
            <w:noWrap/>
            <w:vAlign w:val="center"/>
          </w:tcPr>
          <w:p w14:paraId="5CC90E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1.1055</w:t>
            </w:r>
          </w:p>
        </w:tc>
        <w:tc>
          <w:tcPr>
            <w:tcW w:w="634" w:type="pct"/>
            <w:shd w:val="clear" w:color="auto" w:fill="auto"/>
            <w:vAlign w:val="center"/>
          </w:tcPr>
          <w:p w14:paraId="2851361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5.5 </w:t>
            </w:r>
          </w:p>
        </w:tc>
        <w:tc>
          <w:tcPr>
            <w:tcW w:w="526" w:type="pct"/>
            <w:shd w:val="clear" w:color="auto" w:fill="auto"/>
            <w:noWrap/>
            <w:vAlign w:val="center"/>
          </w:tcPr>
          <w:p w14:paraId="4E93CD1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0.8981</w:t>
            </w:r>
          </w:p>
        </w:tc>
        <w:tc>
          <w:tcPr>
            <w:tcW w:w="634" w:type="pct"/>
            <w:shd w:val="clear" w:color="auto" w:fill="auto"/>
            <w:noWrap/>
            <w:vAlign w:val="center"/>
          </w:tcPr>
          <w:p w14:paraId="172FDD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0.8772</w:t>
            </w:r>
          </w:p>
        </w:tc>
        <w:tc>
          <w:tcPr>
            <w:tcW w:w="634" w:type="pct"/>
            <w:shd w:val="clear" w:color="auto" w:fill="auto"/>
            <w:noWrap/>
            <w:vAlign w:val="center"/>
          </w:tcPr>
          <w:p w14:paraId="2261762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0.7201</w:t>
            </w:r>
          </w:p>
        </w:tc>
      </w:tr>
      <w:tr w14:paraId="2DB413A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CC0887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1.1 </w:t>
            </w:r>
          </w:p>
        </w:tc>
        <w:tc>
          <w:tcPr>
            <w:tcW w:w="590" w:type="pct"/>
            <w:shd w:val="clear" w:color="auto" w:fill="auto"/>
            <w:noWrap/>
            <w:vAlign w:val="center"/>
          </w:tcPr>
          <w:p w14:paraId="41410A4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1.1715</w:t>
            </w:r>
          </w:p>
        </w:tc>
        <w:tc>
          <w:tcPr>
            <w:tcW w:w="673" w:type="pct"/>
            <w:shd w:val="clear" w:color="auto" w:fill="auto"/>
            <w:noWrap/>
            <w:vAlign w:val="center"/>
          </w:tcPr>
          <w:p w14:paraId="77347B6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1.2003</w:t>
            </w:r>
          </w:p>
        </w:tc>
        <w:tc>
          <w:tcPr>
            <w:tcW w:w="673" w:type="pct"/>
            <w:shd w:val="clear" w:color="auto" w:fill="auto"/>
            <w:noWrap/>
            <w:vAlign w:val="center"/>
          </w:tcPr>
          <w:p w14:paraId="336F9D1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1.0819</w:t>
            </w:r>
          </w:p>
        </w:tc>
        <w:tc>
          <w:tcPr>
            <w:tcW w:w="634" w:type="pct"/>
            <w:shd w:val="clear" w:color="auto" w:fill="auto"/>
            <w:vAlign w:val="center"/>
          </w:tcPr>
          <w:p w14:paraId="5BEAB13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5.6 </w:t>
            </w:r>
          </w:p>
        </w:tc>
        <w:tc>
          <w:tcPr>
            <w:tcW w:w="526" w:type="pct"/>
            <w:shd w:val="clear" w:color="auto" w:fill="auto"/>
            <w:noWrap/>
            <w:vAlign w:val="center"/>
          </w:tcPr>
          <w:p w14:paraId="559D120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0.8962</w:t>
            </w:r>
          </w:p>
        </w:tc>
        <w:tc>
          <w:tcPr>
            <w:tcW w:w="634" w:type="pct"/>
            <w:shd w:val="clear" w:color="auto" w:fill="auto"/>
            <w:noWrap/>
            <w:vAlign w:val="center"/>
          </w:tcPr>
          <w:p w14:paraId="05C94CD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0.8749</w:t>
            </w:r>
          </w:p>
        </w:tc>
        <w:tc>
          <w:tcPr>
            <w:tcW w:w="634" w:type="pct"/>
            <w:shd w:val="clear" w:color="auto" w:fill="auto"/>
            <w:noWrap/>
            <w:vAlign w:val="center"/>
          </w:tcPr>
          <w:p w14:paraId="1696AE9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0.7171</w:t>
            </w:r>
          </w:p>
        </w:tc>
      </w:tr>
      <w:tr w14:paraId="6E2F377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0627D6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1.2 </w:t>
            </w:r>
          </w:p>
        </w:tc>
        <w:tc>
          <w:tcPr>
            <w:tcW w:w="590" w:type="pct"/>
            <w:shd w:val="clear" w:color="auto" w:fill="auto"/>
            <w:noWrap/>
            <w:vAlign w:val="center"/>
          </w:tcPr>
          <w:p w14:paraId="0D71B7C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1.1539</w:t>
            </w:r>
          </w:p>
        </w:tc>
        <w:tc>
          <w:tcPr>
            <w:tcW w:w="673" w:type="pct"/>
            <w:shd w:val="clear" w:color="auto" w:fill="auto"/>
            <w:noWrap/>
            <w:vAlign w:val="center"/>
          </w:tcPr>
          <w:p w14:paraId="5EA5162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1.1798</w:t>
            </w:r>
          </w:p>
        </w:tc>
        <w:tc>
          <w:tcPr>
            <w:tcW w:w="673" w:type="pct"/>
            <w:shd w:val="clear" w:color="auto" w:fill="auto"/>
            <w:noWrap/>
            <w:vAlign w:val="center"/>
          </w:tcPr>
          <w:p w14:paraId="7E4FB87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1.0597</w:t>
            </w:r>
          </w:p>
        </w:tc>
        <w:tc>
          <w:tcPr>
            <w:tcW w:w="634" w:type="pct"/>
            <w:shd w:val="clear" w:color="auto" w:fill="auto"/>
            <w:vAlign w:val="center"/>
          </w:tcPr>
          <w:p w14:paraId="5364DF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5.7 </w:t>
            </w:r>
          </w:p>
        </w:tc>
        <w:tc>
          <w:tcPr>
            <w:tcW w:w="526" w:type="pct"/>
            <w:shd w:val="clear" w:color="auto" w:fill="auto"/>
            <w:noWrap/>
            <w:vAlign w:val="center"/>
          </w:tcPr>
          <w:p w14:paraId="5FE9F62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0.8943</w:t>
            </w:r>
          </w:p>
        </w:tc>
        <w:tc>
          <w:tcPr>
            <w:tcW w:w="634" w:type="pct"/>
            <w:shd w:val="clear" w:color="auto" w:fill="auto"/>
            <w:noWrap/>
            <w:vAlign w:val="center"/>
          </w:tcPr>
          <w:p w14:paraId="2D95826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0.8726</w:t>
            </w:r>
          </w:p>
        </w:tc>
        <w:tc>
          <w:tcPr>
            <w:tcW w:w="634" w:type="pct"/>
            <w:shd w:val="clear" w:color="auto" w:fill="auto"/>
            <w:noWrap/>
            <w:vAlign w:val="center"/>
          </w:tcPr>
          <w:p w14:paraId="5BB948E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0.7142</w:t>
            </w:r>
          </w:p>
        </w:tc>
      </w:tr>
      <w:tr w14:paraId="7B47A20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470814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1.3 </w:t>
            </w:r>
          </w:p>
        </w:tc>
        <w:tc>
          <w:tcPr>
            <w:tcW w:w="590" w:type="pct"/>
            <w:shd w:val="clear" w:color="auto" w:fill="auto"/>
            <w:noWrap/>
            <w:vAlign w:val="center"/>
          </w:tcPr>
          <w:p w14:paraId="0B1BD2D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1.1372</w:t>
            </w:r>
          </w:p>
        </w:tc>
        <w:tc>
          <w:tcPr>
            <w:tcW w:w="673" w:type="pct"/>
            <w:shd w:val="clear" w:color="auto" w:fill="auto"/>
            <w:noWrap/>
            <w:vAlign w:val="center"/>
          </w:tcPr>
          <w:p w14:paraId="457534D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1.1605</w:t>
            </w:r>
          </w:p>
        </w:tc>
        <w:tc>
          <w:tcPr>
            <w:tcW w:w="673" w:type="pct"/>
            <w:shd w:val="clear" w:color="auto" w:fill="auto"/>
            <w:noWrap/>
            <w:vAlign w:val="center"/>
          </w:tcPr>
          <w:p w14:paraId="3C79CE3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1.0386</w:t>
            </w:r>
          </w:p>
        </w:tc>
        <w:tc>
          <w:tcPr>
            <w:tcW w:w="634" w:type="pct"/>
            <w:shd w:val="clear" w:color="auto" w:fill="auto"/>
            <w:vAlign w:val="center"/>
          </w:tcPr>
          <w:p w14:paraId="27E7E15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5.8 </w:t>
            </w:r>
          </w:p>
        </w:tc>
        <w:tc>
          <w:tcPr>
            <w:tcW w:w="526" w:type="pct"/>
            <w:shd w:val="clear" w:color="auto" w:fill="auto"/>
            <w:noWrap/>
            <w:vAlign w:val="center"/>
          </w:tcPr>
          <w:p w14:paraId="05BD125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0.8925</w:t>
            </w:r>
          </w:p>
        </w:tc>
        <w:tc>
          <w:tcPr>
            <w:tcW w:w="634" w:type="pct"/>
            <w:shd w:val="clear" w:color="auto" w:fill="auto"/>
            <w:noWrap/>
            <w:vAlign w:val="center"/>
          </w:tcPr>
          <w:p w14:paraId="4175428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0.8703</w:t>
            </w:r>
          </w:p>
        </w:tc>
        <w:tc>
          <w:tcPr>
            <w:tcW w:w="634" w:type="pct"/>
            <w:shd w:val="clear" w:color="auto" w:fill="auto"/>
            <w:noWrap/>
            <w:vAlign w:val="center"/>
          </w:tcPr>
          <w:p w14:paraId="4A856A3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0.7113</w:t>
            </w:r>
          </w:p>
        </w:tc>
      </w:tr>
      <w:tr w14:paraId="50C23C7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61FEAA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1.4 </w:t>
            </w:r>
          </w:p>
        </w:tc>
        <w:tc>
          <w:tcPr>
            <w:tcW w:w="590" w:type="pct"/>
            <w:shd w:val="clear" w:color="auto" w:fill="auto"/>
            <w:noWrap/>
            <w:vAlign w:val="center"/>
          </w:tcPr>
          <w:p w14:paraId="1179786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1.1216</w:t>
            </w:r>
          </w:p>
        </w:tc>
        <w:tc>
          <w:tcPr>
            <w:tcW w:w="673" w:type="pct"/>
            <w:shd w:val="clear" w:color="auto" w:fill="auto"/>
            <w:noWrap/>
            <w:vAlign w:val="center"/>
          </w:tcPr>
          <w:p w14:paraId="7C0D1E0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1.1422</w:t>
            </w:r>
          </w:p>
        </w:tc>
        <w:tc>
          <w:tcPr>
            <w:tcW w:w="673" w:type="pct"/>
            <w:shd w:val="clear" w:color="auto" w:fill="auto"/>
            <w:noWrap/>
            <w:vAlign w:val="center"/>
          </w:tcPr>
          <w:p w14:paraId="1E45A9C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1.0188</w:t>
            </w:r>
          </w:p>
        </w:tc>
        <w:tc>
          <w:tcPr>
            <w:tcW w:w="634" w:type="pct"/>
            <w:shd w:val="clear" w:color="auto" w:fill="auto"/>
            <w:vAlign w:val="center"/>
          </w:tcPr>
          <w:p w14:paraId="718E991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5.9 </w:t>
            </w:r>
          </w:p>
        </w:tc>
        <w:tc>
          <w:tcPr>
            <w:tcW w:w="526" w:type="pct"/>
            <w:shd w:val="clear" w:color="auto" w:fill="auto"/>
            <w:noWrap/>
            <w:vAlign w:val="center"/>
          </w:tcPr>
          <w:p w14:paraId="069426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0.8907</w:t>
            </w:r>
          </w:p>
        </w:tc>
        <w:tc>
          <w:tcPr>
            <w:tcW w:w="634" w:type="pct"/>
            <w:shd w:val="clear" w:color="auto" w:fill="auto"/>
            <w:noWrap/>
            <w:vAlign w:val="center"/>
          </w:tcPr>
          <w:p w14:paraId="7C8A75B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0.868</w:t>
            </w:r>
          </w:p>
        </w:tc>
        <w:tc>
          <w:tcPr>
            <w:tcW w:w="634" w:type="pct"/>
            <w:shd w:val="clear" w:color="auto" w:fill="auto"/>
            <w:noWrap/>
            <w:vAlign w:val="center"/>
          </w:tcPr>
          <w:p w14:paraId="66D33C6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0.7084</w:t>
            </w:r>
          </w:p>
        </w:tc>
      </w:tr>
      <w:tr w14:paraId="3131E71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696D9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1.5 </w:t>
            </w:r>
          </w:p>
        </w:tc>
        <w:tc>
          <w:tcPr>
            <w:tcW w:w="590" w:type="pct"/>
            <w:shd w:val="clear" w:color="auto" w:fill="auto"/>
            <w:noWrap/>
            <w:vAlign w:val="center"/>
          </w:tcPr>
          <w:p w14:paraId="2413B0E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1.1069</w:t>
            </w:r>
          </w:p>
        </w:tc>
        <w:tc>
          <w:tcPr>
            <w:tcW w:w="673" w:type="pct"/>
            <w:shd w:val="clear" w:color="auto" w:fill="auto"/>
            <w:noWrap/>
            <w:vAlign w:val="center"/>
          </w:tcPr>
          <w:p w14:paraId="227694C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1.125</w:t>
            </w:r>
          </w:p>
        </w:tc>
        <w:tc>
          <w:tcPr>
            <w:tcW w:w="673" w:type="pct"/>
            <w:shd w:val="clear" w:color="auto" w:fill="auto"/>
            <w:noWrap/>
            <w:vAlign w:val="center"/>
          </w:tcPr>
          <w:p w14:paraId="3A36E16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634" w:type="pct"/>
            <w:shd w:val="clear" w:color="auto" w:fill="auto"/>
            <w:vAlign w:val="center"/>
          </w:tcPr>
          <w:p w14:paraId="6672D67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6.0 </w:t>
            </w:r>
          </w:p>
        </w:tc>
        <w:tc>
          <w:tcPr>
            <w:tcW w:w="526" w:type="pct"/>
            <w:shd w:val="clear" w:color="auto" w:fill="auto"/>
            <w:noWrap/>
            <w:vAlign w:val="center"/>
          </w:tcPr>
          <w:p w14:paraId="5E9B1C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0.8889</w:t>
            </w:r>
          </w:p>
        </w:tc>
        <w:tc>
          <w:tcPr>
            <w:tcW w:w="634" w:type="pct"/>
            <w:shd w:val="clear" w:color="auto" w:fill="auto"/>
            <w:noWrap/>
            <w:vAlign w:val="center"/>
          </w:tcPr>
          <w:p w14:paraId="7F97AED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0.8658</w:t>
            </w:r>
          </w:p>
        </w:tc>
        <w:tc>
          <w:tcPr>
            <w:tcW w:w="634" w:type="pct"/>
            <w:shd w:val="clear" w:color="auto" w:fill="auto"/>
            <w:noWrap/>
            <w:vAlign w:val="center"/>
          </w:tcPr>
          <w:p w14:paraId="791B8E6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0.7055</w:t>
            </w:r>
          </w:p>
        </w:tc>
      </w:tr>
      <w:tr w14:paraId="509207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27B650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1.6 </w:t>
            </w:r>
          </w:p>
        </w:tc>
        <w:tc>
          <w:tcPr>
            <w:tcW w:w="590" w:type="pct"/>
            <w:shd w:val="clear" w:color="auto" w:fill="auto"/>
            <w:noWrap/>
            <w:vAlign w:val="center"/>
          </w:tcPr>
          <w:p w14:paraId="32E07BB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1.0929</w:t>
            </w:r>
          </w:p>
        </w:tc>
        <w:tc>
          <w:tcPr>
            <w:tcW w:w="673" w:type="pct"/>
            <w:shd w:val="clear" w:color="auto" w:fill="auto"/>
            <w:noWrap/>
            <w:vAlign w:val="center"/>
          </w:tcPr>
          <w:p w14:paraId="68F5F23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1.1087</w:t>
            </w:r>
          </w:p>
        </w:tc>
        <w:tc>
          <w:tcPr>
            <w:tcW w:w="673" w:type="pct"/>
            <w:shd w:val="clear" w:color="auto" w:fill="auto"/>
            <w:noWrap/>
            <w:vAlign w:val="center"/>
          </w:tcPr>
          <w:p w14:paraId="3E5A1BA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0.9823</w:t>
            </w:r>
          </w:p>
        </w:tc>
        <w:tc>
          <w:tcPr>
            <w:tcW w:w="634" w:type="pct"/>
            <w:shd w:val="clear" w:color="auto" w:fill="auto"/>
            <w:vAlign w:val="center"/>
          </w:tcPr>
          <w:p w14:paraId="21E45A5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6.1 </w:t>
            </w:r>
          </w:p>
        </w:tc>
        <w:tc>
          <w:tcPr>
            <w:tcW w:w="526" w:type="pct"/>
            <w:shd w:val="clear" w:color="auto" w:fill="auto"/>
            <w:noWrap/>
            <w:vAlign w:val="center"/>
          </w:tcPr>
          <w:p w14:paraId="506AB90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0.8871</w:t>
            </w:r>
          </w:p>
        </w:tc>
        <w:tc>
          <w:tcPr>
            <w:tcW w:w="634" w:type="pct"/>
            <w:shd w:val="clear" w:color="auto" w:fill="auto"/>
            <w:noWrap/>
            <w:vAlign w:val="center"/>
          </w:tcPr>
          <w:p w14:paraId="29496A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0.8636</w:t>
            </w:r>
          </w:p>
        </w:tc>
        <w:tc>
          <w:tcPr>
            <w:tcW w:w="634" w:type="pct"/>
            <w:shd w:val="clear" w:color="auto" w:fill="auto"/>
            <w:noWrap/>
            <w:vAlign w:val="center"/>
          </w:tcPr>
          <w:p w14:paraId="008D877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0.7027</w:t>
            </w:r>
          </w:p>
        </w:tc>
      </w:tr>
      <w:tr w14:paraId="62E643E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rHeight w:val="90" w:hRule="atLeast"/>
          <w:jc w:val="center"/>
        </w:trPr>
        <w:tc>
          <w:tcPr>
            <w:tcW w:w="634" w:type="pct"/>
            <w:shd w:val="clear" w:color="auto" w:fill="auto"/>
            <w:noWrap/>
            <w:vAlign w:val="center"/>
          </w:tcPr>
          <w:p w14:paraId="0D28CB0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1.7 </w:t>
            </w:r>
          </w:p>
        </w:tc>
        <w:tc>
          <w:tcPr>
            <w:tcW w:w="590" w:type="pct"/>
            <w:shd w:val="clear" w:color="auto" w:fill="auto"/>
            <w:noWrap/>
            <w:vAlign w:val="center"/>
          </w:tcPr>
          <w:p w14:paraId="7102379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1.0798</w:t>
            </w:r>
          </w:p>
        </w:tc>
        <w:tc>
          <w:tcPr>
            <w:tcW w:w="673" w:type="pct"/>
            <w:shd w:val="clear" w:color="auto" w:fill="auto"/>
            <w:noWrap/>
            <w:vAlign w:val="center"/>
          </w:tcPr>
          <w:p w14:paraId="7D1A95F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1.0934</w:t>
            </w:r>
          </w:p>
        </w:tc>
        <w:tc>
          <w:tcPr>
            <w:tcW w:w="673" w:type="pct"/>
            <w:shd w:val="clear" w:color="auto" w:fill="auto"/>
            <w:noWrap/>
            <w:vAlign w:val="center"/>
          </w:tcPr>
          <w:p w14:paraId="7FF7C19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0.9656</w:t>
            </w:r>
          </w:p>
        </w:tc>
        <w:tc>
          <w:tcPr>
            <w:tcW w:w="634" w:type="pct"/>
            <w:shd w:val="clear" w:color="auto" w:fill="auto"/>
            <w:vAlign w:val="center"/>
          </w:tcPr>
          <w:p w14:paraId="5ECA220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6.2 </w:t>
            </w:r>
          </w:p>
        </w:tc>
        <w:tc>
          <w:tcPr>
            <w:tcW w:w="526" w:type="pct"/>
            <w:shd w:val="clear" w:color="auto" w:fill="auto"/>
            <w:noWrap/>
            <w:vAlign w:val="center"/>
          </w:tcPr>
          <w:p w14:paraId="0B89647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0.8853</w:t>
            </w:r>
          </w:p>
        </w:tc>
        <w:tc>
          <w:tcPr>
            <w:tcW w:w="634" w:type="pct"/>
            <w:shd w:val="clear" w:color="auto" w:fill="auto"/>
            <w:noWrap/>
            <w:vAlign w:val="center"/>
          </w:tcPr>
          <w:p w14:paraId="30DF892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0.8614</w:t>
            </w:r>
          </w:p>
        </w:tc>
        <w:tc>
          <w:tcPr>
            <w:tcW w:w="634" w:type="pct"/>
            <w:shd w:val="clear" w:color="auto" w:fill="auto"/>
            <w:noWrap/>
            <w:vAlign w:val="center"/>
          </w:tcPr>
          <w:p w14:paraId="0A9DCD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0.6999</w:t>
            </w:r>
          </w:p>
        </w:tc>
      </w:tr>
      <w:tr w14:paraId="4A3DEB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6C7A10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1.8 </w:t>
            </w:r>
          </w:p>
        </w:tc>
        <w:tc>
          <w:tcPr>
            <w:tcW w:w="590" w:type="pct"/>
            <w:shd w:val="clear" w:color="auto" w:fill="auto"/>
            <w:noWrap/>
            <w:vAlign w:val="center"/>
          </w:tcPr>
          <w:p w14:paraId="237A490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1.0675</w:t>
            </w:r>
          </w:p>
        </w:tc>
        <w:tc>
          <w:tcPr>
            <w:tcW w:w="673" w:type="pct"/>
            <w:shd w:val="clear" w:color="auto" w:fill="auto"/>
            <w:noWrap/>
            <w:vAlign w:val="center"/>
          </w:tcPr>
          <w:p w14:paraId="2550CBE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1.0791</w:t>
            </w:r>
          </w:p>
        </w:tc>
        <w:tc>
          <w:tcPr>
            <w:tcW w:w="673" w:type="pct"/>
            <w:shd w:val="clear" w:color="auto" w:fill="auto"/>
            <w:noWrap/>
            <w:vAlign w:val="center"/>
          </w:tcPr>
          <w:p w14:paraId="27AAB9B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0.9499</w:t>
            </w:r>
          </w:p>
        </w:tc>
        <w:tc>
          <w:tcPr>
            <w:tcW w:w="634" w:type="pct"/>
            <w:shd w:val="clear" w:color="auto" w:fill="auto"/>
            <w:vAlign w:val="center"/>
          </w:tcPr>
          <w:p w14:paraId="5BA2F9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6.3 </w:t>
            </w:r>
          </w:p>
        </w:tc>
        <w:tc>
          <w:tcPr>
            <w:tcW w:w="526" w:type="pct"/>
            <w:shd w:val="clear" w:color="auto" w:fill="auto"/>
            <w:noWrap/>
            <w:vAlign w:val="center"/>
          </w:tcPr>
          <w:p w14:paraId="165D69A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0.8835</w:t>
            </w:r>
          </w:p>
        </w:tc>
        <w:tc>
          <w:tcPr>
            <w:tcW w:w="634" w:type="pct"/>
            <w:shd w:val="clear" w:color="auto" w:fill="auto"/>
            <w:noWrap/>
            <w:vAlign w:val="center"/>
          </w:tcPr>
          <w:p w14:paraId="18ABFAF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0.8592</w:t>
            </w:r>
          </w:p>
        </w:tc>
        <w:tc>
          <w:tcPr>
            <w:tcW w:w="634" w:type="pct"/>
            <w:shd w:val="clear" w:color="auto" w:fill="auto"/>
            <w:noWrap/>
            <w:vAlign w:val="center"/>
          </w:tcPr>
          <w:p w14:paraId="18C7F63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0.6971</w:t>
            </w:r>
          </w:p>
        </w:tc>
      </w:tr>
      <w:tr w14:paraId="1506C09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48A3F6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1.9 </w:t>
            </w:r>
          </w:p>
        </w:tc>
        <w:tc>
          <w:tcPr>
            <w:tcW w:w="590" w:type="pct"/>
            <w:shd w:val="clear" w:color="auto" w:fill="auto"/>
            <w:noWrap/>
            <w:vAlign w:val="center"/>
          </w:tcPr>
          <w:p w14:paraId="06AF28A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1.0558</w:t>
            </w:r>
          </w:p>
        </w:tc>
        <w:tc>
          <w:tcPr>
            <w:tcW w:w="673" w:type="pct"/>
            <w:shd w:val="clear" w:color="auto" w:fill="auto"/>
            <w:noWrap/>
            <w:vAlign w:val="center"/>
          </w:tcPr>
          <w:p w14:paraId="08B7B7D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1.0655</w:t>
            </w:r>
          </w:p>
        </w:tc>
        <w:tc>
          <w:tcPr>
            <w:tcW w:w="673" w:type="pct"/>
            <w:shd w:val="clear" w:color="auto" w:fill="auto"/>
            <w:noWrap/>
            <w:vAlign w:val="center"/>
          </w:tcPr>
          <w:p w14:paraId="0B152BF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0.9352</w:t>
            </w:r>
          </w:p>
        </w:tc>
        <w:tc>
          <w:tcPr>
            <w:tcW w:w="634" w:type="pct"/>
            <w:shd w:val="clear" w:color="auto" w:fill="auto"/>
            <w:vAlign w:val="center"/>
          </w:tcPr>
          <w:p w14:paraId="46439F2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6.4 </w:t>
            </w:r>
          </w:p>
        </w:tc>
        <w:tc>
          <w:tcPr>
            <w:tcW w:w="526" w:type="pct"/>
            <w:shd w:val="clear" w:color="auto" w:fill="auto"/>
            <w:noWrap/>
            <w:vAlign w:val="center"/>
          </w:tcPr>
          <w:p w14:paraId="2B3D9CD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0.8818</w:t>
            </w:r>
          </w:p>
        </w:tc>
        <w:tc>
          <w:tcPr>
            <w:tcW w:w="634" w:type="pct"/>
            <w:shd w:val="clear" w:color="auto" w:fill="auto"/>
            <w:noWrap/>
            <w:vAlign w:val="center"/>
          </w:tcPr>
          <w:p w14:paraId="75B7DA9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0.857</w:t>
            </w:r>
          </w:p>
        </w:tc>
        <w:tc>
          <w:tcPr>
            <w:tcW w:w="634" w:type="pct"/>
            <w:shd w:val="clear" w:color="auto" w:fill="auto"/>
            <w:noWrap/>
            <w:vAlign w:val="center"/>
          </w:tcPr>
          <w:p w14:paraId="2949F34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0.6943</w:t>
            </w:r>
          </w:p>
        </w:tc>
      </w:tr>
      <w:tr w14:paraId="6F4E12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F17138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2.0 </w:t>
            </w:r>
          </w:p>
        </w:tc>
        <w:tc>
          <w:tcPr>
            <w:tcW w:w="590" w:type="pct"/>
            <w:shd w:val="clear" w:color="auto" w:fill="auto"/>
            <w:noWrap/>
            <w:vAlign w:val="center"/>
          </w:tcPr>
          <w:p w14:paraId="735433F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1.045</w:t>
            </w:r>
          </w:p>
        </w:tc>
        <w:tc>
          <w:tcPr>
            <w:tcW w:w="673" w:type="pct"/>
            <w:shd w:val="clear" w:color="auto" w:fill="auto"/>
            <w:noWrap/>
            <w:vAlign w:val="center"/>
          </w:tcPr>
          <w:p w14:paraId="005AB7D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1.0528</w:t>
            </w:r>
          </w:p>
        </w:tc>
        <w:tc>
          <w:tcPr>
            <w:tcW w:w="673" w:type="pct"/>
            <w:shd w:val="clear" w:color="auto" w:fill="auto"/>
            <w:noWrap/>
            <w:vAlign w:val="center"/>
          </w:tcPr>
          <w:p w14:paraId="334A972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0.9213</w:t>
            </w:r>
          </w:p>
        </w:tc>
        <w:tc>
          <w:tcPr>
            <w:tcW w:w="634" w:type="pct"/>
            <w:shd w:val="clear" w:color="auto" w:fill="auto"/>
            <w:vAlign w:val="center"/>
          </w:tcPr>
          <w:p w14:paraId="4F9699C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6.5 </w:t>
            </w:r>
          </w:p>
        </w:tc>
        <w:tc>
          <w:tcPr>
            <w:tcW w:w="526" w:type="pct"/>
            <w:shd w:val="clear" w:color="auto" w:fill="auto"/>
            <w:noWrap/>
            <w:vAlign w:val="center"/>
          </w:tcPr>
          <w:p w14:paraId="5F9635E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0.8801</w:t>
            </w:r>
          </w:p>
        </w:tc>
        <w:tc>
          <w:tcPr>
            <w:tcW w:w="634" w:type="pct"/>
            <w:shd w:val="clear" w:color="auto" w:fill="auto"/>
            <w:noWrap/>
            <w:vAlign w:val="center"/>
          </w:tcPr>
          <w:p w14:paraId="209E5A6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0.8549</w:t>
            </w:r>
          </w:p>
        </w:tc>
        <w:tc>
          <w:tcPr>
            <w:tcW w:w="634" w:type="pct"/>
            <w:shd w:val="clear" w:color="auto" w:fill="auto"/>
            <w:noWrap/>
            <w:vAlign w:val="center"/>
          </w:tcPr>
          <w:p w14:paraId="75FFBEF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0.6916</w:t>
            </w:r>
          </w:p>
        </w:tc>
      </w:tr>
      <w:tr w14:paraId="1B999B8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135F84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2.1 </w:t>
            </w:r>
          </w:p>
        </w:tc>
        <w:tc>
          <w:tcPr>
            <w:tcW w:w="590" w:type="pct"/>
            <w:shd w:val="clear" w:color="auto" w:fill="auto"/>
            <w:noWrap/>
            <w:vAlign w:val="center"/>
          </w:tcPr>
          <w:p w14:paraId="2E81C55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1.0348</w:t>
            </w:r>
          </w:p>
        </w:tc>
        <w:tc>
          <w:tcPr>
            <w:tcW w:w="673" w:type="pct"/>
            <w:shd w:val="clear" w:color="auto" w:fill="auto"/>
            <w:noWrap/>
            <w:vAlign w:val="center"/>
          </w:tcPr>
          <w:p w14:paraId="437C210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1.0408</w:t>
            </w:r>
          </w:p>
        </w:tc>
        <w:tc>
          <w:tcPr>
            <w:tcW w:w="673" w:type="pct"/>
            <w:shd w:val="clear" w:color="auto" w:fill="auto"/>
            <w:noWrap/>
            <w:vAlign w:val="center"/>
          </w:tcPr>
          <w:p w14:paraId="0C0CBB0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0.9082</w:t>
            </w:r>
          </w:p>
        </w:tc>
        <w:tc>
          <w:tcPr>
            <w:tcW w:w="634" w:type="pct"/>
            <w:shd w:val="clear" w:color="auto" w:fill="auto"/>
            <w:vAlign w:val="center"/>
          </w:tcPr>
          <w:p w14:paraId="5F6FC4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6.6 </w:t>
            </w:r>
          </w:p>
        </w:tc>
        <w:tc>
          <w:tcPr>
            <w:tcW w:w="526" w:type="pct"/>
            <w:shd w:val="clear" w:color="auto" w:fill="auto"/>
            <w:noWrap/>
            <w:vAlign w:val="center"/>
          </w:tcPr>
          <w:p w14:paraId="5DC1E02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0.8784</w:t>
            </w:r>
          </w:p>
        </w:tc>
        <w:tc>
          <w:tcPr>
            <w:tcW w:w="634" w:type="pct"/>
            <w:shd w:val="clear" w:color="auto" w:fill="auto"/>
            <w:noWrap/>
            <w:vAlign w:val="center"/>
          </w:tcPr>
          <w:p w14:paraId="71C0E41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0.8528</w:t>
            </w:r>
          </w:p>
        </w:tc>
        <w:tc>
          <w:tcPr>
            <w:tcW w:w="634" w:type="pct"/>
            <w:shd w:val="clear" w:color="auto" w:fill="auto"/>
            <w:noWrap/>
            <w:vAlign w:val="center"/>
          </w:tcPr>
          <w:p w14:paraId="0FFA97A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0.6889</w:t>
            </w:r>
          </w:p>
        </w:tc>
      </w:tr>
      <w:tr w14:paraId="456008C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EF0F9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2.2 </w:t>
            </w:r>
          </w:p>
        </w:tc>
        <w:tc>
          <w:tcPr>
            <w:tcW w:w="590" w:type="pct"/>
            <w:shd w:val="clear" w:color="auto" w:fill="auto"/>
            <w:noWrap/>
            <w:vAlign w:val="center"/>
          </w:tcPr>
          <w:p w14:paraId="2D95850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1.0252</w:t>
            </w:r>
          </w:p>
        </w:tc>
        <w:tc>
          <w:tcPr>
            <w:tcW w:w="673" w:type="pct"/>
            <w:shd w:val="clear" w:color="auto" w:fill="auto"/>
            <w:noWrap/>
            <w:vAlign w:val="center"/>
          </w:tcPr>
          <w:p w14:paraId="5C1D337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1.0296</w:t>
            </w:r>
          </w:p>
        </w:tc>
        <w:tc>
          <w:tcPr>
            <w:tcW w:w="673" w:type="pct"/>
            <w:shd w:val="clear" w:color="auto" w:fill="auto"/>
            <w:noWrap/>
            <w:vAlign w:val="center"/>
          </w:tcPr>
          <w:p w14:paraId="674D02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0.8957</w:t>
            </w:r>
          </w:p>
        </w:tc>
        <w:tc>
          <w:tcPr>
            <w:tcW w:w="634" w:type="pct"/>
            <w:shd w:val="clear" w:color="auto" w:fill="auto"/>
            <w:vAlign w:val="center"/>
          </w:tcPr>
          <w:p w14:paraId="1078E08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6.7 </w:t>
            </w:r>
          </w:p>
        </w:tc>
        <w:tc>
          <w:tcPr>
            <w:tcW w:w="526" w:type="pct"/>
            <w:shd w:val="clear" w:color="auto" w:fill="auto"/>
            <w:noWrap/>
            <w:vAlign w:val="center"/>
          </w:tcPr>
          <w:p w14:paraId="084995F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0.8767</w:t>
            </w:r>
          </w:p>
        </w:tc>
        <w:tc>
          <w:tcPr>
            <w:tcW w:w="634" w:type="pct"/>
            <w:shd w:val="clear" w:color="auto" w:fill="auto"/>
            <w:noWrap/>
            <w:vAlign w:val="center"/>
          </w:tcPr>
          <w:p w14:paraId="0A0B348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0.8507</w:t>
            </w:r>
          </w:p>
        </w:tc>
        <w:tc>
          <w:tcPr>
            <w:tcW w:w="634" w:type="pct"/>
            <w:shd w:val="clear" w:color="auto" w:fill="auto"/>
            <w:noWrap/>
            <w:vAlign w:val="center"/>
          </w:tcPr>
          <w:p w14:paraId="6AEA9B9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0.6862</w:t>
            </w:r>
          </w:p>
        </w:tc>
      </w:tr>
      <w:tr w14:paraId="091705B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03DD68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2.3 </w:t>
            </w:r>
          </w:p>
        </w:tc>
        <w:tc>
          <w:tcPr>
            <w:tcW w:w="590" w:type="pct"/>
            <w:shd w:val="clear" w:color="auto" w:fill="auto"/>
            <w:noWrap/>
            <w:vAlign w:val="center"/>
          </w:tcPr>
          <w:p w14:paraId="2F5B7B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1.0162</w:t>
            </w:r>
          </w:p>
        </w:tc>
        <w:tc>
          <w:tcPr>
            <w:tcW w:w="673" w:type="pct"/>
            <w:shd w:val="clear" w:color="auto" w:fill="auto"/>
            <w:noWrap/>
            <w:vAlign w:val="center"/>
          </w:tcPr>
          <w:p w14:paraId="639B70B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1.0191</w:t>
            </w:r>
          </w:p>
        </w:tc>
        <w:tc>
          <w:tcPr>
            <w:tcW w:w="673" w:type="pct"/>
            <w:shd w:val="clear" w:color="auto" w:fill="auto"/>
            <w:noWrap/>
            <w:vAlign w:val="center"/>
          </w:tcPr>
          <w:p w14:paraId="5D3F43E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0.8842</w:t>
            </w:r>
          </w:p>
        </w:tc>
        <w:tc>
          <w:tcPr>
            <w:tcW w:w="634" w:type="pct"/>
            <w:shd w:val="clear" w:color="auto" w:fill="auto"/>
            <w:vAlign w:val="center"/>
          </w:tcPr>
          <w:p w14:paraId="5F1D4D6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6.8 </w:t>
            </w:r>
          </w:p>
        </w:tc>
        <w:tc>
          <w:tcPr>
            <w:tcW w:w="526" w:type="pct"/>
            <w:shd w:val="clear" w:color="auto" w:fill="auto"/>
            <w:noWrap/>
            <w:vAlign w:val="center"/>
          </w:tcPr>
          <w:p w14:paraId="022E9F9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0.875</w:t>
            </w:r>
          </w:p>
        </w:tc>
        <w:tc>
          <w:tcPr>
            <w:tcW w:w="634" w:type="pct"/>
            <w:shd w:val="clear" w:color="auto" w:fill="auto"/>
            <w:noWrap/>
            <w:vAlign w:val="center"/>
          </w:tcPr>
          <w:p w14:paraId="51AD286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0.8486</w:t>
            </w:r>
          </w:p>
        </w:tc>
        <w:tc>
          <w:tcPr>
            <w:tcW w:w="634" w:type="pct"/>
            <w:shd w:val="clear" w:color="auto" w:fill="auto"/>
            <w:noWrap/>
            <w:vAlign w:val="center"/>
          </w:tcPr>
          <w:p w14:paraId="7AF44C1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0.6835</w:t>
            </w:r>
          </w:p>
        </w:tc>
      </w:tr>
      <w:tr w14:paraId="7E57A7B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341FEC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2.4 </w:t>
            </w:r>
          </w:p>
        </w:tc>
        <w:tc>
          <w:tcPr>
            <w:tcW w:w="590" w:type="pct"/>
            <w:shd w:val="clear" w:color="auto" w:fill="auto"/>
            <w:noWrap/>
            <w:vAlign w:val="center"/>
          </w:tcPr>
          <w:p w14:paraId="25D85AA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1.0078</w:t>
            </w:r>
          </w:p>
        </w:tc>
        <w:tc>
          <w:tcPr>
            <w:tcW w:w="673" w:type="pct"/>
            <w:shd w:val="clear" w:color="auto" w:fill="auto"/>
            <w:noWrap/>
            <w:vAlign w:val="center"/>
          </w:tcPr>
          <w:p w14:paraId="781ABF9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1.0092</w:t>
            </w:r>
          </w:p>
        </w:tc>
        <w:tc>
          <w:tcPr>
            <w:tcW w:w="673" w:type="pct"/>
            <w:shd w:val="clear" w:color="auto" w:fill="auto"/>
            <w:noWrap/>
            <w:vAlign w:val="center"/>
          </w:tcPr>
          <w:p w14:paraId="3535C90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0.8733</w:t>
            </w:r>
          </w:p>
        </w:tc>
        <w:tc>
          <w:tcPr>
            <w:tcW w:w="634" w:type="pct"/>
            <w:shd w:val="clear" w:color="auto" w:fill="auto"/>
            <w:vAlign w:val="center"/>
          </w:tcPr>
          <w:p w14:paraId="6B6E911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6.9 </w:t>
            </w:r>
          </w:p>
        </w:tc>
        <w:tc>
          <w:tcPr>
            <w:tcW w:w="526" w:type="pct"/>
            <w:shd w:val="clear" w:color="auto" w:fill="auto"/>
            <w:noWrap/>
            <w:vAlign w:val="center"/>
          </w:tcPr>
          <w:p w14:paraId="0BC242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0.8733</w:t>
            </w:r>
          </w:p>
        </w:tc>
        <w:tc>
          <w:tcPr>
            <w:tcW w:w="634" w:type="pct"/>
            <w:shd w:val="clear" w:color="auto" w:fill="auto"/>
            <w:noWrap/>
            <w:vAlign w:val="center"/>
          </w:tcPr>
          <w:p w14:paraId="3672AD1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0.8465</w:t>
            </w:r>
          </w:p>
        </w:tc>
        <w:tc>
          <w:tcPr>
            <w:tcW w:w="634" w:type="pct"/>
            <w:shd w:val="clear" w:color="auto" w:fill="auto"/>
            <w:noWrap/>
            <w:vAlign w:val="center"/>
          </w:tcPr>
          <w:p w14:paraId="686824C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0.6809</w:t>
            </w:r>
          </w:p>
        </w:tc>
      </w:tr>
      <w:tr w14:paraId="3C20B2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3C9943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2.5 </w:t>
            </w:r>
          </w:p>
        </w:tc>
        <w:tc>
          <w:tcPr>
            <w:tcW w:w="590" w:type="pct"/>
            <w:shd w:val="clear" w:color="auto" w:fill="auto"/>
            <w:noWrap/>
            <w:vAlign w:val="center"/>
          </w:tcPr>
          <w:p w14:paraId="6746A9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673" w:type="pct"/>
            <w:shd w:val="clear" w:color="auto" w:fill="auto"/>
            <w:noWrap/>
            <w:vAlign w:val="center"/>
          </w:tcPr>
          <w:p w14:paraId="1CD66A2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673" w:type="pct"/>
            <w:shd w:val="clear" w:color="auto" w:fill="auto"/>
            <w:noWrap/>
            <w:vAlign w:val="center"/>
          </w:tcPr>
          <w:p w14:paraId="68B3962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0.863</w:t>
            </w:r>
          </w:p>
        </w:tc>
        <w:tc>
          <w:tcPr>
            <w:tcW w:w="634" w:type="pct"/>
            <w:shd w:val="clear" w:color="auto" w:fill="auto"/>
            <w:vAlign w:val="center"/>
          </w:tcPr>
          <w:p w14:paraId="4C9498F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7.0 </w:t>
            </w:r>
          </w:p>
        </w:tc>
        <w:tc>
          <w:tcPr>
            <w:tcW w:w="526" w:type="pct"/>
            <w:shd w:val="clear" w:color="auto" w:fill="auto"/>
            <w:noWrap/>
            <w:vAlign w:val="center"/>
          </w:tcPr>
          <w:p w14:paraId="7BBDB9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0.8717</w:t>
            </w:r>
          </w:p>
        </w:tc>
        <w:tc>
          <w:tcPr>
            <w:tcW w:w="634" w:type="pct"/>
            <w:shd w:val="clear" w:color="auto" w:fill="auto"/>
            <w:noWrap/>
            <w:vAlign w:val="center"/>
          </w:tcPr>
          <w:p w14:paraId="3877394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0.8445</w:t>
            </w:r>
          </w:p>
        </w:tc>
        <w:tc>
          <w:tcPr>
            <w:tcW w:w="634" w:type="pct"/>
            <w:shd w:val="clear" w:color="auto" w:fill="auto"/>
            <w:noWrap/>
            <w:vAlign w:val="center"/>
          </w:tcPr>
          <w:p w14:paraId="50DCA7D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0.6783</w:t>
            </w:r>
          </w:p>
        </w:tc>
      </w:tr>
      <w:tr w14:paraId="48713E1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D5ADA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2.6 </w:t>
            </w:r>
          </w:p>
        </w:tc>
        <w:tc>
          <w:tcPr>
            <w:tcW w:w="590" w:type="pct"/>
            <w:shd w:val="clear" w:color="auto" w:fill="auto"/>
            <w:noWrap/>
            <w:vAlign w:val="center"/>
          </w:tcPr>
          <w:p w14:paraId="317F91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0.9927</w:t>
            </w:r>
          </w:p>
        </w:tc>
        <w:tc>
          <w:tcPr>
            <w:tcW w:w="673" w:type="pct"/>
            <w:shd w:val="clear" w:color="auto" w:fill="auto"/>
            <w:noWrap/>
            <w:vAlign w:val="center"/>
          </w:tcPr>
          <w:p w14:paraId="05F3C39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0.9914</w:t>
            </w:r>
          </w:p>
        </w:tc>
        <w:tc>
          <w:tcPr>
            <w:tcW w:w="673" w:type="pct"/>
            <w:shd w:val="clear" w:color="auto" w:fill="auto"/>
            <w:noWrap/>
            <w:vAlign w:val="center"/>
          </w:tcPr>
          <w:p w14:paraId="73A2C6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0.8534</w:t>
            </w:r>
          </w:p>
        </w:tc>
        <w:tc>
          <w:tcPr>
            <w:tcW w:w="634" w:type="pct"/>
            <w:shd w:val="clear" w:color="auto" w:fill="auto"/>
            <w:vAlign w:val="center"/>
          </w:tcPr>
          <w:p w14:paraId="469C7C0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7.1 </w:t>
            </w:r>
          </w:p>
        </w:tc>
        <w:tc>
          <w:tcPr>
            <w:tcW w:w="526" w:type="pct"/>
            <w:shd w:val="clear" w:color="auto" w:fill="auto"/>
            <w:noWrap/>
            <w:vAlign w:val="center"/>
          </w:tcPr>
          <w:p w14:paraId="7C4E552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0.8701</w:t>
            </w:r>
          </w:p>
        </w:tc>
        <w:tc>
          <w:tcPr>
            <w:tcW w:w="634" w:type="pct"/>
            <w:shd w:val="clear" w:color="auto" w:fill="auto"/>
            <w:noWrap/>
            <w:vAlign w:val="center"/>
          </w:tcPr>
          <w:p w14:paraId="6426BA9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0.8425</w:t>
            </w:r>
          </w:p>
        </w:tc>
        <w:tc>
          <w:tcPr>
            <w:tcW w:w="634" w:type="pct"/>
            <w:shd w:val="clear" w:color="auto" w:fill="auto"/>
            <w:noWrap/>
            <w:vAlign w:val="center"/>
          </w:tcPr>
          <w:p w14:paraId="3CD167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0.6757</w:t>
            </w:r>
          </w:p>
        </w:tc>
      </w:tr>
      <w:tr w14:paraId="7F6A756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B689A8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2.7 </w:t>
            </w:r>
          </w:p>
        </w:tc>
        <w:tc>
          <w:tcPr>
            <w:tcW w:w="590" w:type="pct"/>
            <w:shd w:val="clear" w:color="auto" w:fill="auto"/>
            <w:noWrap/>
            <w:vAlign w:val="center"/>
          </w:tcPr>
          <w:p w14:paraId="36FE000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0.9858</w:t>
            </w:r>
          </w:p>
        </w:tc>
        <w:tc>
          <w:tcPr>
            <w:tcW w:w="673" w:type="pct"/>
            <w:shd w:val="clear" w:color="auto" w:fill="auto"/>
            <w:noWrap/>
            <w:vAlign w:val="center"/>
          </w:tcPr>
          <w:p w14:paraId="49538FC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0.9833</w:t>
            </w:r>
          </w:p>
        </w:tc>
        <w:tc>
          <w:tcPr>
            <w:tcW w:w="673" w:type="pct"/>
            <w:shd w:val="clear" w:color="auto" w:fill="auto"/>
            <w:noWrap/>
            <w:vAlign w:val="center"/>
          </w:tcPr>
          <w:p w14:paraId="25BF24C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0.8444</w:t>
            </w:r>
          </w:p>
        </w:tc>
        <w:tc>
          <w:tcPr>
            <w:tcW w:w="634" w:type="pct"/>
            <w:shd w:val="clear" w:color="auto" w:fill="auto"/>
            <w:vAlign w:val="center"/>
          </w:tcPr>
          <w:p w14:paraId="30F2A03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7.2 </w:t>
            </w:r>
          </w:p>
        </w:tc>
        <w:tc>
          <w:tcPr>
            <w:tcW w:w="526" w:type="pct"/>
            <w:shd w:val="clear" w:color="auto" w:fill="auto"/>
            <w:noWrap/>
            <w:vAlign w:val="center"/>
          </w:tcPr>
          <w:p w14:paraId="66F9211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0.8685</w:t>
            </w:r>
          </w:p>
        </w:tc>
        <w:tc>
          <w:tcPr>
            <w:tcW w:w="634" w:type="pct"/>
            <w:shd w:val="clear" w:color="auto" w:fill="auto"/>
            <w:noWrap/>
            <w:vAlign w:val="center"/>
          </w:tcPr>
          <w:p w14:paraId="7E784C2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0.8405</w:t>
            </w:r>
          </w:p>
        </w:tc>
        <w:tc>
          <w:tcPr>
            <w:tcW w:w="634" w:type="pct"/>
            <w:shd w:val="clear" w:color="auto" w:fill="auto"/>
            <w:noWrap/>
            <w:vAlign w:val="center"/>
          </w:tcPr>
          <w:p w14:paraId="680E15E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0.6731</w:t>
            </w:r>
          </w:p>
        </w:tc>
      </w:tr>
      <w:tr w14:paraId="0A58B8D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227361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2.8 </w:t>
            </w:r>
          </w:p>
        </w:tc>
        <w:tc>
          <w:tcPr>
            <w:tcW w:w="590" w:type="pct"/>
            <w:shd w:val="clear" w:color="auto" w:fill="auto"/>
            <w:noWrap/>
            <w:vAlign w:val="center"/>
          </w:tcPr>
          <w:p w14:paraId="25527D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0.9794</w:t>
            </w:r>
          </w:p>
        </w:tc>
        <w:tc>
          <w:tcPr>
            <w:tcW w:w="673" w:type="pct"/>
            <w:shd w:val="clear" w:color="auto" w:fill="auto"/>
            <w:noWrap/>
            <w:vAlign w:val="center"/>
          </w:tcPr>
          <w:p w14:paraId="68AD0D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0.9757</w:t>
            </w:r>
          </w:p>
        </w:tc>
        <w:tc>
          <w:tcPr>
            <w:tcW w:w="673" w:type="pct"/>
            <w:shd w:val="clear" w:color="auto" w:fill="auto"/>
            <w:noWrap/>
            <w:vAlign w:val="center"/>
          </w:tcPr>
          <w:p w14:paraId="51DC667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0.836</w:t>
            </w:r>
          </w:p>
        </w:tc>
        <w:tc>
          <w:tcPr>
            <w:tcW w:w="634" w:type="pct"/>
            <w:shd w:val="clear" w:color="auto" w:fill="auto"/>
            <w:vAlign w:val="center"/>
          </w:tcPr>
          <w:p w14:paraId="0F5338F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7.3 </w:t>
            </w:r>
          </w:p>
        </w:tc>
        <w:tc>
          <w:tcPr>
            <w:tcW w:w="526" w:type="pct"/>
            <w:shd w:val="clear" w:color="auto" w:fill="auto"/>
            <w:noWrap/>
            <w:vAlign w:val="center"/>
          </w:tcPr>
          <w:p w14:paraId="06BD713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0.8669</w:t>
            </w:r>
          </w:p>
        </w:tc>
        <w:tc>
          <w:tcPr>
            <w:tcW w:w="634" w:type="pct"/>
            <w:shd w:val="clear" w:color="auto" w:fill="auto"/>
            <w:noWrap/>
            <w:vAlign w:val="center"/>
          </w:tcPr>
          <w:p w14:paraId="2CAD0CC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0.8385</w:t>
            </w:r>
          </w:p>
        </w:tc>
        <w:tc>
          <w:tcPr>
            <w:tcW w:w="634" w:type="pct"/>
            <w:shd w:val="clear" w:color="auto" w:fill="auto"/>
            <w:noWrap/>
            <w:vAlign w:val="center"/>
          </w:tcPr>
          <w:p w14:paraId="05CFA77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0.6706</w:t>
            </w:r>
          </w:p>
        </w:tc>
      </w:tr>
      <w:tr w14:paraId="502064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8B872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2.9 </w:t>
            </w:r>
          </w:p>
        </w:tc>
        <w:tc>
          <w:tcPr>
            <w:tcW w:w="590" w:type="pct"/>
            <w:shd w:val="clear" w:color="auto" w:fill="auto"/>
            <w:noWrap/>
            <w:vAlign w:val="center"/>
          </w:tcPr>
          <w:p w14:paraId="2711CE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0.9735</w:t>
            </w:r>
          </w:p>
        </w:tc>
        <w:tc>
          <w:tcPr>
            <w:tcW w:w="673" w:type="pct"/>
            <w:shd w:val="clear" w:color="auto" w:fill="auto"/>
            <w:noWrap/>
            <w:vAlign w:val="center"/>
          </w:tcPr>
          <w:p w14:paraId="71335E7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0.9687</w:t>
            </w:r>
          </w:p>
        </w:tc>
        <w:tc>
          <w:tcPr>
            <w:tcW w:w="673" w:type="pct"/>
            <w:shd w:val="clear" w:color="auto" w:fill="auto"/>
            <w:noWrap/>
            <w:vAlign w:val="center"/>
          </w:tcPr>
          <w:p w14:paraId="5ABB4F2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0.8282</w:t>
            </w:r>
          </w:p>
        </w:tc>
        <w:tc>
          <w:tcPr>
            <w:tcW w:w="634" w:type="pct"/>
            <w:shd w:val="clear" w:color="auto" w:fill="auto"/>
            <w:vAlign w:val="center"/>
          </w:tcPr>
          <w:p w14:paraId="5ED92C5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7.4 </w:t>
            </w:r>
          </w:p>
        </w:tc>
        <w:tc>
          <w:tcPr>
            <w:tcW w:w="526" w:type="pct"/>
            <w:shd w:val="clear" w:color="auto" w:fill="auto"/>
            <w:noWrap/>
            <w:vAlign w:val="center"/>
          </w:tcPr>
          <w:p w14:paraId="4C85F76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0.8653</w:t>
            </w:r>
          </w:p>
        </w:tc>
        <w:tc>
          <w:tcPr>
            <w:tcW w:w="634" w:type="pct"/>
            <w:shd w:val="clear" w:color="auto" w:fill="auto"/>
            <w:noWrap/>
            <w:vAlign w:val="center"/>
          </w:tcPr>
          <w:p w14:paraId="4A709A9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0.8365</w:t>
            </w:r>
          </w:p>
        </w:tc>
        <w:tc>
          <w:tcPr>
            <w:tcW w:w="634" w:type="pct"/>
            <w:shd w:val="clear" w:color="auto" w:fill="auto"/>
            <w:noWrap/>
            <w:vAlign w:val="center"/>
          </w:tcPr>
          <w:p w14:paraId="5CE81F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0.6681</w:t>
            </w:r>
          </w:p>
        </w:tc>
      </w:tr>
      <w:tr w14:paraId="5A66D58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5CA22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3.0 </w:t>
            </w:r>
          </w:p>
        </w:tc>
        <w:tc>
          <w:tcPr>
            <w:tcW w:w="590" w:type="pct"/>
            <w:shd w:val="clear" w:color="auto" w:fill="auto"/>
            <w:noWrap/>
            <w:vAlign w:val="center"/>
          </w:tcPr>
          <w:p w14:paraId="36AD204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0.9679</w:t>
            </w:r>
          </w:p>
        </w:tc>
        <w:tc>
          <w:tcPr>
            <w:tcW w:w="673" w:type="pct"/>
            <w:shd w:val="clear" w:color="auto" w:fill="auto"/>
            <w:noWrap/>
            <w:vAlign w:val="center"/>
          </w:tcPr>
          <w:p w14:paraId="2ABCDC0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0.9621</w:t>
            </w:r>
          </w:p>
        </w:tc>
        <w:tc>
          <w:tcPr>
            <w:tcW w:w="673" w:type="pct"/>
            <w:shd w:val="clear" w:color="auto" w:fill="auto"/>
            <w:noWrap/>
            <w:vAlign w:val="center"/>
          </w:tcPr>
          <w:p w14:paraId="2A51B8E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0.8208</w:t>
            </w:r>
          </w:p>
        </w:tc>
        <w:tc>
          <w:tcPr>
            <w:tcW w:w="634" w:type="pct"/>
            <w:shd w:val="clear" w:color="auto" w:fill="auto"/>
            <w:vAlign w:val="center"/>
          </w:tcPr>
          <w:p w14:paraId="1C2F773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7.5 </w:t>
            </w:r>
          </w:p>
        </w:tc>
        <w:tc>
          <w:tcPr>
            <w:tcW w:w="526" w:type="pct"/>
            <w:shd w:val="clear" w:color="auto" w:fill="auto"/>
            <w:noWrap/>
            <w:vAlign w:val="center"/>
          </w:tcPr>
          <w:p w14:paraId="63FE72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0.8637</w:t>
            </w:r>
          </w:p>
        </w:tc>
        <w:tc>
          <w:tcPr>
            <w:tcW w:w="634" w:type="pct"/>
            <w:shd w:val="clear" w:color="auto" w:fill="auto"/>
            <w:noWrap/>
            <w:vAlign w:val="center"/>
          </w:tcPr>
          <w:p w14:paraId="338E629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0.8346</w:t>
            </w:r>
          </w:p>
        </w:tc>
        <w:tc>
          <w:tcPr>
            <w:tcW w:w="634" w:type="pct"/>
            <w:shd w:val="clear" w:color="auto" w:fill="auto"/>
            <w:noWrap/>
            <w:vAlign w:val="center"/>
          </w:tcPr>
          <w:p w14:paraId="786875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0.6656</w:t>
            </w:r>
          </w:p>
        </w:tc>
      </w:tr>
      <w:tr w14:paraId="5F43FC9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61AFF7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3.1 </w:t>
            </w:r>
          </w:p>
        </w:tc>
        <w:tc>
          <w:tcPr>
            <w:tcW w:w="590" w:type="pct"/>
            <w:shd w:val="clear" w:color="auto" w:fill="auto"/>
            <w:noWrap/>
            <w:vAlign w:val="center"/>
          </w:tcPr>
          <w:p w14:paraId="44C6C35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0.9627</w:t>
            </w:r>
          </w:p>
        </w:tc>
        <w:tc>
          <w:tcPr>
            <w:tcW w:w="673" w:type="pct"/>
            <w:shd w:val="clear" w:color="auto" w:fill="auto"/>
            <w:noWrap/>
            <w:vAlign w:val="center"/>
          </w:tcPr>
          <w:p w14:paraId="1840649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0.9559</w:t>
            </w:r>
          </w:p>
        </w:tc>
        <w:tc>
          <w:tcPr>
            <w:tcW w:w="673" w:type="pct"/>
            <w:shd w:val="clear" w:color="auto" w:fill="auto"/>
            <w:noWrap/>
            <w:vAlign w:val="center"/>
          </w:tcPr>
          <w:p w14:paraId="795F4D4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0.8139</w:t>
            </w:r>
          </w:p>
        </w:tc>
        <w:tc>
          <w:tcPr>
            <w:tcW w:w="634" w:type="pct"/>
            <w:shd w:val="clear" w:color="auto" w:fill="auto"/>
            <w:vAlign w:val="center"/>
          </w:tcPr>
          <w:p w14:paraId="582513A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7.6</w:t>
            </w:r>
          </w:p>
        </w:tc>
        <w:tc>
          <w:tcPr>
            <w:tcW w:w="526" w:type="pct"/>
            <w:shd w:val="clear" w:color="auto" w:fill="auto"/>
            <w:noWrap/>
            <w:vAlign w:val="center"/>
          </w:tcPr>
          <w:p w14:paraId="2170E78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0.8622</w:t>
            </w:r>
          </w:p>
        </w:tc>
        <w:tc>
          <w:tcPr>
            <w:tcW w:w="634" w:type="pct"/>
            <w:shd w:val="clear" w:color="auto" w:fill="auto"/>
            <w:noWrap/>
            <w:vAlign w:val="center"/>
          </w:tcPr>
          <w:p w14:paraId="036F26C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0.8327</w:t>
            </w:r>
          </w:p>
        </w:tc>
        <w:tc>
          <w:tcPr>
            <w:tcW w:w="634" w:type="pct"/>
            <w:shd w:val="clear" w:color="auto" w:fill="auto"/>
            <w:noWrap/>
            <w:vAlign w:val="center"/>
          </w:tcPr>
          <w:p w14:paraId="5A2F2FA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0.6631</w:t>
            </w:r>
          </w:p>
        </w:tc>
      </w:tr>
      <w:tr w14:paraId="07DDF08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E3D64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3.2 </w:t>
            </w:r>
          </w:p>
        </w:tc>
        <w:tc>
          <w:tcPr>
            <w:tcW w:w="590" w:type="pct"/>
            <w:shd w:val="clear" w:color="auto" w:fill="auto"/>
            <w:noWrap/>
            <w:vAlign w:val="center"/>
          </w:tcPr>
          <w:p w14:paraId="243BC4B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0.9579</w:t>
            </w:r>
          </w:p>
        </w:tc>
        <w:tc>
          <w:tcPr>
            <w:tcW w:w="673" w:type="pct"/>
            <w:shd w:val="clear" w:color="auto" w:fill="auto"/>
            <w:noWrap/>
            <w:vAlign w:val="center"/>
          </w:tcPr>
          <w:p w14:paraId="23F675A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0.9502</w:t>
            </w:r>
          </w:p>
        </w:tc>
        <w:tc>
          <w:tcPr>
            <w:tcW w:w="673" w:type="pct"/>
            <w:shd w:val="clear" w:color="auto" w:fill="auto"/>
            <w:noWrap/>
            <w:vAlign w:val="center"/>
          </w:tcPr>
          <w:p w14:paraId="410D357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0.8075</w:t>
            </w:r>
          </w:p>
        </w:tc>
        <w:tc>
          <w:tcPr>
            <w:tcW w:w="634" w:type="pct"/>
            <w:shd w:val="clear" w:color="auto" w:fill="auto"/>
            <w:vAlign w:val="center"/>
          </w:tcPr>
          <w:p w14:paraId="32C97C0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7.7 </w:t>
            </w:r>
          </w:p>
        </w:tc>
        <w:tc>
          <w:tcPr>
            <w:tcW w:w="526" w:type="pct"/>
            <w:shd w:val="clear" w:color="auto" w:fill="auto"/>
            <w:noWrap/>
            <w:vAlign w:val="center"/>
          </w:tcPr>
          <w:p w14:paraId="76A842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0.8607</w:t>
            </w:r>
          </w:p>
        </w:tc>
        <w:tc>
          <w:tcPr>
            <w:tcW w:w="634" w:type="pct"/>
            <w:shd w:val="clear" w:color="auto" w:fill="auto"/>
            <w:noWrap/>
            <w:vAlign w:val="center"/>
          </w:tcPr>
          <w:p w14:paraId="301100C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0.8308</w:t>
            </w:r>
          </w:p>
        </w:tc>
        <w:tc>
          <w:tcPr>
            <w:tcW w:w="634" w:type="pct"/>
            <w:shd w:val="clear" w:color="auto" w:fill="auto"/>
            <w:noWrap/>
            <w:vAlign w:val="center"/>
          </w:tcPr>
          <w:p w14:paraId="175736C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0.6607</w:t>
            </w:r>
          </w:p>
        </w:tc>
      </w:tr>
      <w:tr w14:paraId="5E12B3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68620CC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3.3 </w:t>
            </w:r>
          </w:p>
        </w:tc>
        <w:tc>
          <w:tcPr>
            <w:tcW w:w="590" w:type="pct"/>
            <w:shd w:val="clear" w:color="auto" w:fill="auto"/>
            <w:noWrap/>
            <w:vAlign w:val="center"/>
          </w:tcPr>
          <w:p w14:paraId="14918AB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0.9534</w:t>
            </w:r>
          </w:p>
        </w:tc>
        <w:tc>
          <w:tcPr>
            <w:tcW w:w="673" w:type="pct"/>
            <w:shd w:val="clear" w:color="auto" w:fill="auto"/>
            <w:noWrap/>
            <w:vAlign w:val="center"/>
          </w:tcPr>
          <w:p w14:paraId="2E84109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0.9448</w:t>
            </w:r>
          </w:p>
        </w:tc>
        <w:tc>
          <w:tcPr>
            <w:tcW w:w="673" w:type="pct"/>
            <w:shd w:val="clear" w:color="auto" w:fill="auto"/>
            <w:noWrap/>
            <w:vAlign w:val="center"/>
          </w:tcPr>
          <w:p w14:paraId="1B7E00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0.8015</w:t>
            </w:r>
          </w:p>
        </w:tc>
        <w:tc>
          <w:tcPr>
            <w:tcW w:w="634" w:type="pct"/>
            <w:shd w:val="clear" w:color="auto" w:fill="auto"/>
            <w:vAlign w:val="center"/>
          </w:tcPr>
          <w:p w14:paraId="4BF905B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7.8 </w:t>
            </w:r>
          </w:p>
        </w:tc>
        <w:tc>
          <w:tcPr>
            <w:tcW w:w="526" w:type="pct"/>
            <w:shd w:val="clear" w:color="auto" w:fill="auto"/>
            <w:noWrap/>
            <w:vAlign w:val="center"/>
          </w:tcPr>
          <w:p w14:paraId="2B5BFC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0.8592</w:t>
            </w:r>
          </w:p>
        </w:tc>
        <w:tc>
          <w:tcPr>
            <w:tcW w:w="634" w:type="pct"/>
            <w:shd w:val="clear" w:color="auto" w:fill="auto"/>
            <w:noWrap/>
            <w:vAlign w:val="center"/>
          </w:tcPr>
          <w:p w14:paraId="02F6FE6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0.8289</w:t>
            </w:r>
          </w:p>
        </w:tc>
        <w:tc>
          <w:tcPr>
            <w:tcW w:w="634" w:type="pct"/>
            <w:shd w:val="clear" w:color="auto" w:fill="auto"/>
            <w:noWrap/>
            <w:vAlign w:val="center"/>
          </w:tcPr>
          <w:p w14:paraId="588AC0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0.6583</w:t>
            </w:r>
          </w:p>
        </w:tc>
      </w:tr>
      <w:tr w14:paraId="5FA017E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E70426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3.4 </w:t>
            </w:r>
          </w:p>
        </w:tc>
        <w:tc>
          <w:tcPr>
            <w:tcW w:w="590" w:type="pct"/>
            <w:shd w:val="clear" w:color="auto" w:fill="auto"/>
            <w:noWrap/>
            <w:vAlign w:val="center"/>
          </w:tcPr>
          <w:p w14:paraId="03B1263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0.9492</w:t>
            </w:r>
          </w:p>
        </w:tc>
        <w:tc>
          <w:tcPr>
            <w:tcW w:w="673" w:type="pct"/>
            <w:shd w:val="clear" w:color="auto" w:fill="auto"/>
            <w:noWrap/>
            <w:vAlign w:val="center"/>
          </w:tcPr>
          <w:p w14:paraId="3E13E4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0.9399</w:t>
            </w:r>
          </w:p>
        </w:tc>
        <w:tc>
          <w:tcPr>
            <w:tcW w:w="673" w:type="pct"/>
            <w:shd w:val="clear" w:color="auto" w:fill="auto"/>
            <w:noWrap/>
            <w:vAlign w:val="center"/>
          </w:tcPr>
          <w:p w14:paraId="1C41FC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0.7959</w:t>
            </w:r>
          </w:p>
        </w:tc>
        <w:tc>
          <w:tcPr>
            <w:tcW w:w="634" w:type="pct"/>
            <w:shd w:val="clear" w:color="auto" w:fill="auto"/>
            <w:vAlign w:val="center"/>
          </w:tcPr>
          <w:p w14:paraId="2A8112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7.9 </w:t>
            </w:r>
          </w:p>
        </w:tc>
        <w:tc>
          <w:tcPr>
            <w:tcW w:w="526" w:type="pct"/>
            <w:shd w:val="clear" w:color="auto" w:fill="auto"/>
            <w:noWrap/>
            <w:vAlign w:val="center"/>
          </w:tcPr>
          <w:p w14:paraId="349F064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0.8577</w:t>
            </w:r>
          </w:p>
        </w:tc>
        <w:tc>
          <w:tcPr>
            <w:tcW w:w="634" w:type="pct"/>
            <w:shd w:val="clear" w:color="auto" w:fill="auto"/>
            <w:noWrap/>
            <w:vAlign w:val="center"/>
          </w:tcPr>
          <w:p w14:paraId="53C054B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0.827</w:t>
            </w:r>
          </w:p>
        </w:tc>
        <w:tc>
          <w:tcPr>
            <w:tcW w:w="634" w:type="pct"/>
            <w:shd w:val="clear" w:color="auto" w:fill="auto"/>
            <w:noWrap/>
            <w:vAlign w:val="center"/>
          </w:tcPr>
          <w:p w14:paraId="147ECD8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0.6559</w:t>
            </w:r>
          </w:p>
        </w:tc>
      </w:tr>
      <w:tr w14:paraId="0A6AF5B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BC1BA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3.5 </w:t>
            </w:r>
          </w:p>
        </w:tc>
        <w:tc>
          <w:tcPr>
            <w:tcW w:w="590" w:type="pct"/>
            <w:shd w:val="clear" w:color="auto" w:fill="auto"/>
            <w:noWrap/>
            <w:vAlign w:val="center"/>
          </w:tcPr>
          <w:p w14:paraId="721EB7E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0.9454</w:t>
            </w:r>
          </w:p>
        </w:tc>
        <w:tc>
          <w:tcPr>
            <w:tcW w:w="673" w:type="pct"/>
            <w:shd w:val="clear" w:color="auto" w:fill="auto"/>
            <w:noWrap/>
            <w:vAlign w:val="center"/>
          </w:tcPr>
          <w:p w14:paraId="1F82A68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0.9352</w:t>
            </w:r>
          </w:p>
        </w:tc>
        <w:tc>
          <w:tcPr>
            <w:tcW w:w="673" w:type="pct"/>
            <w:shd w:val="clear" w:color="auto" w:fill="auto"/>
            <w:noWrap/>
            <w:vAlign w:val="center"/>
          </w:tcPr>
          <w:p w14:paraId="723AB80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0.7906</w:t>
            </w:r>
          </w:p>
        </w:tc>
        <w:tc>
          <w:tcPr>
            <w:tcW w:w="634" w:type="pct"/>
            <w:shd w:val="clear" w:color="auto" w:fill="auto"/>
            <w:vAlign w:val="center"/>
          </w:tcPr>
          <w:p w14:paraId="51B370A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8.0 </w:t>
            </w:r>
          </w:p>
        </w:tc>
        <w:tc>
          <w:tcPr>
            <w:tcW w:w="526" w:type="pct"/>
            <w:shd w:val="clear" w:color="auto" w:fill="auto"/>
            <w:noWrap/>
            <w:vAlign w:val="center"/>
          </w:tcPr>
          <w:p w14:paraId="6BF4F3C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0.8562</w:t>
            </w:r>
          </w:p>
        </w:tc>
        <w:tc>
          <w:tcPr>
            <w:tcW w:w="634" w:type="pct"/>
            <w:shd w:val="clear" w:color="auto" w:fill="auto"/>
            <w:noWrap/>
            <w:vAlign w:val="center"/>
          </w:tcPr>
          <w:p w14:paraId="2F382B7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0.8251</w:t>
            </w:r>
          </w:p>
        </w:tc>
        <w:tc>
          <w:tcPr>
            <w:tcW w:w="634" w:type="pct"/>
            <w:shd w:val="clear" w:color="auto" w:fill="auto"/>
            <w:noWrap/>
            <w:vAlign w:val="center"/>
          </w:tcPr>
          <w:p w14:paraId="18E7A9D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0.6535</w:t>
            </w:r>
          </w:p>
        </w:tc>
      </w:tr>
      <w:tr w14:paraId="270C48C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46072A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3.6 </w:t>
            </w:r>
          </w:p>
        </w:tc>
        <w:tc>
          <w:tcPr>
            <w:tcW w:w="590" w:type="pct"/>
            <w:shd w:val="clear" w:color="auto" w:fill="auto"/>
            <w:noWrap/>
            <w:vAlign w:val="center"/>
          </w:tcPr>
          <w:p w14:paraId="431C157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0.9418</w:t>
            </w:r>
          </w:p>
        </w:tc>
        <w:tc>
          <w:tcPr>
            <w:tcW w:w="673" w:type="pct"/>
            <w:shd w:val="clear" w:color="auto" w:fill="auto"/>
            <w:noWrap/>
            <w:vAlign w:val="center"/>
          </w:tcPr>
          <w:p w14:paraId="2771308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0.9309</w:t>
            </w:r>
          </w:p>
        </w:tc>
        <w:tc>
          <w:tcPr>
            <w:tcW w:w="673" w:type="pct"/>
            <w:shd w:val="clear" w:color="auto" w:fill="auto"/>
            <w:noWrap/>
            <w:vAlign w:val="center"/>
          </w:tcPr>
          <w:p w14:paraId="3C6090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0.7857</w:t>
            </w:r>
          </w:p>
        </w:tc>
        <w:tc>
          <w:tcPr>
            <w:tcW w:w="634" w:type="pct"/>
            <w:shd w:val="clear" w:color="auto" w:fill="auto"/>
            <w:vAlign w:val="center"/>
          </w:tcPr>
          <w:p w14:paraId="5F9DF56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8.1 </w:t>
            </w:r>
          </w:p>
        </w:tc>
        <w:tc>
          <w:tcPr>
            <w:tcW w:w="526" w:type="pct"/>
            <w:shd w:val="clear" w:color="auto" w:fill="auto"/>
            <w:noWrap/>
            <w:vAlign w:val="center"/>
          </w:tcPr>
          <w:p w14:paraId="49DD7B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0.8547</w:t>
            </w:r>
          </w:p>
        </w:tc>
        <w:tc>
          <w:tcPr>
            <w:tcW w:w="634" w:type="pct"/>
            <w:shd w:val="clear" w:color="auto" w:fill="auto"/>
            <w:noWrap/>
            <w:vAlign w:val="center"/>
          </w:tcPr>
          <w:p w14:paraId="50D568E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0.8233</w:t>
            </w:r>
          </w:p>
        </w:tc>
        <w:tc>
          <w:tcPr>
            <w:tcW w:w="634" w:type="pct"/>
            <w:shd w:val="clear" w:color="auto" w:fill="auto"/>
            <w:noWrap/>
            <w:vAlign w:val="center"/>
          </w:tcPr>
          <w:p w14:paraId="2626515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0.6512</w:t>
            </w:r>
          </w:p>
        </w:tc>
      </w:tr>
      <w:tr w14:paraId="562B4B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D500A8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3.7 </w:t>
            </w:r>
          </w:p>
        </w:tc>
        <w:tc>
          <w:tcPr>
            <w:tcW w:w="590" w:type="pct"/>
            <w:shd w:val="clear" w:color="auto" w:fill="auto"/>
            <w:noWrap/>
            <w:vAlign w:val="center"/>
          </w:tcPr>
          <w:p w14:paraId="22AFAA0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0.9384</w:t>
            </w:r>
          </w:p>
        </w:tc>
        <w:tc>
          <w:tcPr>
            <w:tcW w:w="673" w:type="pct"/>
            <w:shd w:val="clear" w:color="auto" w:fill="auto"/>
            <w:noWrap/>
            <w:vAlign w:val="center"/>
          </w:tcPr>
          <w:p w14:paraId="481B1DC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0.9269</w:t>
            </w:r>
          </w:p>
        </w:tc>
        <w:tc>
          <w:tcPr>
            <w:tcW w:w="673" w:type="pct"/>
            <w:shd w:val="clear" w:color="auto" w:fill="auto"/>
            <w:noWrap/>
            <w:vAlign w:val="center"/>
          </w:tcPr>
          <w:p w14:paraId="5352DE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0.7811</w:t>
            </w:r>
          </w:p>
        </w:tc>
        <w:tc>
          <w:tcPr>
            <w:tcW w:w="634" w:type="pct"/>
            <w:shd w:val="clear" w:color="auto" w:fill="auto"/>
            <w:vAlign w:val="center"/>
          </w:tcPr>
          <w:p w14:paraId="2D33467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8.2 </w:t>
            </w:r>
          </w:p>
        </w:tc>
        <w:tc>
          <w:tcPr>
            <w:tcW w:w="526" w:type="pct"/>
            <w:shd w:val="clear" w:color="auto" w:fill="auto"/>
            <w:noWrap/>
            <w:vAlign w:val="center"/>
          </w:tcPr>
          <w:p w14:paraId="232403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0.8533</w:t>
            </w:r>
          </w:p>
        </w:tc>
        <w:tc>
          <w:tcPr>
            <w:tcW w:w="634" w:type="pct"/>
            <w:shd w:val="clear" w:color="auto" w:fill="auto"/>
            <w:noWrap/>
            <w:vAlign w:val="center"/>
          </w:tcPr>
          <w:p w14:paraId="379D7F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0.8215</w:t>
            </w:r>
          </w:p>
        </w:tc>
        <w:tc>
          <w:tcPr>
            <w:tcW w:w="634" w:type="pct"/>
            <w:shd w:val="clear" w:color="auto" w:fill="auto"/>
            <w:noWrap/>
            <w:vAlign w:val="center"/>
          </w:tcPr>
          <w:p w14:paraId="30415A2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0.6489</w:t>
            </w:r>
          </w:p>
        </w:tc>
      </w:tr>
      <w:tr w14:paraId="217EE4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609B5F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3.8 </w:t>
            </w:r>
          </w:p>
        </w:tc>
        <w:tc>
          <w:tcPr>
            <w:tcW w:w="590" w:type="pct"/>
            <w:shd w:val="clear" w:color="auto" w:fill="auto"/>
            <w:noWrap/>
            <w:vAlign w:val="center"/>
          </w:tcPr>
          <w:p w14:paraId="4D95F74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0.9353</w:t>
            </w:r>
          </w:p>
        </w:tc>
        <w:tc>
          <w:tcPr>
            <w:tcW w:w="673" w:type="pct"/>
            <w:shd w:val="clear" w:color="auto" w:fill="auto"/>
            <w:noWrap/>
            <w:vAlign w:val="center"/>
          </w:tcPr>
          <w:p w14:paraId="0D3B598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0.9231</w:t>
            </w:r>
          </w:p>
        </w:tc>
        <w:tc>
          <w:tcPr>
            <w:tcW w:w="673" w:type="pct"/>
            <w:shd w:val="clear" w:color="auto" w:fill="auto"/>
            <w:noWrap/>
            <w:vAlign w:val="center"/>
          </w:tcPr>
          <w:p w14:paraId="38E531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0.7768</w:t>
            </w:r>
          </w:p>
        </w:tc>
        <w:tc>
          <w:tcPr>
            <w:tcW w:w="634" w:type="pct"/>
            <w:shd w:val="clear" w:color="auto" w:fill="auto"/>
            <w:vAlign w:val="center"/>
          </w:tcPr>
          <w:p w14:paraId="4BAECFA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8.3 </w:t>
            </w:r>
          </w:p>
        </w:tc>
        <w:tc>
          <w:tcPr>
            <w:tcW w:w="526" w:type="pct"/>
            <w:shd w:val="clear" w:color="auto" w:fill="auto"/>
            <w:noWrap/>
            <w:vAlign w:val="center"/>
          </w:tcPr>
          <w:p w14:paraId="0C61EAE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0.8519</w:t>
            </w:r>
          </w:p>
        </w:tc>
        <w:tc>
          <w:tcPr>
            <w:tcW w:w="634" w:type="pct"/>
            <w:shd w:val="clear" w:color="auto" w:fill="auto"/>
            <w:noWrap/>
            <w:vAlign w:val="center"/>
          </w:tcPr>
          <w:p w14:paraId="237E601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0.8197</w:t>
            </w:r>
          </w:p>
        </w:tc>
        <w:tc>
          <w:tcPr>
            <w:tcW w:w="634" w:type="pct"/>
            <w:shd w:val="clear" w:color="auto" w:fill="auto"/>
            <w:noWrap/>
            <w:vAlign w:val="center"/>
          </w:tcPr>
          <w:p w14:paraId="42390B9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0.6466</w:t>
            </w:r>
          </w:p>
        </w:tc>
      </w:tr>
      <w:tr w14:paraId="2A79A3A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C013BB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3.9 </w:t>
            </w:r>
          </w:p>
        </w:tc>
        <w:tc>
          <w:tcPr>
            <w:tcW w:w="590" w:type="pct"/>
            <w:shd w:val="clear" w:color="auto" w:fill="auto"/>
            <w:noWrap/>
            <w:vAlign w:val="center"/>
          </w:tcPr>
          <w:p w14:paraId="765BE05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0.9324</w:t>
            </w:r>
          </w:p>
        </w:tc>
        <w:tc>
          <w:tcPr>
            <w:tcW w:w="673" w:type="pct"/>
            <w:shd w:val="clear" w:color="auto" w:fill="auto"/>
            <w:noWrap/>
            <w:vAlign w:val="center"/>
          </w:tcPr>
          <w:p w14:paraId="3DBB8C0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0.9196</w:t>
            </w:r>
          </w:p>
        </w:tc>
        <w:tc>
          <w:tcPr>
            <w:tcW w:w="673" w:type="pct"/>
            <w:shd w:val="clear" w:color="auto" w:fill="auto"/>
            <w:noWrap/>
            <w:vAlign w:val="center"/>
          </w:tcPr>
          <w:p w14:paraId="5EF6E6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0.7727</w:t>
            </w:r>
          </w:p>
        </w:tc>
        <w:tc>
          <w:tcPr>
            <w:tcW w:w="634" w:type="pct"/>
            <w:shd w:val="clear" w:color="auto" w:fill="auto"/>
            <w:vAlign w:val="center"/>
          </w:tcPr>
          <w:p w14:paraId="410875F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8.4 </w:t>
            </w:r>
          </w:p>
        </w:tc>
        <w:tc>
          <w:tcPr>
            <w:tcW w:w="526" w:type="pct"/>
            <w:shd w:val="clear" w:color="auto" w:fill="auto"/>
            <w:noWrap/>
            <w:vAlign w:val="center"/>
          </w:tcPr>
          <w:p w14:paraId="7CA165F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0.8505</w:t>
            </w:r>
          </w:p>
        </w:tc>
        <w:tc>
          <w:tcPr>
            <w:tcW w:w="634" w:type="pct"/>
            <w:shd w:val="clear" w:color="auto" w:fill="auto"/>
            <w:noWrap/>
            <w:vAlign w:val="center"/>
          </w:tcPr>
          <w:p w14:paraId="56D145D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0.8179</w:t>
            </w:r>
          </w:p>
        </w:tc>
        <w:tc>
          <w:tcPr>
            <w:tcW w:w="634" w:type="pct"/>
            <w:shd w:val="clear" w:color="auto" w:fill="auto"/>
            <w:noWrap/>
            <w:vAlign w:val="center"/>
          </w:tcPr>
          <w:p w14:paraId="3570264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0.6443</w:t>
            </w:r>
          </w:p>
        </w:tc>
      </w:tr>
      <w:tr w14:paraId="63E15FF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788DF9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4.0 </w:t>
            </w:r>
          </w:p>
        </w:tc>
        <w:tc>
          <w:tcPr>
            <w:tcW w:w="590" w:type="pct"/>
            <w:shd w:val="clear" w:color="auto" w:fill="auto"/>
            <w:noWrap/>
            <w:vAlign w:val="center"/>
          </w:tcPr>
          <w:p w14:paraId="78F58E9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0.9297</w:t>
            </w:r>
          </w:p>
        </w:tc>
        <w:tc>
          <w:tcPr>
            <w:tcW w:w="673" w:type="pct"/>
            <w:shd w:val="clear" w:color="auto" w:fill="auto"/>
            <w:noWrap/>
            <w:vAlign w:val="center"/>
          </w:tcPr>
          <w:p w14:paraId="7F6C640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0.9163</w:t>
            </w:r>
          </w:p>
        </w:tc>
        <w:tc>
          <w:tcPr>
            <w:tcW w:w="673" w:type="pct"/>
            <w:shd w:val="clear" w:color="auto" w:fill="auto"/>
            <w:noWrap/>
            <w:vAlign w:val="center"/>
          </w:tcPr>
          <w:p w14:paraId="7C45BE9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0.7688</w:t>
            </w:r>
          </w:p>
        </w:tc>
        <w:tc>
          <w:tcPr>
            <w:tcW w:w="634" w:type="pct"/>
            <w:shd w:val="clear" w:color="auto" w:fill="auto"/>
            <w:vAlign w:val="center"/>
          </w:tcPr>
          <w:p w14:paraId="1AADE8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8.5 </w:t>
            </w:r>
          </w:p>
        </w:tc>
        <w:tc>
          <w:tcPr>
            <w:tcW w:w="526" w:type="pct"/>
            <w:shd w:val="clear" w:color="auto" w:fill="auto"/>
            <w:noWrap/>
            <w:vAlign w:val="center"/>
          </w:tcPr>
          <w:p w14:paraId="1CD04A6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0.8491</w:t>
            </w:r>
          </w:p>
        </w:tc>
        <w:tc>
          <w:tcPr>
            <w:tcW w:w="634" w:type="pct"/>
            <w:shd w:val="clear" w:color="auto" w:fill="auto"/>
            <w:noWrap/>
            <w:vAlign w:val="center"/>
          </w:tcPr>
          <w:p w14:paraId="7DC2AA4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0.8161</w:t>
            </w:r>
          </w:p>
        </w:tc>
        <w:tc>
          <w:tcPr>
            <w:tcW w:w="634" w:type="pct"/>
            <w:shd w:val="clear" w:color="auto" w:fill="auto"/>
            <w:noWrap/>
            <w:vAlign w:val="center"/>
          </w:tcPr>
          <w:p w14:paraId="300C533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0.6421</w:t>
            </w:r>
          </w:p>
        </w:tc>
      </w:tr>
      <w:tr w14:paraId="3D38412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582A56C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4.1 </w:t>
            </w:r>
          </w:p>
        </w:tc>
        <w:tc>
          <w:tcPr>
            <w:tcW w:w="590" w:type="pct"/>
            <w:shd w:val="clear" w:color="auto" w:fill="auto"/>
            <w:noWrap/>
            <w:vAlign w:val="center"/>
          </w:tcPr>
          <w:p w14:paraId="6B50BD6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0.9272</w:t>
            </w:r>
          </w:p>
        </w:tc>
        <w:tc>
          <w:tcPr>
            <w:tcW w:w="673" w:type="pct"/>
            <w:shd w:val="clear" w:color="auto" w:fill="auto"/>
            <w:noWrap/>
            <w:vAlign w:val="center"/>
          </w:tcPr>
          <w:p w14:paraId="137FFF5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0.9132</w:t>
            </w:r>
          </w:p>
        </w:tc>
        <w:tc>
          <w:tcPr>
            <w:tcW w:w="673" w:type="pct"/>
            <w:shd w:val="clear" w:color="auto" w:fill="auto"/>
            <w:noWrap/>
            <w:vAlign w:val="center"/>
          </w:tcPr>
          <w:p w14:paraId="3072EF6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0.7651</w:t>
            </w:r>
          </w:p>
        </w:tc>
        <w:tc>
          <w:tcPr>
            <w:tcW w:w="634" w:type="pct"/>
            <w:shd w:val="clear" w:color="auto" w:fill="auto"/>
            <w:vAlign w:val="center"/>
          </w:tcPr>
          <w:p w14:paraId="445699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8.6 </w:t>
            </w:r>
          </w:p>
        </w:tc>
        <w:tc>
          <w:tcPr>
            <w:tcW w:w="526" w:type="pct"/>
            <w:shd w:val="clear" w:color="auto" w:fill="auto"/>
            <w:noWrap/>
            <w:vAlign w:val="center"/>
          </w:tcPr>
          <w:p w14:paraId="495762C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0.8477</w:t>
            </w:r>
          </w:p>
        </w:tc>
        <w:tc>
          <w:tcPr>
            <w:tcW w:w="634" w:type="pct"/>
            <w:shd w:val="clear" w:color="auto" w:fill="auto"/>
            <w:noWrap/>
            <w:vAlign w:val="center"/>
          </w:tcPr>
          <w:p w14:paraId="3876530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0.8144</w:t>
            </w:r>
          </w:p>
        </w:tc>
        <w:tc>
          <w:tcPr>
            <w:tcW w:w="634" w:type="pct"/>
            <w:shd w:val="clear" w:color="auto" w:fill="auto"/>
            <w:noWrap/>
            <w:vAlign w:val="center"/>
          </w:tcPr>
          <w:p w14:paraId="2E5CE7E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0.6399</w:t>
            </w:r>
          </w:p>
        </w:tc>
      </w:tr>
      <w:tr w14:paraId="499D1C3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322891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4.2 </w:t>
            </w:r>
          </w:p>
        </w:tc>
        <w:tc>
          <w:tcPr>
            <w:tcW w:w="590" w:type="pct"/>
            <w:shd w:val="clear" w:color="auto" w:fill="auto"/>
            <w:noWrap/>
            <w:vAlign w:val="center"/>
          </w:tcPr>
          <w:p w14:paraId="59759DC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0.9248</w:t>
            </w:r>
          </w:p>
        </w:tc>
        <w:tc>
          <w:tcPr>
            <w:tcW w:w="673" w:type="pct"/>
            <w:shd w:val="clear" w:color="auto" w:fill="auto"/>
            <w:noWrap/>
            <w:vAlign w:val="center"/>
          </w:tcPr>
          <w:p w14:paraId="1032D9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0.9102</w:t>
            </w:r>
          </w:p>
        </w:tc>
        <w:tc>
          <w:tcPr>
            <w:tcW w:w="673" w:type="pct"/>
            <w:shd w:val="clear" w:color="auto" w:fill="auto"/>
            <w:noWrap/>
            <w:vAlign w:val="center"/>
          </w:tcPr>
          <w:p w14:paraId="09D66BE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0.7615</w:t>
            </w:r>
          </w:p>
        </w:tc>
        <w:tc>
          <w:tcPr>
            <w:tcW w:w="634" w:type="pct"/>
            <w:shd w:val="clear" w:color="auto" w:fill="auto"/>
            <w:vAlign w:val="center"/>
          </w:tcPr>
          <w:p w14:paraId="01F6B93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8.7 </w:t>
            </w:r>
          </w:p>
        </w:tc>
        <w:tc>
          <w:tcPr>
            <w:tcW w:w="526" w:type="pct"/>
            <w:shd w:val="clear" w:color="auto" w:fill="auto"/>
            <w:noWrap/>
            <w:vAlign w:val="center"/>
          </w:tcPr>
          <w:p w14:paraId="712C38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0.8463</w:t>
            </w:r>
          </w:p>
        </w:tc>
        <w:tc>
          <w:tcPr>
            <w:tcW w:w="634" w:type="pct"/>
            <w:shd w:val="clear" w:color="auto" w:fill="auto"/>
            <w:noWrap/>
            <w:vAlign w:val="center"/>
          </w:tcPr>
          <w:p w14:paraId="4875698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0.8127</w:t>
            </w:r>
          </w:p>
        </w:tc>
        <w:tc>
          <w:tcPr>
            <w:tcW w:w="634" w:type="pct"/>
            <w:shd w:val="clear" w:color="auto" w:fill="auto"/>
            <w:noWrap/>
            <w:vAlign w:val="center"/>
          </w:tcPr>
          <w:p w14:paraId="5B5E3ED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0.6377</w:t>
            </w:r>
          </w:p>
        </w:tc>
      </w:tr>
      <w:tr w14:paraId="4EA780F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2B5126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4.3 </w:t>
            </w:r>
          </w:p>
        </w:tc>
        <w:tc>
          <w:tcPr>
            <w:tcW w:w="590" w:type="pct"/>
            <w:shd w:val="clear" w:color="auto" w:fill="auto"/>
            <w:noWrap/>
            <w:vAlign w:val="center"/>
          </w:tcPr>
          <w:p w14:paraId="632F9A6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0.9225</w:t>
            </w:r>
          </w:p>
        </w:tc>
        <w:tc>
          <w:tcPr>
            <w:tcW w:w="673" w:type="pct"/>
            <w:shd w:val="clear" w:color="auto" w:fill="auto"/>
            <w:noWrap/>
            <w:vAlign w:val="center"/>
          </w:tcPr>
          <w:p w14:paraId="344304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0.9073</w:t>
            </w:r>
          </w:p>
        </w:tc>
        <w:tc>
          <w:tcPr>
            <w:tcW w:w="673" w:type="pct"/>
            <w:shd w:val="clear" w:color="auto" w:fill="auto"/>
            <w:noWrap/>
            <w:vAlign w:val="center"/>
          </w:tcPr>
          <w:p w14:paraId="0A12C30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0.758</w:t>
            </w:r>
          </w:p>
        </w:tc>
        <w:tc>
          <w:tcPr>
            <w:tcW w:w="634" w:type="pct"/>
            <w:shd w:val="clear" w:color="auto" w:fill="auto"/>
            <w:vAlign w:val="center"/>
          </w:tcPr>
          <w:p w14:paraId="0CD1D98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8.8 </w:t>
            </w:r>
          </w:p>
        </w:tc>
        <w:tc>
          <w:tcPr>
            <w:tcW w:w="526" w:type="pct"/>
            <w:shd w:val="clear" w:color="auto" w:fill="auto"/>
            <w:noWrap/>
            <w:vAlign w:val="center"/>
          </w:tcPr>
          <w:p w14:paraId="69923FD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0.8449</w:t>
            </w:r>
          </w:p>
        </w:tc>
        <w:tc>
          <w:tcPr>
            <w:tcW w:w="634" w:type="pct"/>
            <w:shd w:val="clear" w:color="auto" w:fill="auto"/>
            <w:noWrap/>
            <w:vAlign w:val="center"/>
          </w:tcPr>
          <w:p w14:paraId="2AA91A3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0.811</w:t>
            </w:r>
          </w:p>
        </w:tc>
        <w:tc>
          <w:tcPr>
            <w:tcW w:w="634" w:type="pct"/>
            <w:shd w:val="clear" w:color="auto" w:fill="auto"/>
            <w:noWrap/>
            <w:vAlign w:val="center"/>
          </w:tcPr>
          <w:p w14:paraId="345F7F6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0.6355</w:t>
            </w:r>
          </w:p>
        </w:tc>
      </w:tr>
      <w:tr w14:paraId="3173D41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B0A4DF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4.4 </w:t>
            </w:r>
          </w:p>
        </w:tc>
        <w:tc>
          <w:tcPr>
            <w:tcW w:w="590" w:type="pct"/>
            <w:shd w:val="clear" w:color="auto" w:fill="auto"/>
            <w:noWrap/>
            <w:vAlign w:val="center"/>
          </w:tcPr>
          <w:p w14:paraId="255D708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0.9203</w:t>
            </w:r>
          </w:p>
        </w:tc>
        <w:tc>
          <w:tcPr>
            <w:tcW w:w="673" w:type="pct"/>
            <w:shd w:val="clear" w:color="auto" w:fill="auto"/>
            <w:noWrap/>
            <w:vAlign w:val="center"/>
          </w:tcPr>
          <w:p w14:paraId="0CB260D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0.9045</w:t>
            </w:r>
          </w:p>
        </w:tc>
        <w:tc>
          <w:tcPr>
            <w:tcW w:w="673" w:type="pct"/>
            <w:shd w:val="clear" w:color="auto" w:fill="auto"/>
            <w:noWrap/>
            <w:vAlign w:val="center"/>
          </w:tcPr>
          <w:p w14:paraId="323A706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0.7546</w:t>
            </w:r>
          </w:p>
        </w:tc>
        <w:tc>
          <w:tcPr>
            <w:tcW w:w="634" w:type="pct"/>
            <w:shd w:val="clear" w:color="auto" w:fill="auto"/>
            <w:vAlign w:val="center"/>
          </w:tcPr>
          <w:p w14:paraId="06F7C84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8.9 </w:t>
            </w:r>
          </w:p>
        </w:tc>
        <w:tc>
          <w:tcPr>
            <w:tcW w:w="526" w:type="pct"/>
            <w:shd w:val="clear" w:color="auto" w:fill="auto"/>
            <w:noWrap/>
            <w:vAlign w:val="center"/>
          </w:tcPr>
          <w:p w14:paraId="6ACB655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0.8436</w:t>
            </w:r>
          </w:p>
        </w:tc>
        <w:tc>
          <w:tcPr>
            <w:tcW w:w="634" w:type="pct"/>
            <w:shd w:val="clear" w:color="auto" w:fill="auto"/>
            <w:noWrap/>
            <w:vAlign w:val="center"/>
          </w:tcPr>
          <w:p w14:paraId="17FADB9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0.8093</w:t>
            </w:r>
          </w:p>
        </w:tc>
        <w:tc>
          <w:tcPr>
            <w:tcW w:w="634" w:type="pct"/>
            <w:shd w:val="clear" w:color="auto" w:fill="auto"/>
            <w:noWrap/>
            <w:vAlign w:val="center"/>
          </w:tcPr>
          <w:p w14:paraId="0DC74A2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0.6334</w:t>
            </w:r>
          </w:p>
        </w:tc>
      </w:tr>
      <w:tr w14:paraId="2EEDCAB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39D4D9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4.5 </w:t>
            </w:r>
          </w:p>
        </w:tc>
        <w:tc>
          <w:tcPr>
            <w:tcW w:w="590" w:type="pct"/>
            <w:shd w:val="clear" w:color="auto" w:fill="auto"/>
            <w:noWrap/>
            <w:vAlign w:val="center"/>
          </w:tcPr>
          <w:p w14:paraId="04B6EA7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0.9181</w:t>
            </w:r>
          </w:p>
        </w:tc>
        <w:tc>
          <w:tcPr>
            <w:tcW w:w="673" w:type="pct"/>
            <w:shd w:val="clear" w:color="auto" w:fill="auto"/>
            <w:noWrap/>
            <w:vAlign w:val="center"/>
          </w:tcPr>
          <w:p w14:paraId="784D585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0.9018</w:t>
            </w:r>
          </w:p>
        </w:tc>
        <w:tc>
          <w:tcPr>
            <w:tcW w:w="673" w:type="pct"/>
            <w:shd w:val="clear" w:color="auto" w:fill="auto"/>
            <w:noWrap/>
            <w:vAlign w:val="center"/>
          </w:tcPr>
          <w:p w14:paraId="4A436A5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0.7513</w:t>
            </w:r>
          </w:p>
        </w:tc>
        <w:tc>
          <w:tcPr>
            <w:tcW w:w="634" w:type="pct"/>
            <w:shd w:val="clear" w:color="auto" w:fill="auto"/>
            <w:vAlign w:val="center"/>
          </w:tcPr>
          <w:p w14:paraId="17531F9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9.0 </w:t>
            </w:r>
          </w:p>
        </w:tc>
        <w:tc>
          <w:tcPr>
            <w:tcW w:w="526" w:type="pct"/>
            <w:shd w:val="clear" w:color="auto" w:fill="auto"/>
            <w:noWrap/>
            <w:vAlign w:val="center"/>
          </w:tcPr>
          <w:p w14:paraId="6AF090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0.8423</w:t>
            </w:r>
          </w:p>
        </w:tc>
        <w:tc>
          <w:tcPr>
            <w:tcW w:w="634" w:type="pct"/>
            <w:shd w:val="clear" w:color="auto" w:fill="auto"/>
            <w:noWrap/>
            <w:vAlign w:val="center"/>
          </w:tcPr>
          <w:p w14:paraId="29E8DB4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0.8076</w:t>
            </w:r>
          </w:p>
        </w:tc>
        <w:tc>
          <w:tcPr>
            <w:tcW w:w="634" w:type="pct"/>
            <w:shd w:val="clear" w:color="auto" w:fill="auto"/>
            <w:noWrap/>
            <w:vAlign w:val="center"/>
          </w:tcPr>
          <w:p w14:paraId="653149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0.6313</w:t>
            </w:r>
          </w:p>
        </w:tc>
      </w:tr>
      <w:tr w14:paraId="732E067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73876C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4.6 </w:t>
            </w:r>
          </w:p>
        </w:tc>
        <w:tc>
          <w:tcPr>
            <w:tcW w:w="590" w:type="pct"/>
            <w:shd w:val="clear" w:color="auto" w:fill="auto"/>
            <w:noWrap/>
            <w:vAlign w:val="center"/>
          </w:tcPr>
          <w:p w14:paraId="2D5F50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0.916</w:t>
            </w:r>
          </w:p>
        </w:tc>
        <w:tc>
          <w:tcPr>
            <w:tcW w:w="673" w:type="pct"/>
            <w:shd w:val="clear" w:color="auto" w:fill="auto"/>
            <w:noWrap/>
            <w:vAlign w:val="center"/>
          </w:tcPr>
          <w:p w14:paraId="3CA4F8F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0.8992</w:t>
            </w:r>
          </w:p>
        </w:tc>
        <w:tc>
          <w:tcPr>
            <w:tcW w:w="673" w:type="pct"/>
            <w:shd w:val="clear" w:color="auto" w:fill="auto"/>
            <w:noWrap/>
            <w:vAlign w:val="center"/>
          </w:tcPr>
          <w:p w14:paraId="1FEF283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0.748</w:t>
            </w:r>
          </w:p>
        </w:tc>
        <w:tc>
          <w:tcPr>
            <w:tcW w:w="634" w:type="pct"/>
            <w:shd w:val="clear" w:color="auto" w:fill="auto"/>
            <w:vAlign w:val="center"/>
          </w:tcPr>
          <w:p w14:paraId="34E5B63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9.1 </w:t>
            </w:r>
          </w:p>
        </w:tc>
        <w:tc>
          <w:tcPr>
            <w:tcW w:w="526" w:type="pct"/>
            <w:shd w:val="clear" w:color="auto" w:fill="auto"/>
            <w:noWrap/>
            <w:vAlign w:val="center"/>
          </w:tcPr>
          <w:p w14:paraId="6B8B603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0.841</w:t>
            </w:r>
          </w:p>
        </w:tc>
        <w:tc>
          <w:tcPr>
            <w:tcW w:w="634" w:type="pct"/>
            <w:shd w:val="clear" w:color="auto" w:fill="auto"/>
            <w:noWrap/>
            <w:vAlign w:val="center"/>
          </w:tcPr>
          <w:p w14:paraId="5CF65BA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0.806</w:t>
            </w:r>
          </w:p>
        </w:tc>
        <w:tc>
          <w:tcPr>
            <w:tcW w:w="634" w:type="pct"/>
            <w:shd w:val="clear" w:color="auto" w:fill="auto"/>
            <w:noWrap/>
            <w:vAlign w:val="center"/>
          </w:tcPr>
          <w:p w14:paraId="7227928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0.6292</w:t>
            </w:r>
          </w:p>
        </w:tc>
      </w:tr>
      <w:tr w14:paraId="7761F3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7BBA62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4.7 </w:t>
            </w:r>
          </w:p>
        </w:tc>
        <w:tc>
          <w:tcPr>
            <w:tcW w:w="590" w:type="pct"/>
            <w:shd w:val="clear" w:color="auto" w:fill="auto"/>
            <w:noWrap/>
            <w:vAlign w:val="center"/>
          </w:tcPr>
          <w:p w14:paraId="04E2F22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0.9139</w:t>
            </w:r>
          </w:p>
        </w:tc>
        <w:tc>
          <w:tcPr>
            <w:tcW w:w="673" w:type="pct"/>
            <w:shd w:val="clear" w:color="auto" w:fill="auto"/>
            <w:noWrap/>
            <w:vAlign w:val="center"/>
          </w:tcPr>
          <w:p w14:paraId="11717C6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0.8966</w:t>
            </w:r>
          </w:p>
        </w:tc>
        <w:tc>
          <w:tcPr>
            <w:tcW w:w="673" w:type="pct"/>
            <w:shd w:val="clear" w:color="auto" w:fill="auto"/>
            <w:noWrap/>
            <w:vAlign w:val="center"/>
          </w:tcPr>
          <w:p w14:paraId="49BEE71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0.7448</w:t>
            </w:r>
          </w:p>
        </w:tc>
        <w:tc>
          <w:tcPr>
            <w:tcW w:w="634" w:type="pct"/>
            <w:shd w:val="clear" w:color="auto" w:fill="auto"/>
            <w:vAlign w:val="center"/>
          </w:tcPr>
          <w:p w14:paraId="3BB35AF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9.2 </w:t>
            </w:r>
          </w:p>
        </w:tc>
        <w:tc>
          <w:tcPr>
            <w:tcW w:w="526" w:type="pct"/>
            <w:shd w:val="clear" w:color="auto" w:fill="auto"/>
            <w:noWrap/>
            <w:vAlign w:val="center"/>
          </w:tcPr>
          <w:p w14:paraId="6AB626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0.8397</w:t>
            </w:r>
          </w:p>
        </w:tc>
        <w:tc>
          <w:tcPr>
            <w:tcW w:w="634" w:type="pct"/>
            <w:shd w:val="clear" w:color="auto" w:fill="auto"/>
            <w:noWrap/>
            <w:vAlign w:val="center"/>
          </w:tcPr>
          <w:p w14:paraId="6900207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0.8044</w:t>
            </w:r>
          </w:p>
        </w:tc>
        <w:tc>
          <w:tcPr>
            <w:tcW w:w="634" w:type="pct"/>
            <w:shd w:val="clear" w:color="auto" w:fill="auto"/>
            <w:noWrap/>
            <w:vAlign w:val="center"/>
          </w:tcPr>
          <w:p w14:paraId="44EA9BA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0.6271</w:t>
            </w:r>
          </w:p>
        </w:tc>
      </w:tr>
      <w:tr w14:paraId="73C652A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03B5A84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4.8 </w:t>
            </w:r>
          </w:p>
        </w:tc>
        <w:tc>
          <w:tcPr>
            <w:tcW w:w="590" w:type="pct"/>
            <w:shd w:val="clear" w:color="auto" w:fill="auto"/>
            <w:noWrap/>
            <w:vAlign w:val="center"/>
          </w:tcPr>
          <w:p w14:paraId="6B0506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0.9118</w:t>
            </w:r>
          </w:p>
        </w:tc>
        <w:tc>
          <w:tcPr>
            <w:tcW w:w="673" w:type="pct"/>
            <w:shd w:val="clear" w:color="auto" w:fill="auto"/>
            <w:noWrap/>
            <w:vAlign w:val="center"/>
          </w:tcPr>
          <w:p w14:paraId="3ACDC56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0.8941</w:t>
            </w:r>
          </w:p>
        </w:tc>
        <w:tc>
          <w:tcPr>
            <w:tcW w:w="673" w:type="pct"/>
            <w:shd w:val="clear" w:color="auto" w:fill="auto"/>
            <w:noWrap/>
            <w:vAlign w:val="center"/>
          </w:tcPr>
          <w:p w14:paraId="0319E51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0.7416</w:t>
            </w:r>
          </w:p>
        </w:tc>
        <w:tc>
          <w:tcPr>
            <w:tcW w:w="634" w:type="pct"/>
            <w:shd w:val="clear" w:color="auto" w:fill="auto"/>
            <w:vAlign w:val="center"/>
          </w:tcPr>
          <w:p w14:paraId="13768EC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9.3 </w:t>
            </w:r>
          </w:p>
        </w:tc>
        <w:tc>
          <w:tcPr>
            <w:tcW w:w="526" w:type="pct"/>
            <w:shd w:val="clear" w:color="auto" w:fill="auto"/>
            <w:noWrap/>
            <w:vAlign w:val="center"/>
          </w:tcPr>
          <w:p w14:paraId="46513A7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0.8384</w:t>
            </w:r>
          </w:p>
        </w:tc>
        <w:tc>
          <w:tcPr>
            <w:tcW w:w="634" w:type="pct"/>
            <w:shd w:val="clear" w:color="auto" w:fill="auto"/>
            <w:noWrap/>
            <w:vAlign w:val="center"/>
          </w:tcPr>
          <w:p w14:paraId="353C0E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0.8028</w:t>
            </w:r>
          </w:p>
        </w:tc>
        <w:tc>
          <w:tcPr>
            <w:tcW w:w="634" w:type="pct"/>
            <w:shd w:val="clear" w:color="auto" w:fill="auto"/>
            <w:noWrap/>
            <w:vAlign w:val="center"/>
          </w:tcPr>
          <w:p w14:paraId="5C02D58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0.6251</w:t>
            </w:r>
          </w:p>
        </w:tc>
      </w:tr>
      <w:tr w14:paraId="02B0ACA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A5E2D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4.9 </w:t>
            </w:r>
          </w:p>
        </w:tc>
        <w:tc>
          <w:tcPr>
            <w:tcW w:w="590" w:type="pct"/>
            <w:shd w:val="clear" w:color="auto" w:fill="auto"/>
            <w:noWrap/>
            <w:vAlign w:val="center"/>
          </w:tcPr>
          <w:p w14:paraId="2A068CB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0.9098</w:t>
            </w:r>
          </w:p>
        </w:tc>
        <w:tc>
          <w:tcPr>
            <w:tcW w:w="673" w:type="pct"/>
            <w:shd w:val="clear" w:color="auto" w:fill="auto"/>
            <w:noWrap/>
            <w:vAlign w:val="center"/>
          </w:tcPr>
          <w:p w14:paraId="5850D9B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0.8916</w:t>
            </w:r>
          </w:p>
        </w:tc>
        <w:tc>
          <w:tcPr>
            <w:tcW w:w="673" w:type="pct"/>
            <w:shd w:val="clear" w:color="auto" w:fill="auto"/>
            <w:noWrap/>
            <w:vAlign w:val="center"/>
          </w:tcPr>
          <w:p w14:paraId="30BD12C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0.7384</w:t>
            </w:r>
          </w:p>
        </w:tc>
        <w:tc>
          <w:tcPr>
            <w:tcW w:w="634" w:type="pct"/>
            <w:shd w:val="clear" w:color="auto" w:fill="auto"/>
            <w:vAlign w:val="center"/>
          </w:tcPr>
          <w:p w14:paraId="6086393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9.4 </w:t>
            </w:r>
          </w:p>
        </w:tc>
        <w:tc>
          <w:tcPr>
            <w:tcW w:w="526" w:type="pct"/>
            <w:shd w:val="clear" w:color="auto" w:fill="auto"/>
            <w:noWrap/>
            <w:vAlign w:val="center"/>
          </w:tcPr>
          <w:p w14:paraId="184D62B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0.8371</w:t>
            </w:r>
          </w:p>
        </w:tc>
        <w:tc>
          <w:tcPr>
            <w:tcW w:w="634" w:type="pct"/>
            <w:shd w:val="clear" w:color="auto" w:fill="auto"/>
            <w:noWrap/>
            <w:vAlign w:val="center"/>
          </w:tcPr>
          <w:p w14:paraId="6BD11D1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0.8012</w:t>
            </w:r>
          </w:p>
        </w:tc>
        <w:tc>
          <w:tcPr>
            <w:tcW w:w="634" w:type="pct"/>
            <w:shd w:val="clear" w:color="auto" w:fill="auto"/>
            <w:noWrap/>
            <w:vAlign w:val="center"/>
          </w:tcPr>
          <w:p w14:paraId="5055B29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0.6231</w:t>
            </w:r>
          </w:p>
        </w:tc>
      </w:tr>
      <w:tr w14:paraId="121A84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4EDCA1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5.0</w:t>
            </w:r>
          </w:p>
        </w:tc>
        <w:tc>
          <w:tcPr>
            <w:tcW w:w="590" w:type="pct"/>
            <w:shd w:val="clear" w:color="auto" w:fill="auto"/>
            <w:noWrap/>
            <w:vAlign w:val="center"/>
          </w:tcPr>
          <w:p w14:paraId="012D21C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0.9078</w:t>
            </w:r>
          </w:p>
        </w:tc>
        <w:tc>
          <w:tcPr>
            <w:tcW w:w="673" w:type="pct"/>
            <w:shd w:val="clear" w:color="auto" w:fill="auto"/>
            <w:noWrap/>
            <w:vAlign w:val="center"/>
          </w:tcPr>
          <w:p w14:paraId="3B7635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0.8891</w:t>
            </w:r>
          </w:p>
        </w:tc>
        <w:tc>
          <w:tcPr>
            <w:tcW w:w="673" w:type="pct"/>
            <w:shd w:val="clear" w:color="auto" w:fill="auto"/>
            <w:noWrap/>
            <w:vAlign w:val="center"/>
          </w:tcPr>
          <w:p w14:paraId="40E59D2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0.7353</w:t>
            </w:r>
          </w:p>
        </w:tc>
        <w:tc>
          <w:tcPr>
            <w:tcW w:w="634" w:type="pct"/>
            <w:shd w:val="clear" w:color="auto" w:fill="auto"/>
            <w:vAlign w:val="center"/>
          </w:tcPr>
          <w:p w14:paraId="43CBFD9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9.5 </w:t>
            </w:r>
          </w:p>
        </w:tc>
        <w:tc>
          <w:tcPr>
            <w:tcW w:w="526" w:type="pct"/>
            <w:shd w:val="clear" w:color="auto" w:fill="auto"/>
            <w:noWrap/>
            <w:vAlign w:val="center"/>
          </w:tcPr>
          <w:p w14:paraId="03CBC0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0.8358</w:t>
            </w:r>
          </w:p>
        </w:tc>
        <w:tc>
          <w:tcPr>
            <w:tcW w:w="634" w:type="pct"/>
            <w:shd w:val="clear" w:color="auto" w:fill="auto"/>
            <w:noWrap/>
            <w:vAlign w:val="center"/>
          </w:tcPr>
          <w:p w14:paraId="3AAA8E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0.7996</w:t>
            </w:r>
          </w:p>
        </w:tc>
        <w:tc>
          <w:tcPr>
            <w:tcW w:w="634" w:type="pct"/>
            <w:shd w:val="clear" w:color="auto" w:fill="auto"/>
            <w:noWrap/>
            <w:vAlign w:val="center"/>
          </w:tcPr>
          <w:p w14:paraId="3C332B8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0.6211</w:t>
            </w:r>
          </w:p>
        </w:tc>
      </w:tr>
      <w:tr w14:paraId="674A03F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E67AE1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5.1 </w:t>
            </w:r>
          </w:p>
        </w:tc>
        <w:tc>
          <w:tcPr>
            <w:tcW w:w="590" w:type="pct"/>
            <w:shd w:val="clear" w:color="auto" w:fill="auto"/>
            <w:noWrap/>
            <w:vAlign w:val="center"/>
          </w:tcPr>
          <w:p w14:paraId="0A8E446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0.9058</w:t>
            </w:r>
          </w:p>
        </w:tc>
        <w:tc>
          <w:tcPr>
            <w:tcW w:w="673" w:type="pct"/>
            <w:shd w:val="clear" w:color="auto" w:fill="auto"/>
            <w:noWrap/>
            <w:vAlign w:val="center"/>
          </w:tcPr>
          <w:p w14:paraId="0EE2148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0.8867</w:t>
            </w:r>
          </w:p>
        </w:tc>
        <w:tc>
          <w:tcPr>
            <w:tcW w:w="673" w:type="pct"/>
            <w:shd w:val="clear" w:color="auto" w:fill="auto"/>
            <w:noWrap/>
            <w:vAlign w:val="center"/>
          </w:tcPr>
          <w:p w14:paraId="123A70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0.7322</w:t>
            </w:r>
          </w:p>
        </w:tc>
        <w:tc>
          <w:tcPr>
            <w:tcW w:w="634" w:type="pct"/>
            <w:shd w:val="clear" w:color="auto" w:fill="auto"/>
            <w:vAlign w:val="center"/>
          </w:tcPr>
          <w:p w14:paraId="66F45F4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9.6 </w:t>
            </w:r>
          </w:p>
        </w:tc>
        <w:tc>
          <w:tcPr>
            <w:tcW w:w="526" w:type="pct"/>
            <w:shd w:val="clear" w:color="auto" w:fill="auto"/>
            <w:noWrap/>
            <w:vAlign w:val="center"/>
          </w:tcPr>
          <w:p w14:paraId="47F8A8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0.8346</w:t>
            </w:r>
          </w:p>
        </w:tc>
        <w:tc>
          <w:tcPr>
            <w:tcW w:w="634" w:type="pct"/>
            <w:shd w:val="clear" w:color="auto" w:fill="auto"/>
            <w:noWrap/>
            <w:vAlign w:val="center"/>
          </w:tcPr>
          <w:p w14:paraId="2955977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0.798</w:t>
            </w:r>
          </w:p>
        </w:tc>
        <w:tc>
          <w:tcPr>
            <w:tcW w:w="634" w:type="pct"/>
            <w:shd w:val="clear" w:color="auto" w:fill="auto"/>
            <w:noWrap/>
            <w:vAlign w:val="center"/>
          </w:tcPr>
          <w:p w14:paraId="53A11F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0.6191</w:t>
            </w:r>
          </w:p>
        </w:tc>
      </w:tr>
      <w:tr w14:paraId="1F0EBD6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D8646A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5.2 </w:t>
            </w:r>
          </w:p>
        </w:tc>
        <w:tc>
          <w:tcPr>
            <w:tcW w:w="590" w:type="pct"/>
            <w:shd w:val="clear" w:color="auto" w:fill="auto"/>
            <w:noWrap/>
            <w:vAlign w:val="center"/>
          </w:tcPr>
          <w:p w14:paraId="4351A2E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0.9038</w:t>
            </w:r>
          </w:p>
        </w:tc>
        <w:tc>
          <w:tcPr>
            <w:tcW w:w="673" w:type="pct"/>
            <w:shd w:val="clear" w:color="auto" w:fill="auto"/>
            <w:noWrap/>
            <w:vAlign w:val="center"/>
          </w:tcPr>
          <w:p w14:paraId="2DE2514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0.8843</w:t>
            </w:r>
          </w:p>
        </w:tc>
        <w:tc>
          <w:tcPr>
            <w:tcW w:w="673" w:type="pct"/>
            <w:shd w:val="clear" w:color="auto" w:fill="auto"/>
            <w:noWrap/>
            <w:vAlign w:val="center"/>
          </w:tcPr>
          <w:p w14:paraId="5E54EBD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0.7291</w:t>
            </w:r>
          </w:p>
        </w:tc>
        <w:tc>
          <w:tcPr>
            <w:tcW w:w="634" w:type="pct"/>
            <w:shd w:val="clear" w:color="auto" w:fill="auto"/>
            <w:vAlign w:val="center"/>
          </w:tcPr>
          <w:p w14:paraId="7AE8187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9.7 </w:t>
            </w:r>
          </w:p>
        </w:tc>
        <w:tc>
          <w:tcPr>
            <w:tcW w:w="526" w:type="pct"/>
            <w:shd w:val="clear" w:color="auto" w:fill="auto"/>
            <w:noWrap/>
            <w:vAlign w:val="center"/>
          </w:tcPr>
          <w:p w14:paraId="34FEFE5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0.8334</w:t>
            </w:r>
          </w:p>
        </w:tc>
        <w:tc>
          <w:tcPr>
            <w:tcW w:w="634" w:type="pct"/>
            <w:shd w:val="clear" w:color="auto" w:fill="auto"/>
            <w:noWrap/>
            <w:vAlign w:val="center"/>
          </w:tcPr>
          <w:p w14:paraId="356F641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0.7965</w:t>
            </w:r>
          </w:p>
        </w:tc>
        <w:tc>
          <w:tcPr>
            <w:tcW w:w="634" w:type="pct"/>
            <w:shd w:val="clear" w:color="auto" w:fill="auto"/>
            <w:noWrap/>
            <w:vAlign w:val="center"/>
          </w:tcPr>
          <w:p w14:paraId="0D5F60B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0.6172</w:t>
            </w:r>
          </w:p>
        </w:tc>
      </w:tr>
      <w:tr w14:paraId="775F14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noWrap/>
            <w:vAlign w:val="center"/>
          </w:tcPr>
          <w:p w14:paraId="1383E4B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5.3 </w:t>
            </w:r>
          </w:p>
        </w:tc>
        <w:tc>
          <w:tcPr>
            <w:tcW w:w="590" w:type="pct"/>
            <w:shd w:val="clear" w:color="auto" w:fill="auto"/>
            <w:noWrap/>
            <w:vAlign w:val="center"/>
          </w:tcPr>
          <w:p w14:paraId="45EB10D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0.9019</w:t>
            </w:r>
          </w:p>
        </w:tc>
        <w:tc>
          <w:tcPr>
            <w:tcW w:w="673" w:type="pct"/>
            <w:shd w:val="clear" w:color="auto" w:fill="auto"/>
            <w:noWrap/>
            <w:vAlign w:val="center"/>
          </w:tcPr>
          <w:p w14:paraId="65F1A3F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0.8819</w:t>
            </w:r>
          </w:p>
        </w:tc>
        <w:tc>
          <w:tcPr>
            <w:tcW w:w="673" w:type="pct"/>
            <w:shd w:val="clear" w:color="auto" w:fill="auto"/>
            <w:noWrap/>
            <w:vAlign w:val="center"/>
          </w:tcPr>
          <w:p w14:paraId="022C9D8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0.7261</w:t>
            </w:r>
          </w:p>
        </w:tc>
        <w:tc>
          <w:tcPr>
            <w:tcW w:w="634" w:type="pct"/>
            <w:shd w:val="clear" w:color="auto" w:fill="auto"/>
            <w:vAlign w:val="center"/>
          </w:tcPr>
          <w:p w14:paraId="04A48A4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9.8 </w:t>
            </w:r>
          </w:p>
        </w:tc>
        <w:tc>
          <w:tcPr>
            <w:tcW w:w="526" w:type="pct"/>
            <w:shd w:val="clear" w:color="auto" w:fill="auto"/>
            <w:noWrap/>
            <w:vAlign w:val="center"/>
          </w:tcPr>
          <w:p w14:paraId="375A9DA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0.8322</w:t>
            </w:r>
          </w:p>
        </w:tc>
        <w:tc>
          <w:tcPr>
            <w:tcW w:w="634" w:type="pct"/>
            <w:shd w:val="clear" w:color="auto" w:fill="auto"/>
            <w:noWrap/>
            <w:vAlign w:val="center"/>
          </w:tcPr>
          <w:p w14:paraId="2A5E7C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0.795</w:t>
            </w:r>
          </w:p>
        </w:tc>
        <w:tc>
          <w:tcPr>
            <w:tcW w:w="634" w:type="pct"/>
            <w:shd w:val="clear" w:color="auto" w:fill="auto"/>
            <w:noWrap/>
            <w:vAlign w:val="center"/>
          </w:tcPr>
          <w:p w14:paraId="05CBD2B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0.6153</w:t>
            </w:r>
          </w:p>
        </w:tc>
      </w:tr>
      <w:tr w14:paraId="3A63627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634" w:type="pct"/>
            <w:shd w:val="clear" w:color="auto" w:fill="auto"/>
            <w:vAlign w:val="center"/>
          </w:tcPr>
          <w:p w14:paraId="159E015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5.4 </w:t>
            </w:r>
          </w:p>
        </w:tc>
        <w:tc>
          <w:tcPr>
            <w:tcW w:w="590" w:type="pct"/>
            <w:shd w:val="clear" w:color="auto" w:fill="auto"/>
            <w:noWrap/>
            <w:vAlign w:val="center"/>
          </w:tcPr>
          <w:p w14:paraId="69A740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w:t>
            </w:r>
          </w:p>
        </w:tc>
        <w:tc>
          <w:tcPr>
            <w:tcW w:w="673" w:type="pct"/>
            <w:shd w:val="clear" w:color="auto" w:fill="auto"/>
            <w:noWrap/>
            <w:vAlign w:val="center"/>
          </w:tcPr>
          <w:p w14:paraId="5052EDD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0.8795</w:t>
            </w:r>
          </w:p>
        </w:tc>
        <w:tc>
          <w:tcPr>
            <w:tcW w:w="673" w:type="pct"/>
            <w:shd w:val="clear" w:color="auto" w:fill="auto"/>
            <w:noWrap/>
            <w:vAlign w:val="center"/>
          </w:tcPr>
          <w:p w14:paraId="187AA35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0.7231</w:t>
            </w:r>
          </w:p>
        </w:tc>
        <w:tc>
          <w:tcPr>
            <w:tcW w:w="634" w:type="pct"/>
            <w:shd w:val="clear" w:color="auto" w:fill="auto"/>
            <w:vAlign w:val="center"/>
          </w:tcPr>
          <w:p w14:paraId="33D881A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9.9</w:t>
            </w:r>
          </w:p>
        </w:tc>
        <w:tc>
          <w:tcPr>
            <w:tcW w:w="526" w:type="pct"/>
            <w:shd w:val="clear" w:color="auto" w:fill="auto"/>
            <w:noWrap/>
            <w:vAlign w:val="center"/>
          </w:tcPr>
          <w:p w14:paraId="13F340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0.831</w:t>
            </w:r>
          </w:p>
        </w:tc>
        <w:tc>
          <w:tcPr>
            <w:tcW w:w="634" w:type="pct"/>
            <w:shd w:val="clear" w:color="auto" w:fill="auto"/>
            <w:noWrap/>
            <w:vAlign w:val="center"/>
          </w:tcPr>
          <w:p w14:paraId="7609135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0.7935</w:t>
            </w:r>
          </w:p>
        </w:tc>
        <w:tc>
          <w:tcPr>
            <w:tcW w:w="634" w:type="pct"/>
            <w:shd w:val="clear" w:color="auto" w:fill="auto"/>
            <w:noWrap/>
            <w:vAlign w:val="center"/>
          </w:tcPr>
          <w:p w14:paraId="5537026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0.6134</w:t>
            </w:r>
          </w:p>
        </w:tc>
      </w:tr>
      <w:tr w14:paraId="52BD2C5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5000" w:type="pct"/>
            <w:gridSpan w:val="8"/>
            <w:shd w:val="clear" w:color="auto" w:fill="auto"/>
            <w:vAlign w:val="center"/>
          </w:tcPr>
          <w:p w14:paraId="11C5222F">
            <w:pPr>
              <w:spacing w:line="200" w:lineRule="exact"/>
              <w:rPr>
                <w:rFonts w:ascii="Arial" w:hAnsi="Arial" w:eastAsia="仿宋" w:cs="Arial"/>
                <w:sz w:val="20"/>
                <w:highlight w:val="none"/>
              </w:rPr>
            </w:pPr>
            <w:r>
              <w:rPr>
                <w:rFonts w:ascii="Arial" w:hAnsi="Arial" w:eastAsia="仿宋" w:cs="Arial"/>
                <w:sz w:val="20"/>
                <w:highlight w:val="none"/>
              </w:rPr>
              <w:t>说明：容积率大于等于10时的容积率修正系数按照以下公式计算：1～2级：X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0.9448－0.0115R；3～7级：X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0.937－0.0145R；8～12级：X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0.7965－0.0185R。</w:t>
            </w:r>
          </w:p>
        </w:tc>
      </w:tr>
    </w:tbl>
    <w:p w14:paraId="323D1FB8">
      <w:pPr>
        <w:keepNext w:val="0"/>
        <w:keepLines w:val="0"/>
        <w:pageBreakBefore w:val="0"/>
        <w:widowControl w:val="0"/>
        <w:kinsoku/>
        <w:wordWrap/>
        <w:overflowPunct/>
        <w:topLinePunct w:val="0"/>
        <w:autoSpaceDE/>
        <w:autoSpaceDN/>
        <w:bidi w:val="0"/>
        <w:adjustRightInd/>
        <w:snapToGrid/>
        <w:spacing w:before="157" w:beforeLines="50" w:line="300" w:lineRule="auto"/>
        <w:ind w:firstLine="560" w:firstLineChars="200"/>
        <w:jc w:val="both"/>
        <w:textAlignment w:val="baseline"/>
        <w:rPr>
          <w:rFonts w:ascii="Arial" w:hAnsi="Arial" w:eastAsia="仿宋" w:cs="Arial"/>
          <w:sz w:val="28"/>
          <w:szCs w:val="28"/>
          <w:highlight w:val="none"/>
        </w:rPr>
      </w:pPr>
      <w:r>
        <w:rPr>
          <w:rFonts w:ascii="Arial" w:hAnsi="Arial" w:eastAsia="仿宋" w:cs="Arial"/>
          <w:sz w:val="28"/>
          <w:szCs w:val="28"/>
          <w:highlight w:val="none"/>
        </w:rPr>
        <w:t>估价对象容积率R为1.20，根据上表可知，容积率修正系数为1.0597。</w:t>
      </w:r>
    </w:p>
    <w:p w14:paraId="6DF693E2">
      <w:pPr>
        <w:adjustRightInd/>
        <w:spacing w:line="300" w:lineRule="auto"/>
        <w:ind w:firstLine="560" w:firstLineChars="200"/>
        <w:rPr>
          <w:rFonts w:ascii="Arial" w:hAnsi="Arial" w:eastAsia="仿宋" w:cs="Arial"/>
          <w:sz w:val="28"/>
          <w:highlight w:val="none"/>
        </w:rPr>
      </w:pPr>
      <w:r>
        <w:rPr>
          <w:rFonts w:ascii="Arial" w:hAnsi="Arial" w:eastAsia="仿宋" w:cs="Arial"/>
          <w:sz w:val="28"/>
          <w:highlight w:val="none"/>
        </w:rPr>
        <w:t>（F）因素修正系数的确定</w:t>
      </w:r>
    </w:p>
    <w:p w14:paraId="27942E3A">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7ABE3AE9">
      <w:pPr>
        <w:adjustRightInd/>
        <w:spacing w:line="300" w:lineRule="auto"/>
        <w:ind w:firstLine="560" w:firstLineChars="200"/>
        <w:rPr>
          <w:rFonts w:ascii="Arial" w:hAnsi="Arial" w:eastAsia="仿宋" w:cs="Arial"/>
          <w:sz w:val="28"/>
          <w:highlight w:val="none"/>
        </w:rPr>
      </w:pPr>
      <w:r>
        <w:rPr>
          <w:rFonts w:ascii="Arial" w:hAnsi="Arial" w:eastAsia="仿宋" w:cs="Arial"/>
          <w:sz w:val="28"/>
          <w:highlight w:val="none"/>
        </w:rPr>
        <w:t>因素修正系数</w:t>
      </w:r>
      <w:r>
        <w:rPr>
          <w:rFonts w:hint="eastAsia" w:ascii="Arial" w:hAnsi="Arial" w:eastAsia="仿宋" w:cs="Arial"/>
          <w:sz w:val="28"/>
          <w:highlight w:val="none"/>
          <w:lang w:eastAsia="zh-CN"/>
        </w:rPr>
        <w:t>＝</w:t>
      </w:r>
      <w:r>
        <w:rPr>
          <w:rFonts w:ascii="Arial" w:hAnsi="Arial" w:eastAsia="仿宋" w:cs="Arial"/>
          <w:sz w:val="28"/>
          <w:highlight w:val="none"/>
        </w:rPr>
        <w:t>1＋</w:t>
      </w:r>
      <w:r>
        <w:rPr>
          <w:rFonts w:ascii="Arial" w:hAnsi="Arial" w:eastAsia="仿宋" w:cs="Arial"/>
          <w:sz w:val="28"/>
          <w:highlight w:val="none"/>
        </w:rPr>
        <w:fldChar w:fldCharType="begin"/>
      </w:r>
      <w:r>
        <w:rPr>
          <w:rFonts w:ascii="Arial" w:hAnsi="Arial" w:eastAsia="仿宋" w:cs="Arial"/>
          <w:sz w:val="28"/>
          <w:highlight w:val="none"/>
        </w:rPr>
        <w:instrText xml:space="preserve"> QUOTE </w:instrText>
      </w:r>
      <w:r>
        <w:rPr>
          <w:rFonts w:ascii="Arial" w:hAnsi="Arial" w:eastAsia="仿宋" w:cs="Arial"/>
          <w:sz w:val="28"/>
          <w:highlight w:val="none"/>
        </w:rPr>
        <w:pict>
          <v:shape id="_x0000_i1025"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a MatO/hO/&quot;O/ O/wO/:O/hO/-ansi=&quot;Cambria Math&quot; w:cs=&quot;仿宋_GB2312&quot;/&gt;&lt;wx:font wx:val=&quot;Cambria Math&quot;/&gt;&lt;w:i/&gt;&lt;w:sz w:val=&quot;21&quot;/&gt;&lt;w:sz-cs w:val=&quot;29&quot;/&gt;&lt;/w:rPr&gt;&lt;m:t&gt;i=1&lt;/m:t&gt;&lt;/m:r&gt;&lt;/m:sub&gt;&lt;m:sup&gt;&lt;m:r&gt;&lt;w:rPr&gt;&lt;w:rFonts w:ascii=&quot;Cambria Math&quot; w:h-ansi=&quot;Cambria Math&quot; w:cs=&quot;?O/滤蝨hO/_GBh&quot;O/231&quot; O/2&quot;/ wO/&gt;&lt;ww:O/x:f:hO/ont wx:val=&quot;Cambria Math&quot;/&gt;&lt;w:i/&gt;&lt;w:sz w:val=&quot;21&quot;/&gt;&lt;w:sz-cs w:val=&quot;29&quot;/&gt;&lt;/w:rPr&gt;&lt;m:t&gt;n&lt;/m:t&gt;&lt;/m:r&gt;&lt;/m:sup&gt;&lt;m:e&gt;&lt;m:r&gt;&lt;w:rPr&gt;&lt;w:rFonts w:ascii=&quot;Cambria Math&quot; w:h-ansi=&quot;Cambria Math&quot; w:cs=&quot;仿宋_GB2312&quot;/&gt;&lt;wx:font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sz w:val="28"/>
          <w:highlight w:val="none"/>
        </w:rPr>
        <w:instrText xml:space="preserve"> </w:instrText>
      </w:r>
      <w:r>
        <w:rPr>
          <w:rFonts w:ascii="Arial" w:hAnsi="Arial" w:eastAsia="仿宋" w:cs="Arial"/>
          <w:sz w:val="28"/>
          <w:highlight w:val="none"/>
        </w:rPr>
        <w:fldChar w:fldCharType="separate"/>
      </w:r>
      <w:r>
        <w:rPr>
          <w:rFonts w:ascii="Arial" w:hAnsi="Arial" w:eastAsia="仿宋" w:cs="Arial"/>
          <w:sz w:val="28"/>
          <w:highlight w:val="none"/>
        </w:rPr>
        <w:pict>
          <v:shape id="_x0000_i1026"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a MatO/hO/&quot;O/ O/wO/:O/hO/-ansi=&quot;Cambria Math&quot; w:cs=&quot;仿宋_GB2312&quot;/&gt;&lt;wx:font wx:val=&quot;Cambria Math&quot;/&gt;&lt;w:i/&gt;&lt;w:sz w:val=&quot;21&quot;/&gt;&lt;w:sz-cs w:val=&quot;29&quot;/&gt;&lt;/w:rPr&gt;&lt;m:t&gt;i=1&lt;/m:t&gt;&lt;/m:r&gt;&lt;/m:sub&gt;&lt;m:sup&gt;&lt;m:r&gt;&lt;w:rPr&gt;&lt;w:rFonts w:ascii=&quot;Cambria Math&quot; w:h-ansi=&quot;Cambria Math&quot; w:cs=&quot;?O/滤蝨hO/_GBh&quot;O/231&quot; O/2&quot;/ wO/&gt;&lt;ww:O/x:f:hO/ont wx:val=&quot;Cambria Math&quot;/&gt;&lt;w:i/&gt;&lt;w:sz w:val=&quot;21&quot;/&gt;&lt;w:sz-cs w:val=&quot;29&quot;/&gt;&lt;/w:rPr&gt;&lt;m:t&gt;n&lt;/m:t&gt;&lt;/m:r&gt;&lt;/m:sup&gt;&lt;m:e&gt;&lt;m:r&gt;&lt;w:rPr&gt;&lt;w:rFonts w:ascii=&quot;Cambria Math&quot; w:h-ansi=&quot;Cambria Math&quot; w:cs=&quot;仿宋_GB2312&quot;/&gt;&lt;wx:font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sz w:val="28"/>
          <w:highlight w:val="none"/>
        </w:rPr>
        <w:fldChar w:fldCharType="end"/>
      </w:r>
    </w:p>
    <w:p w14:paraId="6EE706A9">
      <w:pPr>
        <w:adjustRightInd/>
        <w:spacing w:line="300" w:lineRule="auto"/>
        <w:ind w:firstLine="560" w:firstLineChars="200"/>
        <w:rPr>
          <w:rFonts w:ascii="Arial" w:hAnsi="Arial" w:eastAsia="仿宋" w:cs="Arial"/>
          <w:sz w:val="28"/>
          <w:highlight w:val="none"/>
        </w:rPr>
      </w:pPr>
      <w:r>
        <w:rPr>
          <w:rFonts w:ascii="Arial" w:hAnsi="Arial" w:eastAsia="仿宋" w:cs="Arial"/>
          <w:sz w:val="28"/>
          <w:highlight w:val="none"/>
        </w:rPr>
        <w:t>其中ki：第i种因素的修正系数</w:t>
      </w:r>
    </w:p>
    <w:p w14:paraId="2FF771B7">
      <w:pPr>
        <w:adjustRightInd/>
        <w:spacing w:line="300" w:lineRule="auto"/>
        <w:ind w:firstLine="560" w:firstLineChars="200"/>
        <w:rPr>
          <w:rFonts w:ascii="Arial" w:hAnsi="Arial" w:eastAsia="仿宋" w:cs="Arial"/>
          <w:sz w:val="28"/>
          <w:highlight w:val="none"/>
        </w:rPr>
      </w:pPr>
      <w:r>
        <w:rPr>
          <w:rFonts w:ascii="Arial" w:hAnsi="Arial" w:eastAsia="仿宋" w:cs="Arial"/>
          <w:sz w:val="28"/>
          <w:highlight w:val="none"/>
        </w:rPr>
        <w:t>各因素的修正系数根据影响地价的因素权重和因素总修正幅度确定。</w:t>
      </w:r>
    </w:p>
    <w:p w14:paraId="42D237BF">
      <w:pPr>
        <w:spacing w:line="360" w:lineRule="auto"/>
        <w:jc w:val="center"/>
        <w:rPr>
          <w:rFonts w:ascii="Arial" w:hAnsi="Arial" w:eastAsia="仿宋" w:cs="Arial"/>
          <w:sz w:val="28"/>
          <w:szCs w:val="28"/>
          <w:highlight w:val="none"/>
        </w:rPr>
      </w:pPr>
      <w:r>
        <w:rPr>
          <w:rFonts w:ascii="Arial" w:hAnsi="Arial" w:eastAsia="仿宋" w:cs="Arial"/>
          <w:bCs/>
          <w:sz w:val="28"/>
          <w:szCs w:val="28"/>
          <w:highlight w:val="none"/>
        </w:rPr>
        <w:t>北京市基准地价因素权重表</w:t>
      </w:r>
    </w:p>
    <w:tbl>
      <w:tblPr>
        <w:tblStyle w:val="34"/>
        <w:tblW w:w="4998" w:type="pct"/>
        <w:jc w:val="center"/>
        <w:tblLayout w:type="autofit"/>
        <w:tblCellMar>
          <w:top w:w="57" w:type="dxa"/>
          <w:left w:w="28" w:type="dxa"/>
          <w:bottom w:w="57" w:type="dxa"/>
          <w:right w:w="28" w:type="dxa"/>
        </w:tblCellMar>
      </w:tblPr>
      <w:tblGrid>
        <w:gridCol w:w="1415"/>
        <w:gridCol w:w="504"/>
        <w:gridCol w:w="1398"/>
        <w:gridCol w:w="502"/>
        <w:gridCol w:w="1378"/>
        <w:gridCol w:w="504"/>
        <w:gridCol w:w="1359"/>
        <w:gridCol w:w="502"/>
        <w:gridCol w:w="1341"/>
        <w:gridCol w:w="503"/>
      </w:tblGrid>
      <w:tr w14:paraId="49D5926A">
        <w:tblPrEx>
          <w:tblCellMar>
            <w:top w:w="57" w:type="dxa"/>
            <w:left w:w="28" w:type="dxa"/>
            <w:bottom w:w="57" w:type="dxa"/>
            <w:right w:w="28" w:type="dxa"/>
          </w:tblCellMar>
        </w:tblPrEx>
        <w:trPr>
          <w:cantSplit/>
          <w:jc w:val="center"/>
        </w:trPr>
        <w:tc>
          <w:tcPr>
            <w:tcW w:w="1020" w:type="pct"/>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15B1720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1010" w:type="pct"/>
            <w:gridSpan w:val="2"/>
            <w:tcBorders>
              <w:top w:val="single" w:color="404040" w:sz="8" w:space="0"/>
              <w:left w:val="nil"/>
              <w:bottom w:val="single" w:color="404040" w:sz="8" w:space="0"/>
              <w:right w:val="single" w:color="404040" w:sz="8" w:space="0"/>
            </w:tcBorders>
            <w:shd w:val="clear" w:color="auto" w:fill="auto"/>
            <w:noWrap/>
            <w:vAlign w:val="center"/>
          </w:tcPr>
          <w:p w14:paraId="53714A7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1000" w:type="pct"/>
            <w:gridSpan w:val="2"/>
            <w:tcBorders>
              <w:top w:val="single" w:color="404040" w:sz="8" w:space="0"/>
              <w:left w:val="nil"/>
              <w:bottom w:val="single" w:color="404040" w:sz="8" w:space="0"/>
              <w:right w:val="single" w:color="404040" w:sz="8" w:space="0"/>
            </w:tcBorders>
            <w:shd w:val="clear" w:color="auto" w:fill="auto"/>
            <w:noWrap/>
            <w:vAlign w:val="center"/>
          </w:tcPr>
          <w:p w14:paraId="3C43A19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住宅类</w:t>
            </w:r>
          </w:p>
        </w:tc>
        <w:tc>
          <w:tcPr>
            <w:tcW w:w="989" w:type="pct"/>
            <w:gridSpan w:val="2"/>
            <w:tcBorders>
              <w:top w:val="single" w:color="404040" w:sz="8" w:space="0"/>
              <w:left w:val="nil"/>
              <w:bottom w:val="single" w:color="404040" w:sz="8" w:space="0"/>
              <w:right w:val="single" w:color="404040" w:sz="8" w:space="0"/>
            </w:tcBorders>
            <w:shd w:val="clear" w:color="auto" w:fill="auto"/>
            <w:noWrap/>
            <w:vAlign w:val="center"/>
          </w:tcPr>
          <w:p w14:paraId="099ABAD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979" w:type="pct"/>
            <w:gridSpan w:val="2"/>
            <w:tcBorders>
              <w:top w:val="single" w:color="404040" w:sz="8" w:space="0"/>
              <w:left w:val="nil"/>
              <w:bottom w:val="single" w:color="404040" w:sz="8" w:space="0"/>
              <w:right w:val="single" w:color="404040" w:sz="8" w:space="0"/>
            </w:tcBorders>
            <w:shd w:val="clear" w:color="auto" w:fill="auto"/>
            <w:noWrap/>
            <w:vAlign w:val="center"/>
          </w:tcPr>
          <w:p w14:paraId="0FFF225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r>
      <w:tr w14:paraId="28D780C4">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noWrap/>
            <w:vAlign w:val="center"/>
          </w:tcPr>
          <w:p w14:paraId="215EBD6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4A96056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43" w:type="pct"/>
            <w:tcBorders>
              <w:top w:val="nil"/>
              <w:left w:val="nil"/>
              <w:bottom w:val="single" w:color="404040" w:sz="8" w:space="0"/>
              <w:right w:val="single" w:color="404040" w:sz="8" w:space="0"/>
            </w:tcBorders>
            <w:shd w:val="clear" w:color="auto" w:fill="auto"/>
            <w:noWrap/>
            <w:vAlign w:val="center"/>
          </w:tcPr>
          <w:p w14:paraId="7859C4C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26DE5B3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32" w:type="pct"/>
            <w:tcBorders>
              <w:top w:val="nil"/>
              <w:left w:val="nil"/>
              <w:bottom w:val="single" w:color="404040" w:sz="8" w:space="0"/>
              <w:right w:val="single" w:color="404040" w:sz="8" w:space="0"/>
            </w:tcBorders>
            <w:shd w:val="clear" w:color="auto" w:fill="auto"/>
            <w:noWrap/>
            <w:vAlign w:val="center"/>
          </w:tcPr>
          <w:p w14:paraId="3B5DEF8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1DBAB76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22" w:type="pct"/>
            <w:tcBorders>
              <w:top w:val="nil"/>
              <w:left w:val="nil"/>
              <w:bottom w:val="single" w:color="404040" w:sz="8" w:space="0"/>
              <w:right w:val="single" w:color="404040" w:sz="8" w:space="0"/>
            </w:tcBorders>
            <w:shd w:val="clear" w:color="auto" w:fill="auto"/>
            <w:noWrap/>
            <w:vAlign w:val="center"/>
          </w:tcPr>
          <w:p w14:paraId="1F1ACE7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6" w:type="pct"/>
            <w:tcBorders>
              <w:top w:val="nil"/>
              <w:left w:val="nil"/>
              <w:bottom w:val="single" w:color="404040" w:sz="8" w:space="0"/>
              <w:right w:val="single" w:color="404040" w:sz="8" w:space="0"/>
            </w:tcBorders>
            <w:shd w:val="clear" w:color="auto" w:fill="auto"/>
            <w:noWrap/>
            <w:vAlign w:val="center"/>
          </w:tcPr>
          <w:p w14:paraId="626ED80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12" w:type="pct"/>
            <w:tcBorders>
              <w:top w:val="nil"/>
              <w:left w:val="nil"/>
              <w:bottom w:val="single" w:color="404040" w:sz="8" w:space="0"/>
              <w:right w:val="single" w:color="404040" w:sz="8" w:space="0"/>
            </w:tcBorders>
            <w:shd w:val="clear" w:color="auto" w:fill="auto"/>
            <w:noWrap/>
            <w:vAlign w:val="center"/>
          </w:tcPr>
          <w:p w14:paraId="51639FD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75F73C7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r>
      <w:tr w14:paraId="71D8CF51">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6E73A97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商业繁华程度</w:t>
            </w:r>
          </w:p>
        </w:tc>
        <w:tc>
          <w:tcPr>
            <w:tcW w:w="267" w:type="pct"/>
            <w:tcBorders>
              <w:top w:val="nil"/>
              <w:left w:val="nil"/>
              <w:bottom w:val="single" w:color="404040" w:sz="8" w:space="0"/>
              <w:right w:val="single" w:color="404040" w:sz="8" w:space="0"/>
            </w:tcBorders>
            <w:shd w:val="clear" w:color="auto" w:fill="auto"/>
            <w:vAlign w:val="center"/>
          </w:tcPr>
          <w:p w14:paraId="6638C79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30%</w:t>
            </w:r>
          </w:p>
        </w:tc>
        <w:tc>
          <w:tcPr>
            <w:tcW w:w="743" w:type="pct"/>
            <w:tcBorders>
              <w:top w:val="nil"/>
              <w:left w:val="nil"/>
              <w:bottom w:val="single" w:color="404040" w:sz="8" w:space="0"/>
              <w:right w:val="single" w:color="404040" w:sz="8" w:space="0"/>
            </w:tcBorders>
            <w:shd w:val="clear" w:color="auto" w:fill="auto"/>
            <w:vAlign w:val="center"/>
          </w:tcPr>
          <w:p w14:paraId="2B4CEC6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办公集聚程度</w:t>
            </w:r>
          </w:p>
        </w:tc>
        <w:tc>
          <w:tcPr>
            <w:tcW w:w="267" w:type="pct"/>
            <w:tcBorders>
              <w:top w:val="nil"/>
              <w:left w:val="nil"/>
              <w:bottom w:val="single" w:color="404040" w:sz="8" w:space="0"/>
              <w:right w:val="single" w:color="404040" w:sz="8" w:space="0"/>
            </w:tcBorders>
            <w:shd w:val="clear" w:color="auto" w:fill="auto"/>
            <w:vAlign w:val="center"/>
          </w:tcPr>
          <w:p w14:paraId="4116066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c>
          <w:tcPr>
            <w:tcW w:w="732" w:type="pct"/>
            <w:tcBorders>
              <w:top w:val="nil"/>
              <w:left w:val="nil"/>
              <w:bottom w:val="single" w:color="404040" w:sz="8" w:space="0"/>
              <w:right w:val="single" w:color="404040" w:sz="8" w:space="0"/>
            </w:tcBorders>
            <w:shd w:val="clear" w:color="auto" w:fill="auto"/>
            <w:vAlign w:val="center"/>
          </w:tcPr>
          <w:p w14:paraId="04FFA4B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住宅社区成熟度</w:t>
            </w:r>
          </w:p>
        </w:tc>
        <w:tc>
          <w:tcPr>
            <w:tcW w:w="267" w:type="pct"/>
            <w:tcBorders>
              <w:top w:val="nil"/>
              <w:left w:val="nil"/>
              <w:bottom w:val="single" w:color="404040" w:sz="8" w:space="0"/>
              <w:right w:val="single" w:color="404040" w:sz="8" w:space="0"/>
            </w:tcBorders>
            <w:shd w:val="clear" w:color="auto" w:fill="auto"/>
            <w:vAlign w:val="center"/>
          </w:tcPr>
          <w:p w14:paraId="5E5E9C0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20%</w:t>
            </w:r>
          </w:p>
        </w:tc>
        <w:tc>
          <w:tcPr>
            <w:tcW w:w="722" w:type="pct"/>
            <w:tcBorders>
              <w:top w:val="nil"/>
              <w:left w:val="nil"/>
              <w:bottom w:val="single" w:color="404040" w:sz="8" w:space="0"/>
              <w:right w:val="single" w:color="404040" w:sz="8" w:space="0"/>
            </w:tcBorders>
            <w:shd w:val="clear" w:color="auto" w:fill="auto"/>
            <w:vAlign w:val="center"/>
          </w:tcPr>
          <w:p w14:paraId="6E9598E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产业集聚程度</w:t>
            </w:r>
          </w:p>
        </w:tc>
        <w:tc>
          <w:tcPr>
            <w:tcW w:w="266" w:type="pct"/>
            <w:tcBorders>
              <w:top w:val="nil"/>
              <w:left w:val="nil"/>
              <w:bottom w:val="single" w:color="404040" w:sz="8" w:space="0"/>
              <w:right w:val="single" w:color="404040" w:sz="8" w:space="0"/>
            </w:tcBorders>
            <w:shd w:val="clear" w:color="auto" w:fill="auto"/>
            <w:vAlign w:val="center"/>
          </w:tcPr>
          <w:p w14:paraId="7C18C61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712" w:type="pct"/>
            <w:tcBorders>
              <w:top w:val="nil"/>
              <w:left w:val="nil"/>
              <w:bottom w:val="single" w:color="404040" w:sz="8" w:space="0"/>
              <w:right w:val="single" w:color="404040" w:sz="8" w:space="0"/>
            </w:tcBorders>
            <w:shd w:val="clear" w:color="auto" w:fill="auto"/>
            <w:vAlign w:val="center"/>
          </w:tcPr>
          <w:p w14:paraId="5D7536D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物业集聚程度</w:t>
            </w:r>
          </w:p>
        </w:tc>
        <w:tc>
          <w:tcPr>
            <w:tcW w:w="267" w:type="pct"/>
            <w:tcBorders>
              <w:top w:val="nil"/>
              <w:left w:val="nil"/>
              <w:bottom w:val="single" w:color="404040" w:sz="8" w:space="0"/>
              <w:right w:val="single" w:color="404040" w:sz="8" w:space="0"/>
            </w:tcBorders>
            <w:shd w:val="clear" w:color="auto" w:fill="auto"/>
            <w:vAlign w:val="center"/>
          </w:tcPr>
          <w:p w14:paraId="74C62DD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r>
      <w:tr w14:paraId="1BACD921">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596445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10C8CFC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22%</w:t>
            </w:r>
          </w:p>
        </w:tc>
        <w:tc>
          <w:tcPr>
            <w:tcW w:w="743" w:type="pct"/>
            <w:tcBorders>
              <w:top w:val="nil"/>
              <w:left w:val="nil"/>
              <w:bottom w:val="single" w:color="404040" w:sz="8" w:space="0"/>
              <w:right w:val="single" w:color="404040" w:sz="8" w:space="0"/>
            </w:tcBorders>
            <w:shd w:val="clear" w:color="auto" w:fill="auto"/>
            <w:vAlign w:val="center"/>
          </w:tcPr>
          <w:p w14:paraId="02D860D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4207AD2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732" w:type="pct"/>
            <w:tcBorders>
              <w:top w:val="nil"/>
              <w:left w:val="nil"/>
              <w:bottom w:val="single" w:color="404040" w:sz="8" w:space="0"/>
              <w:right w:val="single" w:color="404040" w:sz="8" w:space="0"/>
            </w:tcBorders>
            <w:shd w:val="clear" w:color="auto" w:fill="auto"/>
            <w:vAlign w:val="center"/>
          </w:tcPr>
          <w:p w14:paraId="3B8AD94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58BF8D4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722" w:type="pct"/>
            <w:tcBorders>
              <w:top w:val="nil"/>
              <w:left w:val="nil"/>
              <w:bottom w:val="single" w:color="404040" w:sz="8" w:space="0"/>
              <w:right w:val="single" w:color="404040" w:sz="8" w:space="0"/>
            </w:tcBorders>
            <w:shd w:val="clear" w:color="auto" w:fill="auto"/>
            <w:vAlign w:val="center"/>
          </w:tcPr>
          <w:p w14:paraId="479AE37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6" w:type="pct"/>
            <w:tcBorders>
              <w:top w:val="nil"/>
              <w:left w:val="nil"/>
              <w:bottom w:val="single" w:color="404040" w:sz="8" w:space="0"/>
              <w:right w:val="single" w:color="404040" w:sz="8" w:space="0"/>
            </w:tcBorders>
            <w:shd w:val="clear" w:color="auto" w:fill="auto"/>
            <w:vAlign w:val="center"/>
          </w:tcPr>
          <w:p w14:paraId="1C15E2F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30%</w:t>
            </w:r>
          </w:p>
        </w:tc>
        <w:tc>
          <w:tcPr>
            <w:tcW w:w="712" w:type="pct"/>
            <w:tcBorders>
              <w:top w:val="nil"/>
              <w:left w:val="nil"/>
              <w:bottom w:val="single" w:color="404040" w:sz="8" w:space="0"/>
              <w:right w:val="single" w:color="404040" w:sz="8" w:space="0"/>
            </w:tcBorders>
            <w:shd w:val="clear" w:color="auto" w:fill="auto"/>
            <w:vAlign w:val="center"/>
          </w:tcPr>
          <w:p w14:paraId="0EB0EC2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3461815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r>
      <w:tr w14:paraId="0E44AA14">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11282A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4E2A4AC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743" w:type="pct"/>
            <w:tcBorders>
              <w:top w:val="nil"/>
              <w:left w:val="nil"/>
              <w:bottom w:val="single" w:color="404040" w:sz="8" w:space="0"/>
              <w:right w:val="single" w:color="404040" w:sz="8" w:space="0"/>
            </w:tcBorders>
            <w:shd w:val="clear" w:color="auto" w:fill="auto"/>
            <w:vAlign w:val="center"/>
          </w:tcPr>
          <w:p w14:paraId="4784A56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46C9BE0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w:t>
            </w:r>
          </w:p>
        </w:tc>
        <w:tc>
          <w:tcPr>
            <w:tcW w:w="732" w:type="pct"/>
            <w:tcBorders>
              <w:top w:val="nil"/>
              <w:left w:val="nil"/>
              <w:bottom w:val="single" w:color="404040" w:sz="8" w:space="0"/>
              <w:right w:val="single" w:color="404040" w:sz="8" w:space="0"/>
            </w:tcBorders>
            <w:shd w:val="clear" w:color="auto" w:fill="auto"/>
            <w:vAlign w:val="center"/>
          </w:tcPr>
          <w:p w14:paraId="448BDE1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44D335F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w:t>
            </w:r>
          </w:p>
        </w:tc>
        <w:tc>
          <w:tcPr>
            <w:tcW w:w="722" w:type="pct"/>
            <w:tcBorders>
              <w:top w:val="nil"/>
              <w:left w:val="nil"/>
              <w:bottom w:val="single" w:color="404040" w:sz="8" w:space="0"/>
              <w:right w:val="single" w:color="404040" w:sz="8" w:space="0"/>
            </w:tcBorders>
            <w:shd w:val="clear" w:color="auto" w:fill="auto"/>
            <w:vAlign w:val="center"/>
          </w:tcPr>
          <w:p w14:paraId="75CA7EB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6" w:type="pct"/>
            <w:tcBorders>
              <w:top w:val="nil"/>
              <w:left w:val="nil"/>
              <w:bottom w:val="single" w:color="404040" w:sz="8" w:space="0"/>
              <w:right w:val="single" w:color="404040" w:sz="8" w:space="0"/>
            </w:tcBorders>
            <w:shd w:val="clear" w:color="auto" w:fill="auto"/>
            <w:vAlign w:val="center"/>
          </w:tcPr>
          <w:p w14:paraId="746B92C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w:t>
            </w:r>
          </w:p>
        </w:tc>
        <w:tc>
          <w:tcPr>
            <w:tcW w:w="712" w:type="pct"/>
            <w:tcBorders>
              <w:top w:val="nil"/>
              <w:left w:val="nil"/>
              <w:bottom w:val="single" w:color="404040" w:sz="8" w:space="0"/>
              <w:right w:val="single" w:color="404040" w:sz="8" w:space="0"/>
            </w:tcBorders>
            <w:shd w:val="clear" w:color="auto" w:fill="auto"/>
            <w:vAlign w:val="center"/>
          </w:tcPr>
          <w:p w14:paraId="5DEB094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1CD0B88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w:t>
            </w:r>
          </w:p>
        </w:tc>
      </w:tr>
      <w:tr w14:paraId="1844EE6E">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7B3D853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022CD23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0C8A7C2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37C99FA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32" w:type="pct"/>
            <w:tcBorders>
              <w:top w:val="nil"/>
              <w:left w:val="nil"/>
              <w:bottom w:val="single" w:color="404040" w:sz="8" w:space="0"/>
              <w:right w:val="single" w:color="404040" w:sz="8" w:space="0"/>
            </w:tcBorders>
            <w:shd w:val="clear" w:color="auto" w:fill="auto"/>
            <w:vAlign w:val="center"/>
          </w:tcPr>
          <w:p w14:paraId="4CFF0FC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临路状况</w:t>
            </w:r>
          </w:p>
        </w:tc>
        <w:tc>
          <w:tcPr>
            <w:tcW w:w="267" w:type="pct"/>
            <w:tcBorders>
              <w:top w:val="nil"/>
              <w:left w:val="nil"/>
              <w:bottom w:val="single" w:color="404040" w:sz="8" w:space="0"/>
              <w:right w:val="single" w:color="404040" w:sz="8" w:space="0"/>
            </w:tcBorders>
            <w:shd w:val="clear" w:color="auto" w:fill="auto"/>
            <w:vAlign w:val="center"/>
          </w:tcPr>
          <w:p w14:paraId="700CCD0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22" w:type="pct"/>
            <w:tcBorders>
              <w:top w:val="nil"/>
              <w:left w:val="nil"/>
              <w:bottom w:val="single" w:color="404040" w:sz="8" w:space="0"/>
              <w:right w:val="single" w:color="404040" w:sz="8" w:space="0"/>
            </w:tcBorders>
            <w:shd w:val="clear" w:color="auto" w:fill="auto"/>
            <w:vAlign w:val="center"/>
          </w:tcPr>
          <w:p w14:paraId="3621BAC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临路状况</w:t>
            </w:r>
          </w:p>
        </w:tc>
        <w:tc>
          <w:tcPr>
            <w:tcW w:w="266" w:type="pct"/>
            <w:tcBorders>
              <w:top w:val="nil"/>
              <w:left w:val="nil"/>
              <w:bottom w:val="single" w:color="404040" w:sz="8" w:space="0"/>
              <w:right w:val="single" w:color="404040" w:sz="8" w:space="0"/>
            </w:tcBorders>
            <w:shd w:val="clear" w:color="auto" w:fill="auto"/>
            <w:vAlign w:val="center"/>
          </w:tcPr>
          <w:p w14:paraId="4706C08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12" w:type="pct"/>
            <w:tcBorders>
              <w:top w:val="nil"/>
              <w:left w:val="nil"/>
              <w:bottom w:val="single" w:color="404040" w:sz="8" w:space="0"/>
              <w:right w:val="single" w:color="404040" w:sz="8" w:space="0"/>
            </w:tcBorders>
            <w:shd w:val="clear" w:color="auto" w:fill="auto"/>
            <w:vAlign w:val="center"/>
          </w:tcPr>
          <w:p w14:paraId="6915C8C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03C42ED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r>
      <w:tr w14:paraId="2A24CD19">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77BB80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504F6B4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743" w:type="pct"/>
            <w:tcBorders>
              <w:top w:val="nil"/>
              <w:left w:val="nil"/>
              <w:bottom w:val="single" w:color="404040" w:sz="8" w:space="0"/>
              <w:right w:val="single" w:color="404040" w:sz="8" w:space="0"/>
            </w:tcBorders>
            <w:shd w:val="clear" w:color="auto" w:fill="auto"/>
            <w:vAlign w:val="center"/>
          </w:tcPr>
          <w:p w14:paraId="11D3B6B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0214A91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32" w:type="pct"/>
            <w:tcBorders>
              <w:top w:val="nil"/>
              <w:left w:val="nil"/>
              <w:bottom w:val="single" w:color="404040" w:sz="8" w:space="0"/>
              <w:right w:val="single" w:color="404040" w:sz="8" w:space="0"/>
            </w:tcBorders>
            <w:shd w:val="clear" w:color="auto" w:fill="auto"/>
            <w:vAlign w:val="center"/>
          </w:tcPr>
          <w:p w14:paraId="6DA712A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3D832E7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722" w:type="pct"/>
            <w:tcBorders>
              <w:top w:val="nil"/>
              <w:left w:val="nil"/>
              <w:bottom w:val="single" w:color="404040" w:sz="8" w:space="0"/>
              <w:right w:val="single" w:color="404040" w:sz="8" w:space="0"/>
            </w:tcBorders>
            <w:shd w:val="clear" w:color="auto" w:fill="auto"/>
            <w:vAlign w:val="center"/>
          </w:tcPr>
          <w:p w14:paraId="6C9B6D9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6" w:type="pct"/>
            <w:tcBorders>
              <w:top w:val="nil"/>
              <w:left w:val="nil"/>
              <w:bottom w:val="single" w:color="404040" w:sz="8" w:space="0"/>
              <w:right w:val="single" w:color="404040" w:sz="8" w:space="0"/>
            </w:tcBorders>
            <w:shd w:val="clear" w:color="auto" w:fill="auto"/>
            <w:vAlign w:val="center"/>
          </w:tcPr>
          <w:p w14:paraId="21C72CB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12" w:type="pct"/>
            <w:tcBorders>
              <w:top w:val="nil"/>
              <w:left w:val="nil"/>
              <w:bottom w:val="single" w:color="404040" w:sz="8" w:space="0"/>
              <w:right w:val="single" w:color="404040" w:sz="8" w:space="0"/>
            </w:tcBorders>
            <w:shd w:val="clear" w:color="auto" w:fill="auto"/>
            <w:vAlign w:val="center"/>
          </w:tcPr>
          <w:p w14:paraId="710A540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344730B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r>
      <w:tr w14:paraId="3D0CB3BA">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60DD122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1C0DFC0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5F8A18D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4FE7E5D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32" w:type="pct"/>
            <w:tcBorders>
              <w:top w:val="nil"/>
              <w:left w:val="nil"/>
              <w:bottom w:val="single" w:color="404040" w:sz="8" w:space="0"/>
              <w:right w:val="single" w:color="404040" w:sz="8" w:space="0"/>
            </w:tcBorders>
            <w:shd w:val="clear" w:color="auto" w:fill="auto"/>
            <w:vAlign w:val="center"/>
          </w:tcPr>
          <w:p w14:paraId="0E686A7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56C9A53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22" w:type="pct"/>
            <w:tcBorders>
              <w:top w:val="nil"/>
              <w:left w:val="nil"/>
              <w:bottom w:val="single" w:color="404040" w:sz="8" w:space="0"/>
              <w:right w:val="single" w:color="404040" w:sz="8" w:space="0"/>
            </w:tcBorders>
            <w:shd w:val="clear" w:color="auto" w:fill="auto"/>
            <w:vAlign w:val="center"/>
          </w:tcPr>
          <w:p w14:paraId="10D3C8C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6" w:type="pct"/>
            <w:tcBorders>
              <w:top w:val="nil"/>
              <w:left w:val="nil"/>
              <w:bottom w:val="single" w:color="404040" w:sz="8" w:space="0"/>
              <w:right w:val="single" w:color="404040" w:sz="8" w:space="0"/>
            </w:tcBorders>
            <w:shd w:val="clear" w:color="auto" w:fill="auto"/>
            <w:vAlign w:val="center"/>
          </w:tcPr>
          <w:p w14:paraId="27C9808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12" w:type="pct"/>
            <w:tcBorders>
              <w:top w:val="nil"/>
              <w:left w:val="nil"/>
              <w:bottom w:val="single" w:color="404040" w:sz="8" w:space="0"/>
              <w:right w:val="single" w:color="404040" w:sz="8" w:space="0"/>
            </w:tcBorders>
            <w:shd w:val="clear" w:color="auto" w:fill="auto"/>
            <w:vAlign w:val="center"/>
          </w:tcPr>
          <w:p w14:paraId="7854DB3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6A6B9A5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r>
      <w:tr w14:paraId="17393277">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2B57C24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60C52A9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06FF7B9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1234DAB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32" w:type="pct"/>
            <w:tcBorders>
              <w:top w:val="nil"/>
              <w:left w:val="nil"/>
              <w:bottom w:val="single" w:color="404040" w:sz="8" w:space="0"/>
              <w:right w:val="single" w:color="404040" w:sz="8" w:space="0"/>
            </w:tcBorders>
            <w:shd w:val="clear" w:color="auto" w:fill="auto"/>
            <w:vAlign w:val="center"/>
          </w:tcPr>
          <w:p w14:paraId="10B7ABA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7140BAD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c>
          <w:tcPr>
            <w:tcW w:w="722" w:type="pct"/>
            <w:tcBorders>
              <w:top w:val="nil"/>
              <w:left w:val="nil"/>
              <w:bottom w:val="single" w:color="404040" w:sz="8" w:space="0"/>
              <w:right w:val="single" w:color="404040" w:sz="8" w:space="0"/>
            </w:tcBorders>
            <w:shd w:val="clear" w:color="auto" w:fill="auto"/>
            <w:vAlign w:val="center"/>
          </w:tcPr>
          <w:p w14:paraId="5B4DE65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6" w:type="pct"/>
            <w:tcBorders>
              <w:top w:val="nil"/>
              <w:left w:val="nil"/>
              <w:bottom w:val="single" w:color="404040" w:sz="8" w:space="0"/>
              <w:right w:val="single" w:color="404040" w:sz="8" w:space="0"/>
            </w:tcBorders>
            <w:shd w:val="clear" w:color="auto" w:fill="auto"/>
            <w:vAlign w:val="center"/>
          </w:tcPr>
          <w:p w14:paraId="568B403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712" w:type="pct"/>
            <w:tcBorders>
              <w:top w:val="nil"/>
              <w:left w:val="nil"/>
              <w:bottom w:val="single" w:color="404040" w:sz="8" w:space="0"/>
              <w:right w:val="single" w:color="404040" w:sz="8" w:space="0"/>
            </w:tcBorders>
            <w:shd w:val="clear" w:color="auto" w:fill="auto"/>
            <w:vAlign w:val="center"/>
          </w:tcPr>
          <w:p w14:paraId="372C8F2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437C6B9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r>
      <w:tr w14:paraId="41541316">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851BD3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42D4095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743" w:type="pct"/>
            <w:tcBorders>
              <w:top w:val="nil"/>
              <w:left w:val="nil"/>
              <w:bottom w:val="single" w:color="404040" w:sz="8" w:space="0"/>
              <w:right w:val="single" w:color="404040" w:sz="8" w:space="0"/>
            </w:tcBorders>
            <w:shd w:val="clear" w:color="auto" w:fill="auto"/>
            <w:vAlign w:val="center"/>
          </w:tcPr>
          <w:p w14:paraId="5B7666A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684DFD8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c>
          <w:tcPr>
            <w:tcW w:w="732" w:type="pct"/>
            <w:tcBorders>
              <w:top w:val="nil"/>
              <w:left w:val="nil"/>
              <w:bottom w:val="single" w:color="404040" w:sz="8" w:space="0"/>
              <w:right w:val="single" w:color="404040" w:sz="8" w:space="0"/>
            </w:tcBorders>
            <w:shd w:val="clear" w:color="auto" w:fill="auto"/>
            <w:vAlign w:val="center"/>
          </w:tcPr>
          <w:p w14:paraId="1303CF2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142DE97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722" w:type="pct"/>
            <w:tcBorders>
              <w:top w:val="nil"/>
              <w:left w:val="nil"/>
              <w:bottom w:val="single" w:color="404040" w:sz="8" w:space="0"/>
              <w:right w:val="single" w:color="404040" w:sz="8" w:space="0"/>
            </w:tcBorders>
            <w:shd w:val="clear" w:color="auto" w:fill="auto"/>
            <w:vAlign w:val="center"/>
          </w:tcPr>
          <w:p w14:paraId="4062A18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环境状况</w:t>
            </w:r>
          </w:p>
        </w:tc>
        <w:tc>
          <w:tcPr>
            <w:tcW w:w="266" w:type="pct"/>
            <w:tcBorders>
              <w:top w:val="nil"/>
              <w:left w:val="nil"/>
              <w:bottom w:val="single" w:color="404040" w:sz="8" w:space="0"/>
              <w:right w:val="single" w:color="404040" w:sz="8" w:space="0"/>
            </w:tcBorders>
            <w:shd w:val="clear" w:color="auto" w:fill="auto"/>
            <w:vAlign w:val="center"/>
          </w:tcPr>
          <w:p w14:paraId="22DC427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12" w:type="pct"/>
            <w:tcBorders>
              <w:top w:val="nil"/>
              <w:left w:val="nil"/>
              <w:bottom w:val="single" w:color="404040" w:sz="8" w:space="0"/>
              <w:right w:val="single" w:color="404040" w:sz="8" w:space="0"/>
            </w:tcBorders>
            <w:shd w:val="clear" w:color="auto" w:fill="auto"/>
            <w:vAlign w:val="center"/>
          </w:tcPr>
          <w:p w14:paraId="76EF8BF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5ED8E19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r>
      <w:tr w14:paraId="361B071D">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16CFEA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5D72D17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18DBB3C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3F8CAD7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7%</w:t>
            </w:r>
          </w:p>
        </w:tc>
        <w:tc>
          <w:tcPr>
            <w:tcW w:w="732" w:type="pct"/>
            <w:tcBorders>
              <w:top w:val="nil"/>
              <w:left w:val="nil"/>
              <w:bottom w:val="single" w:color="404040" w:sz="8" w:space="0"/>
              <w:right w:val="single" w:color="404040" w:sz="8" w:space="0"/>
            </w:tcBorders>
            <w:shd w:val="clear" w:color="auto" w:fill="auto"/>
            <w:vAlign w:val="center"/>
          </w:tcPr>
          <w:p w14:paraId="12E67AD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与区域中心的接近程度</w:t>
            </w:r>
          </w:p>
        </w:tc>
        <w:tc>
          <w:tcPr>
            <w:tcW w:w="267" w:type="pct"/>
            <w:tcBorders>
              <w:top w:val="nil"/>
              <w:left w:val="nil"/>
              <w:bottom w:val="single" w:color="404040" w:sz="8" w:space="0"/>
              <w:right w:val="single" w:color="404040" w:sz="8" w:space="0"/>
            </w:tcBorders>
            <w:shd w:val="clear" w:color="auto" w:fill="auto"/>
            <w:vAlign w:val="center"/>
          </w:tcPr>
          <w:p w14:paraId="2F03DCE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22" w:type="pct"/>
            <w:tcBorders>
              <w:top w:val="nil"/>
              <w:left w:val="nil"/>
              <w:bottom w:val="single" w:color="404040" w:sz="8" w:space="0"/>
              <w:right w:val="single" w:color="404040" w:sz="8" w:space="0"/>
            </w:tcBorders>
            <w:shd w:val="clear" w:color="auto" w:fill="auto"/>
            <w:vAlign w:val="center"/>
          </w:tcPr>
          <w:p w14:paraId="423D7BD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266" w:type="pct"/>
            <w:tcBorders>
              <w:top w:val="nil"/>
              <w:left w:val="nil"/>
              <w:bottom w:val="single" w:color="404040" w:sz="8" w:space="0"/>
              <w:right w:val="single" w:color="404040" w:sz="8" w:space="0"/>
            </w:tcBorders>
            <w:shd w:val="clear" w:color="auto" w:fill="auto"/>
            <w:vAlign w:val="center"/>
          </w:tcPr>
          <w:p w14:paraId="4BC54B6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712" w:type="pct"/>
            <w:tcBorders>
              <w:top w:val="nil"/>
              <w:left w:val="nil"/>
              <w:bottom w:val="single" w:color="404040" w:sz="8" w:space="0"/>
              <w:right w:val="single" w:color="404040" w:sz="8" w:space="0"/>
            </w:tcBorders>
            <w:shd w:val="clear" w:color="auto" w:fill="auto"/>
            <w:vAlign w:val="center"/>
          </w:tcPr>
          <w:p w14:paraId="6AEAE69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509D1AD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7%</w:t>
            </w:r>
          </w:p>
        </w:tc>
      </w:tr>
    </w:tbl>
    <w:p w14:paraId="2729B20A">
      <w:pPr>
        <w:keepNext w:val="0"/>
        <w:keepLines w:val="0"/>
        <w:pageBreakBefore w:val="0"/>
        <w:widowControl w:val="0"/>
        <w:kinsoku/>
        <w:wordWrap/>
        <w:overflowPunct/>
        <w:topLinePunct w:val="0"/>
        <w:autoSpaceDE/>
        <w:autoSpaceDN/>
        <w:bidi w:val="0"/>
        <w:adjustRightInd w:val="0"/>
        <w:snapToGrid/>
        <w:spacing w:before="313" w:beforeLines="100" w:line="300" w:lineRule="auto"/>
        <w:ind w:firstLine="560" w:firstLineChars="200"/>
        <w:jc w:val="both"/>
        <w:textAlignment w:val="baseline"/>
        <w:rPr>
          <w:rFonts w:ascii="Arial" w:hAnsi="Arial" w:eastAsia="仿宋" w:cs="Arial"/>
          <w:sz w:val="28"/>
          <w:szCs w:val="28"/>
          <w:highlight w:val="none"/>
        </w:rPr>
      </w:pPr>
      <w:r>
        <w:rPr>
          <w:rFonts w:ascii="Arial" w:hAnsi="Arial" w:eastAsia="仿宋" w:cs="Arial"/>
          <w:sz w:val="28"/>
          <w:szCs w:val="28"/>
          <w:highlight w:val="none"/>
        </w:rPr>
        <w:t>估价对象位于住宅类</w:t>
      </w:r>
      <w:r>
        <w:rPr>
          <w:rFonts w:hint="eastAsia" w:ascii="Arial" w:hAnsi="Arial" w:eastAsia="仿宋" w:cs="Arial"/>
          <w:sz w:val="28"/>
          <w:szCs w:val="28"/>
          <w:highlight w:val="none"/>
        </w:rPr>
        <w:t>九</w:t>
      </w:r>
      <w:r>
        <w:rPr>
          <w:rFonts w:ascii="Arial" w:hAnsi="Arial" w:eastAsia="仿宋" w:cs="Arial"/>
          <w:sz w:val="28"/>
          <w:szCs w:val="28"/>
          <w:highlight w:val="none"/>
        </w:rPr>
        <w:t>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65B1E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059FED8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级别</w:t>
            </w:r>
          </w:p>
        </w:tc>
        <w:tc>
          <w:tcPr>
            <w:tcW w:w="1056" w:type="pct"/>
            <w:shd w:val="clear" w:color="auto" w:fill="auto"/>
            <w:vAlign w:val="center"/>
          </w:tcPr>
          <w:p w14:paraId="6367D08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区片编号</w:t>
            </w:r>
          </w:p>
        </w:tc>
        <w:tc>
          <w:tcPr>
            <w:tcW w:w="674" w:type="pct"/>
            <w:shd w:val="clear" w:color="auto" w:fill="auto"/>
            <w:vAlign w:val="center"/>
          </w:tcPr>
          <w:p w14:paraId="20B769EA">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674" w:type="pct"/>
            <w:shd w:val="clear" w:color="auto" w:fill="auto"/>
            <w:vAlign w:val="center"/>
          </w:tcPr>
          <w:p w14:paraId="3767098E">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674" w:type="pct"/>
            <w:shd w:val="clear" w:color="auto" w:fill="auto"/>
            <w:vAlign w:val="center"/>
          </w:tcPr>
          <w:p w14:paraId="06E6545F">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住宅类</w:t>
            </w:r>
          </w:p>
        </w:tc>
        <w:tc>
          <w:tcPr>
            <w:tcW w:w="595" w:type="pct"/>
            <w:shd w:val="clear" w:color="auto" w:fill="auto"/>
            <w:vAlign w:val="center"/>
          </w:tcPr>
          <w:p w14:paraId="4D3F7470">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752" w:type="pct"/>
            <w:shd w:val="clear" w:color="auto" w:fill="auto"/>
            <w:vAlign w:val="center"/>
          </w:tcPr>
          <w:p w14:paraId="1662C1CF">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r>
      <w:tr w14:paraId="339B1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745908C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九级</w:t>
            </w:r>
          </w:p>
        </w:tc>
        <w:tc>
          <w:tcPr>
            <w:tcW w:w="1056" w:type="pct"/>
            <w:shd w:val="clear" w:color="auto" w:fill="auto"/>
            <w:vAlign w:val="center"/>
          </w:tcPr>
          <w:p w14:paraId="16B1D77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01</w:t>
            </w:r>
          </w:p>
        </w:tc>
        <w:tc>
          <w:tcPr>
            <w:tcW w:w="674" w:type="pct"/>
            <w:shd w:val="clear" w:color="auto" w:fill="auto"/>
            <w:vAlign w:val="center"/>
          </w:tcPr>
          <w:p w14:paraId="3FA3B3B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6334CC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9143B9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183EE18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3F5ED19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CCFC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0BF89C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F14A43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02</w:t>
            </w:r>
          </w:p>
        </w:tc>
        <w:tc>
          <w:tcPr>
            <w:tcW w:w="674" w:type="pct"/>
            <w:shd w:val="clear" w:color="auto" w:fill="auto"/>
            <w:vAlign w:val="center"/>
          </w:tcPr>
          <w:p w14:paraId="45EC38B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2492F9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CB426B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63D6F4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3DE1DC5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1348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B23828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C5289B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门1</w:t>
            </w:r>
          </w:p>
        </w:tc>
        <w:tc>
          <w:tcPr>
            <w:tcW w:w="674" w:type="pct"/>
            <w:shd w:val="clear" w:color="auto" w:fill="auto"/>
            <w:vAlign w:val="center"/>
          </w:tcPr>
          <w:p w14:paraId="157B3A0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36E0FF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06810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34F376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210C556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25C4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703334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0D25A8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门2</w:t>
            </w:r>
          </w:p>
        </w:tc>
        <w:tc>
          <w:tcPr>
            <w:tcW w:w="674" w:type="pct"/>
            <w:shd w:val="clear" w:color="auto" w:fill="auto"/>
            <w:vAlign w:val="center"/>
          </w:tcPr>
          <w:p w14:paraId="40E8721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06DD64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0C1B67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2828D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0574F15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57BC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967716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076337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门潭</w:t>
            </w:r>
          </w:p>
        </w:tc>
        <w:tc>
          <w:tcPr>
            <w:tcW w:w="674" w:type="pct"/>
            <w:shd w:val="clear" w:color="auto" w:fill="auto"/>
            <w:vAlign w:val="center"/>
          </w:tcPr>
          <w:p w14:paraId="01A22FA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60B139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1FADC8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FEBCC9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1415702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CC86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845873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E60D36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房1</w:t>
            </w:r>
          </w:p>
        </w:tc>
        <w:tc>
          <w:tcPr>
            <w:tcW w:w="674" w:type="pct"/>
            <w:shd w:val="clear" w:color="auto" w:fill="auto"/>
            <w:vAlign w:val="center"/>
          </w:tcPr>
          <w:p w14:paraId="539AAD0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FED79A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460E2C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13E8770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582A609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98FA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FBED42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6DD58C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房2</w:t>
            </w:r>
          </w:p>
        </w:tc>
        <w:tc>
          <w:tcPr>
            <w:tcW w:w="674" w:type="pct"/>
            <w:shd w:val="clear" w:color="auto" w:fill="auto"/>
            <w:vAlign w:val="center"/>
          </w:tcPr>
          <w:p w14:paraId="64A45D4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09B5E7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3839D6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B3A254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60B5CD3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87B1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81E6D3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2513F2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房3</w:t>
            </w:r>
          </w:p>
        </w:tc>
        <w:tc>
          <w:tcPr>
            <w:tcW w:w="674" w:type="pct"/>
            <w:shd w:val="clear" w:color="auto" w:fill="auto"/>
            <w:vAlign w:val="center"/>
          </w:tcPr>
          <w:p w14:paraId="21F1C43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302540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B5E00F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057993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3B9E71A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9835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476F4E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29E97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房4</w:t>
            </w:r>
          </w:p>
        </w:tc>
        <w:tc>
          <w:tcPr>
            <w:tcW w:w="674" w:type="pct"/>
            <w:shd w:val="clear" w:color="auto" w:fill="auto"/>
            <w:vAlign w:val="center"/>
          </w:tcPr>
          <w:p w14:paraId="29285D8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C97E59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A4EE55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FC1D3A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49E1E10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9AF7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A6F70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35FA76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房5</w:t>
            </w:r>
          </w:p>
        </w:tc>
        <w:tc>
          <w:tcPr>
            <w:tcW w:w="674" w:type="pct"/>
            <w:shd w:val="clear" w:color="auto" w:fill="auto"/>
            <w:vAlign w:val="center"/>
          </w:tcPr>
          <w:p w14:paraId="07A4F3E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674" w:type="pct"/>
            <w:shd w:val="clear" w:color="auto" w:fill="auto"/>
            <w:vAlign w:val="center"/>
          </w:tcPr>
          <w:p w14:paraId="5E2EB41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674" w:type="pct"/>
            <w:shd w:val="clear" w:color="auto" w:fill="auto"/>
            <w:vAlign w:val="center"/>
          </w:tcPr>
          <w:p w14:paraId="40BF02B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AD8CB3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752" w:type="pct"/>
            <w:shd w:val="clear" w:color="auto" w:fill="auto"/>
            <w:vAlign w:val="center"/>
          </w:tcPr>
          <w:p w14:paraId="69F93D3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r>
      <w:tr w14:paraId="3A82D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81720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00096A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通1</w:t>
            </w:r>
          </w:p>
        </w:tc>
        <w:tc>
          <w:tcPr>
            <w:tcW w:w="674" w:type="pct"/>
            <w:shd w:val="clear" w:color="auto" w:fill="auto"/>
            <w:vAlign w:val="center"/>
          </w:tcPr>
          <w:p w14:paraId="21A0D8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11.00%</w:t>
            </w:r>
          </w:p>
        </w:tc>
        <w:tc>
          <w:tcPr>
            <w:tcW w:w="674" w:type="pct"/>
            <w:shd w:val="clear" w:color="auto" w:fill="auto"/>
            <w:vAlign w:val="center"/>
          </w:tcPr>
          <w:p w14:paraId="328CE12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11.10%</w:t>
            </w:r>
          </w:p>
        </w:tc>
        <w:tc>
          <w:tcPr>
            <w:tcW w:w="674" w:type="pct"/>
            <w:shd w:val="clear" w:color="auto" w:fill="auto"/>
            <w:vAlign w:val="center"/>
          </w:tcPr>
          <w:p w14:paraId="61A5A59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595" w:type="pct"/>
            <w:shd w:val="clear" w:color="auto" w:fill="auto"/>
            <w:vAlign w:val="center"/>
          </w:tcPr>
          <w:p w14:paraId="2ACECD0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11.00%</w:t>
            </w:r>
          </w:p>
        </w:tc>
        <w:tc>
          <w:tcPr>
            <w:tcW w:w="752" w:type="pct"/>
            <w:shd w:val="clear" w:color="auto" w:fill="auto"/>
            <w:vAlign w:val="center"/>
          </w:tcPr>
          <w:p w14:paraId="5A9C555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12.00%</w:t>
            </w:r>
          </w:p>
        </w:tc>
      </w:tr>
      <w:tr w14:paraId="74C40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8495D7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193AD5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通2</w:t>
            </w:r>
          </w:p>
        </w:tc>
        <w:tc>
          <w:tcPr>
            <w:tcW w:w="674" w:type="pct"/>
            <w:shd w:val="clear" w:color="auto" w:fill="auto"/>
            <w:vAlign w:val="center"/>
          </w:tcPr>
          <w:p w14:paraId="596DE04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674" w:type="pct"/>
            <w:shd w:val="clear" w:color="auto" w:fill="auto"/>
            <w:vAlign w:val="center"/>
          </w:tcPr>
          <w:p w14:paraId="6741354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4BA5641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2FEBAC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214F282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r>
      <w:tr w14:paraId="3DDE4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09FD93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F5CB21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顺1</w:t>
            </w:r>
          </w:p>
        </w:tc>
        <w:tc>
          <w:tcPr>
            <w:tcW w:w="674" w:type="pct"/>
            <w:shd w:val="clear" w:color="auto" w:fill="auto"/>
            <w:vAlign w:val="center"/>
          </w:tcPr>
          <w:p w14:paraId="12286B5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33AB3D7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4B624CB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595" w:type="pct"/>
            <w:shd w:val="clear" w:color="auto" w:fill="auto"/>
            <w:vAlign w:val="center"/>
          </w:tcPr>
          <w:p w14:paraId="152692D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03DC84C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r>
      <w:tr w14:paraId="42401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4A2D4E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5CF22F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顺2</w:t>
            </w:r>
          </w:p>
        </w:tc>
        <w:tc>
          <w:tcPr>
            <w:tcW w:w="674" w:type="pct"/>
            <w:shd w:val="clear" w:color="auto" w:fill="auto"/>
            <w:vAlign w:val="center"/>
          </w:tcPr>
          <w:p w14:paraId="367E727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674" w:type="pct"/>
            <w:shd w:val="clear" w:color="auto" w:fill="auto"/>
            <w:vAlign w:val="center"/>
          </w:tcPr>
          <w:p w14:paraId="2BFB2E2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674" w:type="pct"/>
            <w:shd w:val="clear" w:color="auto" w:fill="auto"/>
            <w:vAlign w:val="center"/>
          </w:tcPr>
          <w:p w14:paraId="5E267AF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54825A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12.70%</w:t>
            </w:r>
          </w:p>
        </w:tc>
        <w:tc>
          <w:tcPr>
            <w:tcW w:w="752" w:type="pct"/>
            <w:shd w:val="clear" w:color="auto" w:fill="auto"/>
            <w:vAlign w:val="center"/>
          </w:tcPr>
          <w:p w14:paraId="3BDA56C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C6B0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FBCDEB0">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BB7D62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顺3</w:t>
            </w:r>
          </w:p>
        </w:tc>
        <w:tc>
          <w:tcPr>
            <w:tcW w:w="674" w:type="pct"/>
            <w:shd w:val="clear" w:color="auto" w:fill="auto"/>
            <w:vAlign w:val="center"/>
          </w:tcPr>
          <w:p w14:paraId="56A0B78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EAD394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67AB84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CFC35D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62AB305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E8FC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022A1CB">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BA5B18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顺4</w:t>
            </w:r>
          </w:p>
        </w:tc>
        <w:tc>
          <w:tcPr>
            <w:tcW w:w="674" w:type="pct"/>
            <w:shd w:val="clear" w:color="auto" w:fill="auto"/>
            <w:vAlign w:val="center"/>
          </w:tcPr>
          <w:p w14:paraId="3E9763A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0D6C39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A19CA4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A72B50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0D97AB3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E0CF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C9F6B3E">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AE20AD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顺5</w:t>
            </w:r>
          </w:p>
        </w:tc>
        <w:tc>
          <w:tcPr>
            <w:tcW w:w="674" w:type="pct"/>
            <w:shd w:val="clear" w:color="auto" w:fill="auto"/>
            <w:vAlign w:val="center"/>
          </w:tcPr>
          <w:p w14:paraId="5CC74B8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4A936F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AAE48B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1B27998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593980B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DFCF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323B359">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BA41DB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昌1</w:t>
            </w:r>
          </w:p>
        </w:tc>
        <w:tc>
          <w:tcPr>
            <w:tcW w:w="674" w:type="pct"/>
            <w:shd w:val="clear" w:color="auto" w:fill="auto"/>
            <w:vAlign w:val="center"/>
          </w:tcPr>
          <w:p w14:paraId="521410A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6CEB79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3662A8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17A042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60FE7C8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F099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C9D9E2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5C963D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昌2</w:t>
            </w:r>
          </w:p>
        </w:tc>
        <w:tc>
          <w:tcPr>
            <w:tcW w:w="674" w:type="pct"/>
            <w:shd w:val="clear" w:color="auto" w:fill="auto"/>
            <w:vAlign w:val="center"/>
          </w:tcPr>
          <w:p w14:paraId="6A07D38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94A79C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92F50D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73D17C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752" w:type="pct"/>
            <w:shd w:val="clear" w:color="auto" w:fill="auto"/>
            <w:vAlign w:val="center"/>
          </w:tcPr>
          <w:p w14:paraId="3DC5242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1A3F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ECF59C0">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3B2F91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昌3</w:t>
            </w:r>
          </w:p>
        </w:tc>
        <w:tc>
          <w:tcPr>
            <w:tcW w:w="674" w:type="pct"/>
            <w:shd w:val="clear" w:color="auto" w:fill="auto"/>
            <w:vAlign w:val="center"/>
          </w:tcPr>
          <w:p w14:paraId="740A8EC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413E3D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A19C6C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9EC18F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2187611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2576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9E6358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FA11E2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昌4</w:t>
            </w:r>
          </w:p>
        </w:tc>
        <w:tc>
          <w:tcPr>
            <w:tcW w:w="674" w:type="pct"/>
            <w:shd w:val="clear" w:color="auto" w:fill="auto"/>
            <w:vAlign w:val="center"/>
          </w:tcPr>
          <w:p w14:paraId="230F171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4F57B1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87EE70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7711B8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393A082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B7DD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E44866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5E4E12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昌5</w:t>
            </w:r>
          </w:p>
        </w:tc>
        <w:tc>
          <w:tcPr>
            <w:tcW w:w="674" w:type="pct"/>
            <w:shd w:val="clear" w:color="auto" w:fill="auto"/>
            <w:vAlign w:val="center"/>
          </w:tcPr>
          <w:p w14:paraId="489E8DE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5B5BC1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7FE9A6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D760A2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6471595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BB6E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6EF9EF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1B19CE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兴1</w:t>
            </w:r>
          </w:p>
        </w:tc>
        <w:tc>
          <w:tcPr>
            <w:tcW w:w="674" w:type="pct"/>
            <w:shd w:val="clear" w:color="auto" w:fill="auto"/>
            <w:vAlign w:val="center"/>
          </w:tcPr>
          <w:p w14:paraId="55DE295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6E477A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5CFDA8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1FE323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1FDA7B3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A4B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3B816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CE014E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兴2</w:t>
            </w:r>
          </w:p>
        </w:tc>
        <w:tc>
          <w:tcPr>
            <w:tcW w:w="674" w:type="pct"/>
            <w:shd w:val="clear" w:color="auto" w:fill="auto"/>
            <w:vAlign w:val="center"/>
          </w:tcPr>
          <w:p w14:paraId="2B8DA1A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37F5A0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7AEDBD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A34EAF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14.60%</w:t>
            </w:r>
          </w:p>
        </w:tc>
        <w:tc>
          <w:tcPr>
            <w:tcW w:w="752" w:type="pct"/>
            <w:shd w:val="clear" w:color="auto" w:fill="auto"/>
            <w:vAlign w:val="center"/>
          </w:tcPr>
          <w:p w14:paraId="2B2735E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5524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F33628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15893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兴3</w:t>
            </w:r>
          </w:p>
        </w:tc>
        <w:tc>
          <w:tcPr>
            <w:tcW w:w="674" w:type="pct"/>
            <w:shd w:val="clear" w:color="auto" w:fill="auto"/>
            <w:vAlign w:val="center"/>
          </w:tcPr>
          <w:p w14:paraId="3E0DBBF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12.60%</w:t>
            </w:r>
          </w:p>
        </w:tc>
        <w:tc>
          <w:tcPr>
            <w:tcW w:w="674" w:type="pct"/>
            <w:shd w:val="clear" w:color="auto" w:fill="auto"/>
            <w:vAlign w:val="center"/>
          </w:tcPr>
          <w:p w14:paraId="2FF13B6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12.40%</w:t>
            </w:r>
          </w:p>
        </w:tc>
        <w:tc>
          <w:tcPr>
            <w:tcW w:w="674" w:type="pct"/>
            <w:shd w:val="clear" w:color="auto" w:fill="auto"/>
            <w:vAlign w:val="center"/>
          </w:tcPr>
          <w:p w14:paraId="54803AE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595" w:type="pct"/>
            <w:shd w:val="clear" w:color="auto" w:fill="auto"/>
            <w:vAlign w:val="center"/>
          </w:tcPr>
          <w:p w14:paraId="5660860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5001EF9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13.00%</w:t>
            </w:r>
          </w:p>
        </w:tc>
      </w:tr>
      <w:tr w14:paraId="06AA3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FADD240">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A67C3C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怀1</w:t>
            </w:r>
          </w:p>
        </w:tc>
        <w:tc>
          <w:tcPr>
            <w:tcW w:w="674" w:type="pct"/>
            <w:shd w:val="clear" w:color="auto" w:fill="auto"/>
            <w:vAlign w:val="center"/>
          </w:tcPr>
          <w:p w14:paraId="79CEA41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77A483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9307C6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4217E3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14.70%</w:t>
            </w:r>
          </w:p>
        </w:tc>
        <w:tc>
          <w:tcPr>
            <w:tcW w:w="752" w:type="pct"/>
            <w:shd w:val="clear" w:color="auto" w:fill="auto"/>
            <w:vAlign w:val="center"/>
          </w:tcPr>
          <w:p w14:paraId="23F4F00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9DBB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B71A89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25D46D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怀2</w:t>
            </w:r>
          </w:p>
        </w:tc>
        <w:tc>
          <w:tcPr>
            <w:tcW w:w="674" w:type="pct"/>
            <w:shd w:val="clear" w:color="auto" w:fill="auto"/>
            <w:vAlign w:val="center"/>
          </w:tcPr>
          <w:p w14:paraId="2F72FFA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9C715F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5A3871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D81703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29B9D98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2A730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C041E7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510EDE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怀3</w:t>
            </w:r>
          </w:p>
        </w:tc>
        <w:tc>
          <w:tcPr>
            <w:tcW w:w="674" w:type="pct"/>
            <w:shd w:val="clear" w:color="auto" w:fill="auto"/>
            <w:vAlign w:val="center"/>
          </w:tcPr>
          <w:p w14:paraId="1583A5B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67A0FE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3C2409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E34583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0929FA4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C28C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A1246A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A2CE52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怀4</w:t>
            </w:r>
          </w:p>
        </w:tc>
        <w:tc>
          <w:tcPr>
            <w:tcW w:w="674" w:type="pct"/>
            <w:shd w:val="clear" w:color="auto" w:fill="auto"/>
            <w:vAlign w:val="center"/>
          </w:tcPr>
          <w:p w14:paraId="376018B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CA198A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E6AD70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3C8DC2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11.10%</w:t>
            </w:r>
          </w:p>
        </w:tc>
        <w:tc>
          <w:tcPr>
            <w:tcW w:w="752" w:type="pct"/>
            <w:shd w:val="clear" w:color="auto" w:fill="auto"/>
            <w:vAlign w:val="center"/>
          </w:tcPr>
          <w:p w14:paraId="0BB364A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6E64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462A29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7046B2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平1</w:t>
            </w:r>
          </w:p>
        </w:tc>
        <w:tc>
          <w:tcPr>
            <w:tcW w:w="674" w:type="pct"/>
            <w:shd w:val="clear" w:color="auto" w:fill="auto"/>
            <w:vAlign w:val="center"/>
          </w:tcPr>
          <w:p w14:paraId="1F905B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0148DD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F91EFE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CAD74B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12.60%</w:t>
            </w:r>
          </w:p>
        </w:tc>
        <w:tc>
          <w:tcPr>
            <w:tcW w:w="752" w:type="pct"/>
            <w:shd w:val="clear" w:color="auto" w:fill="auto"/>
            <w:vAlign w:val="center"/>
          </w:tcPr>
          <w:p w14:paraId="75638B5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2700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DBFB1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43D687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平2</w:t>
            </w:r>
          </w:p>
        </w:tc>
        <w:tc>
          <w:tcPr>
            <w:tcW w:w="674" w:type="pct"/>
            <w:shd w:val="clear" w:color="auto" w:fill="auto"/>
            <w:vAlign w:val="center"/>
          </w:tcPr>
          <w:p w14:paraId="72DE854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DAB2CE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AE7C5B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897A3E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12.00%</w:t>
            </w:r>
          </w:p>
        </w:tc>
        <w:tc>
          <w:tcPr>
            <w:tcW w:w="752" w:type="pct"/>
            <w:shd w:val="clear" w:color="auto" w:fill="auto"/>
            <w:vAlign w:val="center"/>
          </w:tcPr>
          <w:p w14:paraId="6C77291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9E13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DE0F033">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96B956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密1</w:t>
            </w:r>
          </w:p>
        </w:tc>
        <w:tc>
          <w:tcPr>
            <w:tcW w:w="674" w:type="pct"/>
            <w:shd w:val="clear" w:color="auto" w:fill="auto"/>
            <w:vAlign w:val="center"/>
          </w:tcPr>
          <w:p w14:paraId="7F4FE8E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7A61D1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AB6BFE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FED559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13.00%</w:t>
            </w:r>
          </w:p>
        </w:tc>
        <w:tc>
          <w:tcPr>
            <w:tcW w:w="752" w:type="pct"/>
            <w:shd w:val="clear" w:color="auto" w:fill="auto"/>
            <w:vAlign w:val="center"/>
          </w:tcPr>
          <w:p w14:paraId="5EF8625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62D3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0BD618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C52735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延1</w:t>
            </w:r>
          </w:p>
        </w:tc>
        <w:tc>
          <w:tcPr>
            <w:tcW w:w="674" w:type="pct"/>
            <w:shd w:val="clear" w:color="auto" w:fill="auto"/>
            <w:vAlign w:val="center"/>
          </w:tcPr>
          <w:p w14:paraId="521FDCD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B69320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DB1EAC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D89784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752" w:type="pct"/>
            <w:shd w:val="clear" w:color="auto" w:fill="auto"/>
            <w:vAlign w:val="center"/>
          </w:tcPr>
          <w:p w14:paraId="0DD8832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030D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074DF3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EA4403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延2</w:t>
            </w:r>
          </w:p>
        </w:tc>
        <w:tc>
          <w:tcPr>
            <w:tcW w:w="674" w:type="pct"/>
            <w:shd w:val="clear" w:color="auto" w:fill="auto"/>
            <w:vAlign w:val="center"/>
          </w:tcPr>
          <w:p w14:paraId="6E401B6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C690D3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52C26E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19DC7F4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3B0B6BB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F1BC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C3B3F43">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7F6BF9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亦1</w:t>
            </w:r>
          </w:p>
        </w:tc>
        <w:tc>
          <w:tcPr>
            <w:tcW w:w="674" w:type="pct"/>
            <w:shd w:val="clear" w:color="auto" w:fill="auto"/>
            <w:vAlign w:val="center"/>
          </w:tcPr>
          <w:p w14:paraId="5021AE7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13.20%</w:t>
            </w:r>
          </w:p>
        </w:tc>
        <w:tc>
          <w:tcPr>
            <w:tcW w:w="674" w:type="pct"/>
            <w:shd w:val="clear" w:color="auto" w:fill="auto"/>
            <w:vAlign w:val="center"/>
          </w:tcPr>
          <w:p w14:paraId="372E1F1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13.30%</w:t>
            </w:r>
          </w:p>
        </w:tc>
        <w:tc>
          <w:tcPr>
            <w:tcW w:w="674" w:type="pct"/>
            <w:shd w:val="clear" w:color="auto" w:fill="auto"/>
            <w:vAlign w:val="center"/>
          </w:tcPr>
          <w:p w14:paraId="7F6C4AE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595" w:type="pct"/>
            <w:shd w:val="clear" w:color="auto" w:fill="auto"/>
            <w:vAlign w:val="center"/>
          </w:tcPr>
          <w:p w14:paraId="7881DED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29500D5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14.00%</w:t>
            </w:r>
          </w:p>
        </w:tc>
      </w:tr>
      <w:tr w14:paraId="0FED4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26099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94BA92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亦2</w:t>
            </w:r>
          </w:p>
        </w:tc>
        <w:tc>
          <w:tcPr>
            <w:tcW w:w="674" w:type="pct"/>
            <w:shd w:val="clear" w:color="auto" w:fill="auto"/>
            <w:vAlign w:val="center"/>
          </w:tcPr>
          <w:p w14:paraId="26A5CE5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13.80%</w:t>
            </w:r>
          </w:p>
        </w:tc>
        <w:tc>
          <w:tcPr>
            <w:tcW w:w="674" w:type="pct"/>
            <w:shd w:val="clear" w:color="auto" w:fill="auto"/>
            <w:vAlign w:val="center"/>
          </w:tcPr>
          <w:p w14:paraId="41EA5CF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14.00%</w:t>
            </w:r>
          </w:p>
        </w:tc>
        <w:tc>
          <w:tcPr>
            <w:tcW w:w="674" w:type="pct"/>
            <w:shd w:val="clear" w:color="auto" w:fill="auto"/>
            <w:vAlign w:val="center"/>
          </w:tcPr>
          <w:p w14:paraId="56FC41E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14.60%</w:t>
            </w:r>
          </w:p>
        </w:tc>
        <w:tc>
          <w:tcPr>
            <w:tcW w:w="595" w:type="pct"/>
            <w:shd w:val="clear" w:color="auto" w:fill="auto"/>
            <w:vAlign w:val="center"/>
          </w:tcPr>
          <w:p w14:paraId="2678DEC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0608854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r>
      <w:tr w14:paraId="53C6A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C06A16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56A956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亦3</w:t>
            </w:r>
          </w:p>
        </w:tc>
        <w:tc>
          <w:tcPr>
            <w:tcW w:w="674" w:type="pct"/>
            <w:shd w:val="clear" w:color="auto" w:fill="auto"/>
            <w:vAlign w:val="center"/>
          </w:tcPr>
          <w:p w14:paraId="24F277F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12.50%</w:t>
            </w:r>
          </w:p>
        </w:tc>
        <w:tc>
          <w:tcPr>
            <w:tcW w:w="674" w:type="pct"/>
            <w:shd w:val="clear" w:color="auto" w:fill="auto"/>
            <w:vAlign w:val="center"/>
          </w:tcPr>
          <w:p w14:paraId="04F13FF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12.70%</w:t>
            </w:r>
          </w:p>
        </w:tc>
        <w:tc>
          <w:tcPr>
            <w:tcW w:w="674" w:type="pct"/>
            <w:shd w:val="clear" w:color="auto" w:fill="auto"/>
            <w:vAlign w:val="center"/>
          </w:tcPr>
          <w:p w14:paraId="363066B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595" w:type="pct"/>
            <w:shd w:val="clear" w:color="auto" w:fill="auto"/>
            <w:vAlign w:val="center"/>
          </w:tcPr>
          <w:p w14:paraId="79E033F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11.50%</w:t>
            </w:r>
          </w:p>
        </w:tc>
        <w:tc>
          <w:tcPr>
            <w:tcW w:w="752" w:type="pct"/>
            <w:shd w:val="clear" w:color="auto" w:fill="auto"/>
            <w:vAlign w:val="center"/>
          </w:tcPr>
          <w:p w14:paraId="2937911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13.60%</w:t>
            </w:r>
          </w:p>
        </w:tc>
      </w:tr>
      <w:tr w14:paraId="60B38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FA24B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85EB38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房山工业园西</w:t>
            </w:r>
          </w:p>
        </w:tc>
        <w:tc>
          <w:tcPr>
            <w:tcW w:w="674" w:type="pct"/>
            <w:shd w:val="clear" w:color="auto" w:fill="auto"/>
            <w:vAlign w:val="center"/>
          </w:tcPr>
          <w:p w14:paraId="141A2D58">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4B4A40A4">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7A9EABD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595" w:type="pct"/>
            <w:shd w:val="clear" w:color="auto" w:fill="auto"/>
            <w:vAlign w:val="center"/>
          </w:tcPr>
          <w:p w14:paraId="3433564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0810542">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50870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19AAF3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63FE83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房山工业园东</w:t>
            </w:r>
          </w:p>
        </w:tc>
        <w:tc>
          <w:tcPr>
            <w:tcW w:w="674" w:type="pct"/>
            <w:shd w:val="clear" w:color="auto" w:fill="auto"/>
            <w:vAlign w:val="center"/>
          </w:tcPr>
          <w:p w14:paraId="5CBCFBD2">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59157FB4">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28D1031E">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595" w:type="pct"/>
            <w:shd w:val="clear" w:color="auto" w:fill="auto"/>
            <w:vAlign w:val="center"/>
          </w:tcPr>
          <w:p w14:paraId="757170D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1C03956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CD1A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6F2A53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5B89B6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永乐开发区</w:t>
            </w:r>
          </w:p>
        </w:tc>
        <w:tc>
          <w:tcPr>
            <w:tcW w:w="674" w:type="pct"/>
            <w:shd w:val="clear" w:color="auto" w:fill="auto"/>
            <w:noWrap/>
            <w:vAlign w:val="center"/>
          </w:tcPr>
          <w:p w14:paraId="162F6EC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4B99B6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F8B0FA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24E4B96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75A9C403">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8967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17080F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410CF8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采育开发区</w:t>
            </w:r>
          </w:p>
        </w:tc>
        <w:tc>
          <w:tcPr>
            <w:tcW w:w="674" w:type="pct"/>
            <w:shd w:val="clear" w:color="auto" w:fill="auto"/>
            <w:noWrap/>
            <w:vAlign w:val="center"/>
          </w:tcPr>
          <w:p w14:paraId="03F6970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260BF23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357A3D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4436092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680951DD">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4879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F4A506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0FC1FB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雁栖开发区A</w:t>
            </w:r>
          </w:p>
        </w:tc>
        <w:tc>
          <w:tcPr>
            <w:tcW w:w="674" w:type="pct"/>
            <w:shd w:val="clear" w:color="auto" w:fill="auto"/>
            <w:noWrap/>
            <w:vAlign w:val="center"/>
          </w:tcPr>
          <w:p w14:paraId="135A941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14EF142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2E452E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7C4CB5F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25ECB279">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2AA7A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FB47A0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9BA358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雁栖开发区B</w:t>
            </w:r>
          </w:p>
        </w:tc>
        <w:tc>
          <w:tcPr>
            <w:tcW w:w="674" w:type="pct"/>
            <w:shd w:val="clear" w:color="auto" w:fill="auto"/>
            <w:noWrap/>
            <w:vAlign w:val="center"/>
          </w:tcPr>
          <w:p w14:paraId="67A49E3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15573F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64EFDC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0F6BCCB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598314A">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1FC61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C49605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602CDB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雁栖开发区C</w:t>
            </w:r>
          </w:p>
        </w:tc>
        <w:tc>
          <w:tcPr>
            <w:tcW w:w="674" w:type="pct"/>
            <w:shd w:val="clear" w:color="auto" w:fill="auto"/>
            <w:noWrap/>
            <w:vAlign w:val="center"/>
          </w:tcPr>
          <w:p w14:paraId="549BB28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741D1AA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1B94F75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3CE1FA7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4522E4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1A928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C651CD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E0FA0E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兴谷开发区A</w:t>
            </w:r>
          </w:p>
        </w:tc>
        <w:tc>
          <w:tcPr>
            <w:tcW w:w="674" w:type="pct"/>
            <w:shd w:val="clear" w:color="auto" w:fill="auto"/>
            <w:noWrap/>
            <w:vAlign w:val="center"/>
          </w:tcPr>
          <w:p w14:paraId="589C4DA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7F5BDF0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288D85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56DFE9D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671B3A2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55CC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27D99B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77F6DC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兴谷开发区B</w:t>
            </w:r>
          </w:p>
        </w:tc>
        <w:tc>
          <w:tcPr>
            <w:tcW w:w="674" w:type="pct"/>
            <w:shd w:val="clear" w:color="auto" w:fill="auto"/>
            <w:noWrap/>
            <w:vAlign w:val="center"/>
          </w:tcPr>
          <w:p w14:paraId="5EA44DA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043098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6D088E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09210D7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540E5842">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10E4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35E461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2B3392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马坊工业园</w:t>
            </w:r>
          </w:p>
        </w:tc>
        <w:tc>
          <w:tcPr>
            <w:tcW w:w="674" w:type="pct"/>
            <w:shd w:val="clear" w:color="auto" w:fill="auto"/>
            <w:noWrap/>
            <w:vAlign w:val="center"/>
          </w:tcPr>
          <w:p w14:paraId="50A5008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512606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D09716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3E50BE1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A9A006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EA73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CB2B3E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EAD4E0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密云开发区</w:t>
            </w:r>
          </w:p>
        </w:tc>
        <w:tc>
          <w:tcPr>
            <w:tcW w:w="674" w:type="pct"/>
            <w:shd w:val="clear" w:color="auto" w:fill="auto"/>
            <w:noWrap/>
            <w:vAlign w:val="center"/>
          </w:tcPr>
          <w:p w14:paraId="6996846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E636AC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5703D63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493ED7B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0AE6ADD3">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46F4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92D29F">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EA7113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延庆开发区</w:t>
            </w:r>
          </w:p>
        </w:tc>
        <w:tc>
          <w:tcPr>
            <w:tcW w:w="674" w:type="pct"/>
            <w:shd w:val="clear" w:color="auto" w:fill="auto"/>
            <w:noWrap/>
            <w:vAlign w:val="center"/>
          </w:tcPr>
          <w:p w14:paraId="2A4CB47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5BB3FD4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2307F0D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02AF71D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1FAE7FF3">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54C59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3D10DDE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B1D905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八达岭开发区</w:t>
            </w:r>
          </w:p>
        </w:tc>
        <w:tc>
          <w:tcPr>
            <w:tcW w:w="674" w:type="pct"/>
            <w:shd w:val="clear" w:color="auto" w:fill="auto"/>
            <w:noWrap/>
            <w:vAlign w:val="center"/>
          </w:tcPr>
          <w:p w14:paraId="4837B7B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1C8EE9D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1AD2C6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5B8D42B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55450B0B">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bl>
    <w:p w14:paraId="09EE7DCF">
      <w:pPr>
        <w:keepNext w:val="0"/>
        <w:keepLines w:val="0"/>
        <w:pageBreakBefore w:val="0"/>
        <w:widowControl w:val="0"/>
        <w:kinsoku/>
        <w:wordWrap/>
        <w:overflowPunct/>
        <w:topLinePunct w:val="0"/>
        <w:autoSpaceDE/>
        <w:autoSpaceDN/>
        <w:bidi w:val="0"/>
        <w:adjustRightInd w:val="0"/>
        <w:snapToGrid/>
        <w:spacing w:before="313" w:beforeLines="100"/>
        <w:jc w:val="center"/>
        <w:textAlignment w:val="baseline"/>
        <w:rPr>
          <w:rFonts w:ascii="仿宋" w:hAnsi="仿宋" w:eastAsia="仿宋" w:cs="宋体"/>
          <w:bCs/>
          <w:sz w:val="28"/>
          <w:szCs w:val="28"/>
          <w:highlight w:val="none"/>
        </w:rPr>
      </w:pPr>
      <w:r>
        <w:rPr>
          <w:rFonts w:hint="eastAsia" w:ascii="仿宋" w:hAnsi="仿宋" w:eastAsia="仿宋" w:cs="宋体"/>
          <w:bCs/>
          <w:sz w:val="28"/>
          <w:szCs w:val="28"/>
          <w:highlight w:val="none"/>
        </w:rPr>
        <w:t>因素等级说明表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966"/>
        <w:gridCol w:w="1426"/>
        <w:gridCol w:w="1454"/>
        <w:gridCol w:w="1617"/>
        <w:gridCol w:w="1418"/>
        <w:gridCol w:w="1418"/>
      </w:tblGrid>
      <w:tr w14:paraId="5F8C9DE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03" w:hRule="atLeast"/>
          <w:jc w:val="center"/>
        </w:trPr>
        <w:tc>
          <w:tcPr>
            <w:tcW w:w="1966" w:type="dxa"/>
            <w:tcBorders>
              <w:tl2br w:val="single" w:color="auto" w:sz="4" w:space="0"/>
            </w:tcBorders>
            <w:shd w:val="clear" w:color="auto" w:fill="auto"/>
            <w:vAlign w:val="center"/>
          </w:tcPr>
          <w:p w14:paraId="1D5D2DBE">
            <w:pPr>
              <w:widowControl/>
              <w:adjustRightInd/>
              <w:spacing w:line="240" w:lineRule="exact"/>
              <w:ind w:firstLine="1365" w:firstLineChars="650"/>
              <w:jc w:val="right"/>
              <w:textAlignment w:val="auto"/>
              <w:rPr>
                <w:rFonts w:ascii="Arial" w:hAnsi="Arial" w:eastAsia="仿宋" w:cs="Arial"/>
                <w:sz w:val="21"/>
                <w:szCs w:val="21"/>
                <w:highlight w:val="none"/>
              </w:rPr>
            </w:pPr>
            <w:r>
              <w:rPr>
                <w:rFonts w:ascii="Arial" w:hAnsi="Arial" w:eastAsia="仿宋" w:cs="Arial"/>
                <w:sz w:val="21"/>
                <w:szCs w:val="21"/>
                <w:highlight w:val="none"/>
              </w:rPr>
              <w:t>等级</w:t>
            </w:r>
          </w:p>
          <w:p w14:paraId="1AB086B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1426" w:type="dxa"/>
            <w:shd w:val="clear" w:color="auto" w:fill="auto"/>
            <w:vAlign w:val="center"/>
          </w:tcPr>
          <w:p w14:paraId="012C4F1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好</w:t>
            </w:r>
          </w:p>
        </w:tc>
        <w:tc>
          <w:tcPr>
            <w:tcW w:w="1454" w:type="dxa"/>
            <w:shd w:val="clear" w:color="auto" w:fill="auto"/>
            <w:vAlign w:val="center"/>
          </w:tcPr>
          <w:p w14:paraId="1BE37CA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较好</w:t>
            </w:r>
          </w:p>
        </w:tc>
        <w:tc>
          <w:tcPr>
            <w:tcW w:w="1617" w:type="dxa"/>
            <w:shd w:val="clear" w:color="auto" w:fill="auto"/>
            <w:vAlign w:val="center"/>
          </w:tcPr>
          <w:p w14:paraId="0130DA5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一般</w:t>
            </w:r>
          </w:p>
        </w:tc>
        <w:tc>
          <w:tcPr>
            <w:tcW w:w="1418" w:type="dxa"/>
            <w:shd w:val="clear" w:color="auto" w:fill="auto"/>
            <w:vAlign w:val="center"/>
          </w:tcPr>
          <w:p w14:paraId="4A354D9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较差</w:t>
            </w:r>
          </w:p>
        </w:tc>
        <w:tc>
          <w:tcPr>
            <w:tcW w:w="1418" w:type="dxa"/>
            <w:shd w:val="clear" w:color="auto" w:fill="auto"/>
            <w:vAlign w:val="center"/>
          </w:tcPr>
          <w:p w14:paraId="79EEF72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差</w:t>
            </w:r>
          </w:p>
        </w:tc>
      </w:tr>
      <w:tr w14:paraId="5014D3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85" w:hRule="atLeast"/>
          <w:jc w:val="center"/>
        </w:trPr>
        <w:tc>
          <w:tcPr>
            <w:tcW w:w="1966" w:type="dxa"/>
            <w:shd w:val="clear" w:color="auto" w:fill="auto"/>
            <w:vAlign w:val="center"/>
          </w:tcPr>
          <w:p w14:paraId="3093C2F3">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居住社区成熟度</w:t>
            </w:r>
          </w:p>
        </w:tc>
        <w:tc>
          <w:tcPr>
            <w:tcW w:w="1426" w:type="dxa"/>
            <w:shd w:val="clear" w:color="auto" w:fill="auto"/>
            <w:vAlign w:val="center"/>
          </w:tcPr>
          <w:p w14:paraId="2FAAB80C">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周围住宅项目密集</w:t>
            </w:r>
          </w:p>
        </w:tc>
        <w:tc>
          <w:tcPr>
            <w:tcW w:w="1454" w:type="dxa"/>
            <w:shd w:val="clear" w:color="auto" w:fill="auto"/>
            <w:vAlign w:val="center"/>
          </w:tcPr>
          <w:p w14:paraId="4363810C">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周围住宅项目比较密集</w:t>
            </w:r>
          </w:p>
        </w:tc>
        <w:tc>
          <w:tcPr>
            <w:tcW w:w="1617" w:type="dxa"/>
            <w:shd w:val="clear" w:color="auto" w:fill="auto"/>
            <w:vAlign w:val="center"/>
          </w:tcPr>
          <w:p w14:paraId="5B5A7749">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周围有一定数目的住宅项目</w:t>
            </w:r>
          </w:p>
        </w:tc>
        <w:tc>
          <w:tcPr>
            <w:tcW w:w="1418" w:type="dxa"/>
            <w:shd w:val="clear" w:color="auto" w:fill="auto"/>
            <w:vAlign w:val="center"/>
          </w:tcPr>
          <w:p w14:paraId="389F01C3">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周围住宅项目少</w:t>
            </w:r>
          </w:p>
        </w:tc>
        <w:tc>
          <w:tcPr>
            <w:tcW w:w="1418" w:type="dxa"/>
            <w:shd w:val="clear" w:color="auto" w:fill="auto"/>
            <w:vAlign w:val="center"/>
          </w:tcPr>
          <w:p w14:paraId="4713724D">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周围住宅项目基本无</w:t>
            </w:r>
          </w:p>
        </w:tc>
      </w:tr>
      <w:tr w14:paraId="2FF9858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589" w:hRule="atLeast"/>
          <w:jc w:val="center"/>
        </w:trPr>
        <w:tc>
          <w:tcPr>
            <w:tcW w:w="1966" w:type="dxa"/>
            <w:shd w:val="clear" w:color="auto" w:fill="auto"/>
            <w:vAlign w:val="center"/>
          </w:tcPr>
          <w:p w14:paraId="49FD2CAA">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交通便捷度</w:t>
            </w:r>
          </w:p>
        </w:tc>
        <w:tc>
          <w:tcPr>
            <w:tcW w:w="1426" w:type="dxa"/>
            <w:shd w:val="clear" w:color="auto" w:fill="auto"/>
            <w:vAlign w:val="center"/>
          </w:tcPr>
          <w:p w14:paraId="10A75119">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周边有2条以上地铁（或临近火车或2条以上高速公路）线路，20条以上公交线路</w:t>
            </w:r>
          </w:p>
        </w:tc>
        <w:tc>
          <w:tcPr>
            <w:tcW w:w="1454" w:type="dxa"/>
            <w:shd w:val="clear" w:color="auto" w:fill="auto"/>
            <w:vAlign w:val="center"/>
          </w:tcPr>
          <w:p w14:paraId="7DDEEFAA">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周边有1条地铁（或临近火车或2条以上高速公路）线路，10条以上公交线路</w:t>
            </w:r>
          </w:p>
        </w:tc>
        <w:tc>
          <w:tcPr>
            <w:tcW w:w="1617" w:type="dxa"/>
            <w:shd w:val="clear" w:color="auto" w:fill="auto"/>
            <w:vAlign w:val="center"/>
          </w:tcPr>
          <w:p w14:paraId="6C9D46D0">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周边有无地铁（或临近火车或2条以上高速公路）线路，10条以上公交线路</w:t>
            </w:r>
          </w:p>
        </w:tc>
        <w:tc>
          <w:tcPr>
            <w:tcW w:w="1418" w:type="dxa"/>
            <w:shd w:val="clear" w:color="auto" w:fill="auto"/>
            <w:vAlign w:val="center"/>
          </w:tcPr>
          <w:p w14:paraId="68B295B7">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周边无地铁（或临近火车或2条以上高速公路）线路，5</w:t>
            </w:r>
            <w:r>
              <w:rPr>
                <w:rFonts w:hint="eastAsia" w:ascii="Arial" w:hAnsi="Arial" w:eastAsia="仿宋" w:cs="Arial"/>
                <w:sz w:val="21"/>
                <w:szCs w:val="21"/>
                <w:highlight w:val="none"/>
                <w:lang w:eastAsia="zh-CN"/>
              </w:rPr>
              <w:t>－</w:t>
            </w:r>
            <w:r>
              <w:rPr>
                <w:rFonts w:ascii="Arial" w:hAnsi="Arial" w:eastAsia="仿宋" w:cs="Arial"/>
                <w:sz w:val="21"/>
                <w:szCs w:val="21"/>
                <w:highlight w:val="none"/>
              </w:rPr>
              <w:t>10公交线路</w:t>
            </w:r>
          </w:p>
        </w:tc>
        <w:tc>
          <w:tcPr>
            <w:tcW w:w="1418" w:type="dxa"/>
            <w:shd w:val="clear" w:color="auto" w:fill="auto"/>
            <w:vAlign w:val="center"/>
          </w:tcPr>
          <w:p w14:paraId="26268CEF">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周边无地铁（或临近火车或2条以上高速公路）线路，5条以下公交线路</w:t>
            </w:r>
          </w:p>
        </w:tc>
      </w:tr>
      <w:tr w14:paraId="730B8DA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284DB5F">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城市规划及区域土地利用方向</w:t>
            </w:r>
          </w:p>
        </w:tc>
        <w:tc>
          <w:tcPr>
            <w:tcW w:w="1426" w:type="dxa"/>
            <w:shd w:val="clear" w:color="auto" w:fill="auto"/>
            <w:vAlign w:val="center"/>
          </w:tcPr>
          <w:p w14:paraId="0DE095FE">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周边土地利用方向一致</w:t>
            </w:r>
          </w:p>
        </w:tc>
        <w:tc>
          <w:tcPr>
            <w:tcW w:w="1454" w:type="dxa"/>
            <w:shd w:val="clear" w:color="auto" w:fill="auto"/>
            <w:vAlign w:val="center"/>
          </w:tcPr>
          <w:p w14:paraId="7BE6F9E0">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有部分有其他用地，基本不影响本宗地</w:t>
            </w:r>
          </w:p>
        </w:tc>
        <w:tc>
          <w:tcPr>
            <w:tcW w:w="1617" w:type="dxa"/>
            <w:shd w:val="clear" w:color="auto" w:fill="auto"/>
            <w:vAlign w:val="center"/>
          </w:tcPr>
          <w:p w14:paraId="670D06F3">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有部分有其他用地，对本宗地略有影响</w:t>
            </w:r>
          </w:p>
        </w:tc>
        <w:tc>
          <w:tcPr>
            <w:tcW w:w="1418" w:type="dxa"/>
            <w:shd w:val="clear" w:color="auto" w:fill="auto"/>
            <w:vAlign w:val="center"/>
          </w:tcPr>
          <w:p w14:paraId="79D08CCA">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其他用地较多，对本宗地影响较大</w:t>
            </w:r>
          </w:p>
        </w:tc>
        <w:tc>
          <w:tcPr>
            <w:tcW w:w="1418" w:type="dxa"/>
            <w:shd w:val="clear" w:color="auto" w:fill="auto"/>
            <w:vAlign w:val="center"/>
          </w:tcPr>
          <w:p w14:paraId="50B60C88">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全部为其他用地，对本宗地有大的影响</w:t>
            </w:r>
          </w:p>
        </w:tc>
      </w:tr>
      <w:tr w14:paraId="1D06163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D462E1D">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临路状况</w:t>
            </w:r>
          </w:p>
        </w:tc>
        <w:tc>
          <w:tcPr>
            <w:tcW w:w="1426" w:type="dxa"/>
            <w:shd w:val="clear" w:color="auto" w:fill="auto"/>
            <w:vAlign w:val="center"/>
          </w:tcPr>
          <w:p w14:paraId="2863DE7C">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临城市快速路或高速公路</w:t>
            </w:r>
          </w:p>
        </w:tc>
        <w:tc>
          <w:tcPr>
            <w:tcW w:w="1454" w:type="dxa"/>
            <w:shd w:val="clear" w:color="auto" w:fill="auto"/>
            <w:vAlign w:val="center"/>
          </w:tcPr>
          <w:p w14:paraId="1A5B0D9F">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临城市主干道</w:t>
            </w:r>
          </w:p>
        </w:tc>
        <w:tc>
          <w:tcPr>
            <w:tcW w:w="1617" w:type="dxa"/>
            <w:shd w:val="clear" w:color="auto" w:fill="auto"/>
            <w:vAlign w:val="center"/>
          </w:tcPr>
          <w:p w14:paraId="322646AF">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临城市次干道</w:t>
            </w:r>
          </w:p>
        </w:tc>
        <w:tc>
          <w:tcPr>
            <w:tcW w:w="1418" w:type="dxa"/>
            <w:shd w:val="clear" w:color="auto" w:fill="auto"/>
            <w:vAlign w:val="center"/>
          </w:tcPr>
          <w:p w14:paraId="01726AB7">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临城市支路</w:t>
            </w:r>
          </w:p>
        </w:tc>
        <w:tc>
          <w:tcPr>
            <w:tcW w:w="1418" w:type="dxa"/>
            <w:shd w:val="clear" w:color="auto" w:fill="auto"/>
            <w:vAlign w:val="center"/>
          </w:tcPr>
          <w:p w14:paraId="1D74985E">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临街坊路</w:t>
            </w:r>
          </w:p>
        </w:tc>
      </w:tr>
      <w:tr w14:paraId="365CD13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96" w:hRule="atLeast"/>
          <w:jc w:val="center"/>
        </w:trPr>
        <w:tc>
          <w:tcPr>
            <w:tcW w:w="1966" w:type="dxa"/>
            <w:shd w:val="clear" w:color="auto" w:fill="auto"/>
            <w:vAlign w:val="center"/>
          </w:tcPr>
          <w:p w14:paraId="0D8FB0BD">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公共服务设施状况</w:t>
            </w:r>
          </w:p>
        </w:tc>
        <w:tc>
          <w:tcPr>
            <w:tcW w:w="1426" w:type="dxa"/>
            <w:shd w:val="clear" w:color="auto" w:fill="auto"/>
            <w:vAlign w:val="center"/>
          </w:tcPr>
          <w:p w14:paraId="5C7BEF94">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公共服务设施配套完善</w:t>
            </w:r>
          </w:p>
        </w:tc>
        <w:tc>
          <w:tcPr>
            <w:tcW w:w="1454" w:type="dxa"/>
            <w:shd w:val="clear" w:color="auto" w:fill="auto"/>
            <w:vAlign w:val="center"/>
          </w:tcPr>
          <w:p w14:paraId="19A2E9B5">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公共服务设施配套较完善</w:t>
            </w:r>
          </w:p>
        </w:tc>
        <w:tc>
          <w:tcPr>
            <w:tcW w:w="1617" w:type="dxa"/>
            <w:shd w:val="clear" w:color="auto" w:fill="auto"/>
            <w:vAlign w:val="center"/>
          </w:tcPr>
          <w:p w14:paraId="19EC73F6">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有一定数量的公共服务设施配套</w:t>
            </w:r>
          </w:p>
        </w:tc>
        <w:tc>
          <w:tcPr>
            <w:tcW w:w="1418" w:type="dxa"/>
            <w:shd w:val="clear" w:color="auto" w:fill="auto"/>
            <w:vAlign w:val="center"/>
          </w:tcPr>
          <w:p w14:paraId="1F29687B">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公共服务设施配套较不齐全</w:t>
            </w:r>
          </w:p>
        </w:tc>
        <w:tc>
          <w:tcPr>
            <w:tcW w:w="1418" w:type="dxa"/>
            <w:shd w:val="clear" w:color="auto" w:fill="auto"/>
            <w:vAlign w:val="center"/>
          </w:tcPr>
          <w:p w14:paraId="1299EE6F">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公共服务设施配套不完善</w:t>
            </w:r>
          </w:p>
        </w:tc>
      </w:tr>
      <w:tr w14:paraId="4A59CAA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36" w:hRule="atLeast"/>
          <w:jc w:val="center"/>
        </w:trPr>
        <w:tc>
          <w:tcPr>
            <w:tcW w:w="1966" w:type="dxa"/>
            <w:shd w:val="clear" w:color="auto" w:fill="auto"/>
            <w:vAlign w:val="center"/>
          </w:tcPr>
          <w:p w14:paraId="21D23FD6">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基础设施完备状况</w:t>
            </w:r>
          </w:p>
        </w:tc>
        <w:tc>
          <w:tcPr>
            <w:tcW w:w="1426" w:type="dxa"/>
            <w:shd w:val="clear" w:color="auto" w:fill="auto"/>
            <w:vAlign w:val="center"/>
          </w:tcPr>
          <w:p w14:paraId="19E7B1F6">
            <w:pPr>
              <w:adjustRightInd/>
              <w:spacing w:line="240" w:lineRule="exact"/>
              <w:textAlignment w:val="auto"/>
              <w:rPr>
                <w:rFonts w:hint="eastAsia" w:ascii="Arial" w:hAnsi="Arial" w:eastAsia="仿宋" w:cs="Arial"/>
                <w:sz w:val="21"/>
                <w:szCs w:val="21"/>
                <w:highlight w:val="none"/>
                <w:lang w:eastAsia="zh-CN"/>
              </w:rPr>
            </w:pPr>
            <w:r>
              <w:rPr>
                <w:rFonts w:ascii="Arial" w:hAnsi="Arial" w:eastAsia="仿宋" w:cs="Arial"/>
                <w:sz w:val="21"/>
                <w:szCs w:val="21"/>
                <w:highlight w:val="none"/>
              </w:rPr>
              <w:t>估价对象所在区域基础设施水平达到</w:t>
            </w:r>
            <w:r>
              <w:rPr>
                <w:rFonts w:hint="eastAsia" w:ascii="Arial" w:hAnsi="Arial" w:eastAsia="仿宋" w:cs="Arial"/>
                <w:sz w:val="21"/>
                <w:szCs w:val="21"/>
                <w:highlight w:val="none"/>
                <w:lang w:eastAsia="zh-CN"/>
              </w:rPr>
              <w:t>“七通”</w:t>
            </w:r>
          </w:p>
        </w:tc>
        <w:tc>
          <w:tcPr>
            <w:tcW w:w="1454" w:type="dxa"/>
            <w:shd w:val="clear" w:color="auto" w:fill="auto"/>
            <w:vAlign w:val="center"/>
          </w:tcPr>
          <w:p w14:paraId="68A2ED33">
            <w:pPr>
              <w:adjustRightInd/>
              <w:spacing w:line="240" w:lineRule="exact"/>
              <w:textAlignment w:val="auto"/>
              <w:rPr>
                <w:rFonts w:hint="eastAsia" w:ascii="Arial" w:hAnsi="Arial" w:eastAsia="仿宋" w:cs="Arial"/>
                <w:sz w:val="21"/>
                <w:szCs w:val="21"/>
                <w:highlight w:val="none"/>
                <w:lang w:eastAsia="zh-CN"/>
              </w:rPr>
            </w:pPr>
            <w:r>
              <w:rPr>
                <w:rFonts w:ascii="Arial" w:hAnsi="Arial" w:eastAsia="仿宋" w:cs="Arial"/>
                <w:sz w:val="21"/>
                <w:szCs w:val="21"/>
                <w:highlight w:val="none"/>
              </w:rPr>
              <w:t>估价对象所在区域基础设施水平达到</w:t>
            </w:r>
            <w:r>
              <w:rPr>
                <w:rFonts w:hint="eastAsia" w:ascii="Arial" w:hAnsi="Arial" w:eastAsia="仿宋" w:cs="Arial"/>
                <w:sz w:val="21"/>
                <w:szCs w:val="21"/>
                <w:highlight w:val="none"/>
                <w:lang w:eastAsia="zh-CN"/>
              </w:rPr>
              <w:t>“七通”</w:t>
            </w:r>
          </w:p>
        </w:tc>
        <w:tc>
          <w:tcPr>
            <w:tcW w:w="1617" w:type="dxa"/>
            <w:shd w:val="clear" w:color="auto" w:fill="auto"/>
            <w:vAlign w:val="center"/>
          </w:tcPr>
          <w:p w14:paraId="4D72BEA1">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估价对象所在区域基础设施水平达到“五通”</w:t>
            </w:r>
          </w:p>
        </w:tc>
        <w:tc>
          <w:tcPr>
            <w:tcW w:w="1418" w:type="dxa"/>
            <w:shd w:val="clear" w:color="auto" w:fill="auto"/>
            <w:vAlign w:val="center"/>
          </w:tcPr>
          <w:p w14:paraId="4607FF0E">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估价对象所在区域基础设施水平达到“四通”</w:t>
            </w:r>
          </w:p>
        </w:tc>
        <w:tc>
          <w:tcPr>
            <w:tcW w:w="1418" w:type="dxa"/>
            <w:shd w:val="clear" w:color="auto" w:fill="auto"/>
            <w:vAlign w:val="center"/>
          </w:tcPr>
          <w:p w14:paraId="3BD08A63">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估价对象所在区域基础设施水平达到“三通”</w:t>
            </w:r>
          </w:p>
        </w:tc>
      </w:tr>
      <w:tr w14:paraId="4280583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71C189CB">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宗地形状及可利用程度</w:t>
            </w:r>
          </w:p>
        </w:tc>
        <w:tc>
          <w:tcPr>
            <w:tcW w:w="1426" w:type="dxa"/>
            <w:shd w:val="clear" w:color="auto" w:fill="auto"/>
            <w:vAlign w:val="center"/>
          </w:tcPr>
          <w:p w14:paraId="28D01201">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宗地形状较规则，对宗地利用无影响</w:t>
            </w:r>
          </w:p>
        </w:tc>
        <w:tc>
          <w:tcPr>
            <w:tcW w:w="1454" w:type="dxa"/>
            <w:shd w:val="clear" w:color="auto" w:fill="auto"/>
            <w:vAlign w:val="center"/>
          </w:tcPr>
          <w:p w14:paraId="514F8183">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宗地形状较规则，但对宗地利用基本无影响</w:t>
            </w:r>
          </w:p>
        </w:tc>
        <w:tc>
          <w:tcPr>
            <w:tcW w:w="1617" w:type="dxa"/>
            <w:shd w:val="clear" w:color="auto" w:fill="auto"/>
            <w:vAlign w:val="center"/>
          </w:tcPr>
          <w:p w14:paraId="72284D90">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宗地形状不规则，但对宗地利用影响较小</w:t>
            </w:r>
          </w:p>
        </w:tc>
        <w:tc>
          <w:tcPr>
            <w:tcW w:w="1418" w:type="dxa"/>
            <w:shd w:val="clear" w:color="auto" w:fill="auto"/>
            <w:vAlign w:val="center"/>
          </w:tcPr>
          <w:p w14:paraId="0F347863">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宗地形状不规则，对宗地利用有影响</w:t>
            </w:r>
          </w:p>
        </w:tc>
        <w:tc>
          <w:tcPr>
            <w:tcW w:w="1418" w:type="dxa"/>
            <w:shd w:val="clear" w:color="auto" w:fill="auto"/>
            <w:vAlign w:val="center"/>
          </w:tcPr>
          <w:p w14:paraId="6AFB372B">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宗地形状极其不规则，对宗地利用影响很大</w:t>
            </w:r>
          </w:p>
        </w:tc>
      </w:tr>
      <w:tr w14:paraId="0629EE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50C52FE3">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自然和人文环境状况</w:t>
            </w:r>
          </w:p>
        </w:tc>
        <w:tc>
          <w:tcPr>
            <w:tcW w:w="1426" w:type="dxa"/>
            <w:shd w:val="clear" w:color="auto" w:fill="auto"/>
            <w:vAlign w:val="center"/>
          </w:tcPr>
          <w:p w14:paraId="37CB059C">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周边1000米内有自然及人文景观</w:t>
            </w:r>
          </w:p>
        </w:tc>
        <w:tc>
          <w:tcPr>
            <w:tcW w:w="1454" w:type="dxa"/>
            <w:shd w:val="clear" w:color="auto" w:fill="auto"/>
            <w:vAlign w:val="center"/>
          </w:tcPr>
          <w:p w14:paraId="02A30BF7">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周边3000米内有自然或人文景观</w:t>
            </w:r>
          </w:p>
        </w:tc>
        <w:tc>
          <w:tcPr>
            <w:tcW w:w="1617" w:type="dxa"/>
            <w:shd w:val="clear" w:color="auto" w:fill="auto"/>
            <w:vAlign w:val="center"/>
          </w:tcPr>
          <w:p w14:paraId="440EB17C">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周边5000米内无自然及人文景观且环境状况一般</w:t>
            </w:r>
          </w:p>
        </w:tc>
        <w:tc>
          <w:tcPr>
            <w:tcW w:w="1418" w:type="dxa"/>
            <w:shd w:val="clear" w:color="auto" w:fill="auto"/>
            <w:vAlign w:val="center"/>
          </w:tcPr>
          <w:p w14:paraId="02BBC914">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周边5000米内无自然及人文景观且环境状况较差</w:t>
            </w:r>
          </w:p>
        </w:tc>
        <w:tc>
          <w:tcPr>
            <w:tcW w:w="1418" w:type="dxa"/>
            <w:shd w:val="clear" w:color="auto" w:fill="auto"/>
            <w:vAlign w:val="center"/>
          </w:tcPr>
          <w:p w14:paraId="791DC560">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周边5000米内无自然及人文景观且临近污染源</w:t>
            </w:r>
          </w:p>
        </w:tc>
      </w:tr>
      <w:tr w14:paraId="78FC190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966" w:type="dxa"/>
            <w:shd w:val="clear" w:color="auto" w:fill="auto"/>
            <w:vAlign w:val="center"/>
          </w:tcPr>
          <w:p w14:paraId="11A2763C">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与中心的接近程度</w:t>
            </w:r>
          </w:p>
        </w:tc>
        <w:tc>
          <w:tcPr>
            <w:tcW w:w="1426" w:type="dxa"/>
            <w:shd w:val="clear" w:color="auto" w:fill="auto"/>
            <w:vAlign w:val="center"/>
          </w:tcPr>
          <w:p w14:paraId="209E9F62">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距</w:t>
            </w:r>
            <w:r>
              <w:rPr>
                <w:rFonts w:ascii="Arial" w:hAnsi="Arial" w:eastAsia="仿宋" w:cs="Arial"/>
                <w:sz w:val="21"/>
                <w:szCs w:val="21"/>
                <w:highlight w:val="none"/>
                <w:lang w:bidi="ar"/>
              </w:rPr>
              <w:t>区域</w:t>
            </w:r>
            <w:r>
              <w:rPr>
                <w:rFonts w:ascii="Arial" w:hAnsi="Arial" w:eastAsia="仿宋" w:cs="Arial"/>
                <w:sz w:val="21"/>
                <w:szCs w:val="21"/>
                <w:highlight w:val="none"/>
              </w:rPr>
              <w:t>中心500米内，邻近程度好</w:t>
            </w:r>
          </w:p>
        </w:tc>
        <w:tc>
          <w:tcPr>
            <w:tcW w:w="1454" w:type="dxa"/>
            <w:shd w:val="clear" w:color="auto" w:fill="auto"/>
            <w:vAlign w:val="center"/>
          </w:tcPr>
          <w:p w14:paraId="0055464D">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距</w:t>
            </w:r>
            <w:r>
              <w:rPr>
                <w:rFonts w:ascii="Arial" w:hAnsi="Arial" w:eastAsia="仿宋" w:cs="Arial"/>
                <w:sz w:val="21"/>
                <w:szCs w:val="21"/>
                <w:highlight w:val="none"/>
                <w:lang w:bidi="ar"/>
              </w:rPr>
              <w:t>区域</w:t>
            </w:r>
            <w:r>
              <w:rPr>
                <w:rFonts w:ascii="Arial" w:hAnsi="Arial" w:eastAsia="仿宋" w:cs="Arial"/>
                <w:sz w:val="21"/>
                <w:szCs w:val="21"/>
                <w:highlight w:val="none"/>
              </w:rPr>
              <w:t>中心约1000米，邻近程度较好</w:t>
            </w:r>
          </w:p>
        </w:tc>
        <w:tc>
          <w:tcPr>
            <w:tcW w:w="1617" w:type="dxa"/>
            <w:shd w:val="clear" w:color="auto" w:fill="auto"/>
            <w:vAlign w:val="center"/>
          </w:tcPr>
          <w:p w14:paraId="6276A753">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距</w:t>
            </w:r>
            <w:r>
              <w:rPr>
                <w:rFonts w:ascii="Arial" w:hAnsi="Arial" w:eastAsia="仿宋" w:cs="Arial"/>
                <w:sz w:val="21"/>
                <w:szCs w:val="21"/>
                <w:highlight w:val="none"/>
                <w:lang w:bidi="ar"/>
              </w:rPr>
              <w:t>区域</w:t>
            </w:r>
            <w:r>
              <w:rPr>
                <w:rFonts w:ascii="Arial" w:hAnsi="Arial" w:eastAsia="仿宋" w:cs="Arial"/>
                <w:sz w:val="21"/>
                <w:szCs w:val="21"/>
                <w:highlight w:val="none"/>
              </w:rPr>
              <w:t>中心约1000</w:t>
            </w:r>
            <w:r>
              <w:rPr>
                <w:rFonts w:hint="eastAsia" w:ascii="Arial" w:hAnsi="Arial" w:eastAsia="仿宋" w:cs="Arial"/>
                <w:sz w:val="21"/>
                <w:szCs w:val="21"/>
                <w:highlight w:val="none"/>
                <w:lang w:eastAsia="zh-CN"/>
              </w:rPr>
              <w:t>－</w:t>
            </w:r>
            <w:r>
              <w:rPr>
                <w:rFonts w:ascii="Arial" w:hAnsi="Arial" w:eastAsia="仿宋" w:cs="Arial"/>
                <w:sz w:val="21"/>
                <w:szCs w:val="21"/>
                <w:highlight w:val="none"/>
              </w:rPr>
              <w:t>1500米，邻近程度一般</w:t>
            </w:r>
          </w:p>
        </w:tc>
        <w:tc>
          <w:tcPr>
            <w:tcW w:w="1418" w:type="dxa"/>
            <w:shd w:val="clear" w:color="auto" w:fill="auto"/>
            <w:vAlign w:val="center"/>
          </w:tcPr>
          <w:p w14:paraId="7CFE138F">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距</w:t>
            </w:r>
            <w:r>
              <w:rPr>
                <w:rFonts w:ascii="Arial" w:hAnsi="Arial" w:eastAsia="仿宋" w:cs="Arial"/>
                <w:sz w:val="21"/>
                <w:szCs w:val="21"/>
                <w:highlight w:val="none"/>
                <w:lang w:bidi="ar"/>
              </w:rPr>
              <w:t>区域</w:t>
            </w:r>
            <w:r>
              <w:rPr>
                <w:rFonts w:ascii="Arial" w:hAnsi="Arial" w:eastAsia="仿宋" w:cs="Arial"/>
                <w:sz w:val="21"/>
                <w:szCs w:val="21"/>
                <w:highlight w:val="none"/>
              </w:rPr>
              <w:t>中心约1500</w:t>
            </w:r>
            <w:r>
              <w:rPr>
                <w:rFonts w:hint="eastAsia" w:ascii="Arial" w:hAnsi="Arial" w:eastAsia="仿宋" w:cs="Arial"/>
                <w:sz w:val="21"/>
                <w:szCs w:val="21"/>
                <w:highlight w:val="none"/>
                <w:lang w:eastAsia="zh-CN"/>
              </w:rPr>
              <w:t>－</w:t>
            </w:r>
            <w:r>
              <w:rPr>
                <w:rFonts w:ascii="Arial" w:hAnsi="Arial" w:eastAsia="仿宋" w:cs="Arial"/>
                <w:sz w:val="21"/>
                <w:szCs w:val="21"/>
                <w:highlight w:val="none"/>
              </w:rPr>
              <w:t>2000米，邻近程度较差</w:t>
            </w:r>
          </w:p>
        </w:tc>
        <w:tc>
          <w:tcPr>
            <w:tcW w:w="1418" w:type="dxa"/>
            <w:shd w:val="clear" w:color="auto" w:fill="auto"/>
            <w:vAlign w:val="center"/>
          </w:tcPr>
          <w:p w14:paraId="3A415F91">
            <w:pPr>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距</w:t>
            </w:r>
            <w:r>
              <w:rPr>
                <w:rFonts w:ascii="Arial" w:hAnsi="Arial" w:eastAsia="仿宋" w:cs="Arial"/>
                <w:sz w:val="21"/>
                <w:szCs w:val="21"/>
                <w:highlight w:val="none"/>
                <w:lang w:bidi="ar"/>
              </w:rPr>
              <w:t>区域</w:t>
            </w:r>
            <w:r>
              <w:rPr>
                <w:rFonts w:ascii="Arial" w:hAnsi="Arial" w:eastAsia="仿宋" w:cs="Arial"/>
                <w:sz w:val="21"/>
                <w:szCs w:val="21"/>
                <w:highlight w:val="none"/>
              </w:rPr>
              <w:t>中心2000米以上，邻近程度差</w:t>
            </w:r>
          </w:p>
        </w:tc>
      </w:tr>
    </w:tbl>
    <w:p w14:paraId="7A587209">
      <w:pPr>
        <w:autoSpaceDE w:val="0"/>
        <w:autoSpaceDN w:val="0"/>
        <w:spacing w:line="240" w:lineRule="exact"/>
        <w:rPr>
          <w:rFonts w:ascii="Arial" w:hAnsi="Arial" w:eastAsia="华文细黑" w:cs="宋体"/>
          <w:sz w:val="18"/>
          <w:szCs w:val="24"/>
          <w:highlight w:val="none"/>
        </w:rPr>
      </w:pPr>
    </w:p>
    <w:p w14:paraId="2E1BBD7B">
      <w:pPr>
        <w:adjustRightInd/>
        <w:snapToGrid w:val="0"/>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估价对象地处住宅类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highlight w:val="none"/>
        </w:rPr>
        <w:t>区片，依据前述《区片基准地价因素总修正幅度表》、《北京市基准地价因素权重表》及《因素等级说明表》，整理出《等级系数表》如下：</w:t>
      </w:r>
    </w:p>
    <w:p w14:paraId="0DBB4605">
      <w:pPr>
        <w:spacing w:line="240" w:lineRule="auto"/>
        <w:jc w:val="center"/>
        <w:rPr>
          <w:rFonts w:ascii="仿宋" w:hAnsi="仿宋" w:eastAsia="仿宋"/>
          <w:sz w:val="28"/>
          <w:szCs w:val="28"/>
          <w:highlight w:val="none"/>
        </w:rPr>
      </w:pPr>
      <w:r>
        <w:rPr>
          <w:rFonts w:hint="eastAsia" w:ascii="仿宋" w:hAnsi="仿宋" w:eastAsia="仿宋"/>
          <w:sz w:val="28"/>
          <w:szCs w:val="28"/>
          <w:highlight w:val="none"/>
        </w:rPr>
        <w:t>等级系数表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2265"/>
        <w:gridCol w:w="1406"/>
        <w:gridCol w:w="1407"/>
        <w:gridCol w:w="1407"/>
        <w:gridCol w:w="1407"/>
        <w:gridCol w:w="1407"/>
      </w:tblGrid>
      <w:tr w14:paraId="36F18FC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tblHeader/>
          <w:jc w:val="center"/>
        </w:trPr>
        <w:tc>
          <w:tcPr>
            <w:tcW w:w="2265" w:type="dxa"/>
            <w:tcBorders>
              <w:tl2br w:val="single" w:color="auto" w:sz="4" w:space="0"/>
            </w:tcBorders>
            <w:shd w:val="clear" w:color="auto" w:fill="auto"/>
            <w:vAlign w:val="center"/>
          </w:tcPr>
          <w:p w14:paraId="6479F260">
            <w:pPr>
              <w:widowControl/>
              <w:adjustRightInd/>
              <w:spacing w:line="240" w:lineRule="atLeast"/>
              <w:ind w:firstLine="1470" w:firstLineChars="700"/>
              <w:textAlignment w:val="auto"/>
              <w:rPr>
                <w:rFonts w:ascii="Arial" w:hAnsi="Arial" w:eastAsia="仿宋" w:cs="Arial"/>
                <w:sz w:val="21"/>
                <w:szCs w:val="21"/>
                <w:highlight w:val="none"/>
              </w:rPr>
            </w:pPr>
            <w:r>
              <w:rPr>
                <w:rFonts w:ascii="Arial" w:hAnsi="Arial" w:eastAsia="仿宋" w:cs="Arial"/>
                <w:sz w:val="21"/>
                <w:szCs w:val="21"/>
                <w:highlight w:val="none"/>
              </w:rPr>
              <w:t>等级</w:t>
            </w:r>
          </w:p>
          <w:p w14:paraId="35542E6F">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1406" w:type="dxa"/>
            <w:shd w:val="clear" w:color="auto" w:fill="auto"/>
            <w:vAlign w:val="center"/>
          </w:tcPr>
          <w:p w14:paraId="79861ED4">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好</w:t>
            </w:r>
          </w:p>
        </w:tc>
        <w:tc>
          <w:tcPr>
            <w:tcW w:w="1407" w:type="dxa"/>
            <w:shd w:val="clear" w:color="auto" w:fill="auto"/>
            <w:vAlign w:val="center"/>
          </w:tcPr>
          <w:p w14:paraId="2959A84C">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较好</w:t>
            </w:r>
          </w:p>
        </w:tc>
        <w:tc>
          <w:tcPr>
            <w:tcW w:w="1407" w:type="dxa"/>
            <w:shd w:val="clear" w:color="auto" w:fill="auto"/>
            <w:vAlign w:val="center"/>
          </w:tcPr>
          <w:p w14:paraId="6F9A3A0F">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一般</w:t>
            </w:r>
          </w:p>
        </w:tc>
        <w:tc>
          <w:tcPr>
            <w:tcW w:w="1407" w:type="dxa"/>
            <w:shd w:val="clear" w:color="auto" w:fill="auto"/>
            <w:vAlign w:val="center"/>
          </w:tcPr>
          <w:p w14:paraId="0AB2321C">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较差</w:t>
            </w:r>
          </w:p>
        </w:tc>
        <w:tc>
          <w:tcPr>
            <w:tcW w:w="1407" w:type="dxa"/>
            <w:shd w:val="clear" w:color="auto" w:fill="auto"/>
            <w:vAlign w:val="center"/>
          </w:tcPr>
          <w:p w14:paraId="71391BEF">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差</w:t>
            </w:r>
          </w:p>
        </w:tc>
      </w:tr>
      <w:tr w14:paraId="6358CBC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C253A6D">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居住社区成熟度</w:t>
            </w:r>
          </w:p>
        </w:tc>
        <w:tc>
          <w:tcPr>
            <w:tcW w:w="1406" w:type="dxa"/>
            <w:shd w:val="clear" w:color="auto" w:fill="auto"/>
            <w:vAlign w:val="center"/>
          </w:tcPr>
          <w:p w14:paraId="6B3F5AD6">
            <w:pPr>
              <w:widowControl/>
              <w:adjustRightInd/>
              <w:spacing w:line="240" w:lineRule="atLeast"/>
              <w:textAlignment w:val="auto"/>
              <w:rPr>
                <w:rFonts w:ascii="Arial" w:hAnsi="Arial" w:cs="Arial"/>
                <w:sz w:val="22"/>
                <w:szCs w:val="22"/>
                <w:highlight w:val="none"/>
              </w:rPr>
            </w:pPr>
            <w:r>
              <w:rPr>
                <w:rFonts w:ascii="Arial" w:hAnsi="Arial" w:cs="Arial"/>
                <w:sz w:val="22"/>
                <w:szCs w:val="22"/>
                <w:highlight w:val="none"/>
              </w:rPr>
              <w:t>3.00</w:t>
            </w:r>
          </w:p>
        </w:tc>
        <w:tc>
          <w:tcPr>
            <w:tcW w:w="1407" w:type="dxa"/>
            <w:shd w:val="clear" w:color="auto" w:fill="auto"/>
            <w:vAlign w:val="center"/>
          </w:tcPr>
          <w:p w14:paraId="788CABAA">
            <w:pPr>
              <w:spacing w:line="240" w:lineRule="atLeast"/>
              <w:rPr>
                <w:rFonts w:ascii="Arial" w:hAnsi="Arial" w:cs="Arial"/>
                <w:sz w:val="22"/>
                <w:szCs w:val="22"/>
                <w:highlight w:val="none"/>
              </w:rPr>
            </w:pPr>
            <w:r>
              <w:rPr>
                <w:rFonts w:ascii="Arial" w:hAnsi="Arial" w:cs="Arial"/>
                <w:sz w:val="22"/>
                <w:szCs w:val="22"/>
                <w:highlight w:val="none"/>
              </w:rPr>
              <w:t>1.50</w:t>
            </w:r>
          </w:p>
        </w:tc>
        <w:tc>
          <w:tcPr>
            <w:tcW w:w="1407" w:type="dxa"/>
            <w:shd w:val="clear" w:color="auto" w:fill="auto"/>
            <w:vAlign w:val="center"/>
          </w:tcPr>
          <w:p w14:paraId="47A29690">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4376EB41">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1.50</w:t>
            </w:r>
          </w:p>
        </w:tc>
        <w:tc>
          <w:tcPr>
            <w:tcW w:w="1407" w:type="dxa"/>
            <w:shd w:val="clear" w:color="auto" w:fill="auto"/>
            <w:vAlign w:val="center"/>
          </w:tcPr>
          <w:p w14:paraId="442BE764">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3.00</w:t>
            </w:r>
          </w:p>
        </w:tc>
      </w:tr>
      <w:tr w14:paraId="059ED6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608F8DED">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交通便捷度</w:t>
            </w:r>
          </w:p>
        </w:tc>
        <w:tc>
          <w:tcPr>
            <w:tcW w:w="1406" w:type="dxa"/>
            <w:shd w:val="clear" w:color="auto" w:fill="auto"/>
            <w:vAlign w:val="center"/>
          </w:tcPr>
          <w:p w14:paraId="7E44B31B">
            <w:pPr>
              <w:spacing w:line="240" w:lineRule="atLeast"/>
              <w:rPr>
                <w:rFonts w:ascii="Arial" w:hAnsi="Arial" w:cs="Arial"/>
                <w:sz w:val="22"/>
                <w:szCs w:val="22"/>
                <w:highlight w:val="none"/>
              </w:rPr>
            </w:pPr>
            <w:r>
              <w:rPr>
                <w:rFonts w:ascii="Arial" w:hAnsi="Arial" w:cs="Arial"/>
                <w:sz w:val="22"/>
                <w:szCs w:val="22"/>
                <w:highlight w:val="none"/>
              </w:rPr>
              <w:t>3.90</w:t>
            </w:r>
          </w:p>
        </w:tc>
        <w:tc>
          <w:tcPr>
            <w:tcW w:w="1407" w:type="dxa"/>
            <w:shd w:val="clear" w:color="auto" w:fill="auto"/>
            <w:vAlign w:val="center"/>
          </w:tcPr>
          <w:p w14:paraId="2C98163C">
            <w:pPr>
              <w:spacing w:line="240" w:lineRule="atLeast"/>
              <w:rPr>
                <w:rFonts w:ascii="Arial" w:hAnsi="Arial" w:cs="Arial"/>
                <w:sz w:val="22"/>
                <w:szCs w:val="22"/>
                <w:highlight w:val="none"/>
              </w:rPr>
            </w:pPr>
            <w:r>
              <w:rPr>
                <w:rFonts w:ascii="Arial" w:hAnsi="Arial" w:cs="Arial"/>
                <w:sz w:val="22"/>
                <w:szCs w:val="22"/>
                <w:highlight w:val="none"/>
              </w:rPr>
              <w:t>1.95</w:t>
            </w:r>
          </w:p>
        </w:tc>
        <w:tc>
          <w:tcPr>
            <w:tcW w:w="1407" w:type="dxa"/>
            <w:shd w:val="clear" w:color="auto" w:fill="auto"/>
            <w:vAlign w:val="center"/>
          </w:tcPr>
          <w:p w14:paraId="6199C659">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635B3A44">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1.95</w:t>
            </w:r>
          </w:p>
        </w:tc>
        <w:tc>
          <w:tcPr>
            <w:tcW w:w="1407" w:type="dxa"/>
            <w:shd w:val="clear" w:color="auto" w:fill="auto"/>
            <w:vAlign w:val="center"/>
          </w:tcPr>
          <w:p w14:paraId="3DD73F29">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3.90</w:t>
            </w:r>
          </w:p>
        </w:tc>
      </w:tr>
      <w:tr w14:paraId="0B65965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3994AE7F">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城市规划及区域土地利用方向</w:t>
            </w:r>
          </w:p>
        </w:tc>
        <w:tc>
          <w:tcPr>
            <w:tcW w:w="1406" w:type="dxa"/>
            <w:shd w:val="clear" w:color="auto" w:fill="auto"/>
            <w:vAlign w:val="center"/>
          </w:tcPr>
          <w:p w14:paraId="17F71FFF">
            <w:pPr>
              <w:spacing w:line="240" w:lineRule="atLeast"/>
              <w:rPr>
                <w:rFonts w:ascii="Arial" w:hAnsi="Arial" w:cs="Arial"/>
                <w:sz w:val="22"/>
                <w:szCs w:val="22"/>
                <w:highlight w:val="none"/>
              </w:rPr>
            </w:pPr>
            <w:r>
              <w:rPr>
                <w:rFonts w:ascii="Arial" w:hAnsi="Arial" w:cs="Arial"/>
                <w:sz w:val="22"/>
                <w:szCs w:val="22"/>
                <w:highlight w:val="none"/>
              </w:rPr>
              <w:t>1.50</w:t>
            </w:r>
          </w:p>
        </w:tc>
        <w:tc>
          <w:tcPr>
            <w:tcW w:w="1407" w:type="dxa"/>
            <w:shd w:val="clear" w:color="auto" w:fill="auto"/>
            <w:vAlign w:val="center"/>
          </w:tcPr>
          <w:p w14:paraId="7E9335A7">
            <w:pPr>
              <w:spacing w:line="240" w:lineRule="atLeast"/>
              <w:rPr>
                <w:rFonts w:ascii="Arial" w:hAnsi="Arial" w:cs="Arial"/>
                <w:sz w:val="22"/>
                <w:szCs w:val="22"/>
                <w:highlight w:val="none"/>
              </w:rPr>
            </w:pPr>
            <w:r>
              <w:rPr>
                <w:rFonts w:ascii="Arial" w:hAnsi="Arial" w:cs="Arial"/>
                <w:sz w:val="22"/>
                <w:szCs w:val="22"/>
                <w:highlight w:val="none"/>
              </w:rPr>
              <w:t>0.75</w:t>
            </w:r>
          </w:p>
        </w:tc>
        <w:tc>
          <w:tcPr>
            <w:tcW w:w="1407" w:type="dxa"/>
            <w:shd w:val="clear" w:color="auto" w:fill="auto"/>
            <w:vAlign w:val="center"/>
          </w:tcPr>
          <w:p w14:paraId="707E3476">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34AF892E">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0.75</w:t>
            </w:r>
          </w:p>
        </w:tc>
        <w:tc>
          <w:tcPr>
            <w:tcW w:w="1407" w:type="dxa"/>
            <w:shd w:val="clear" w:color="auto" w:fill="auto"/>
            <w:vAlign w:val="center"/>
          </w:tcPr>
          <w:p w14:paraId="4D2E7C5B">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1.50</w:t>
            </w:r>
          </w:p>
        </w:tc>
      </w:tr>
      <w:tr w14:paraId="66C59B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53443A14">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临路状况</w:t>
            </w:r>
          </w:p>
        </w:tc>
        <w:tc>
          <w:tcPr>
            <w:tcW w:w="1406" w:type="dxa"/>
            <w:shd w:val="clear" w:color="auto" w:fill="auto"/>
            <w:vAlign w:val="center"/>
          </w:tcPr>
          <w:p w14:paraId="7B74E1E3">
            <w:pPr>
              <w:spacing w:line="240" w:lineRule="atLeast"/>
              <w:rPr>
                <w:rFonts w:ascii="Arial" w:hAnsi="Arial" w:cs="Arial"/>
                <w:sz w:val="22"/>
                <w:szCs w:val="22"/>
                <w:highlight w:val="none"/>
              </w:rPr>
            </w:pPr>
            <w:r>
              <w:rPr>
                <w:rFonts w:ascii="Arial" w:hAnsi="Arial" w:cs="Arial"/>
                <w:sz w:val="22"/>
                <w:szCs w:val="22"/>
                <w:highlight w:val="none"/>
              </w:rPr>
              <w:t>0.74</w:t>
            </w:r>
          </w:p>
        </w:tc>
        <w:tc>
          <w:tcPr>
            <w:tcW w:w="1407" w:type="dxa"/>
            <w:shd w:val="clear" w:color="auto" w:fill="auto"/>
            <w:vAlign w:val="center"/>
          </w:tcPr>
          <w:p w14:paraId="4E0AAC63">
            <w:pPr>
              <w:spacing w:line="240" w:lineRule="atLeast"/>
              <w:rPr>
                <w:rFonts w:ascii="Arial" w:hAnsi="Arial" w:cs="Arial"/>
                <w:sz w:val="22"/>
                <w:szCs w:val="22"/>
                <w:highlight w:val="none"/>
              </w:rPr>
            </w:pPr>
            <w:r>
              <w:rPr>
                <w:rFonts w:ascii="Arial" w:hAnsi="Arial" w:cs="Arial"/>
                <w:sz w:val="22"/>
                <w:szCs w:val="22"/>
                <w:highlight w:val="none"/>
              </w:rPr>
              <w:t>0.37</w:t>
            </w:r>
          </w:p>
        </w:tc>
        <w:tc>
          <w:tcPr>
            <w:tcW w:w="1407" w:type="dxa"/>
            <w:shd w:val="clear" w:color="auto" w:fill="auto"/>
            <w:vAlign w:val="center"/>
          </w:tcPr>
          <w:p w14:paraId="0A84339A">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0CBC4210">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1407" w:type="dxa"/>
            <w:shd w:val="clear" w:color="auto" w:fill="auto"/>
            <w:vAlign w:val="center"/>
          </w:tcPr>
          <w:p w14:paraId="2D3F0C3F">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r w14:paraId="5551C1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45F37241">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公共服务设施状况</w:t>
            </w:r>
          </w:p>
        </w:tc>
        <w:tc>
          <w:tcPr>
            <w:tcW w:w="1406" w:type="dxa"/>
            <w:shd w:val="clear" w:color="auto" w:fill="auto"/>
            <w:vAlign w:val="center"/>
          </w:tcPr>
          <w:p w14:paraId="2772F8FD">
            <w:pPr>
              <w:spacing w:line="240" w:lineRule="atLeast"/>
              <w:rPr>
                <w:rFonts w:ascii="Arial" w:hAnsi="Arial" w:cs="Arial"/>
                <w:sz w:val="22"/>
                <w:szCs w:val="22"/>
                <w:highlight w:val="none"/>
              </w:rPr>
            </w:pPr>
            <w:r>
              <w:rPr>
                <w:rFonts w:ascii="Arial" w:hAnsi="Arial" w:cs="Arial"/>
                <w:sz w:val="22"/>
                <w:szCs w:val="22"/>
                <w:highlight w:val="none"/>
              </w:rPr>
              <w:t>1.20</w:t>
            </w:r>
          </w:p>
        </w:tc>
        <w:tc>
          <w:tcPr>
            <w:tcW w:w="1407" w:type="dxa"/>
            <w:shd w:val="clear" w:color="auto" w:fill="auto"/>
            <w:vAlign w:val="center"/>
          </w:tcPr>
          <w:p w14:paraId="00C6BF6E">
            <w:pPr>
              <w:spacing w:line="240" w:lineRule="atLeast"/>
              <w:rPr>
                <w:rFonts w:ascii="Arial" w:hAnsi="Arial" w:cs="Arial"/>
                <w:sz w:val="22"/>
                <w:szCs w:val="22"/>
                <w:highlight w:val="none"/>
              </w:rPr>
            </w:pPr>
            <w:r>
              <w:rPr>
                <w:rFonts w:ascii="Arial" w:hAnsi="Arial" w:cs="Arial"/>
                <w:sz w:val="22"/>
                <w:szCs w:val="22"/>
                <w:highlight w:val="none"/>
              </w:rPr>
              <w:t>0.60</w:t>
            </w:r>
          </w:p>
        </w:tc>
        <w:tc>
          <w:tcPr>
            <w:tcW w:w="1407" w:type="dxa"/>
            <w:shd w:val="clear" w:color="auto" w:fill="auto"/>
            <w:vAlign w:val="center"/>
          </w:tcPr>
          <w:p w14:paraId="63AA974E">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227B7BF5">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0.60</w:t>
            </w:r>
          </w:p>
        </w:tc>
        <w:tc>
          <w:tcPr>
            <w:tcW w:w="1407" w:type="dxa"/>
            <w:shd w:val="clear" w:color="auto" w:fill="auto"/>
            <w:vAlign w:val="center"/>
          </w:tcPr>
          <w:p w14:paraId="764F252A">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1.20</w:t>
            </w:r>
          </w:p>
        </w:tc>
      </w:tr>
      <w:tr w14:paraId="22D21B8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3C6CE48B">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基础设施完备状况</w:t>
            </w:r>
          </w:p>
        </w:tc>
        <w:tc>
          <w:tcPr>
            <w:tcW w:w="1406" w:type="dxa"/>
            <w:shd w:val="clear" w:color="auto" w:fill="auto"/>
            <w:vAlign w:val="center"/>
          </w:tcPr>
          <w:p w14:paraId="38887260">
            <w:pPr>
              <w:spacing w:line="240" w:lineRule="atLeast"/>
              <w:rPr>
                <w:rFonts w:ascii="Arial" w:hAnsi="Arial" w:cs="Arial"/>
                <w:sz w:val="22"/>
                <w:szCs w:val="22"/>
                <w:highlight w:val="none"/>
              </w:rPr>
            </w:pPr>
            <w:r>
              <w:rPr>
                <w:rFonts w:ascii="Arial" w:hAnsi="Arial" w:cs="Arial"/>
                <w:sz w:val="22"/>
                <w:szCs w:val="22"/>
                <w:highlight w:val="none"/>
              </w:rPr>
              <w:t>1.34</w:t>
            </w:r>
          </w:p>
        </w:tc>
        <w:tc>
          <w:tcPr>
            <w:tcW w:w="1407" w:type="dxa"/>
            <w:shd w:val="clear" w:color="auto" w:fill="auto"/>
            <w:vAlign w:val="center"/>
          </w:tcPr>
          <w:p w14:paraId="6598AA75">
            <w:pPr>
              <w:spacing w:line="240" w:lineRule="atLeast"/>
              <w:rPr>
                <w:rFonts w:ascii="Arial" w:hAnsi="Arial" w:cs="Arial"/>
                <w:sz w:val="22"/>
                <w:szCs w:val="22"/>
                <w:highlight w:val="none"/>
              </w:rPr>
            </w:pPr>
            <w:r>
              <w:rPr>
                <w:rFonts w:ascii="Arial" w:hAnsi="Arial" w:cs="Arial"/>
                <w:sz w:val="22"/>
                <w:szCs w:val="22"/>
                <w:highlight w:val="none"/>
              </w:rPr>
              <w:t>0.67</w:t>
            </w:r>
          </w:p>
        </w:tc>
        <w:tc>
          <w:tcPr>
            <w:tcW w:w="1407" w:type="dxa"/>
            <w:shd w:val="clear" w:color="auto" w:fill="auto"/>
            <w:vAlign w:val="center"/>
          </w:tcPr>
          <w:p w14:paraId="2CD045B0">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4D0E3C17">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0.67</w:t>
            </w:r>
          </w:p>
        </w:tc>
        <w:tc>
          <w:tcPr>
            <w:tcW w:w="1407" w:type="dxa"/>
            <w:shd w:val="clear" w:color="auto" w:fill="auto"/>
            <w:vAlign w:val="center"/>
          </w:tcPr>
          <w:p w14:paraId="36241F50">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1.34</w:t>
            </w:r>
          </w:p>
        </w:tc>
      </w:tr>
      <w:tr w14:paraId="77A4557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7177C1BE">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宗地形状及可利用程度</w:t>
            </w:r>
          </w:p>
        </w:tc>
        <w:tc>
          <w:tcPr>
            <w:tcW w:w="1406" w:type="dxa"/>
            <w:shd w:val="clear" w:color="auto" w:fill="auto"/>
            <w:vAlign w:val="center"/>
          </w:tcPr>
          <w:p w14:paraId="1A5087D8">
            <w:pPr>
              <w:spacing w:line="240" w:lineRule="atLeast"/>
              <w:rPr>
                <w:rFonts w:ascii="Arial" w:hAnsi="Arial" w:cs="Arial"/>
                <w:sz w:val="22"/>
                <w:szCs w:val="22"/>
                <w:highlight w:val="none"/>
              </w:rPr>
            </w:pPr>
            <w:r>
              <w:rPr>
                <w:rFonts w:ascii="Arial" w:hAnsi="Arial" w:cs="Arial"/>
                <w:sz w:val="22"/>
                <w:szCs w:val="22"/>
                <w:highlight w:val="none"/>
              </w:rPr>
              <w:t>0.74</w:t>
            </w:r>
          </w:p>
        </w:tc>
        <w:tc>
          <w:tcPr>
            <w:tcW w:w="1407" w:type="dxa"/>
            <w:shd w:val="clear" w:color="auto" w:fill="auto"/>
            <w:vAlign w:val="center"/>
          </w:tcPr>
          <w:p w14:paraId="1E7819A6">
            <w:pPr>
              <w:spacing w:line="240" w:lineRule="atLeast"/>
              <w:rPr>
                <w:rFonts w:ascii="Arial" w:hAnsi="Arial" w:cs="Arial"/>
                <w:sz w:val="22"/>
                <w:szCs w:val="22"/>
                <w:highlight w:val="none"/>
              </w:rPr>
            </w:pPr>
            <w:r>
              <w:rPr>
                <w:rFonts w:ascii="Arial" w:hAnsi="Arial" w:cs="Arial"/>
                <w:sz w:val="22"/>
                <w:szCs w:val="22"/>
                <w:highlight w:val="none"/>
              </w:rPr>
              <w:t>0.37</w:t>
            </w:r>
          </w:p>
        </w:tc>
        <w:tc>
          <w:tcPr>
            <w:tcW w:w="1407" w:type="dxa"/>
            <w:shd w:val="clear" w:color="auto" w:fill="auto"/>
            <w:vAlign w:val="center"/>
          </w:tcPr>
          <w:p w14:paraId="007CC748">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4DF5BDB1">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1407" w:type="dxa"/>
            <w:shd w:val="clear" w:color="auto" w:fill="auto"/>
            <w:vAlign w:val="center"/>
          </w:tcPr>
          <w:p w14:paraId="677B1367">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r w14:paraId="10C268E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7670C55F">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自然和人文环境状况</w:t>
            </w:r>
          </w:p>
        </w:tc>
        <w:tc>
          <w:tcPr>
            <w:tcW w:w="1406" w:type="dxa"/>
            <w:shd w:val="clear" w:color="auto" w:fill="auto"/>
            <w:vAlign w:val="center"/>
          </w:tcPr>
          <w:p w14:paraId="5F50BE6D">
            <w:pPr>
              <w:spacing w:line="240" w:lineRule="atLeast"/>
              <w:rPr>
                <w:rFonts w:ascii="Arial" w:hAnsi="Arial" w:cs="Arial"/>
                <w:sz w:val="22"/>
                <w:szCs w:val="22"/>
                <w:highlight w:val="none"/>
              </w:rPr>
            </w:pPr>
            <w:r>
              <w:rPr>
                <w:rFonts w:ascii="Arial" w:hAnsi="Arial" w:cs="Arial"/>
                <w:sz w:val="22"/>
                <w:szCs w:val="22"/>
                <w:highlight w:val="none"/>
              </w:rPr>
              <w:t>1.80</w:t>
            </w:r>
          </w:p>
        </w:tc>
        <w:tc>
          <w:tcPr>
            <w:tcW w:w="1407" w:type="dxa"/>
            <w:shd w:val="clear" w:color="auto" w:fill="auto"/>
            <w:vAlign w:val="center"/>
          </w:tcPr>
          <w:p w14:paraId="37A6519C">
            <w:pPr>
              <w:spacing w:line="240" w:lineRule="atLeast"/>
              <w:rPr>
                <w:rFonts w:ascii="Arial" w:hAnsi="Arial" w:cs="Arial"/>
                <w:sz w:val="22"/>
                <w:szCs w:val="22"/>
                <w:highlight w:val="none"/>
              </w:rPr>
            </w:pPr>
            <w:r>
              <w:rPr>
                <w:rFonts w:ascii="Arial" w:hAnsi="Arial" w:cs="Arial"/>
                <w:sz w:val="22"/>
                <w:szCs w:val="22"/>
                <w:highlight w:val="none"/>
              </w:rPr>
              <w:t>0.90</w:t>
            </w:r>
          </w:p>
        </w:tc>
        <w:tc>
          <w:tcPr>
            <w:tcW w:w="1407" w:type="dxa"/>
            <w:shd w:val="clear" w:color="auto" w:fill="auto"/>
            <w:vAlign w:val="center"/>
          </w:tcPr>
          <w:p w14:paraId="0295AABD">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42C3B8B3">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0.90</w:t>
            </w:r>
          </w:p>
        </w:tc>
        <w:tc>
          <w:tcPr>
            <w:tcW w:w="1407" w:type="dxa"/>
            <w:shd w:val="clear" w:color="auto" w:fill="auto"/>
            <w:vAlign w:val="center"/>
          </w:tcPr>
          <w:p w14:paraId="69919307">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1.80</w:t>
            </w:r>
          </w:p>
        </w:tc>
      </w:tr>
      <w:tr w14:paraId="2E3AAB3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5" w:type="dxa"/>
            <w:shd w:val="clear" w:color="auto" w:fill="auto"/>
            <w:vAlign w:val="center"/>
          </w:tcPr>
          <w:p w14:paraId="0D3E6AD0">
            <w:pPr>
              <w:widowControl/>
              <w:adjustRightInd/>
              <w:spacing w:line="240" w:lineRule="atLeast"/>
              <w:textAlignment w:val="center"/>
              <w:rPr>
                <w:rFonts w:ascii="Arial" w:hAnsi="Arial" w:eastAsia="仿宋" w:cs="Arial"/>
                <w:sz w:val="21"/>
                <w:szCs w:val="21"/>
                <w:highlight w:val="none"/>
              </w:rPr>
            </w:pPr>
            <w:r>
              <w:rPr>
                <w:rFonts w:ascii="Arial" w:hAnsi="Arial" w:eastAsia="仿宋" w:cs="Arial"/>
                <w:sz w:val="21"/>
                <w:szCs w:val="21"/>
                <w:highlight w:val="none"/>
                <w:lang w:bidi="ar"/>
              </w:rPr>
              <w:t>与中心的接近程度</w:t>
            </w:r>
          </w:p>
        </w:tc>
        <w:tc>
          <w:tcPr>
            <w:tcW w:w="1406" w:type="dxa"/>
            <w:shd w:val="clear" w:color="auto" w:fill="auto"/>
            <w:vAlign w:val="center"/>
          </w:tcPr>
          <w:p w14:paraId="2E9476B2">
            <w:pPr>
              <w:spacing w:line="240" w:lineRule="atLeast"/>
              <w:rPr>
                <w:rFonts w:ascii="Arial" w:hAnsi="Arial" w:cs="Arial"/>
                <w:sz w:val="22"/>
                <w:szCs w:val="22"/>
                <w:highlight w:val="none"/>
              </w:rPr>
            </w:pPr>
            <w:r>
              <w:rPr>
                <w:rFonts w:ascii="Arial" w:hAnsi="Arial" w:cs="Arial"/>
                <w:sz w:val="22"/>
                <w:szCs w:val="22"/>
                <w:highlight w:val="none"/>
              </w:rPr>
              <w:t>0.74</w:t>
            </w:r>
          </w:p>
        </w:tc>
        <w:tc>
          <w:tcPr>
            <w:tcW w:w="1407" w:type="dxa"/>
            <w:shd w:val="clear" w:color="auto" w:fill="auto"/>
            <w:vAlign w:val="center"/>
          </w:tcPr>
          <w:p w14:paraId="109A48EF">
            <w:pPr>
              <w:spacing w:line="240" w:lineRule="atLeast"/>
              <w:rPr>
                <w:rFonts w:ascii="Arial" w:hAnsi="Arial" w:cs="Arial"/>
                <w:sz w:val="22"/>
                <w:szCs w:val="22"/>
                <w:highlight w:val="none"/>
              </w:rPr>
            </w:pPr>
            <w:r>
              <w:rPr>
                <w:rFonts w:ascii="Arial" w:hAnsi="Arial" w:cs="Arial"/>
                <w:sz w:val="22"/>
                <w:szCs w:val="22"/>
                <w:highlight w:val="none"/>
              </w:rPr>
              <w:t>0.37</w:t>
            </w:r>
          </w:p>
        </w:tc>
        <w:tc>
          <w:tcPr>
            <w:tcW w:w="1407" w:type="dxa"/>
            <w:shd w:val="clear" w:color="auto" w:fill="auto"/>
            <w:vAlign w:val="center"/>
          </w:tcPr>
          <w:p w14:paraId="09ECAA21">
            <w:pPr>
              <w:spacing w:line="240" w:lineRule="atLeast"/>
              <w:rPr>
                <w:rFonts w:ascii="Arial" w:hAnsi="Arial" w:cs="Arial"/>
                <w:sz w:val="22"/>
                <w:szCs w:val="22"/>
                <w:highlight w:val="none"/>
              </w:rPr>
            </w:pPr>
            <w:r>
              <w:rPr>
                <w:rFonts w:ascii="Arial" w:hAnsi="Arial" w:cs="Arial"/>
                <w:sz w:val="22"/>
                <w:szCs w:val="22"/>
                <w:highlight w:val="none"/>
              </w:rPr>
              <w:t>0.00</w:t>
            </w:r>
          </w:p>
        </w:tc>
        <w:tc>
          <w:tcPr>
            <w:tcW w:w="1407" w:type="dxa"/>
            <w:shd w:val="clear" w:color="auto" w:fill="auto"/>
            <w:vAlign w:val="center"/>
          </w:tcPr>
          <w:p w14:paraId="57477B65">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1407" w:type="dxa"/>
            <w:shd w:val="clear" w:color="auto" w:fill="auto"/>
            <w:vAlign w:val="center"/>
          </w:tcPr>
          <w:p w14:paraId="6C55AF80">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bl>
    <w:p w14:paraId="1BC78EF0">
      <w:pPr>
        <w:autoSpaceDE w:val="0"/>
        <w:autoSpaceDN w:val="0"/>
        <w:spacing w:line="240" w:lineRule="exact"/>
        <w:rPr>
          <w:rFonts w:ascii="Arial" w:hAnsi="Arial" w:eastAsia="华文细黑" w:cs="宋体"/>
          <w:sz w:val="18"/>
          <w:szCs w:val="24"/>
          <w:highlight w:val="none"/>
        </w:rPr>
      </w:pPr>
      <w:r>
        <w:rPr>
          <w:rFonts w:hint="eastAsia" w:ascii="Arial" w:hAnsi="Arial" w:eastAsia="华文细黑" w:cs="宋体"/>
          <w:sz w:val="18"/>
          <w:szCs w:val="24"/>
          <w:highlight w:val="none"/>
        </w:rPr>
        <w:t>单位：%</w:t>
      </w:r>
    </w:p>
    <w:p w14:paraId="4CDC112D">
      <w:pPr>
        <w:spacing w:line="240" w:lineRule="auto"/>
        <w:jc w:val="center"/>
        <w:rPr>
          <w:rFonts w:ascii="仿宋" w:hAnsi="仿宋" w:eastAsia="仿宋"/>
          <w:sz w:val="28"/>
          <w:szCs w:val="28"/>
          <w:highlight w:val="none"/>
        </w:rPr>
      </w:pPr>
      <w:r>
        <w:rPr>
          <w:rFonts w:hint="eastAsia" w:ascii="仿宋" w:hAnsi="仿宋" w:eastAsia="仿宋"/>
          <w:sz w:val="28"/>
          <w:szCs w:val="28"/>
          <w:highlight w:val="none"/>
        </w:rPr>
        <w:t>估价对象因素修正系数表</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422"/>
        <w:gridCol w:w="1702"/>
        <w:gridCol w:w="5386"/>
        <w:gridCol w:w="710"/>
        <w:gridCol w:w="1079"/>
      </w:tblGrid>
      <w:tr w14:paraId="645710B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318BCC28">
            <w:pPr>
              <w:spacing w:line="240" w:lineRule="exact"/>
              <w:rPr>
                <w:rFonts w:ascii="Arial" w:hAnsi="Arial" w:eastAsia="仿宋" w:cs="Arial"/>
                <w:sz w:val="21"/>
                <w:szCs w:val="21"/>
                <w:highlight w:val="none"/>
              </w:rPr>
            </w:pPr>
            <w:r>
              <w:rPr>
                <w:rFonts w:ascii="Arial" w:hAnsi="Arial" w:eastAsia="仿宋" w:cs="Arial"/>
                <w:sz w:val="21"/>
                <w:szCs w:val="21"/>
                <w:highlight w:val="none"/>
              </w:rPr>
              <w:t>序号</w:t>
            </w:r>
          </w:p>
        </w:tc>
        <w:tc>
          <w:tcPr>
            <w:tcW w:w="915" w:type="pct"/>
            <w:vAlign w:val="center"/>
          </w:tcPr>
          <w:p w14:paraId="5B23E815">
            <w:pPr>
              <w:spacing w:line="240" w:lineRule="exact"/>
              <w:rPr>
                <w:rFonts w:ascii="Arial" w:hAnsi="Arial" w:eastAsia="仿宋" w:cs="Arial"/>
                <w:sz w:val="21"/>
                <w:szCs w:val="21"/>
                <w:highlight w:val="none"/>
              </w:rPr>
            </w:pPr>
            <w:r>
              <w:rPr>
                <w:rFonts w:ascii="Arial" w:hAnsi="Arial" w:eastAsia="仿宋" w:cs="Arial"/>
                <w:sz w:val="21"/>
                <w:szCs w:val="21"/>
                <w:highlight w:val="none"/>
              </w:rPr>
              <w:t>影响因素</w:t>
            </w:r>
          </w:p>
        </w:tc>
        <w:tc>
          <w:tcPr>
            <w:tcW w:w="2896" w:type="pct"/>
            <w:vAlign w:val="center"/>
          </w:tcPr>
          <w:p w14:paraId="0B8B4766">
            <w:pPr>
              <w:spacing w:line="240" w:lineRule="exact"/>
              <w:rPr>
                <w:rFonts w:ascii="Arial" w:hAnsi="Arial" w:eastAsia="仿宋" w:cs="Arial"/>
                <w:sz w:val="21"/>
                <w:szCs w:val="21"/>
                <w:highlight w:val="none"/>
              </w:rPr>
            </w:pPr>
            <w:r>
              <w:rPr>
                <w:rFonts w:ascii="Arial" w:hAnsi="Arial" w:eastAsia="仿宋" w:cs="Arial"/>
                <w:sz w:val="21"/>
                <w:szCs w:val="21"/>
                <w:highlight w:val="none"/>
              </w:rPr>
              <w:t>估价对象情况</w:t>
            </w:r>
          </w:p>
        </w:tc>
        <w:tc>
          <w:tcPr>
            <w:tcW w:w="381" w:type="pct"/>
            <w:vAlign w:val="center"/>
          </w:tcPr>
          <w:p w14:paraId="793EB864">
            <w:pPr>
              <w:spacing w:line="240" w:lineRule="exact"/>
              <w:rPr>
                <w:rFonts w:ascii="Arial" w:hAnsi="Arial" w:eastAsia="仿宋" w:cs="Arial"/>
                <w:sz w:val="21"/>
                <w:szCs w:val="21"/>
                <w:highlight w:val="none"/>
              </w:rPr>
            </w:pPr>
            <w:r>
              <w:rPr>
                <w:rFonts w:ascii="Arial" w:hAnsi="Arial" w:eastAsia="仿宋" w:cs="Arial"/>
                <w:sz w:val="21"/>
                <w:szCs w:val="21"/>
                <w:highlight w:val="none"/>
              </w:rPr>
              <w:t>等级</w:t>
            </w:r>
          </w:p>
        </w:tc>
        <w:tc>
          <w:tcPr>
            <w:tcW w:w="580" w:type="pct"/>
            <w:vAlign w:val="center"/>
          </w:tcPr>
          <w:p w14:paraId="7634D833">
            <w:pPr>
              <w:spacing w:line="240" w:lineRule="exact"/>
              <w:rPr>
                <w:rFonts w:ascii="Arial" w:hAnsi="Arial" w:eastAsia="仿宋" w:cs="Arial"/>
                <w:sz w:val="21"/>
                <w:szCs w:val="21"/>
                <w:highlight w:val="none"/>
              </w:rPr>
            </w:pPr>
            <w:r>
              <w:rPr>
                <w:rFonts w:ascii="Arial" w:hAnsi="Arial" w:eastAsia="仿宋" w:cs="Arial"/>
                <w:sz w:val="21"/>
                <w:szCs w:val="21"/>
                <w:highlight w:val="none"/>
              </w:rPr>
              <w:t>修正系数</w:t>
            </w:r>
          </w:p>
        </w:tc>
      </w:tr>
      <w:tr w14:paraId="12DA912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B2A185F">
            <w:pPr>
              <w:spacing w:line="240" w:lineRule="exact"/>
              <w:rPr>
                <w:rFonts w:ascii="Arial" w:hAnsi="Arial" w:eastAsia="仿宋" w:cs="Arial"/>
                <w:sz w:val="21"/>
                <w:szCs w:val="21"/>
                <w:highlight w:val="none"/>
              </w:rPr>
            </w:pPr>
            <w:r>
              <w:rPr>
                <w:rFonts w:ascii="Arial" w:hAnsi="Arial" w:eastAsia="仿宋" w:cs="Arial"/>
                <w:sz w:val="21"/>
                <w:szCs w:val="21"/>
                <w:highlight w:val="none"/>
              </w:rPr>
              <w:t>a</w:t>
            </w:r>
          </w:p>
        </w:tc>
        <w:tc>
          <w:tcPr>
            <w:tcW w:w="915" w:type="pct"/>
            <w:vAlign w:val="center"/>
          </w:tcPr>
          <w:p w14:paraId="18F5DC11">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居住社区成熟度</w:t>
            </w:r>
          </w:p>
        </w:tc>
        <w:tc>
          <w:tcPr>
            <w:tcW w:w="2896" w:type="pct"/>
            <w:vAlign w:val="center"/>
          </w:tcPr>
          <w:p w14:paraId="2B082CDA">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估价对象位于北京市顺义区高丽营镇夏县营村，周边2公里范围内有丽喜花园、东君府、moma万万树、壹号东临院等社区，居住小区规模和社区发展完善程度较完善，综合评价居住社区成熟度一般。</w:t>
            </w:r>
          </w:p>
        </w:tc>
        <w:tc>
          <w:tcPr>
            <w:tcW w:w="381" w:type="pct"/>
            <w:vAlign w:val="center"/>
          </w:tcPr>
          <w:p w14:paraId="73AD7545">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一般</w:t>
            </w:r>
          </w:p>
        </w:tc>
        <w:tc>
          <w:tcPr>
            <w:tcW w:w="580" w:type="pct"/>
            <w:vAlign w:val="center"/>
          </w:tcPr>
          <w:p w14:paraId="6078BC3E">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104834D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660078CF">
            <w:pPr>
              <w:spacing w:line="240" w:lineRule="exact"/>
              <w:rPr>
                <w:rFonts w:ascii="Arial" w:hAnsi="Arial" w:eastAsia="仿宋" w:cs="Arial"/>
                <w:sz w:val="21"/>
                <w:szCs w:val="21"/>
                <w:highlight w:val="none"/>
              </w:rPr>
            </w:pPr>
            <w:r>
              <w:rPr>
                <w:rFonts w:ascii="Arial" w:hAnsi="Arial" w:eastAsia="仿宋" w:cs="Arial"/>
                <w:sz w:val="21"/>
                <w:szCs w:val="21"/>
                <w:highlight w:val="none"/>
              </w:rPr>
              <w:t>b</w:t>
            </w:r>
          </w:p>
        </w:tc>
        <w:tc>
          <w:tcPr>
            <w:tcW w:w="915" w:type="pct"/>
            <w:vAlign w:val="center"/>
          </w:tcPr>
          <w:p w14:paraId="3B279B01">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交通便捷度</w:t>
            </w:r>
          </w:p>
        </w:tc>
        <w:tc>
          <w:tcPr>
            <w:tcW w:w="2896" w:type="pct"/>
            <w:vAlign w:val="center"/>
          </w:tcPr>
          <w:p w14:paraId="79724E3A">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381" w:type="pct"/>
            <w:vAlign w:val="center"/>
          </w:tcPr>
          <w:p w14:paraId="312FF13F">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较差</w:t>
            </w:r>
          </w:p>
        </w:tc>
        <w:tc>
          <w:tcPr>
            <w:tcW w:w="580" w:type="pct"/>
            <w:vAlign w:val="center"/>
          </w:tcPr>
          <w:p w14:paraId="1746C033">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1.95%</w:t>
            </w:r>
          </w:p>
        </w:tc>
      </w:tr>
      <w:tr w14:paraId="35182BE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3D205E3F">
            <w:pPr>
              <w:spacing w:line="240" w:lineRule="exact"/>
              <w:rPr>
                <w:rFonts w:ascii="Arial" w:hAnsi="Arial" w:eastAsia="仿宋" w:cs="Arial"/>
                <w:sz w:val="21"/>
                <w:szCs w:val="21"/>
                <w:highlight w:val="none"/>
              </w:rPr>
            </w:pPr>
            <w:r>
              <w:rPr>
                <w:rFonts w:ascii="Arial" w:hAnsi="Arial" w:eastAsia="仿宋" w:cs="Arial"/>
                <w:sz w:val="21"/>
                <w:szCs w:val="21"/>
                <w:highlight w:val="none"/>
              </w:rPr>
              <w:t>c</w:t>
            </w:r>
          </w:p>
        </w:tc>
        <w:tc>
          <w:tcPr>
            <w:tcW w:w="915" w:type="pct"/>
            <w:vAlign w:val="center"/>
          </w:tcPr>
          <w:p w14:paraId="1DCC6291">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城市规划及区域土地利用方向</w:t>
            </w:r>
          </w:p>
        </w:tc>
        <w:tc>
          <w:tcPr>
            <w:tcW w:w="2896" w:type="pct"/>
            <w:vAlign w:val="center"/>
          </w:tcPr>
          <w:p w14:paraId="44EE19AF">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估价对象周边有部分其他用途用地，基本不影响本宗地。</w:t>
            </w:r>
          </w:p>
        </w:tc>
        <w:tc>
          <w:tcPr>
            <w:tcW w:w="381" w:type="pct"/>
            <w:vAlign w:val="center"/>
          </w:tcPr>
          <w:p w14:paraId="7D5C3393">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较好</w:t>
            </w:r>
          </w:p>
        </w:tc>
        <w:tc>
          <w:tcPr>
            <w:tcW w:w="580" w:type="pct"/>
            <w:vAlign w:val="center"/>
          </w:tcPr>
          <w:p w14:paraId="553388E9">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0.75%</w:t>
            </w:r>
          </w:p>
        </w:tc>
      </w:tr>
      <w:tr w14:paraId="16666F6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B5863C0">
            <w:pPr>
              <w:spacing w:line="240" w:lineRule="exact"/>
              <w:rPr>
                <w:rFonts w:ascii="Arial" w:hAnsi="Arial" w:eastAsia="仿宋" w:cs="Arial"/>
                <w:sz w:val="21"/>
                <w:szCs w:val="21"/>
                <w:highlight w:val="none"/>
              </w:rPr>
            </w:pPr>
            <w:r>
              <w:rPr>
                <w:rFonts w:ascii="Arial" w:hAnsi="Arial" w:eastAsia="仿宋" w:cs="Arial"/>
                <w:sz w:val="21"/>
                <w:szCs w:val="21"/>
                <w:highlight w:val="none"/>
              </w:rPr>
              <w:t>d</w:t>
            </w:r>
          </w:p>
        </w:tc>
        <w:tc>
          <w:tcPr>
            <w:tcW w:w="915" w:type="pct"/>
            <w:vAlign w:val="center"/>
          </w:tcPr>
          <w:p w14:paraId="08F7B71D">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临路状况</w:t>
            </w:r>
          </w:p>
        </w:tc>
        <w:tc>
          <w:tcPr>
            <w:tcW w:w="2896" w:type="pct"/>
            <w:vAlign w:val="center"/>
          </w:tcPr>
          <w:p w14:paraId="2238787A">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估价对象毗邻</w:t>
            </w:r>
            <w:r>
              <w:rPr>
                <w:rFonts w:hint="eastAsia" w:ascii="Arial" w:hAnsi="Arial" w:eastAsia="仿宋" w:cs="Arial"/>
                <w:sz w:val="21"/>
                <w:szCs w:val="21"/>
                <w:highlight w:val="none"/>
                <w:lang w:bidi="ar"/>
              </w:rPr>
              <w:t>城市主干道——火寺路</w:t>
            </w:r>
          </w:p>
        </w:tc>
        <w:tc>
          <w:tcPr>
            <w:tcW w:w="381" w:type="pct"/>
            <w:vAlign w:val="center"/>
          </w:tcPr>
          <w:p w14:paraId="6B72A8D9">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较好</w:t>
            </w:r>
          </w:p>
        </w:tc>
        <w:tc>
          <w:tcPr>
            <w:tcW w:w="580" w:type="pct"/>
            <w:vAlign w:val="center"/>
          </w:tcPr>
          <w:p w14:paraId="28C48671">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0.37%</w:t>
            </w:r>
          </w:p>
        </w:tc>
      </w:tr>
      <w:tr w14:paraId="001325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2CC676E">
            <w:pPr>
              <w:spacing w:line="240" w:lineRule="exact"/>
              <w:rPr>
                <w:rFonts w:ascii="Arial" w:hAnsi="Arial" w:eastAsia="仿宋" w:cs="Arial"/>
                <w:sz w:val="21"/>
                <w:szCs w:val="21"/>
                <w:highlight w:val="none"/>
              </w:rPr>
            </w:pPr>
            <w:r>
              <w:rPr>
                <w:rFonts w:ascii="Arial" w:hAnsi="Arial" w:eastAsia="仿宋" w:cs="Arial"/>
                <w:sz w:val="21"/>
                <w:szCs w:val="21"/>
                <w:highlight w:val="none"/>
              </w:rPr>
              <w:t>e</w:t>
            </w:r>
          </w:p>
        </w:tc>
        <w:tc>
          <w:tcPr>
            <w:tcW w:w="915" w:type="pct"/>
            <w:vAlign w:val="center"/>
          </w:tcPr>
          <w:p w14:paraId="26A8DCD3">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公共服务设施状况</w:t>
            </w:r>
          </w:p>
        </w:tc>
        <w:tc>
          <w:tcPr>
            <w:tcW w:w="2896" w:type="pct"/>
            <w:vAlign w:val="center"/>
          </w:tcPr>
          <w:p w14:paraId="372C59DA">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rPr>
              <w:t>估价对象周边2公里范围内</w:t>
            </w:r>
            <w:r>
              <w:rPr>
                <w:rFonts w:hint="eastAsia" w:ascii="Arial" w:hAnsi="Arial" w:eastAsia="仿宋" w:cs="Arial"/>
                <w:sz w:val="21"/>
                <w:szCs w:val="21"/>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 w:cs="Arial"/>
                <w:sz w:val="21"/>
                <w:szCs w:val="21"/>
                <w:highlight w:val="none"/>
              </w:rPr>
              <w:t>，公共配套设施齐备情况一般。</w:t>
            </w:r>
          </w:p>
        </w:tc>
        <w:tc>
          <w:tcPr>
            <w:tcW w:w="381" w:type="pct"/>
            <w:vAlign w:val="center"/>
          </w:tcPr>
          <w:p w14:paraId="3B7FD9CF">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一般</w:t>
            </w:r>
          </w:p>
        </w:tc>
        <w:tc>
          <w:tcPr>
            <w:tcW w:w="580" w:type="pct"/>
            <w:vAlign w:val="center"/>
          </w:tcPr>
          <w:p w14:paraId="32D3BD55">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33542FB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989952A">
            <w:pPr>
              <w:spacing w:line="240" w:lineRule="exact"/>
              <w:rPr>
                <w:rFonts w:ascii="Arial" w:hAnsi="Arial" w:eastAsia="仿宋" w:cs="Arial"/>
                <w:sz w:val="21"/>
                <w:szCs w:val="21"/>
                <w:highlight w:val="none"/>
              </w:rPr>
            </w:pPr>
            <w:r>
              <w:rPr>
                <w:rFonts w:ascii="Arial" w:hAnsi="Arial" w:eastAsia="仿宋" w:cs="Arial"/>
                <w:sz w:val="21"/>
                <w:szCs w:val="21"/>
                <w:highlight w:val="none"/>
              </w:rPr>
              <w:t>f</w:t>
            </w:r>
          </w:p>
        </w:tc>
        <w:tc>
          <w:tcPr>
            <w:tcW w:w="915" w:type="pct"/>
            <w:vAlign w:val="center"/>
          </w:tcPr>
          <w:p w14:paraId="2E2C68F1">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基础设施完备状况</w:t>
            </w:r>
          </w:p>
        </w:tc>
        <w:tc>
          <w:tcPr>
            <w:tcW w:w="2896" w:type="pct"/>
            <w:vAlign w:val="center"/>
          </w:tcPr>
          <w:p w14:paraId="78C2B067">
            <w:pPr>
              <w:widowControl/>
              <w:adjustRightInd/>
              <w:spacing w:line="240" w:lineRule="exact"/>
              <w:textAlignment w:val="center"/>
              <w:rPr>
                <w:rFonts w:hint="eastAsia" w:ascii="Arial" w:hAnsi="Arial" w:eastAsia="仿宋" w:cs="Arial"/>
                <w:sz w:val="21"/>
                <w:szCs w:val="21"/>
                <w:highlight w:val="none"/>
                <w:lang w:eastAsia="zh-CN" w:bidi="ar"/>
              </w:rPr>
            </w:pPr>
            <w:r>
              <w:rPr>
                <w:rFonts w:ascii="Arial" w:hAnsi="Arial" w:eastAsia="仿宋" w:cs="Arial"/>
                <w:sz w:val="21"/>
                <w:szCs w:val="21"/>
                <w:highlight w:val="none"/>
                <w:lang w:bidi="ar"/>
              </w:rPr>
              <w:t>估价对象所在区域基础设施水平达到</w:t>
            </w:r>
            <w:r>
              <w:rPr>
                <w:rFonts w:hint="eastAsia" w:ascii="Arial" w:hAnsi="Arial" w:eastAsia="仿宋" w:cs="Arial"/>
                <w:sz w:val="21"/>
                <w:szCs w:val="21"/>
                <w:highlight w:val="none"/>
                <w:lang w:eastAsia="zh-CN" w:bidi="ar"/>
              </w:rPr>
              <w:t>“七通”</w:t>
            </w:r>
          </w:p>
        </w:tc>
        <w:tc>
          <w:tcPr>
            <w:tcW w:w="381" w:type="pct"/>
            <w:vAlign w:val="center"/>
          </w:tcPr>
          <w:p w14:paraId="5FF64ADD">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好</w:t>
            </w:r>
          </w:p>
        </w:tc>
        <w:tc>
          <w:tcPr>
            <w:tcW w:w="580" w:type="pct"/>
            <w:vAlign w:val="center"/>
          </w:tcPr>
          <w:p w14:paraId="06A2EC69">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1.34%</w:t>
            </w:r>
          </w:p>
        </w:tc>
      </w:tr>
      <w:tr w14:paraId="618CC35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3FB85D52">
            <w:pPr>
              <w:spacing w:line="240" w:lineRule="exact"/>
              <w:rPr>
                <w:rFonts w:ascii="Arial" w:hAnsi="Arial" w:eastAsia="仿宋" w:cs="Arial"/>
                <w:sz w:val="21"/>
                <w:szCs w:val="21"/>
                <w:highlight w:val="none"/>
              </w:rPr>
            </w:pPr>
            <w:r>
              <w:rPr>
                <w:rFonts w:ascii="Arial" w:hAnsi="Arial" w:eastAsia="仿宋" w:cs="Arial"/>
                <w:sz w:val="21"/>
                <w:szCs w:val="21"/>
                <w:highlight w:val="none"/>
              </w:rPr>
              <w:t>g</w:t>
            </w:r>
          </w:p>
        </w:tc>
        <w:tc>
          <w:tcPr>
            <w:tcW w:w="915" w:type="pct"/>
            <w:vAlign w:val="center"/>
          </w:tcPr>
          <w:p w14:paraId="1EE0EFB4">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宗地形状及可利用程度</w:t>
            </w:r>
          </w:p>
        </w:tc>
        <w:tc>
          <w:tcPr>
            <w:tcW w:w="2896" w:type="pct"/>
            <w:vAlign w:val="center"/>
          </w:tcPr>
          <w:p w14:paraId="365888DC">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rPr>
              <w:t>宗地形状</w:t>
            </w:r>
            <w:r>
              <w:rPr>
                <w:rFonts w:hint="eastAsia" w:ascii="Arial" w:hAnsi="Arial" w:eastAsia="仿宋" w:cs="Arial"/>
                <w:sz w:val="21"/>
                <w:szCs w:val="21"/>
                <w:highlight w:val="none"/>
                <w:lang w:val="en-US" w:eastAsia="zh-CN"/>
              </w:rPr>
              <w:t>较</w:t>
            </w:r>
            <w:r>
              <w:rPr>
                <w:rFonts w:ascii="Arial" w:hAnsi="Arial" w:eastAsia="仿宋" w:cs="Arial"/>
                <w:sz w:val="21"/>
                <w:szCs w:val="21"/>
                <w:highlight w:val="none"/>
              </w:rPr>
              <w:t>规则，对宗地利用</w:t>
            </w:r>
            <w:r>
              <w:rPr>
                <w:rFonts w:hint="eastAsia" w:ascii="Arial" w:hAnsi="Arial" w:eastAsia="仿宋" w:cs="Arial"/>
                <w:sz w:val="21"/>
                <w:szCs w:val="21"/>
                <w:highlight w:val="none"/>
                <w:lang w:val="en-US" w:eastAsia="zh-CN"/>
              </w:rPr>
              <w:t>基本</w:t>
            </w:r>
            <w:r>
              <w:rPr>
                <w:rFonts w:ascii="Arial" w:hAnsi="Arial" w:eastAsia="仿宋" w:cs="Arial"/>
                <w:sz w:val="21"/>
                <w:szCs w:val="21"/>
                <w:highlight w:val="none"/>
              </w:rPr>
              <w:t>无影响</w:t>
            </w:r>
          </w:p>
        </w:tc>
        <w:tc>
          <w:tcPr>
            <w:tcW w:w="381" w:type="pct"/>
            <w:vAlign w:val="center"/>
          </w:tcPr>
          <w:p w14:paraId="7D8729CC">
            <w:pPr>
              <w:widowControl/>
              <w:adjustRightInd/>
              <w:spacing w:line="240" w:lineRule="exact"/>
              <w:textAlignment w:val="center"/>
              <w:rPr>
                <w:rFonts w:hint="default" w:ascii="Arial" w:hAnsi="Arial" w:eastAsia="仿宋" w:cs="Arial"/>
                <w:sz w:val="21"/>
                <w:szCs w:val="21"/>
                <w:highlight w:val="none"/>
                <w:lang w:val="en-US" w:eastAsia="zh-CN" w:bidi="ar"/>
              </w:rPr>
            </w:pPr>
            <w:r>
              <w:rPr>
                <w:rFonts w:hint="eastAsia" w:ascii="Arial" w:hAnsi="Arial" w:eastAsia="仿宋" w:cs="Arial"/>
                <w:sz w:val="21"/>
                <w:szCs w:val="21"/>
                <w:highlight w:val="none"/>
                <w:lang w:val="en-US" w:eastAsia="zh-CN" w:bidi="ar"/>
              </w:rPr>
              <w:t>较好</w:t>
            </w:r>
          </w:p>
        </w:tc>
        <w:tc>
          <w:tcPr>
            <w:tcW w:w="580" w:type="pct"/>
            <w:vAlign w:val="center"/>
          </w:tcPr>
          <w:p w14:paraId="455B7B0F">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0.</w:t>
            </w:r>
            <w:r>
              <w:rPr>
                <w:rFonts w:hint="eastAsia" w:ascii="Arial" w:hAnsi="Arial" w:eastAsia="仿宋" w:cs="Arial"/>
                <w:sz w:val="21"/>
                <w:szCs w:val="21"/>
                <w:highlight w:val="none"/>
                <w:lang w:val="en-US" w:eastAsia="zh-CN" w:bidi="ar"/>
              </w:rPr>
              <w:t>37</w:t>
            </w:r>
            <w:r>
              <w:rPr>
                <w:rFonts w:ascii="Arial" w:hAnsi="Arial" w:eastAsia="仿宋" w:cs="Arial"/>
                <w:sz w:val="21"/>
                <w:szCs w:val="21"/>
                <w:highlight w:val="none"/>
                <w:lang w:bidi="ar"/>
              </w:rPr>
              <w:t>%</w:t>
            </w:r>
          </w:p>
        </w:tc>
      </w:tr>
      <w:tr w14:paraId="63B93D3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702ED916">
            <w:pPr>
              <w:spacing w:line="240" w:lineRule="exact"/>
              <w:rPr>
                <w:rFonts w:ascii="Arial" w:hAnsi="Arial" w:eastAsia="仿宋" w:cs="Arial"/>
                <w:sz w:val="21"/>
                <w:szCs w:val="21"/>
                <w:highlight w:val="none"/>
              </w:rPr>
            </w:pPr>
            <w:r>
              <w:rPr>
                <w:rFonts w:ascii="Arial" w:hAnsi="Arial" w:eastAsia="仿宋" w:cs="Arial"/>
                <w:sz w:val="21"/>
                <w:szCs w:val="21"/>
                <w:highlight w:val="none"/>
              </w:rPr>
              <w:t>h</w:t>
            </w:r>
          </w:p>
        </w:tc>
        <w:tc>
          <w:tcPr>
            <w:tcW w:w="915" w:type="pct"/>
            <w:vAlign w:val="center"/>
          </w:tcPr>
          <w:p w14:paraId="504B2431">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自然和人文环境状况</w:t>
            </w:r>
          </w:p>
        </w:tc>
        <w:tc>
          <w:tcPr>
            <w:tcW w:w="2896" w:type="pct"/>
            <w:vAlign w:val="center"/>
          </w:tcPr>
          <w:p w14:paraId="6DB847BC">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rPr>
              <w:t>估价对位于北京市顺义区高丽营镇夏县营村，周边2公里南郎中休闲公园、口袋公园、方氏渠等自然环境；无人文环境；综合评价环境状况一般。</w:t>
            </w:r>
          </w:p>
        </w:tc>
        <w:tc>
          <w:tcPr>
            <w:tcW w:w="381" w:type="pct"/>
            <w:vAlign w:val="center"/>
          </w:tcPr>
          <w:p w14:paraId="51A4F2A1">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一般</w:t>
            </w:r>
          </w:p>
        </w:tc>
        <w:tc>
          <w:tcPr>
            <w:tcW w:w="580" w:type="pct"/>
            <w:vAlign w:val="center"/>
          </w:tcPr>
          <w:p w14:paraId="3FFCE3BA">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69AD2CA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226" w:type="pct"/>
            <w:vAlign w:val="center"/>
          </w:tcPr>
          <w:p w14:paraId="546E87B3">
            <w:pPr>
              <w:spacing w:line="240" w:lineRule="exact"/>
              <w:rPr>
                <w:rFonts w:ascii="Arial" w:hAnsi="Arial" w:eastAsia="仿宋" w:cs="Arial"/>
                <w:sz w:val="21"/>
                <w:szCs w:val="21"/>
                <w:highlight w:val="none"/>
              </w:rPr>
            </w:pPr>
            <w:r>
              <w:rPr>
                <w:rFonts w:ascii="Arial" w:hAnsi="Arial" w:eastAsia="仿宋" w:cs="Arial"/>
                <w:sz w:val="21"/>
                <w:szCs w:val="21"/>
                <w:highlight w:val="none"/>
              </w:rPr>
              <w:t>i</w:t>
            </w:r>
          </w:p>
        </w:tc>
        <w:tc>
          <w:tcPr>
            <w:tcW w:w="915" w:type="pct"/>
            <w:vAlign w:val="center"/>
          </w:tcPr>
          <w:p w14:paraId="2F58CF9F">
            <w:pPr>
              <w:widowControl/>
              <w:adjustRightInd/>
              <w:spacing w:line="240" w:lineRule="exact"/>
              <w:textAlignment w:val="center"/>
              <w:rPr>
                <w:rFonts w:ascii="Arial" w:hAnsi="Arial" w:eastAsia="仿宋" w:cs="Arial"/>
                <w:sz w:val="21"/>
                <w:szCs w:val="21"/>
                <w:highlight w:val="none"/>
              </w:rPr>
            </w:pPr>
            <w:r>
              <w:rPr>
                <w:rFonts w:ascii="Arial" w:hAnsi="Arial" w:eastAsia="仿宋" w:cs="Arial"/>
                <w:sz w:val="21"/>
                <w:szCs w:val="21"/>
                <w:highlight w:val="none"/>
                <w:lang w:bidi="ar"/>
              </w:rPr>
              <w:t>与区域中心的接近程度</w:t>
            </w:r>
          </w:p>
        </w:tc>
        <w:tc>
          <w:tcPr>
            <w:tcW w:w="2896" w:type="pct"/>
            <w:vAlign w:val="center"/>
          </w:tcPr>
          <w:p w14:paraId="7D21C852">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lang w:bidi="ar"/>
              </w:rPr>
              <w:t>距区域中心约1.6公里，与区域中心的接近程度</w:t>
            </w:r>
            <w:r>
              <w:rPr>
                <w:rFonts w:hint="eastAsia" w:ascii="Arial" w:hAnsi="Arial" w:eastAsia="仿宋" w:cs="Arial"/>
                <w:sz w:val="21"/>
                <w:szCs w:val="21"/>
                <w:highlight w:val="none"/>
                <w:lang w:bidi="ar"/>
              </w:rPr>
              <w:t>较差</w:t>
            </w:r>
          </w:p>
        </w:tc>
        <w:tc>
          <w:tcPr>
            <w:tcW w:w="381" w:type="pct"/>
            <w:vAlign w:val="center"/>
          </w:tcPr>
          <w:p w14:paraId="140EEF86">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较差</w:t>
            </w:r>
          </w:p>
        </w:tc>
        <w:tc>
          <w:tcPr>
            <w:tcW w:w="580" w:type="pct"/>
            <w:vAlign w:val="center"/>
          </w:tcPr>
          <w:p w14:paraId="1C07935E">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0.37 %</w:t>
            </w:r>
          </w:p>
        </w:tc>
      </w:tr>
      <w:tr w14:paraId="199F93F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4419" w:type="pct"/>
            <w:gridSpan w:val="4"/>
            <w:vAlign w:val="center"/>
          </w:tcPr>
          <w:p w14:paraId="3396E2A7">
            <w:pPr>
              <w:spacing w:line="240" w:lineRule="exact"/>
              <w:rPr>
                <w:rFonts w:ascii="Arial" w:hAnsi="Arial" w:eastAsia="仿宋" w:cs="Arial"/>
                <w:sz w:val="21"/>
                <w:szCs w:val="21"/>
                <w:highlight w:val="none"/>
              </w:rPr>
            </w:pPr>
            <w:r>
              <w:rPr>
                <w:rFonts w:ascii="Arial" w:hAnsi="Arial" w:eastAsia="仿宋" w:cs="Arial"/>
                <w:sz w:val="21"/>
                <w:szCs w:val="21"/>
                <w:highlight w:val="none"/>
              </w:rPr>
              <w:t>合计（∑K</w:t>
            </w:r>
            <w:r>
              <w:rPr>
                <w:rFonts w:ascii="Arial" w:hAnsi="Arial" w:eastAsia="仿宋" w:cs="Arial"/>
                <w:sz w:val="21"/>
                <w:szCs w:val="21"/>
                <w:highlight w:val="none"/>
                <w:vertAlign w:val="subscript"/>
              </w:rPr>
              <w:t>i</w:t>
            </w:r>
            <w:r>
              <w:rPr>
                <w:rFonts w:ascii="Arial" w:hAnsi="Arial" w:eastAsia="仿宋" w:cs="Arial"/>
                <w:sz w:val="21"/>
                <w:szCs w:val="21"/>
                <w:highlight w:val="none"/>
              </w:rPr>
              <w:t>）</w:t>
            </w:r>
          </w:p>
        </w:tc>
        <w:tc>
          <w:tcPr>
            <w:tcW w:w="580" w:type="pct"/>
          </w:tcPr>
          <w:p w14:paraId="3E81EE4B">
            <w:pPr>
              <w:spacing w:line="240" w:lineRule="exact"/>
              <w:rPr>
                <w:rFonts w:ascii="Arial" w:hAnsi="Arial" w:eastAsia="仿宋" w:cs="Arial"/>
                <w:sz w:val="21"/>
                <w:szCs w:val="21"/>
                <w:highlight w:val="none"/>
              </w:rPr>
            </w:pPr>
            <w:r>
              <w:rPr>
                <w:rFonts w:ascii="Arial" w:hAnsi="Arial" w:eastAsia="仿宋" w:cs="Arial"/>
                <w:sz w:val="21"/>
                <w:szCs w:val="21"/>
                <w:highlight w:val="none"/>
              </w:rPr>
              <w:t>0.</w:t>
            </w:r>
            <w:r>
              <w:rPr>
                <w:rFonts w:hint="eastAsia" w:ascii="Arial" w:hAnsi="Arial" w:eastAsia="仿宋" w:cs="Arial"/>
                <w:sz w:val="21"/>
                <w:szCs w:val="21"/>
                <w:highlight w:val="none"/>
                <w:lang w:val="en-US" w:eastAsia="zh-CN"/>
              </w:rPr>
              <w:t>51</w:t>
            </w:r>
            <w:r>
              <w:rPr>
                <w:rFonts w:ascii="Arial" w:hAnsi="Arial" w:eastAsia="仿宋" w:cs="Arial"/>
                <w:sz w:val="21"/>
                <w:szCs w:val="21"/>
                <w:highlight w:val="none"/>
              </w:rPr>
              <w:t>%</w:t>
            </w:r>
          </w:p>
        </w:tc>
      </w:tr>
      <w:tr w14:paraId="7D12FF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4419" w:type="pct"/>
            <w:gridSpan w:val="4"/>
            <w:vAlign w:val="center"/>
          </w:tcPr>
          <w:p w14:paraId="19FCCAC5">
            <w:pPr>
              <w:spacing w:line="240" w:lineRule="exact"/>
              <w:rPr>
                <w:rFonts w:ascii="Arial" w:hAnsi="Arial" w:eastAsia="仿宋" w:cs="Arial"/>
                <w:sz w:val="21"/>
                <w:szCs w:val="21"/>
                <w:highlight w:val="none"/>
              </w:rPr>
            </w:pPr>
            <w:r>
              <w:rPr>
                <w:rFonts w:ascii="Arial" w:hAnsi="Arial" w:eastAsia="仿宋" w:cs="Arial"/>
                <w:sz w:val="21"/>
                <w:szCs w:val="21"/>
                <w:highlight w:val="none"/>
              </w:rPr>
              <w:t>因素修正系数（1</w:t>
            </w:r>
            <w:r>
              <w:rPr>
                <w:rFonts w:hint="eastAsia" w:ascii="Arial" w:hAnsi="Arial" w:eastAsia="仿宋" w:cs="Arial"/>
                <w:sz w:val="21"/>
                <w:szCs w:val="21"/>
                <w:highlight w:val="none"/>
                <w:lang w:eastAsia="zh-CN"/>
              </w:rPr>
              <w:t>＋</w:t>
            </w:r>
            <w:r>
              <w:rPr>
                <w:rFonts w:ascii="Arial" w:hAnsi="Arial" w:eastAsia="仿宋" w:cs="Arial"/>
                <w:sz w:val="21"/>
                <w:szCs w:val="21"/>
                <w:highlight w:val="none"/>
              </w:rPr>
              <w:t>∑K</w:t>
            </w:r>
            <w:r>
              <w:rPr>
                <w:rFonts w:ascii="Arial" w:hAnsi="Arial" w:eastAsia="仿宋" w:cs="Arial"/>
                <w:sz w:val="21"/>
                <w:szCs w:val="21"/>
                <w:highlight w:val="none"/>
                <w:vertAlign w:val="subscript"/>
              </w:rPr>
              <w:t>i</w:t>
            </w:r>
            <w:r>
              <w:rPr>
                <w:rFonts w:ascii="Arial" w:hAnsi="Arial" w:eastAsia="仿宋" w:cs="Arial"/>
                <w:sz w:val="21"/>
                <w:szCs w:val="21"/>
                <w:highlight w:val="none"/>
              </w:rPr>
              <w:t>）</w:t>
            </w:r>
          </w:p>
        </w:tc>
        <w:tc>
          <w:tcPr>
            <w:tcW w:w="580" w:type="pct"/>
          </w:tcPr>
          <w:p w14:paraId="11FB9F17">
            <w:pPr>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rPr>
              <w:t>1</w:t>
            </w:r>
            <w:r>
              <w:rPr>
                <w:rFonts w:ascii="Arial" w:hAnsi="Arial" w:eastAsia="仿宋" w:cs="Arial"/>
                <w:sz w:val="21"/>
                <w:szCs w:val="21"/>
                <w:highlight w:val="none"/>
              </w:rPr>
              <w:t>.00</w:t>
            </w:r>
            <w:r>
              <w:rPr>
                <w:rFonts w:hint="eastAsia" w:ascii="Arial" w:hAnsi="Arial" w:eastAsia="仿宋" w:cs="Arial"/>
                <w:sz w:val="21"/>
                <w:szCs w:val="21"/>
                <w:highlight w:val="none"/>
                <w:lang w:val="en-US" w:eastAsia="zh-CN"/>
              </w:rPr>
              <w:t>51</w:t>
            </w:r>
          </w:p>
        </w:tc>
      </w:tr>
    </w:tbl>
    <w:p w14:paraId="4161C5D7">
      <w:pPr>
        <w:keepNext w:val="0"/>
        <w:keepLines w:val="0"/>
        <w:pageBreakBefore w:val="0"/>
        <w:widowControl w:val="0"/>
        <w:kinsoku/>
        <w:wordWrap/>
        <w:overflowPunct/>
        <w:topLinePunct w:val="0"/>
        <w:autoSpaceDE/>
        <w:autoSpaceDN/>
        <w:bidi w:val="0"/>
        <w:adjustRightInd w:val="0"/>
        <w:snapToGrid/>
        <w:spacing w:before="313" w:beforeLines="100"/>
        <w:textAlignment w:val="baseline"/>
        <w:rPr>
          <w:rFonts w:hint="eastAsia" w:ascii="Arial" w:hAnsi="Arial" w:eastAsia="仿宋" w:cs="Arial"/>
          <w:sz w:val="28"/>
          <w:highlight w:val="none"/>
          <w:lang w:eastAsia="zh-CN"/>
        </w:rPr>
      </w:pPr>
      <w:r>
        <w:rPr>
          <w:rFonts w:ascii="Arial" w:hAnsi="Arial" w:eastAsia="仿宋" w:cs="Arial"/>
          <w:sz w:val="28"/>
          <w:highlight w:val="none"/>
        </w:rPr>
        <w:t>（G）估价对象</w:t>
      </w:r>
      <w:r>
        <w:rPr>
          <w:rFonts w:hint="eastAsia" w:ascii="Arial" w:hAnsi="Arial" w:eastAsia="仿宋" w:cs="Arial"/>
          <w:sz w:val="28"/>
          <w:highlight w:val="none"/>
          <w:lang w:eastAsia="zh-CN"/>
        </w:rPr>
        <w:t>楼面地价</w:t>
      </w:r>
    </w:p>
    <w:p w14:paraId="5EEF9D79">
      <w:pPr>
        <w:adjustRightInd/>
        <w:snapToGrid w:val="0"/>
        <w:spacing w:line="300" w:lineRule="auto"/>
        <w:ind w:firstLine="560" w:firstLineChars="200"/>
        <w:jc w:val="both"/>
        <w:rPr>
          <w:rFonts w:hint="eastAsia" w:ascii="Arial" w:hAnsi="Arial" w:eastAsia="仿宋" w:cs="Arial"/>
          <w:sz w:val="28"/>
          <w:highlight w:val="none"/>
          <w:lang w:eastAsia="zh-CN"/>
        </w:rPr>
      </w:pPr>
      <w:r>
        <w:rPr>
          <w:rFonts w:ascii="Arial" w:hAnsi="Arial" w:eastAsia="仿宋" w:cs="Arial"/>
          <w:sz w:val="28"/>
          <w:highlight w:val="none"/>
        </w:rPr>
        <w:t>住宅用途</w:t>
      </w:r>
      <w:r>
        <w:rPr>
          <w:rFonts w:hint="eastAsia" w:ascii="Arial" w:hAnsi="Arial" w:eastAsia="仿宋" w:cs="Arial"/>
          <w:sz w:val="28"/>
          <w:highlight w:val="none"/>
          <w:lang w:eastAsia="zh-CN"/>
        </w:rPr>
        <w:t>楼面地价</w:t>
      </w:r>
    </w:p>
    <w:p w14:paraId="29791907">
      <w:pPr>
        <w:adjustRightInd/>
        <w:snapToGrid w:val="0"/>
        <w:spacing w:line="300" w:lineRule="auto"/>
        <w:ind w:firstLine="560" w:firstLineChars="200"/>
        <w:rPr>
          <w:rFonts w:ascii="Arial" w:hAnsi="Arial" w:eastAsia="仿宋" w:cs="Arial"/>
          <w:sz w:val="28"/>
          <w:highlight w:val="none"/>
        </w:rPr>
      </w:pPr>
      <w:r>
        <w:rPr>
          <w:rFonts w:hint="eastAsia" w:ascii="Arial" w:hAnsi="Arial" w:eastAsia="仿宋" w:cs="Arial"/>
          <w:sz w:val="28"/>
          <w:highlight w:val="none"/>
          <w:lang w:eastAsia="zh-CN"/>
        </w:rPr>
        <w:t>＝</w:t>
      </w:r>
      <w:r>
        <w:rPr>
          <w:rFonts w:ascii="Arial" w:hAnsi="Arial" w:eastAsia="仿宋" w:cs="Arial"/>
          <w:sz w:val="28"/>
          <w:highlight w:val="none"/>
        </w:rPr>
        <w:t>适用的基准地价</w:t>
      </w:r>
      <w:r>
        <w:rPr>
          <w:rFonts w:hint="eastAsia" w:ascii="Arial" w:hAnsi="Arial" w:eastAsia="仿宋" w:cs="Arial"/>
          <w:sz w:val="28"/>
          <w:highlight w:val="none"/>
          <w:lang w:eastAsia="zh-CN"/>
        </w:rPr>
        <w:t>×</w:t>
      </w:r>
      <w:r>
        <w:rPr>
          <w:rFonts w:hint="eastAsia" w:ascii="Arial" w:hAnsi="Arial" w:eastAsia="仿宋" w:cs="Arial"/>
          <w:sz w:val="28"/>
          <w:highlight w:val="none"/>
        </w:rPr>
        <w:t>特殊</w:t>
      </w:r>
      <w:r>
        <w:rPr>
          <w:rFonts w:ascii="Arial" w:hAnsi="Arial" w:eastAsia="仿宋" w:cs="Arial"/>
          <w:sz w:val="28"/>
          <w:highlight w:val="none"/>
        </w:rPr>
        <w:t>情况修正系数</w:t>
      </w:r>
      <w:r>
        <w:rPr>
          <w:rFonts w:hint="eastAsia" w:ascii="Arial" w:hAnsi="Arial" w:eastAsia="仿宋" w:cs="Arial"/>
          <w:sz w:val="28"/>
          <w:szCs w:val="28"/>
          <w:highlight w:val="none"/>
          <w:lang w:eastAsia="zh-CN"/>
        </w:rPr>
        <w:t>×</w:t>
      </w:r>
      <w:r>
        <w:rPr>
          <w:rFonts w:ascii="Arial" w:hAnsi="Arial" w:eastAsia="仿宋" w:cs="Arial"/>
          <w:sz w:val="28"/>
          <w:highlight w:val="none"/>
        </w:rPr>
        <w:t>用途修正系数</w:t>
      </w:r>
      <w:r>
        <w:rPr>
          <w:rFonts w:hint="eastAsia" w:ascii="Arial" w:hAnsi="Arial" w:eastAsia="仿宋" w:cs="Arial"/>
          <w:sz w:val="28"/>
          <w:highlight w:val="none"/>
          <w:lang w:eastAsia="zh-CN"/>
        </w:rPr>
        <w:t>×</w:t>
      </w:r>
      <w:r>
        <w:rPr>
          <w:rFonts w:ascii="Arial" w:hAnsi="Arial" w:eastAsia="仿宋" w:cs="Arial"/>
          <w:sz w:val="28"/>
          <w:highlight w:val="none"/>
        </w:rPr>
        <w:t>期日修正系数</w:t>
      </w:r>
      <w:r>
        <w:rPr>
          <w:rFonts w:hint="eastAsia" w:ascii="Arial" w:hAnsi="Arial" w:eastAsia="仿宋" w:cs="Arial"/>
          <w:sz w:val="28"/>
          <w:highlight w:val="none"/>
          <w:lang w:eastAsia="zh-CN"/>
        </w:rPr>
        <w:t>×</w:t>
      </w:r>
      <w:r>
        <w:rPr>
          <w:rFonts w:ascii="Arial" w:hAnsi="Arial" w:eastAsia="仿宋" w:cs="Arial"/>
          <w:sz w:val="28"/>
          <w:highlight w:val="none"/>
        </w:rPr>
        <w:t>年期修正系数</w:t>
      </w:r>
      <w:r>
        <w:rPr>
          <w:rFonts w:hint="eastAsia" w:ascii="Arial" w:hAnsi="Arial" w:eastAsia="仿宋" w:cs="Arial"/>
          <w:sz w:val="28"/>
          <w:highlight w:val="none"/>
          <w:lang w:eastAsia="zh-CN"/>
        </w:rPr>
        <w:t>×</w:t>
      </w:r>
      <w:r>
        <w:rPr>
          <w:rFonts w:ascii="Arial" w:hAnsi="Arial" w:eastAsia="仿宋" w:cs="Arial"/>
          <w:sz w:val="28"/>
          <w:highlight w:val="none"/>
        </w:rPr>
        <w:t>容积率修正系数</w:t>
      </w:r>
      <w:r>
        <w:rPr>
          <w:rFonts w:hint="eastAsia" w:ascii="Arial" w:hAnsi="Arial" w:eastAsia="仿宋" w:cs="Arial"/>
          <w:sz w:val="28"/>
          <w:highlight w:val="none"/>
          <w:lang w:eastAsia="zh-CN"/>
        </w:rPr>
        <w:t>×</w:t>
      </w:r>
      <w:r>
        <w:rPr>
          <w:rFonts w:ascii="Arial" w:hAnsi="Arial" w:eastAsia="仿宋" w:cs="Arial"/>
          <w:sz w:val="28"/>
          <w:highlight w:val="none"/>
        </w:rPr>
        <w:t>因素修正系数</w:t>
      </w:r>
    </w:p>
    <w:p w14:paraId="25C1F4DD">
      <w:pPr>
        <w:adjustRightInd/>
        <w:snapToGrid w:val="0"/>
        <w:spacing w:line="300" w:lineRule="auto"/>
        <w:ind w:firstLine="560" w:firstLineChars="200"/>
        <w:jc w:val="both"/>
        <w:rPr>
          <w:rFonts w:hint="default" w:ascii="Arial" w:hAnsi="Arial" w:eastAsia="仿宋" w:cs="Arial"/>
          <w:sz w:val="28"/>
          <w:szCs w:val="28"/>
          <w:highlight w:val="none"/>
          <w:lang w:val="en-US" w:eastAsia="zh-CN"/>
        </w:rPr>
      </w:pPr>
      <w:r>
        <w:rPr>
          <w:rFonts w:hint="eastAsia" w:ascii="Arial" w:hAnsi="Arial" w:eastAsia="仿宋" w:cs="Arial"/>
          <w:sz w:val="28"/>
          <w:szCs w:val="28"/>
          <w:highlight w:val="none"/>
          <w:lang w:eastAsia="zh-CN"/>
        </w:rPr>
        <w:t>＝</w:t>
      </w:r>
      <w:r>
        <w:rPr>
          <w:rFonts w:ascii="Arial" w:hAnsi="Arial" w:eastAsia="仿宋" w:cs="Arial"/>
          <w:sz w:val="28"/>
          <w:szCs w:val="28"/>
          <w:highlight w:val="none"/>
        </w:rPr>
        <w:t>（6160</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1.05</w:t>
      </w:r>
      <w:r>
        <w:rPr>
          <w:rFonts w:hint="eastAsia" w:ascii="Arial" w:hAnsi="Arial" w:eastAsia="仿宋" w:cs="Arial"/>
          <w:sz w:val="28"/>
          <w:szCs w:val="28"/>
          <w:highlight w:val="none"/>
          <w:lang w:eastAsia="zh-CN"/>
        </w:rPr>
        <w:t>＋</w:t>
      </w:r>
      <w:r>
        <w:rPr>
          <w:rFonts w:ascii="Arial" w:hAnsi="Arial" w:eastAsia="仿宋" w:cs="Arial"/>
          <w:sz w:val="28"/>
          <w:szCs w:val="28"/>
          <w:highlight w:val="none"/>
        </w:rPr>
        <w:t>4</w:t>
      </w:r>
      <w:r>
        <w:rPr>
          <w:rFonts w:hint="eastAsia" w:ascii="Arial" w:hAnsi="Arial" w:eastAsia="仿宋" w:cs="Arial"/>
          <w:sz w:val="28"/>
          <w:szCs w:val="28"/>
          <w:highlight w:val="none"/>
          <w:lang w:val="en-US" w:eastAsia="zh-CN"/>
        </w:rPr>
        <w:t>6.67</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1.0049</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1.0597</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1.00</w:t>
      </w:r>
      <w:r>
        <w:rPr>
          <w:rFonts w:hint="eastAsia" w:ascii="Arial" w:hAnsi="Arial" w:eastAsia="仿宋" w:cs="Arial"/>
          <w:sz w:val="28"/>
          <w:szCs w:val="28"/>
          <w:highlight w:val="none"/>
          <w:lang w:val="en-US" w:eastAsia="zh-CN"/>
        </w:rPr>
        <w:t>51</w:t>
      </w:r>
    </w:p>
    <w:p w14:paraId="5858A2C2">
      <w:pPr>
        <w:spacing w:line="300" w:lineRule="auto"/>
        <w:ind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6973</w:t>
      </w:r>
      <w:r>
        <w:rPr>
          <w:rFonts w:ascii="Arial" w:hAnsi="Arial" w:eastAsia="仿宋" w:cs="Arial"/>
          <w:sz w:val="28"/>
          <w:szCs w:val="28"/>
          <w:highlight w:val="none"/>
        </w:rPr>
        <w:t>（元/平方米）</w:t>
      </w:r>
    </w:p>
    <w:p w14:paraId="75B9199F">
      <w:pPr>
        <w:adjustRightInd/>
        <w:snapToGrid w:val="0"/>
        <w:spacing w:line="300" w:lineRule="auto"/>
        <w:ind w:firstLine="562" w:firstLineChars="200"/>
        <w:jc w:val="both"/>
        <w:rPr>
          <w:rFonts w:ascii="Arial" w:hAnsi="Arial" w:eastAsia="仿宋" w:cs="Arial"/>
          <w:b/>
          <w:bCs/>
          <w:sz w:val="28"/>
          <w:szCs w:val="28"/>
          <w:highlight w:val="none"/>
        </w:rPr>
      </w:pPr>
      <w:r>
        <w:rPr>
          <w:rFonts w:hint="eastAsia" w:ascii="Arial" w:hAnsi="Arial" w:eastAsia="仿宋" w:cs="Arial"/>
          <w:b/>
          <w:bCs/>
          <w:sz w:val="28"/>
          <w:highlight w:val="none"/>
          <w:lang w:val="en-US" w:eastAsia="zh-CN"/>
        </w:rPr>
        <w:t>根据《北京市国有建设用地使用权出让地价评估技术导则）（2026年2月10日实施）8.2.2.4）需土地招拍挂竞得人代建不出让非营利性设施的，应考虑代建成本的影响；在采用基准地价系数修正法评估时，评估过程因无法考虑代建非营利性设施的影响，在最终结果确定时，对此事项进行论证分析，确定基准地价系数修正法结果的调整系数或差异数值，得到基准地价系数修正法估价结果的调整值。</w:t>
      </w:r>
    </w:p>
    <w:p w14:paraId="6A134B1F">
      <w:pPr>
        <w:rPr>
          <w:rFonts w:ascii="Arial" w:hAnsi="Arial" w:eastAsia="仿宋" w:cs="Arial"/>
          <w:sz w:val="28"/>
          <w:szCs w:val="28"/>
          <w:highlight w:val="none"/>
        </w:rPr>
      </w:pPr>
      <w:r>
        <w:rPr>
          <w:rFonts w:ascii="Arial" w:hAnsi="Arial" w:eastAsia="仿宋" w:cs="Arial"/>
          <w:sz w:val="28"/>
          <w:szCs w:val="28"/>
          <w:highlight w:val="none"/>
        </w:rPr>
        <w:br w:type="page"/>
      </w:r>
    </w:p>
    <w:p w14:paraId="2FEA4A55">
      <w:pPr>
        <w:overflowPunct w:val="0"/>
        <w:adjustRightInd/>
        <w:snapToGrid w:val="0"/>
        <w:spacing w:line="300" w:lineRule="auto"/>
        <w:ind w:firstLine="562" w:firstLineChars="200"/>
        <w:jc w:val="both"/>
        <w:textAlignment w:val="auto"/>
        <w:rPr>
          <w:rFonts w:hint="eastAsia" w:ascii="Arial" w:hAnsi="Arial" w:eastAsia="仿宋" w:cs="Arial"/>
          <w:b/>
          <w:bCs/>
          <w:sz w:val="28"/>
          <w:szCs w:val="28"/>
          <w:highlight w:val="none"/>
          <w:lang w:eastAsia="zh-CN"/>
        </w:rPr>
      </w:pPr>
      <w:r>
        <w:rPr>
          <w:rFonts w:ascii="Arial" w:hAnsi="Arial" w:eastAsia="仿宋" w:cs="Arial"/>
          <w:b/>
          <w:bCs/>
          <w:sz w:val="28"/>
          <w:szCs w:val="28"/>
          <w:highlight w:val="none"/>
        </w:rPr>
        <w:t>（2）求取估价对象商业用地</w:t>
      </w:r>
      <w:r>
        <w:rPr>
          <w:rFonts w:hint="eastAsia" w:ascii="Arial" w:hAnsi="Arial" w:eastAsia="仿宋" w:cs="Arial"/>
          <w:b/>
          <w:bCs/>
          <w:sz w:val="28"/>
          <w:szCs w:val="28"/>
          <w:highlight w:val="none"/>
          <w:lang w:eastAsia="zh-CN"/>
        </w:rPr>
        <w:t>楼面地价</w:t>
      </w:r>
    </w:p>
    <w:p w14:paraId="4A3272E0">
      <w:pPr>
        <w:snapToGrid w:val="0"/>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A.宗地适用基准地价水平的确定</w:t>
      </w:r>
    </w:p>
    <w:p w14:paraId="0C6DC69B">
      <w:pPr>
        <w:snapToGrid w:val="0"/>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（A）根据《北京市基准地价更新成果》，估价对象商业相应用途基准地价参照《北京市区片基准地价表》确定。估价对象位于</w:t>
      </w:r>
      <w:r>
        <w:rPr>
          <w:rFonts w:ascii="Arial" w:hAnsi="Arial" w:eastAsia="仿宋" w:cs="Arial"/>
          <w:sz w:val="28"/>
          <w:szCs w:val="28"/>
          <w:highlight w:val="none"/>
        </w:rPr>
        <w:t>北京市顺义区</w:t>
      </w:r>
      <w:r>
        <w:rPr>
          <w:rFonts w:hint="eastAsia" w:ascii="Arial" w:hAnsi="Arial" w:eastAsia="仿宋" w:cs="Arial"/>
          <w:sz w:val="28"/>
          <w:szCs w:val="28"/>
          <w:highlight w:val="none"/>
        </w:rPr>
        <w:t>高丽营镇</w:t>
      </w:r>
      <w:r>
        <w:rPr>
          <w:rFonts w:ascii="Arial" w:hAnsi="Arial" w:eastAsia="仿宋" w:cs="Arial"/>
          <w:sz w:val="28"/>
          <w:szCs w:val="28"/>
          <w:highlight w:val="none"/>
        </w:rPr>
        <w:t>夏县营</w:t>
      </w:r>
      <w:r>
        <w:rPr>
          <w:rFonts w:hint="eastAsia" w:ascii="Arial" w:hAnsi="Arial" w:eastAsia="仿宋" w:cs="Arial"/>
          <w:sz w:val="28"/>
          <w:szCs w:val="28"/>
          <w:highlight w:val="none"/>
        </w:rPr>
        <w:t>村</w:t>
      </w:r>
      <w:r>
        <w:rPr>
          <w:rFonts w:ascii="Arial" w:hAnsi="Arial" w:eastAsia="仿宋" w:cs="Arial"/>
          <w:sz w:val="28"/>
          <w:highlight w:val="none"/>
        </w:rPr>
        <w:t>，土地级别为商业类</w:t>
      </w:r>
      <w:r>
        <w:rPr>
          <w:rFonts w:hint="eastAsia" w:ascii="Arial" w:hAnsi="Arial" w:eastAsia="仿宋" w:cs="Arial"/>
          <w:sz w:val="28"/>
          <w:highlight w:val="none"/>
        </w:rPr>
        <w:t>九</w:t>
      </w:r>
      <w:r>
        <w:rPr>
          <w:rFonts w:ascii="Arial" w:hAnsi="Arial" w:eastAsia="仿宋" w:cs="Arial"/>
          <w:sz w:val="28"/>
          <w:highlight w:val="none"/>
        </w:rPr>
        <w:t>级地价区，属商业用途</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highlight w:val="none"/>
        </w:rPr>
        <w:t>区片。北京市各用途</w:t>
      </w:r>
      <w:r>
        <w:rPr>
          <w:rFonts w:hint="eastAsia" w:ascii="Arial" w:hAnsi="Arial" w:eastAsia="仿宋" w:cs="Arial"/>
          <w:sz w:val="28"/>
          <w:highlight w:val="none"/>
        </w:rPr>
        <w:t>九</w:t>
      </w:r>
      <w:r>
        <w:rPr>
          <w:rFonts w:ascii="Arial" w:hAnsi="Arial" w:eastAsia="仿宋" w:cs="Arial"/>
          <w:sz w:val="28"/>
          <w:highlight w:val="none"/>
        </w:rPr>
        <w:t>级区片基准地价详见前述，即，估价对象所在商业用途</w:t>
      </w:r>
      <w:r>
        <w:rPr>
          <w:rFonts w:hint="eastAsia" w:ascii="Arial" w:hAnsi="Arial" w:eastAsia="仿宋" w:cs="Arial"/>
          <w:sz w:val="28"/>
          <w:highlight w:val="none"/>
        </w:rPr>
        <w:t>九</w:t>
      </w:r>
      <w:r>
        <w:rPr>
          <w:rFonts w:ascii="Arial" w:hAnsi="Arial" w:eastAsia="仿宋" w:cs="Arial"/>
          <w:sz w:val="28"/>
          <w:highlight w:val="none"/>
        </w:rPr>
        <w:t>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highlight w:val="none"/>
        </w:rPr>
        <w:t>区片的区片基准地价为5320元/平方米。</w:t>
      </w:r>
    </w:p>
    <w:p w14:paraId="6A68E9DE">
      <w:pPr>
        <w:adjustRightInd/>
        <w:snapToGrid w:val="0"/>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（B）商业路线价修正</w:t>
      </w:r>
    </w:p>
    <w:p w14:paraId="55E0E761">
      <w:pPr>
        <w:adjustRightInd/>
        <w:snapToGrid w:val="0"/>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估价对象位于</w:t>
      </w:r>
      <w:r>
        <w:rPr>
          <w:rFonts w:ascii="Arial" w:hAnsi="Arial" w:eastAsia="仿宋" w:cs="Arial"/>
          <w:sz w:val="28"/>
          <w:szCs w:val="28"/>
          <w:highlight w:val="none"/>
        </w:rPr>
        <w:t>北京市顺义区</w:t>
      </w:r>
      <w:r>
        <w:rPr>
          <w:rFonts w:hint="eastAsia" w:ascii="Arial" w:hAnsi="Arial" w:eastAsia="仿宋" w:cs="Arial"/>
          <w:sz w:val="28"/>
          <w:szCs w:val="28"/>
          <w:highlight w:val="none"/>
        </w:rPr>
        <w:t>高丽营镇</w:t>
      </w:r>
      <w:r>
        <w:rPr>
          <w:rFonts w:ascii="Arial" w:hAnsi="Arial" w:eastAsia="仿宋" w:cs="Arial"/>
          <w:sz w:val="28"/>
          <w:szCs w:val="28"/>
          <w:highlight w:val="none"/>
        </w:rPr>
        <w:t>夏县营</w:t>
      </w:r>
      <w:r>
        <w:rPr>
          <w:rFonts w:hint="eastAsia" w:ascii="Arial" w:hAnsi="Arial" w:eastAsia="仿宋" w:cs="Arial"/>
          <w:sz w:val="28"/>
          <w:szCs w:val="28"/>
          <w:highlight w:val="none"/>
        </w:rPr>
        <w:t>村</w:t>
      </w:r>
      <w:r>
        <w:rPr>
          <w:rFonts w:ascii="Arial" w:hAnsi="Arial" w:eastAsia="仿宋" w:cs="Arial"/>
          <w:sz w:val="28"/>
          <w:highlight w:val="none"/>
        </w:rPr>
        <w:t>，不临《北京市基准地价更新成果》中所列65条商业街。故不需进行商业路线价修正。</w:t>
      </w:r>
    </w:p>
    <w:p w14:paraId="30194623">
      <w:pPr>
        <w:adjustRightInd/>
        <w:snapToGrid w:val="0"/>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（C）土地开发程度修正</w:t>
      </w:r>
    </w:p>
    <w:p w14:paraId="54A474A5">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估价对象设定宗地土地开发程度为</w:t>
      </w:r>
      <w:r>
        <w:rPr>
          <w:rFonts w:hint="eastAsia" w:ascii="Arial" w:hAnsi="Arial" w:eastAsia="仿宋" w:cs="Arial"/>
          <w:sz w:val="28"/>
          <w:szCs w:val="28"/>
          <w:highlight w:val="none"/>
          <w:lang w:eastAsia="zh-CN"/>
        </w:rPr>
        <w:t>“七通”（通路、通上水（自来水、中水）、通下水（雨水、污水）、通电、通讯、通燃气、通热力）</w:t>
      </w:r>
      <w:r>
        <w:rPr>
          <w:rFonts w:ascii="Arial" w:hAnsi="Arial" w:eastAsia="仿宋" w:cs="Arial"/>
          <w:sz w:val="28"/>
          <w:szCs w:val="28"/>
          <w:highlight w:val="none"/>
        </w:rPr>
        <w:t>，估价对象所在区域为</w:t>
      </w:r>
      <w:r>
        <w:rPr>
          <w:rFonts w:hint="eastAsia" w:ascii="Arial" w:hAnsi="Arial" w:eastAsia="仿宋" w:cs="Arial"/>
          <w:sz w:val="28"/>
          <w:szCs w:val="28"/>
          <w:highlight w:val="none"/>
        </w:rPr>
        <w:t>九</w:t>
      </w:r>
      <w:r>
        <w:rPr>
          <w:rFonts w:ascii="Arial" w:hAnsi="Arial" w:eastAsia="仿宋" w:cs="Arial"/>
          <w:sz w:val="28"/>
          <w:szCs w:val="28"/>
          <w:highlight w:val="none"/>
        </w:rPr>
        <w:t>级地价区，级别基准地价土地开发程度为“五通一平”（即通路、通电、通上水、通下水、通</w:t>
      </w:r>
      <w:r>
        <w:rPr>
          <w:rFonts w:hint="eastAsia" w:ascii="Arial" w:hAnsi="Arial" w:eastAsia="仿宋" w:cs="Arial"/>
          <w:sz w:val="28"/>
          <w:szCs w:val="28"/>
          <w:highlight w:val="none"/>
        </w:rPr>
        <w:t>讯</w:t>
      </w:r>
      <w:r>
        <w:rPr>
          <w:rFonts w:ascii="Arial" w:hAnsi="Arial" w:eastAsia="仿宋" w:cs="Arial"/>
          <w:sz w:val="28"/>
          <w:szCs w:val="28"/>
          <w:highlight w:val="none"/>
        </w:rPr>
        <w:t>），相应用途级别平均容积率为2。估价对象设定状况与级别开发程度不一致，需进行修正。修正表如下：</w:t>
      </w:r>
    </w:p>
    <w:p w14:paraId="778B37B2">
      <w:pPr>
        <w:spacing w:line="240" w:lineRule="auto"/>
        <w:jc w:val="center"/>
        <w:rPr>
          <w:rFonts w:ascii="仿宋" w:hAnsi="仿宋" w:eastAsia="仿宋" w:cs="宋体"/>
          <w:bCs/>
          <w:color w:val="000000"/>
          <w:sz w:val="28"/>
          <w:szCs w:val="28"/>
          <w:highlight w:val="none"/>
        </w:rPr>
      </w:pPr>
      <w:r>
        <w:rPr>
          <w:rFonts w:hint="eastAsia" w:ascii="仿宋" w:hAnsi="仿宋" w:eastAsia="仿宋" w:cs="宋体"/>
          <w:bCs/>
          <w:color w:val="000000"/>
          <w:sz w:val="28"/>
          <w:szCs w:val="28"/>
          <w:highlight w:val="none"/>
        </w:rPr>
        <w:t>基础设施建设费（土地开发费）</w:t>
      </w:r>
    </w:p>
    <w:p w14:paraId="32E49C97">
      <w:pPr>
        <w:adjustRightInd/>
        <w:spacing w:line="240" w:lineRule="auto"/>
        <w:jc w:val="right"/>
        <w:rPr>
          <w:rFonts w:ascii="Arial" w:hAnsi="Arial"/>
          <w:sz w:val="21"/>
          <w:highlight w:val="none"/>
        </w:rPr>
      </w:pPr>
      <w:r>
        <w:rPr>
          <w:rFonts w:hint="eastAsia" w:ascii="Arial" w:hAnsi="Arial" w:eastAsia="华文细黑" w:cs="宋体"/>
          <w:color w:val="000000"/>
          <w:sz w:val="18"/>
          <w:szCs w:val="24"/>
          <w:highlight w:val="none"/>
        </w:rPr>
        <w:t>单位：元/土地平方米</w:t>
      </w:r>
    </w:p>
    <w:tbl>
      <w:tblPr>
        <w:tblStyle w:val="34"/>
        <w:tblW w:w="9299" w:type="dxa"/>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602"/>
        <w:gridCol w:w="856"/>
        <w:gridCol w:w="856"/>
        <w:gridCol w:w="855"/>
        <w:gridCol w:w="855"/>
        <w:gridCol w:w="855"/>
        <w:gridCol w:w="855"/>
        <w:gridCol w:w="855"/>
        <w:gridCol w:w="855"/>
        <w:gridCol w:w="855"/>
      </w:tblGrid>
      <w:tr w14:paraId="24F14B5B">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PrEx>
        <w:trPr>
          <w:cantSplit/>
          <w:jc w:val="center"/>
        </w:trPr>
        <w:tc>
          <w:tcPr>
            <w:tcW w:w="1602" w:type="dxa"/>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075824E6">
            <w:pPr>
              <w:widowControl/>
              <w:adjustRightInd/>
              <w:spacing w:line="240" w:lineRule="exact"/>
              <w:ind w:firstLine="945" w:firstLineChars="450"/>
              <w:jc w:val="righ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费用</w:t>
            </w:r>
          </w:p>
          <w:p w14:paraId="5B8C4F70">
            <w:pPr>
              <w:spacing w:line="240" w:lineRule="exact"/>
              <w:rPr>
                <w:rFonts w:ascii="Arial" w:hAnsi="Arial" w:eastAsia="仿宋" w:cs="Arial"/>
                <w:color w:val="000000"/>
                <w:sz w:val="21"/>
                <w:szCs w:val="21"/>
                <w:highlight w:val="none"/>
              </w:rPr>
            </w:pPr>
            <w:r>
              <w:rPr>
                <w:rFonts w:ascii="Arial" w:hAnsi="Arial" w:eastAsia="仿宋" w:cs="Arial"/>
                <w:color w:val="000000"/>
                <w:sz w:val="21"/>
                <w:szCs w:val="21"/>
                <w:highlight w:val="none"/>
              </w:rPr>
              <w:t>类别</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0D06B4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通路</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6AF8836">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通电</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09532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通讯</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C83A0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通上水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676BE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通下水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A411D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通热</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64DBF3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通燃气</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FADBE4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平整</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768A79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合计</w:t>
            </w:r>
          </w:p>
        </w:tc>
      </w:tr>
      <w:tr w14:paraId="52BE9767">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7E4A831">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一至二级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A153A3C">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80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B68193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70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39C31E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A33BD2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ECE85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499797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ED6993C">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9C1710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D1B134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375</w:t>
            </w:r>
          </w:p>
        </w:tc>
      </w:tr>
      <w:tr w14:paraId="0B6F3F0D">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4C32EB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三至七级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EE5378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70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90A78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A781D17">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D00F1E4">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4C9F4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E884741">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D22733C">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DABB0E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EAF056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315</w:t>
            </w:r>
          </w:p>
        </w:tc>
      </w:tr>
      <w:tr w14:paraId="55DDCDE8">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602" w:type="dxa"/>
            <w:tcBorders>
              <w:top w:val="single" w:color="auto" w:sz="4" w:space="0"/>
              <w:left w:val="single" w:color="auto" w:sz="4" w:space="0"/>
              <w:bottom w:val="single" w:color="auto" w:sz="4" w:space="0"/>
              <w:right w:val="single" w:color="auto" w:sz="4" w:space="0"/>
            </w:tcBorders>
            <w:shd w:val="clear" w:color="auto" w:fill="auto"/>
            <w:noWrap/>
            <w:vAlign w:val="center"/>
          </w:tcPr>
          <w:p w14:paraId="45D28826">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八至十二级</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8BDFD0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856" w:type="dxa"/>
            <w:tcBorders>
              <w:top w:val="single" w:color="auto" w:sz="4" w:space="0"/>
              <w:left w:val="single" w:color="auto" w:sz="4" w:space="0"/>
              <w:bottom w:val="single" w:color="auto" w:sz="4" w:space="0"/>
              <w:right w:val="single" w:color="auto" w:sz="4" w:space="0"/>
            </w:tcBorders>
            <w:shd w:val="clear" w:color="auto" w:fill="auto"/>
            <w:noWrap/>
            <w:vAlign w:val="center"/>
          </w:tcPr>
          <w:p w14:paraId="6BA0227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9565EC1">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017E0F5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C1E845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35</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9C80FB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2B0FCC6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18224F7C">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10</w:t>
            </w:r>
          </w:p>
        </w:tc>
        <w:tc>
          <w:tcPr>
            <w:tcW w:w="855" w:type="dxa"/>
            <w:tcBorders>
              <w:top w:val="single" w:color="auto" w:sz="4" w:space="0"/>
              <w:left w:val="single" w:color="auto" w:sz="4" w:space="0"/>
              <w:bottom w:val="single" w:color="auto" w:sz="4" w:space="0"/>
              <w:right w:val="single" w:color="auto" w:sz="4" w:space="0"/>
            </w:tcBorders>
            <w:shd w:val="clear" w:color="auto" w:fill="auto"/>
            <w:noWrap/>
            <w:vAlign w:val="center"/>
          </w:tcPr>
          <w:p w14:paraId="7750125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255</w:t>
            </w:r>
          </w:p>
        </w:tc>
      </w:tr>
    </w:tbl>
    <w:p w14:paraId="2C9E42EF">
      <w:pPr>
        <w:keepNext w:val="0"/>
        <w:keepLines w:val="0"/>
        <w:pageBreakBefore w:val="0"/>
        <w:widowControl w:val="0"/>
        <w:kinsoku/>
        <w:wordWrap/>
        <w:overflowPunct/>
        <w:topLinePunct w:val="0"/>
        <w:autoSpaceDE/>
        <w:autoSpaceDN/>
        <w:bidi w:val="0"/>
        <w:adjustRightInd/>
        <w:snapToGrid w:val="0"/>
        <w:spacing w:before="157" w:beforeLines="50" w:line="300" w:lineRule="auto"/>
        <w:ind w:firstLine="560" w:firstLineChars="200"/>
        <w:textAlignment w:val="baseline"/>
        <w:rPr>
          <w:rFonts w:ascii="Arial" w:hAnsi="Arial" w:eastAsia="仿宋" w:cs="Arial"/>
          <w:sz w:val="28"/>
          <w:szCs w:val="28"/>
          <w:highlight w:val="none"/>
        </w:rPr>
      </w:pPr>
      <w:r>
        <w:rPr>
          <w:rFonts w:ascii="Arial" w:hAnsi="Arial" w:eastAsia="仿宋" w:cs="Arial"/>
          <w:sz w:val="28"/>
          <w:szCs w:val="28"/>
          <w:highlight w:val="none"/>
        </w:rPr>
        <w:t>土地开发程度修正</w:t>
      </w:r>
    </w:p>
    <w:p w14:paraId="4E7A9288">
      <w:pPr>
        <w:adjustRightInd/>
        <w:snapToGrid w:val="0"/>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w:t>
      </w:r>
      <w:r>
        <w:rPr>
          <w:rFonts w:ascii="Arial" w:hAnsi="Arial" w:eastAsia="仿宋" w:cs="Arial"/>
          <w:sz w:val="28"/>
          <w:szCs w:val="28"/>
          <w:highlight w:val="none"/>
        </w:rPr>
        <w:t>60</w:t>
      </w:r>
      <w:r>
        <w:rPr>
          <w:rFonts w:hint="eastAsia" w:ascii="Arial" w:hAnsi="Arial" w:eastAsia="仿宋" w:cs="Arial"/>
          <w:sz w:val="28"/>
          <w:szCs w:val="28"/>
          <w:highlight w:val="none"/>
          <w:lang w:eastAsia="zh-CN"/>
        </w:rPr>
        <w:t>＋</w:t>
      </w:r>
      <w:r>
        <w:rPr>
          <w:rFonts w:ascii="Arial" w:hAnsi="Arial" w:eastAsia="仿宋" w:cs="Arial"/>
          <w:sz w:val="28"/>
          <w:szCs w:val="28"/>
          <w:highlight w:val="none"/>
        </w:rPr>
        <w:t>50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w:t>
      </w:r>
      <w:r>
        <w:rPr>
          <w:rFonts w:hint="eastAsia" w:ascii="Arial" w:hAnsi="Arial" w:eastAsia="仿宋" w:cs="Arial"/>
          <w:sz w:val="28"/>
          <w:szCs w:val="28"/>
          <w:highlight w:val="none"/>
          <w:lang w:eastAsia="zh-CN"/>
        </w:rPr>
        <w:t>＋</w:t>
      </w:r>
      <w:r>
        <w:rPr>
          <w:rFonts w:ascii="Arial" w:hAnsi="Arial" w:eastAsia="仿宋" w:cs="Arial"/>
          <w:sz w:val="28"/>
          <w:szCs w:val="28"/>
          <w:highlight w:val="none"/>
        </w:rPr>
        <w:t>35</w:t>
      </w:r>
      <w:r>
        <w:rPr>
          <w:rFonts w:hint="eastAsia" w:ascii="Arial" w:hAnsi="Arial" w:eastAsia="仿宋" w:cs="Arial"/>
          <w:sz w:val="28"/>
          <w:szCs w:val="28"/>
          <w:highlight w:val="none"/>
          <w:lang w:eastAsia="zh-CN"/>
        </w:rPr>
        <w:t>＋</w:t>
      </w:r>
      <w:r>
        <w:rPr>
          <w:rFonts w:ascii="Arial" w:hAnsi="Arial" w:eastAsia="仿宋" w:cs="Arial"/>
          <w:sz w:val="28"/>
          <w:szCs w:val="28"/>
          <w:highlight w:val="none"/>
        </w:rPr>
        <w:t>40</w:t>
      </w:r>
      <w:r>
        <w:rPr>
          <w:rFonts w:hint="eastAsia" w:ascii="Arial" w:hAnsi="Arial" w:eastAsia="仿宋" w:cs="Arial"/>
          <w:sz w:val="28"/>
          <w:szCs w:val="28"/>
          <w:highlight w:val="none"/>
          <w:lang w:eastAsia="zh-CN"/>
        </w:rPr>
        <w:t>＋</w:t>
      </w:r>
      <w:r>
        <w:rPr>
          <w:rFonts w:ascii="Arial" w:hAnsi="Arial" w:eastAsia="仿宋" w:cs="Arial"/>
          <w:sz w:val="28"/>
          <w:szCs w:val="28"/>
          <w:highlight w:val="none"/>
        </w:rPr>
        <w:t>30</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w:t>
      </w:r>
      <w:r>
        <w:rPr>
          <w:rFonts w:hint="eastAsia"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185）</w:t>
      </w:r>
      <w:r>
        <w:rPr>
          <w:rFonts w:hint="eastAsia" w:ascii="Arial" w:hAnsi="Arial" w:eastAsia="仿宋" w:cs="Arial"/>
          <w:sz w:val="28"/>
          <w:szCs w:val="28"/>
          <w:highlight w:val="none"/>
          <w:lang w:eastAsia="zh-CN"/>
        </w:rPr>
        <w:t>÷</w:t>
      </w:r>
      <w:r>
        <w:rPr>
          <w:rFonts w:ascii="Arial" w:hAnsi="Arial" w:eastAsia="仿宋" w:cs="Arial"/>
          <w:sz w:val="28"/>
          <w:szCs w:val="28"/>
          <w:highlight w:val="none"/>
        </w:rPr>
        <w:t>2</w:t>
      </w:r>
    </w:p>
    <w:p w14:paraId="4F543EBA">
      <w:pPr>
        <w:adjustRightInd/>
        <w:snapToGrid w:val="0"/>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35</w:t>
      </w:r>
      <w:r>
        <w:rPr>
          <w:rFonts w:ascii="Arial" w:hAnsi="Arial" w:eastAsia="仿宋" w:cs="Arial"/>
          <w:sz w:val="28"/>
          <w:szCs w:val="28"/>
          <w:highlight w:val="none"/>
        </w:rPr>
        <w:t>（元/平方米）</w:t>
      </w:r>
    </w:p>
    <w:p w14:paraId="6DF73ECF">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B.用途修正系数的确定</w:t>
      </w:r>
    </w:p>
    <w:p w14:paraId="413171DA">
      <w:pPr>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《北京市出让国有建设用地使用权基准地价更新成果》根据《土地利用现状分类》（GB/T21010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20E98C58">
      <w:pPr>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地上部分：</w:t>
      </w:r>
    </w:p>
    <w:p w14:paraId="3AB9BEC5">
      <w:pPr>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估价对象地上用途为商业——其他商服用地，需依据《北京市基准地价土地用途二级分类用地修正系数表》进行用途修正。</w:t>
      </w:r>
    </w:p>
    <w:p w14:paraId="02D86B41">
      <w:pPr>
        <w:overflowPunct w:val="0"/>
        <w:snapToGrid w:val="0"/>
        <w:spacing w:line="300" w:lineRule="auto"/>
        <w:jc w:val="center"/>
        <w:textAlignment w:val="auto"/>
        <w:rPr>
          <w:rFonts w:ascii="Arial" w:hAnsi="Arial" w:eastAsia="仿宋" w:cs="Arial"/>
          <w:bCs/>
          <w:sz w:val="28"/>
          <w:szCs w:val="28"/>
          <w:highlight w:val="none"/>
        </w:rPr>
      </w:pPr>
      <w:r>
        <w:rPr>
          <w:rFonts w:ascii="Arial" w:hAnsi="Arial" w:eastAsia="仿宋" w:cs="Arial"/>
          <w:bCs/>
          <w:sz w:val="28"/>
          <w:szCs w:val="28"/>
          <w:highlight w:val="none"/>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49382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blHeader/>
          <w:jc w:val="center"/>
        </w:trPr>
        <w:tc>
          <w:tcPr>
            <w:tcW w:w="994" w:type="dxa"/>
            <w:shd w:val="clear" w:color="auto" w:fill="auto"/>
            <w:vAlign w:val="center"/>
          </w:tcPr>
          <w:p w14:paraId="43974E5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一级类</w:t>
            </w:r>
          </w:p>
        </w:tc>
        <w:tc>
          <w:tcPr>
            <w:tcW w:w="1842" w:type="dxa"/>
            <w:shd w:val="clear" w:color="auto" w:fill="auto"/>
            <w:vAlign w:val="center"/>
          </w:tcPr>
          <w:p w14:paraId="1EA6370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二级类</w:t>
            </w:r>
          </w:p>
        </w:tc>
        <w:tc>
          <w:tcPr>
            <w:tcW w:w="4536" w:type="dxa"/>
            <w:shd w:val="clear" w:color="auto" w:fill="auto"/>
            <w:vAlign w:val="center"/>
          </w:tcPr>
          <w:p w14:paraId="6998FD7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含义</w:t>
            </w:r>
          </w:p>
        </w:tc>
        <w:tc>
          <w:tcPr>
            <w:tcW w:w="1134" w:type="dxa"/>
            <w:shd w:val="clear" w:color="auto" w:fill="auto"/>
            <w:vAlign w:val="center"/>
          </w:tcPr>
          <w:p w14:paraId="2D4007A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参照基准</w:t>
            </w:r>
          </w:p>
        </w:tc>
        <w:tc>
          <w:tcPr>
            <w:tcW w:w="793" w:type="dxa"/>
            <w:shd w:val="clear" w:color="auto" w:fill="auto"/>
            <w:vAlign w:val="center"/>
          </w:tcPr>
          <w:p w14:paraId="0C73956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用途修正系数</w:t>
            </w:r>
          </w:p>
        </w:tc>
      </w:tr>
      <w:tr w14:paraId="0CF5D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restart"/>
            <w:shd w:val="clear" w:color="auto" w:fill="auto"/>
            <w:noWrap/>
            <w:vAlign w:val="center"/>
          </w:tcPr>
          <w:p w14:paraId="0AA48D3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商服</w:t>
            </w:r>
          </w:p>
        </w:tc>
        <w:tc>
          <w:tcPr>
            <w:tcW w:w="1842" w:type="dxa"/>
            <w:shd w:val="clear" w:color="auto" w:fill="auto"/>
            <w:noWrap/>
            <w:vAlign w:val="center"/>
          </w:tcPr>
          <w:p w14:paraId="65CA8B5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零售商业用地</w:t>
            </w:r>
          </w:p>
        </w:tc>
        <w:tc>
          <w:tcPr>
            <w:tcW w:w="4536" w:type="dxa"/>
            <w:shd w:val="clear" w:color="auto" w:fill="auto"/>
            <w:noWrap/>
            <w:vAlign w:val="center"/>
          </w:tcPr>
          <w:p w14:paraId="265054F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指以零售功能为主的商铺、商场、超市、市场和加油、加气、充换电站等的用地。</w:t>
            </w:r>
          </w:p>
        </w:tc>
        <w:tc>
          <w:tcPr>
            <w:tcW w:w="1134" w:type="dxa"/>
            <w:vMerge w:val="restart"/>
            <w:shd w:val="clear" w:color="auto" w:fill="auto"/>
            <w:noWrap/>
            <w:vAlign w:val="center"/>
          </w:tcPr>
          <w:p w14:paraId="72D8185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793" w:type="dxa"/>
            <w:shd w:val="clear" w:color="auto" w:fill="auto"/>
            <w:noWrap/>
            <w:vAlign w:val="center"/>
          </w:tcPr>
          <w:p w14:paraId="672B8E0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r>
      <w:tr w14:paraId="54C11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4DBBFD38">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3FEE2F4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批发市场用地</w:t>
            </w:r>
          </w:p>
        </w:tc>
        <w:tc>
          <w:tcPr>
            <w:tcW w:w="4536" w:type="dxa"/>
            <w:shd w:val="clear" w:color="auto" w:fill="auto"/>
            <w:noWrap/>
            <w:vAlign w:val="center"/>
          </w:tcPr>
          <w:p w14:paraId="2F9879C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指以批发功能为主的市场用地。</w:t>
            </w:r>
          </w:p>
        </w:tc>
        <w:tc>
          <w:tcPr>
            <w:tcW w:w="1134" w:type="dxa"/>
            <w:vMerge w:val="continue"/>
            <w:shd w:val="clear" w:color="auto" w:fill="auto"/>
            <w:vAlign w:val="center"/>
          </w:tcPr>
          <w:p w14:paraId="0784AFF9">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085F8D6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r>
      <w:tr w14:paraId="0B148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0DB2F96A">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26171C8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餐饮用地</w:t>
            </w:r>
          </w:p>
        </w:tc>
        <w:tc>
          <w:tcPr>
            <w:tcW w:w="4536" w:type="dxa"/>
            <w:shd w:val="clear" w:color="auto" w:fill="auto"/>
            <w:noWrap/>
            <w:vAlign w:val="center"/>
          </w:tcPr>
          <w:p w14:paraId="5FADD8F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指饭店、餐厅、酒吧等用地。</w:t>
            </w:r>
          </w:p>
        </w:tc>
        <w:tc>
          <w:tcPr>
            <w:tcW w:w="1134" w:type="dxa"/>
            <w:vMerge w:val="continue"/>
            <w:shd w:val="clear" w:color="auto" w:fill="auto"/>
            <w:vAlign w:val="center"/>
          </w:tcPr>
          <w:p w14:paraId="2B690326">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76AAA1F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0.9</w:t>
            </w:r>
          </w:p>
        </w:tc>
      </w:tr>
      <w:tr w14:paraId="227F5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D83587C">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22E65ED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旅馆用地</w:t>
            </w:r>
          </w:p>
        </w:tc>
        <w:tc>
          <w:tcPr>
            <w:tcW w:w="4536" w:type="dxa"/>
            <w:shd w:val="clear" w:color="auto" w:fill="auto"/>
            <w:noWrap/>
            <w:vAlign w:val="center"/>
          </w:tcPr>
          <w:p w14:paraId="7AD251F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指宾馆、旅馆、招待所、服务型公寓、度假村等用地。</w:t>
            </w:r>
          </w:p>
        </w:tc>
        <w:tc>
          <w:tcPr>
            <w:tcW w:w="1134" w:type="dxa"/>
            <w:vMerge w:val="continue"/>
            <w:shd w:val="clear" w:color="auto" w:fill="auto"/>
            <w:vAlign w:val="center"/>
          </w:tcPr>
          <w:p w14:paraId="719FA9CD">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1542107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0.9</w:t>
            </w:r>
          </w:p>
        </w:tc>
      </w:tr>
      <w:tr w14:paraId="6B52D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0B53A5D3">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230D3E2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娱乐用地</w:t>
            </w:r>
          </w:p>
        </w:tc>
        <w:tc>
          <w:tcPr>
            <w:tcW w:w="4536" w:type="dxa"/>
            <w:shd w:val="clear" w:color="auto" w:fill="auto"/>
            <w:noWrap/>
            <w:vAlign w:val="center"/>
          </w:tcPr>
          <w:p w14:paraId="4E17633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指剧院、音乐厅、电影院、歌舞厅、网吧、影视城、仿古城以及绿地率小于65% 的大型游乐等设施用地。</w:t>
            </w:r>
          </w:p>
        </w:tc>
        <w:tc>
          <w:tcPr>
            <w:tcW w:w="1134" w:type="dxa"/>
            <w:vMerge w:val="continue"/>
            <w:shd w:val="clear" w:color="auto" w:fill="auto"/>
            <w:vAlign w:val="center"/>
          </w:tcPr>
          <w:p w14:paraId="724551FF">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6867A5D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0.8</w:t>
            </w:r>
          </w:p>
        </w:tc>
      </w:tr>
      <w:tr w14:paraId="2E926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6505D678">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2C01B03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其他商服用地</w:t>
            </w:r>
          </w:p>
        </w:tc>
        <w:tc>
          <w:tcPr>
            <w:tcW w:w="4536" w:type="dxa"/>
            <w:shd w:val="clear" w:color="auto" w:fill="auto"/>
            <w:noWrap/>
            <w:vAlign w:val="center"/>
          </w:tcPr>
          <w:p w14:paraId="57D1A95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指上述用地以外的其他商业、服务业用地。</w:t>
            </w:r>
          </w:p>
        </w:tc>
        <w:tc>
          <w:tcPr>
            <w:tcW w:w="1134" w:type="dxa"/>
            <w:vMerge w:val="continue"/>
            <w:shd w:val="clear" w:color="auto" w:fill="auto"/>
            <w:vAlign w:val="center"/>
          </w:tcPr>
          <w:p w14:paraId="215A180B">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185922A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0.8</w:t>
            </w:r>
          </w:p>
        </w:tc>
      </w:tr>
      <w:tr w14:paraId="1828A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noWrap/>
            <w:vAlign w:val="center"/>
          </w:tcPr>
          <w:p w14:paraId="40ED52D7">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6B8FD96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商务金融用地</w:t>
            </w:r>
          </w:p>
        </w:tc>
        <w:tc>
          <w:tcPr>
            <w:tcW w:w="4536" w:type="dxa"/>
            <w:shd w:val="clear" w:color="auto" w:fill="auto"/>
            <w:noWrap/>
            <w:vAlign w:val="center"/>
          </w:tcPr>
          <w:p w14:paraId="0893E8F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指商务服务用地,以及经营性的办公场所用地,包括写字楼、商业性办公场所、金融活动场所和企业厂区外独立的办公场所;信息网络服务、信息技术服务、电子商务服务、广告传媒等用地。</w:t>
            </w:r>
          </w:p>
        </w:tc>
        <w:tc>
          <w:tcPr>
            <w:tcW w:w="1134" w:type="dxa"/>
            <w:shd w:val="clear" w:color="auto" w:fill="auto"/>
            <w:noWrap/>
            <w:vAlign w:val="center"/>
          </w:tcPr>
          <w:p w14:paraId="2D5DD79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793" w:type="dxa"/>
            <w:shd w:val="clear" w:color="auto" w:fill="auto"/>
            <w:noWrap/>
            <w:vAlign w:val="center"/>
          </w:tcPr>
          <w:p w14:paraId="0424F07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r>
    </w:tbl>
    <w:p w14:paraId="69F76939">
      <w:pPr>
        <w:keepNext w:val="0"/>
        <w:keepLines w:val="0"/>
        <w:pageBreakBefore w:val="0"/>
        <w:widowControl w:val="0"/>
        <w:kinsoku/>
        <w:wordWrap/>
        <w:overflowPunct/>
        <w:topLinePunct w:val="0"/>
        <w:autoSpaceDE/>
        <w:autoSpaceDN/>
        <w:bidi w:val="0"/>
        <w:adjustRightInd/>
        <w:snapToGrid w:val="0"/>
        <w:spacing w:before="157" w:beforeLines="50" w:line="300" w:lineRule="auto"/>
        <w:ind w:firstLine="560" w:firstLineChars="200"/>
        <w:textAlignment w:val="baseline"/>
        <w:rPr>
          <w:rFonts w:ascii="Arial" w:hAnsi="Arial" w:eastAsia="仿宋" w:cs="Arial"/>
          <w:sz w:val="28"/>
          <w:szCs w:val="28"/>
          <w:highlight w:val="none"/>
        </w:rPr>
      </w:pPr>
      <w:r>
        <w:rPr>
          <w:rFonts w:ascii="Arial" w:hAnsi="Arial" w:eastAsia="仿宋" w:cs="Arial"/>
          <w:sz w:val="28"/>
          <w:szCs w:val="28"/>
          <w:highlight w:val="none"/>
        </w:rPr>
        <w:t>依据上表，估价对象商业用途修正系数为0.8。</w:t>
      </w:r>
    </w:p>
    <w:p w14:paraId="538C9DA0">
      <w:pPr>
        <w:adjustRightInd/>
        <w:spacing w:line="36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C.期日修正系数的确定</w:t>
      </w:r>
    </w:p>
    <w:p w14:paraId="5487EEDF">
      <w:pPr>
        <w:spacing w:line="36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《北京市出让国有建设用地使用权基准地价更新成果（二〇二一年）》规定，基准地价期日修正系数必须以北京市地价动态监测成果公布的地价增值率为准。</w:t>
      </w:r>
    </w:p>
    <w:p w14:paraId="7DE3C27D">
      <w:pPr>
        <w:spacing w:line="36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北京市基准地价更新成果的基准日为2021年1月1日，本次评估的估价期日为</w:t>
      </w:r>
      <w:r>
        <w:rPr>
          <w:rFonts w:hint="eastAsia" w:ascii="Arial" w:hAnsi="Arial" w:eastAsia="仿宋" w:cs="Arial"/>
          <w:sz w:val="28"/>
          <w:szCs w:val="28"/>
          <w:highlight w:val="none"/>
          <w:lang w:eastAsia="zh-CN"/>
        </w:rPr>
        <w:t>2026年3月26日</w:t>
      </w:r>
      <w:r>
        <w:rPr>
          <w:rFonts w:ascii="Arial" w:hAnsi="Arial" w:eastAsia="仿宋" w:cs="Arial"/>
          <w:sz w:val="28"/>
          <w:szCs w:val="28"/>
          <w:highlight w:val="none"/>
        </w:rPr>
        <w:t>，熟地价期日修正以北京市地价动态监测成果公布的地价增长率为准：</w:t>
      </w:r>
    </w:p>
    <w:p w14:paraId="25A941AE">
      <w:pPr>
        <w:jc w:val="center"/>
        <w:rPr>
          <w:rFonts w:ascii="Arial" w:hAnsi="Arial" w:eastAsia="仿宋" w:cs="Arial"/>
          <w:bCs/>
          <w:sz w:val="28"/>
          <w:szCs w:val="28"/>
          <w:highlight w:val="none"/>
        </w:rPr>
      </w:pPr>
      <w:r>
        <w:rPr>
          <w:rFonts w:ascii="Arial" w:hAnsi="Arial" w:eastAsia="仿宋" w:cs="Arial"/>
          <w:bCs/>
          <w:sz w:val="28"/>
          <w:szCs w:val="28"/>
          <w:highlight w:val="none"/>
        </w:rPr>
        <w:t>北京市地价增长率（商业类）</w:t>
      </w:r>
    </w:p>
    <w:p w14:paraId="694964E2">
      <w:pPr>
        <w:adjustRightInd/>
        <w:spacing w:line="240" w:lineRule="auto"/>
        <w:jc w:val="right"/>
        <w:rPr>
          <w:rFonts w:ascii="Arial" w:hAnsi="Arial" w:eastAsia="华文细黑" w:cs="宋体"/>
          <w:sz w:val="18"/>
          <w:szCs w:val="24"/>
          <w:highlight w:val="none"/>
        </w:rPr>
      </w:pPr>
      <w:r>
        <w:rPr>
          <w:rFonts w:hint="eastAsia" w:ascii="Arial" w:hAnsi="Arial" w:eastAsia="华文细黑" w:cs="宋体"/>
          <w:sz w:val="18"/>
          <w:szCs w:val="24"/>
          <w:highlight w:val="none"/>
        </w:rPr>
        <w:t>单位%</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859"/>
        <w:gridCol w:w="1860"/>
        <w:gridCol w:w="1860"/>
        <w:gridCol w:w="1860"/>
        <w:gridCol w:w="1860"/>
      </w:tblGrid>
      <w:tr w14:paraId="5BB3799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tblHeader/>
          <w:jc w:val="center"/>
        </w:trPr>
        <w:tc>
          <w:tcPr>
            <w:tcW w:w="1859" w:type="dxa"/>
            <w:tcBorders>
              <w:tl2br w:val="single" w:color="auto" w:sz="4" w:space="0"/>
            </w:tcBorders>
            <w:shd w:val="clear" w:color="auto" w:fill="auto"/>
            <w:vAlign w:val="center"/>
          </w:tcPr>
          <w:p w14:paraId="3FB0268A">
            <w:pPr>
              <w:tabs>
                <w:tab w:val="left" w:pos="2160"/>
              </w:tabs>
              <w:spacing w:line="240" w:lineRule="exact"/>
              <w:ind w:firstLine="945" w:firstLineChars="450"/>
              <w:jc w:val="right"/>
              <w:rPr>
                <w:rFonts w:ascii="Arial" w:hAnsi="Arial" w:eastAsia="仿宋" w:cs="Arial"/>
                <w:sz w:val="21"/>
                <w:szCs w:val="21"/>
                <w:highlight w:val="none"/>
              </w:rPr>
            </w:pPr>
            <w:r>
              <w:rPr>
                <w:rFonts w:ascii="Arial" w:hAnsi="Arial" w:eastAsia="仿宋" w:cs="Arial"/>
                <w:sz w:val="21"/>
                <w:szCs w:val="21"/>
                <w:highlight w:val="none"/>
              </w:rPr>
              <w:t>季度</w:t>
            </w:r>
          </w:p>
          <w:p w14:paraId="63C3604F">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年度</w:t>
            </w:r>
          </w:p>
        </w:tc>
        <w:tc>
          <w:tcPr>
            <w:tcW w:w="1860" w:type="dxa"/>
            <w:shd w:val="clear" w:color="auto" w:fill="auto"/>
            <w:vAlign w:val="center"/>
          </w:tcPr>
          <w:p w14:paraId="5952B148">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1季度</w:t>
            </w:r>
          </w:p>
        </w:tc>
        <w:tc>
          <w:tcPr>
            <w:tcW w:w="1860" w:type="dxa"/>
            <w:shd w:val="clear" w:color="auto" w:fill="auto"/>
            <w:vAlign w:val="center"/>
          </w:tcPr>
          <w:p w14:paraId="5467F74A">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2季度</w:t>
            </w:r>
          </w:p>
        </w:tc>
        <w:tc>
          <w:tcPr>
            <w:tcW w:w="1860" w:type="dxa"/>
            <w:shd w:val="clear" w:color="auto" w:fill="auto"/>
            <w:vAlign w:val="center"/>
          </w:tcPr>
          <w:p w14:paraId="3386AD72">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3季度</w:t>
            </w:r>
          </w:p>
        </w:tc>
        <w:tc>
          <w:tcPr>
            <w:tcW w:w="1860" w:type="dxa"/>
            <w:shd w:val="clear" w:color="auto" w:fill="auto"/>
            <w:vAlign w:val="center"/>
          </w:tcPr>
          <w:p w14:paraId="50B8C6E7">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4季度</w:t>
            </w:r>
          </w:p>
        </w:tc>
      </w:tr>
      <w:tr w14:paraId="414A811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F4D52E1">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2021</w:t>
            </w:r>
          </w:p>
        </w:tc>
        <w:tc>
          <w:tcPr>
            <w:tcW w:w="1860" w:type="dxa"/>
            <w:shd w:val="clear" w:color="auto" w:fill="auto"/>
            <w:vAlign w:val="center"/>
          </w:tcPr>
          <w:p w14:paraId="24714939">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0.35</w:t>
            </w:r>
          </w:p>
        </w:tc>
        <w:tc>
          <w:tcPr>
            <w:tcW w:w="1860" w:type="dxa"/>
            <w:shd w:val="clear" w:color="auto" w:fill="auto"/>
            <w:vAlign w:val="center"/>
          </w:tcPr>
          <w:p w14:paraId="2912CE20">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0.55</w:t>
            </w:r>
          </w:p>
        </w:tc>
        <w:tc>
          <w:tcPr>
            <w:tcW w:w="1860" w:type="dxa"/>
            <w:shd w:val="clear" w:color="auto" w:fill="auto"/>
            <w:vAlign w:val="center"/>
          </w:tcPr>
          <w:p w14:paraId="517A60DD">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0.47</w:t>
            </w:r>
          </w:p>
        </w:tc>
        <w:tc>
          <w:tcPr>
            <w:tcW w:w="1860" w:type="dxa"/>
            <w:shd w:val="clear" w:color="auto" w:fill="auto"/>
            <w:vAlign w:val="center"/>
          </w:tcPr>
          <w:p w14:paraId="5EE2E3D0">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0.58</w:t>
            </w:r>
          </w:p>
        </w:tc>
      </w:tr>
      <w:tr w14:paraId="10D0E7D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624864F1">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2022</w:t>
            </w:r>
          </w:p>
        </w:tc>
        <w:tc>
          <w:tcPr>
            <w:tcW w:w="1860" w:type="dxa"/>
            <w:shd w:val="clear" w:color="auto" w:fill="auto"/>
            <w:vAlign w:val="center"/>
          </w:tcPr>
          <w:p w14:paraId="0E5553DC">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0.60</w:t>
            </w:r>
          </w:p>
        </w:tc>
        <w:tc>
          <w:tcPr>
            <w:tcW w:w="1860" w:type="dxa"/>
            <w:shd w:val="clear" w:color="auto" w:fill="auto"/>
            <w:vAlign w:val="center"/>
          </w:tcPr>
          <w:p w14:paraId="7A7EDE62">
            <w:pPr>
              <w:tabs>
                <w:tab w:val="left" w:pos="2160"/>
              </w:tabs>
              <w:spacing w:line="240" w:lineRule="exact"/>
              <w:rPr>
                <w:rFonts w:ascii="Arial" w:hAnsi="Arial" w:eastAsia="仿宋" w:cs="Arial"/>
                <w:sz w:val="21"/>
                <w:szCs w:val="21"/>
                <w:highlight w:val="none"/>
              </w:rPr>
            </w:pPr>
            <w:r>
              <w:rPr>
                <w:rFonts w:hint="eastAsia" w:ascii="Arial" w:hAnsi="Arial" w:eastAsia="仿宋" w:cs="Arial"/>
                <w:sz w:val="21"/>
                <w:szCs w:val="21"/>
                <w:highlight w:val="none"/>
                <w:lang w:eastAsia="zh-CN"/>
              </w:rPr>
              <w:t>－</w:t>
            </w:r>
            <w:r>
              <w:rPr>
                <w:rFonts w:ascii="Arial" w:hAnsi="Arial" w:eastAsia="仿宋" w:cs="Arial"/>
                <w:sz w:val="21"/>
                <w:szCs w:val="21"/>
                <w:highlight w:val="none"/>
              </w:rPr>
              <w:t>0.11</w:t>
            </w:r>
          </w:p>
        </w:tc>
        <w:tc>
          <w:tcPr>
            <w:tcW w:w="1860" w:type="dxa"/>
            <w:shd w:val="clear" w:color="auto" w:fill="auto"/>
            <w:vAlign w:val="center"/>
          </w:tcPr>
          <w:p w14:paraId="70265008">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0.30</w:t>
            </w:r>
          </w:p>
        </w:tc>
        <w:tc>
          <w:tcPr>
            <w:tcW w:w="1860" w:type="dxa"/>
            <w:shd w:val="clear" w:color="auto" w:fill="auto"/>
            <w:vAlign w:val="center"/>
          </w:tcPr>
          <w:p w14:paraId="08D93B9F">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0.45</w:t>
            </w:r>
          </w:p>
        </w:tc>
      </w:tr>
      <w:tr w14:paraId="526D868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395B6CAA">
            <w:pPr>
              <w:tabs>
                <w:tab w:val="left" w:pos="2160"/>
              </w:tabs>
              <w:spacing w:line="240" w:lineRule="exact"/>
              <w:rPr>
                <w:rFonts w:ascii="Arial" w:hAnsi="Arial" w:eastAsia="仿宋" w:cs="Arial"/>
                <w:sz w:val="21"/>
                <w:szCs w:val="21"/>
                <w:highlight w:val="none"/>
              </w:rPr>
            </w:pPr>
            <w:r>
              <w:rPr>
                <w:rFonts w:hint="eastAsia" w:ascii="Arial" w:hAnsi="Arial" w:eastAsia="仿宋" w:cs="Arial"/>
                <w:sz w:val="21"/>
                <w:szCs w:val="21"/>
                <w:highlight w:val="none"/>
              </w:rPr>
              <w:t>2023</w:t>
            </w:r>
          </w:p>
        </w:tc>
        <w:tc>
          <w:tcPr>
            <w:tcW w:w="1860" w:type="dxa"/>
            <w:shd w:val="clear" w:color="auto" w:fill="auto"/>
            <w:vAlign w:val="center"/>
          </w:tcPr>
          <w:p w14:paraId="036480C4">
            <w:pPr>
              <w:tabs>
                <w:tab w:val="left" w:pos="2160"/>
              </w:tabs>
              <w:spacing w:line="240" w:lineRule="exact"/>
              <w:rPr>
                <w:rFonts w:ascii="Arial" w:hAnsi="Arial" w:eastAsia="仿宋" w:cs="Arial"/>
                <w:sz w:val="21"/>
                <w:szCs w:val="21"/>
                <w:highlight w:val="none"/>
              </w:rPr>
            </w:pPr>
            <w:r>
              <w:rPr>
                <w:rFonts w:hint="eastAsia" w:ascii="Arial" w:hAnsi="Arial" w:eastAsia="仿宋" w:cs="Arial"/>
                <w:sz w:val="21"/>
                <w:szCs w:val="21"/>
                <w:highlight w:val="none"/>
              </w:rPr>
              <w:t>0.55</w:t>
            </w:r>
          </w:p>
        </w:tc>
        <w:tc>
          <w:tcPr>
            <w:tcW w:w="1860" w:type="dxa"/>
            <w:shd w:val="clear" w:color="auto" w:fill="auto"/>
            <w:vAlign w:val="center"/>
          </w:tcPr>
          <w:p w14:paraId="41AC8BDC">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0.50</w:t>
            </w:r>
          </w:p>
        </w:tc>
        <w:tc>
          <w:tcPr>
            <w:tcW w:w="1860" w:type="dxa"/>
            <w:shd w:val="clear" w:color="auto" w:fill="auto"/>
            <w:vAlign w:val="center"/>
          </w:tcPr>
          <w:p w14:paraId="137E5AA8">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0.35</w:t>
            </w:r>
          </w:p>
        </w:tc>
        <w:tc>
          <w:tcPr>
            <w:tcW w:w="1860" w:type="dxa"/>
            <w:shd w:val="clear" w:color="auto" w:fill="auto"/>
            <w:vAlign w:val="center"/>
          </w:tcPr>
          <w:p w14:paraId="71688970">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0.07</w:t>
            </w:r>
          </w:p>
        </w:tc>
      </w:tr>
      <w:tr w14:paraId="3ED5BC0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5007DEC">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2024</w:t>
            </w:r>
          </w:p>
        </w:tc>
        <w:tc>
          <w:tcPr>
            <w:tcW w:w="1860" w:type="dxa"/>
            <w:shd w:val="clear" w:color="auto" w:fill="auto"/>
            <w:vAlign w:val="center"/>
          </w:tcPr>
          <w:p w14:paraId="7C66A0C8">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0.25</w:t>
            </w:r>
          </w:p>
        </w:tc>
        <w:tc>
          <w:tcPr>
            <w:tcW w:w="1860" w:type="dxa"/>
            <w:shd w:val="clear" w:color="auto" w:fill="auto"/>
            <w:vAlign w:val="center"/>
          </w:tcPr>
          <w:p w14:paraId="442BDD8E">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－0.31</w:t>
            </w:r>
          </w:p>
        </w:tc>
        <w:tc>
          <w:tcPr>
            <w:tcW w:w="1860" w:type="dxa"/>
            <w:shd w:val="clear" w:color="auto" w:fill="auto"/>
            <w:vAlign w:val="center"/>
          </w:tcPr>
          <w:p w14:paraId="3ABBA6FC">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－0.66</w:t>
            </w:r>
          </w:p>
        </w:tc>
        <w:tc>
          <w:tcPr>
            <w:tcW w:w="1860" w:type="dxa"/>
            <w:shd w:val="clear" w:color="auto" w:fill="auto"/>
            <w:vAlign w:val="center"/>
          </w:tcPr>
          <w:p w14:paraId="6773AE16">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－0.61</w:t>
            </w:r>
          </w:p>
        </w:tc>
      </w:tr>
      <w:tr w14:paraId="6F1DE1C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266A3DB0">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2025</w:t>
            </w:r>
          </w:p>
        </w:tc>
        <w:tc>
          <w:tcPr>
            <w:tcW w:w="1860" w:type="dxa"/>
            <w:shd w:val="clear" w:color="auto" w:fill="auto"/>
            <w:vAlign w:val="center"/>
          </w:tcPr>
          <w:p w14:paraId="3D2D0FD6">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－1.47</w:t>
            </w:r>
          </w:p>
        </w:tc>
        <w:tc>
          <w:tcPr>
            <w:tcW w:w="1860" w:type="dxa"/>
            <w:shd w:val="clear" w:color="auto" w:fill="auto"/>
            <w:vAlign w:val="center"/>
          </w:tcPr>
          <w:p w14:paraId="2C2EB452">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－0.31</w:t>
            </w:r>
          </w:p>
        </w:tc>
        <w:tc>
          <w:tcPr>
            <w:tcW w:w="1860" w:type="dxa"/>
            <w:shd w:val="clear" w:color="auto" w:fill="auto"/>
            <w:vAlign w:val="center"/>
          </w:tcPr>
          <w:p w14:paraId="5D606CF4">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－0.80</w:t>
            </w:r>
          </w:p>
        </w:tc>
        <w:tc>
          <w:tcPr>
            <w:tcW w:w="1860" w:type="dxa"/>
            <w:shd w:val="clear" w:color="auto" w:fill="auto"/>
            <w:vAlign w:val="center"/>
          </w:tcPr>
          <w:p w14:paraId="3B49A477">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－2.05</w:t>
            </w:r>
          </w:p>
        </w:tc>
      </w:tr>
      <w:tr w14:paraId="2DAA55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30976C2F">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2026</w:t>
            </w:r>
          </w:p>
        </w:tc>
        <w:tc>
          <w:tcPr>
            <w:tcW w:w="1860" w:type="dxa"/>
            <w:shd w:val="clear" w:color="auto" w:fill="auto"/>
            <w:vAlign w:val="center"/>
          </w:tcPr>
          <w:p w14:paraId="1D77A140">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－1.53</w:t>
            </w:r>
          </w:p>
        </w:tc>
        <w:tc>
          <w:tcPr>
            <w:tcW w:w="1860" w:type="dxa"/>
            <w:shd w:val="clear" w:color="auto" w:fill="auto"/>
            <w:vAlign w:val="center"/>
          </w:tcPr>
          <w:p w14:paraId="4D94A70A">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c>
          <w:tcPr>
            <w:tcW w:w="1860" w:type="dxa"/>
            <w:shd w:val="clear" w:color="auto" w:fill="auto"/>
            <w:vAlign w:val="center"/>
          </w:tcPr>
          <w:p w14:paraId="4BCB8C77">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c>
          <w:tcPr>
            <w:tcW w:w="1860" w:type="dxa"/>
            <w:shd w:val="clear" w:color="auto" w:fill="auto"/>
            <w:vAlign w:val="center"/>
          </w:tcPr>
          <w:p w14:paraId="739ADCA2">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r>
    </w:tbl>
    <w:p w14:paraId="4D64E2B9">
      <w:pPr>
        <w:keepNext w:val="0"/>
        <w:keepLines w:val="0"/>
        <w:pageBreakBefore w:val="0"/>
        <w:widowControl w:val="0"/>
        <w:kinsoku/>
        <w:wordWrap/>
        <w:overflowPunct/>
        <w:topLinePunct w:val="0"/>
        <w:autoSpaceDE/>
        <w:autoSpaceDN/>
        <w:bidi w:val="0"/>
        <w:adjustRightInd/>
        <w:snapToGrid w:val="0"/>
        <w:spacing w:before="157" w:beforeLines="50" w:line="300" w:lineRule="auto"/>
        <w:ind w:firstLine="560" w:firstLineChars="200"/>
        <w:textAlignment w:val="baseline"/>
        <w:rPr>
          <w:rFonts w:hint="eastAsia" w:ascii="Arial" w:hAnsi="Arial" w:eastAsia="仿宋" w:cs="Arial"/>
          <w:sz w:val="28"/>
          <w:szCs w:val="28"/>
          <w:highlight w:val="none"/>
          <w:lang w:eastAsia="zh-CN"/>
        </w:rPr>
      </w:pPr>
      <w:r>
        <w:rPr>
          <w:rFonts w:hint="eastAsia" w:ascii="Arial" w:hAnsi="Arial" w:eastAsia="仿宋" w:cs="Arial"/>
          <w:sz w:val="28"/>
          <w:szCs w:val="28"/>
          <w:highlight w:val="none"/>
        </w:rPr>
        <w:t>采用2021年</w:t>
      </w:r>
      <w:r>
        <w:rPr>
          <w:rFonts w:hint="eastAsia" w:ascii="Arial" w:hAnsi="Arial" w:eastAsia="仿宋" w:cs="Arial"/>
          <w:sz w:val="28"/>
          <w:szCs w:val="28"/>
          <w:highlight w:val="none"/>
          <w:lang w:val="en-US" w:eastAsia="zh-CN"/>
        </w:rPr>
        <w:t>1</w:t>
      </w:r>
      <w:r>
        <w:rPr>
          <w:rFonts w:hint="eastAsia" w:ascii="Arial" w:hAnsi="Arial" w:eastAsia="仿宋" w:cs="Arial"/>
          <w:sz w:val="28"/>
          <w:szCs w:val="28"/>
          <w:highlight w:val="none"/>
        </w:rPr>
        <w:t>季度至202</w:t>
      </w:r>
      <w:r>
        <w:rPr>
          <w:rFonts w:hint="eastAsia" w:ascii="Arial" w:hAnsi="Arial" w:eastAsia="仿宋" w:cs="Arial"/>
          <w:sz w:val="28"/>
          <w:szCs w:val="28"/>
          <w:highlight w:val="none"/>
          <w:lang w:val="en-US" w:eastAsia="zh-CN"/>
        </w:rPr>
        <w:t>6</w:t>
      </w:r>
      <w:r>
        <w:rPr>
          <w:rFonts w:hint="eastAsia" w:ascii="Arial" w:hAnsi="Arial" w:eastAsia="仿宋" w:cs="Arial"/>
          <w:sz w:val="28"/>
          <w:szCs w:val="28"/>
          <w:highlight w:val="none"/>
        </w:rPr>
        <w:t>年</w:t>
      </w:r>
      <w:r>
        <w:rPr>
          <w:rFonts w:hint="eastAsia" w:ascii="Arial" w:hAnsi="Arial" w:eastAsia="仿宋" w:cs="Arial"/>
          <w:sz w:val="28"/>
          <w:szCs w:val="28"/>
          <w:highlight w:val="none"/>
          <w:lang w:val="en-US" w:eastAsia="zh-CN"/>
        </w:rPr>
        <w:t>1</w:t>
      </w:r>
      <w:r>
        <w:rPr>
          <w:rFonts w:hint="eastAsia" w:ascii="Arial" w:hAnsi="Arial" w:eastAsia="仿宋" w:cs="Arial"/>
          <w:sz w:val="28"/>
          <w:szCs w:val="28"/>
          <w:highlight w:val="none"/>
        </w:rPr>
        <w:t>季度</w:t>
      </w:r>
      <w:r>
        <w:rPr>
          <w:rFonts w:hint="eastAsia" w:ascii="Arial" w:hAnsi="Arial" w:eastAsia="仿宋" w:cs="Arial"/>
          <w:sz w:val="28"/>
          <w:szCs w:val="28"/>
          <w:highlight w:val="none"/>
          <w:lang w:val="en-US" w:eastAsia="zh-CN"/>
        </w:rPr>
        <w:t>商业</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规划新城</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地价增长率的数据</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 xml:space="preserve">本项目估价期日为 </w:t>
      </w:r>
      <w:r>
        <w:rPr>
          <w:rFonts w:hint="eastAsia" w:ascii="Arial" w:hAnsi="Arial" w:eastAsia="仿宋" w:cs="Arial"/>
          <w:sz w:val="28"/>
          <w:szCs w:val="28"/>
          <w:highlight w:val="none"/>
          <w:lang w:eastAsia="zh-CN"/>
        </w:rPr>
        <w:t>2026年3月26日</w:t>
      </w:r>
      <w:r>
        <w:rPr>
          <w:rFonts w:hint="eastAsia" w:ascii="Arial" w:hAnsi="Arial" w:eastAsia="仿宋" w:cs="Arial"/>
          <w:sz w:val="28"/>
          <w:szCs w:val="28"/>
          <w:highlight w:val="none"/>
        </w:rPr>
        <w:t>，属于2026年1季度，计算过程如下</w:t>
      </w:r>
      <w:r>
        <w:rPr>
          <w:rFonts w:hint="eastAsia" w:ascii="Arial" w:hAnsi="Arial" w:eastAsia="仿宋" w:cs="Arial"/>
          <w:sz w:val="28"/>
          <w:szCs w:val="28"/>
          <w:highlight w:val="none"/>
          <w:lang w:eastAsia="zh-CN"/>
        </w:rPr>
        <w:t>：</w:t>
      </w:r>
    </w:p>
    <w:p w14:paraId="09C49F7B">
      <w:pPr>
        <w:adjustRightInd/>
        <w:snapToGrid w:val="0"/>
        <w:spacing w:line="300" w:lineRule="auto"/>
        <w:ind w:firstLine="560" w:firstLineChars="200"/>
        <w:jc w:val="both"/>
        <w:rPr>
          <w:rFonts w:hint="default" w:ascii="Arial" w:hAnsi="Arial" w:eastAsia="仿宋" w:cs="Arial"/>
          <w:sz w:val="28"/>
          <w:szCs w:val="28"/>
          <w:highlight w:val="none"/>
          <w:lang w:val="en-US" w:eastAsia="zh-CN"/>
        </w:rPr>
      </w:pPr>
      <w:r>
        <w:rPr>
          <w:rFonts w:ascii="Arial" w:hAnsi="Arial" w:eastAsia="仿宋" w:cs="Arial"/>
          <w:sz w:val="28"/>
          <w:szCs w:val="28"/>
          <w:highlight w:val="none"/>
        </w:rPr>
        <w:t>期日修正系数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0.35%）</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0.55%）</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0.47%）</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0.58%）</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0.60%）</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0.30%）</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0.45%）</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0.55%）</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0.5</w:t>
      </w:r>
      <w:r>
        <w:rPr>
          <w:rFonts w:hint="eastAsia" w:ascii="Arial" w:hAnsi="Arial" w:eastAsia="仿宋" w:cs="Arial"/>
          <w:sz w:val="28"/>
          <w:szCs w:val="28"/>
          <w:highlight w:val="none"/>
          <w:lang w:val="en-US" w:eastAsia="zh-CN"/>
        </w:rPr>
        <w:t>0</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35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07</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25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31</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－0.66</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－0.61</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－1.47</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－0.31</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－0.80</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－2.05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－1.53</w:t>
      </w:r>
      <w:r>
        <w:rPr>
          <w:rFonts w:ascii="Arial" w:hAnsi="Arial" w:eastAsia="仿宋" w:cs="Arial"/>
          <w:sz w:val="28"/>
          <w:szCs w:val="28"/>
          <w:highlight w:val="none"/>
        </w:rPr>
        <w:t>%</w:t>
      </w:r>
      <w:r>
        <w:rPr>
          <w:rFonts w:hint="eastAsia" w:ascii="Arial" w:hAnsi="Arial" w:eastAsia="仿宋" w:cs="Arial"/>
          <w:sz w:val="28"/>
          <w:szCs w:val="28"/>
          <w:highlight w:val="none"/>
          <w:lang w:val="en-US" w:eastAsia="zh-CN"/>
        </w:rPr>
        <w:t>÷90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85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0.9723</w:t>
      </w:r>
    </w:p>
    <w:p w14:paraId="5726D712">
      <w:pPr>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D.年期修正系数的确定</w:t>
      </w:r>
    </w:p>
    <w:p w14:paraId="0815BFE2">
      <w:pPr>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年期修正系数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（1＋r）</w:t>
      </w:r>
      <w:r>
        <w:rPr>
          <w:rFonts w:ascii="Arial" w:hAnsi="Arial" w:eastAsia="仿宋" w:cs="Arial"/>
          <w:sz w:val="28"/>
          <w:szCs w:val="28"/>
          <w:highlight w:val="none"/>
          <w:vertAlign w:val="superscript"/>
        </w:rPr>
        <w:t>n</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（1＋r）</w:t>
      </w:r>
      <w:r>
        <w:rPr>
          <w:rFonts w:ascii="Arial" w:hAnsi="Arial" w:eastAsia="仿宋" w:cs="Arial"/>
          <w:sz w:val="28"/>
          <w:szCs w:val="28"/>
          <w:highlight w:val="none"/>
          <w:vertAlign w:val="superscript"/>
        </w:rPr>
        <w:t>N</w:t>
      </w:r>
      <w:r>
        <w:rPr>
          <w:rFonts w:ascii="Arial" w:hAnsi="Arial" w:eastAsia="仿宋" w:cs="Arial"/>
          <w:sz w:val="28"/>
          <w:szCs w:val="28"/>
          <w:highlight w:val="none"/>
        </w:rPr>
        <w:t>）</w:t>
      </w:r>
    </w:p>
    <w:p w14:paraId="456EFB9F">
      <w:pPr>
        <w:autoSpaceDE w:val="0"/>
        <w:autoSpaceDN w:val="0"/>
        <w:snapToGrid w:val="0"/>
        <w:spacing w:line="300" w:lineRule="auto"/>
        <w:ind w:firstLine="560" w:firstLineChars="200"/>
        <w:textAlignment w:val="auto"/>
        <w:rPr>
          <w:rFonts w:ascii="Arial" w:hAnsi="Arial" w:eastAsia="仿宋" w:cs="Arial"/>
          <w:sz w:val="28"/>
          <w:szCs w:val="28"/>
          <w:highlight w:val="none"/>
        </w:rPr>
      </w:pPr>
      <w:r>
        <w:rPr>
          <w:rFonts w:ascii="Arial" w:hAnsi="Arial" w:eastAsia="仿宋" w:cs="Arial"/>
          <w:sz w:val="28"/>
          <w:szCs w:val="28"/>
          <w:highlight w:val="none"/>
        </w:rPr>
        <w:t>其中：r—土地还原率</w:t>
      </w:r>
    </w:p>
    <w:p w14:paraId="4DB7D748">
      <w:pPr>
        <w:autoSpaceDE w:val="0"/>
        <w:autoSpaceDN w:val="0"/>
        <w:snapToGrid w:val="0"/>
        <w:spacing w:line="300" w:lineRule="auto"/>
        <w:ind w:firstLine="1400" w:firstLineChars="500"/>
        <w:textAlignment w:val="auto"/>
        <w:rPr>
          <w:rFonts w:ascii="Arial" w:hAnsi="Arial" w:eastAsia="仿宋" w:cs="Arial"/>
          <w:sz w:val="28"/>
          <w:szCs w:val="28"/>
          <w:highlight w:val="none"/>
        </w:rPr>
      </w:pPr>
      <w:r>
        <w:rPr>
          <w:rFonts w:ascii="Arial" w:hAnsi="Arial" w:eastAsia="仿宋" w:cs="Arial"/>
          <w:sz w:val="28"/>
          <w:szCs w:val="28"/>
          <w:highlight w:val="none"/>
        </w:rPr>
        <w:t>n—宗地剩余土地使用年限</w:t>
      </w:r>
    </w:p>
    <w:p w14:paraId="20CABACD">
      <w:pPr>
        <w:snapToGrid w:val="0"/>
        <w:spacing w:line="300" w:lineRule="auto"/>
        <w:ind w:firstLine="1400" w:firstLineChars="500"/>
        <w:rPr>
          <w:rFonts w:ascii="Arial" w:hAnsi="Arial" w:eastAsia="仿宋" w:cs="Arial"/>
          <w:sz w:val="28"/>
          <w:szCs w:val="28"/>
          <w:highlight w:val="none"/>
        </w:rPr>
      </w:pPr>
      <w:r>
        <w:rPr>
          <w:rFonts w:ascii="Arial" w:hAnsi="Arial" w:eastAsia="仿宋" w:cs="Arial"/>
          <w:sz w:val="28"/>
          <w:szCs w:val="28"/>
          <w:highlight w:val="none"/>
        </w:rPr>
        <w:t>N—基准地价规定的相应用途土地使用年限</w:t>
      </w:r>
    </w:p>
    <w:p w14:paraId="1C6D158E">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商业、办公、居住、工业、公共服务用途的土地还原率原则上按同期中国人民银行公布的一年期贷款利率分别上浮25％、20％、15％、10％、15％确定，且须分别不低于5.5％、5.5％、5％、5％、5％，不高于6.5％、6.5％、6％、6％、6％。估价对象用途为商业，按照上述利率计算得出的土地还原率为5.5%，低于所要求的的最低值。故土地还原率取</w:t>
      </w:r>
      <w:r>
        <w:rPr>
          <w:rFonts w:hint="eastAsia" w:ascii="Arial" w:hAnsi="Arial" w:eastAsia="仿宋" w:cs="Arial"/>
          <w:sz w:val="28"/>
          <w:szCs w:val="28"/>
          <w:highlight w:val="none"/>
        </w:rPr>
        <w:t>商业</w:t>
      </w:r>
      <w:r>
        <w:rPr>
          <w:rFonts w:ascii="Arial" w:hAnsi="Arial" w:eastAsia="仿宋" w:cs="Arial"/>
          <w:sz w:val="28"/>
          <w:szCs w:val="28"/>
          <w:highlight w:val="none"/>
        </w:rPr>
        <w:t>用途最低值5.5%。</w:t>
      </w:r>
    </w:p>
    <w:p w14:paraId="1FE09C37">
      <w:pPr>
        <w:adjustRightInd/>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估价对象剩余土地使用年限为40年，商业用途法定用途最高出让年限为40年，故不做修正。</w:t>
      </w:r>
    </w:p>
    <w:p w14:paraId="06D5A33B">
      <w:pPr>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E.容积率修正系数的确定</w:t>
      </w:r>
    </w:p>
    <w:p w14:paraId="33C918B7">
      <w:pPr>
        <w:adjustRightInd/>
        <w:snapToGrid w:val="0"/>
        <w:spacing w:line="300" w:lineRule="auto"/>
        <w:ind w:firstLine="560" w:firstLineChars="200"/>
        <w:rPr>
          <w:rFonts w:ascii="Arial" w:hAnsi="Arial" w:eastAsia="仿宋" w:cs="Arial"/>
          <w:bCs/>
          <w:sz w:val="28"/>
          <w:szCs w:val="28"/>
          <w:highlight w:val="none"/>
        </w:rPr>
      </w:pPr>
      <w:r>
        <w:rPr>
          <w:rFonts w:ascii="Arial" w:hAnsi="Arial" w:eastAsia="仿宋" w:cs="Arial"/>
          <w:sz w:val="28"/>
          <w:szCs w:val="28"/>
          <w:highlight w:val="none"/>
        </w:rPr>
        <w:t>依据《北京市基准地价容积率修正系数表（商业类）》（详见下表）。</w:t>
      </w:r>
    </w:p>
    <w:p w14:paraId="57456851">
      <w:pPr>
        <w:adjustRightInd/>
        <w:snapToGrid w:val="0"/>
        <w:spacing w:line="300" w:lineRule="auto"/>
        <w:ind w:firstLine="560" w:firstLineChars="200"/>
        <w:jc w:val="center"/>
        <w:rPr>
          <w:rFonts w:ascii="Arial" w:hAnsi="Arial" w:eastAsia="仿宋" w:cs="Arial"/>
          <w:sz w:val="28"/>
          <w:szCs w:val="28"/>
          <w:highlight w:val="none"/>
        </w:rPr>
      </w:pPr>
      <w:r>
        <w:rPr>
          <w:rFonts w:ascii="Arial" w:hAnsi="Arial" w:eastAsia="仿宋" w:cs="Arial"/>
          <w:bCs/>
          <w:sz w:val="28"/>
          <w:szCs w:val="28"/>
          <w:highlight w:val="none"/>
        </w:rPr>
        <w:t>北京市基准地价容积率修正系数表（商业）</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28" w:type="dxa"/>
          <w:left w:w="28" w:type="dxa"/>
          <w:bottom w:w="28" w:type="dxa"/>
          <w:right w:w="28" w:type="dxa"/>
        </w:tblCellMar>
      </w:tblPr>
      <w:tblGrid>
        <w:gridCol w:w="1179"/>
        <w:gridCol w:w="1098"/>
        <w:gridCol w:w="1253"/>
        <w:gridCol w:w="1253"/>
        <w:gridCol w:w="1179"/>
        <w:gridCol w:w="979"/>
        <w:gridCol w:w="1179"/>
        <w:gridCol w:w="1179"/>
      </w:tblGrid>
      <w:tr w14:paraId="087DF9E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1179" w:type="dxa"/>
            <w:shd w:val="clear" w:color="auto" w:fill="auto"/>
            <w:noWrap/>
            <w:vAlign w:val="center"/>
          </w:tcPr>
          <w:p w14:paraId="1CBFD68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容积率</w:t>
            </w:r>
          </w:p>
        </w:tc>
        <w:tc>
          <w:tcPr>
            <w:tcW w:w="1098" w:type="dxa"/>
            <w:shd w:val="clear" w:color="auto" w:fill="auto"/>
            <w:noWrap/>
            <w:vAlign w:val="center"/>
          </w:tcPr>
          <w:p w14:paraId="0694B5A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r>
              <w:rPr>
                <w:rFonts w:hint="eastAsia" w:ascii="Arial" w:hAnsi="Arial" w:eastAsia="仿宋" w:cs="Arial"/>
                <w:sz w:val="20"/>
                <w:highlight w:val="none"/>
                <w:lang w:eastAsia="zh-CN"/>
              </w:rPr>
              <w:t>－</w:t>
            </w:r>
            <w:r>
              <w:rPr>
                <w:rFonts w:ascii="Arial" w:hAnsi="Arial" w:eastAsia="仿宋" w:cs="Arial"/>
                <w:sz w:val="20"/>
                <w:highlight w:val="none"/>
              </w:rPr>
              <w:t>2级</w:t>
            </w:r>
          </w:p>
        </w:tc>
        <w:tc>
          <w:tcPr>
            <w:tcW w:w="1253" w:type="dxa"/>
            <w:shd w:val="clear" w:color="auto" w:fill="auto"/>
            <w:vAlign w:val="center"/>
          </w:tcPr>
          <w:p w14:paraId="1208C61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3</w:t>
            </w:r>
            <w:r>
              <w:rPr>
                <w:rFonts w:hint="eastAsia" w:ascii="Arial" w:hAnsi="Arial" w:eastAsia="仿宋" w:cs="Arial"/>
                <w:sz w:val="20"/>
                <w:highlight w:val="none"/>
                <w:lang w:eastAsia="zh-CN"/>
              </w:rPr>
              <w:t>－</w:t>
            </w:r>
            <w:r>
              <w:rPr>
                <w:rFonts w:ascii="Arial" w:hAnsi="Arial" w:eastAsia="仿宋" w:cs="Arial"/>
                <w:sz w:val="20"/>
                <w:highlight w:val="none"/>
              </w:rPr>
              <w:t>7级</w:t>
            </w:r>
          </w:p>
        </w:tc>
        <w:tc>
          <w:tcPr>
            <w:tcW w:w="1253" w:type="dxa"/>
            <w:shd w:val="clear" w:color="auto" w:fill="auto"/>
            <w:vAlign w:val="center"/>
          </w:tcPr>
          <w:p w14:paraId="75A5449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8</w:t>
            </w:r>
            <w:r>
              <w:rPr>
                <w:rFonts w:hint="eastAsia" w:ascii="Arial" w:hAnsi="Arial" w:eastAsia="仿宋" w:cs="Arial"/>
                <w:sz w:val="20"/>
                <w:highlight w:val="none"/>
                <w:lang w:eastAsia="zh-CN"/>
              </w:rPr>
              <w:t>－</w:t>
            </w:r>
            <w:r>
              <w:rPr>
                <w:rFonts w:ascii="Arial" w:hAnsi="Arial" w:eastAsia="仿宋" w:cs="Arial"/>
                <w:sz w:val="20"/>
                <w:highlight w:val="none"/>
              </w:rPr>
              <w:t>12级</w:t>
            </w:r>
          </w:p>
        </w:tc>
        <w:tc>
          <w:tcPr>
            <w:tcW w:w="1179" w:type="dxa"/>
            <w:shd w:val="clear" w:color="auto" w:fill="auto"/>
            <w:noWrap/>
            <w:vAlign w:val="center"/>
          </w:tcPr>
          <w:p w14:paraId="6044361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容积率</w:t>
            </w:r>
          </w:p>
        </w:tc>
        <w:tc>
          <w:tcPr>
            <w:tcW w:w="979" w:type="dxa"/>
            <w:shd w:val="clear" w:color="auto" w:fill="auto"/>
            <w:noWrap/>
            <w:vAlign w:val="center"/>
          </w:tcPr>
          <w:p w14:paraId="33DBA1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r>
              <w:rPr>
                <w:rFonts w:hint="eastAsia" w:ascii="Arial" w:hAnsi="Arial" w:eastAsia="仿宋" w:cs="Arial"/>
                <w:sz w:val="20"/>
                <w:highlight w:val="none"/>
                <w:lang w:eastAsia="zh-CN"/>
              </w:rPr>
              <w:t>－</w:t>
            </w:r>
            <w:r>
              <w:rPr>
                <w:rFonts w:ascii="Arial" w:hAnsi="Arial" w:eastAsia="仿宋" w:cs="Arial"/>
                <w:sz w:val="20"/>
                <w:highlight w:val="none"/>
              </w:rPr>
              <w:t>2级</w:t>
            </w:r>
          </w:p>
        </w:tc>
        <w:tc>
          <w:tcPr>
            <w:tcW w:w="1179" w:type="dxa"/>
            <w:shd w:val="clear" w:color="auto" w:fill="auto"/>
            <w:vAlign w:val="center"/>
          </w:tcPr>
          <w:p w14:paraId="0BD00F4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3</w:t>
            </w:r>
            <w:r>
              <w:rPr>
                <w:rFonts w:hint="eastAsia" w:ascii="Arial" w:hAnsi="Arial" w:eastAsia="仿宋" w:cs="Arial"/>
                <w:sz w:val="20"/>
                <w:highlight w:val="none"/>
                <w:lang w:eastAsia="zh-CN"/>
              </w:rPr>
              <w:t>－</w:t>
            </w:r>
            <w:r>
              <w:rPr>
                <w:rFonts w:ascii="Arial" w:hAnsi="Arial" w:eastAsia="仿宋" w:cs="Arial"/>
                <w:sz w:val="20"/>
                <w:highlight w:val="none"/>
              </w:rPr>
              <w:t>7级</w:t>
            </w:r>
          </w:p>
        </w:tc>
        <w:tc>
          <w:tcPr>
            <w:tcW w:w="1179" w:type="dxa"/>
            <w:shd w:val="clear" w:color="auto" w:fill="auto"/>
            <w:vAlign w:val="center"/>
          </w:tcPr>
          <w:p w14:paraId="47E71E3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8</w:t>
            </w:r>
            <w:r>
              <w:rPr>
                <w:rFonts w:hint="eastAsia" w:ascii="Arial" w:hAnsi="Arial" w:eastAsia="仿宋" w:cs="Arial"/>
                <w:sz w:val="20"/>
                <w:highlight w:val="none"/>
                <w:lang w:eastAsia="zh-CN"/>
              </w:rPr>
              <w:t>－</w:t>
            </w:r>
            <w:r>
              <w:rPr>
                <w:rFonts w:ascii="Arial" w:hAnsi="Arial" w:eastAsia="仿宋" w:cs="Arial"/>
                <w:sz w:val="20"/>
                <w:highlight w:val="none"/>
              </w:rPr>
              <w:t>12级</w:t>
            </w:r>
          </w:p>
        </w:tc>
      </w:tr>
      <w:tr w14:paraId="214F69E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3E8939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1.0 </w:t>
            </w:r>
          </w:p>
        </w:tc>
        <w:tc>
          <w:tcPr>
            <w:tcW w:w="1098" w:type="dxa"/>
            <w:shd w:val="clear" w:color="auto" w:fill="auto"/>
            <w:noWrap/>
            <w:vAlign w:val="center"/>
          </w:tcPr>
          <w:p w14:paraId="6C72FA0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1.2574</w:t>
            </w:r>
          </w:p>
        </w:tc>
        <w:tc>
          <w:tcPr>
            <w:tcW w:w="1253" w:type="dxa"/>
            <w:shd w:val="clear" w:color="auto" w:fill="auto"/>
            <w:noWrap/>
            <w:vAlign w:val="center"/>
          </w:tcPr>
          <w:p w14:paraId="11EF714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1.2299</w:t>
            </w:r>
          </w:p>
        </w:tc>
        <w:tc>
          <w:tcPr>
            <w:tcW w:w="1253" w:type="dxa"/>
            <w:shd w:val="clear" w:color="auto" w:fill="auto"/>
            <w:noWrap/>
            <w:vAlign w:val="center"/>
          </w:tcPr>
          <w:p w14:paraId="29DA9A2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1.2333</w:t>
            </w:r>
          </w:p>
        </w:tc>
        <w:tc>
          <w:tcPr>
            <w:tcW w:w="1179" w:type="dxa"/>
            <w:shd w:val="clear" w:color="auto" w:fill="auto"/>
            <w:vAlign w:val="center"/>
          </w:tcPr>
          <w:p w14:paraId="425965D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5.5 </w:t>
            </w:r>
          </w:p>
        </w:tc>
        <w:tc>
          <w:tcPr>
            <w:tcW w:w="979" w:type="dxa"/>
            <w:shd w:val="clear" w:color="auto" w:fill="auto"/>
            <w:noWrap/>
            <w:vAlign w:val="center"/>
          </w:tcPr>
          <w:p w14:paraId="7AA503D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0.9498</w:t>
            </w:r>
          </w:p>
        </w:tc>
        <w:tc>
          <w:tcPr>
            <w:tcW w:w="1179" w:type="dxa"/>
            <w:shd w:val="clear" w:color="auto" w:fill="auto"/>
            <w:noWrap/>
            <w:vAlign w:val="center"/>
          </w:tcPr>
          <w:p w14:paraId="2790DF9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0.8963</w:t>
            </w:r>
          </w:p>
        </w:tc>
        <w:tc>
          <w:tcPr>
            <w:tcW w:w="1179" w:type="dxa"/>
            <w:shd w:val="clear" w:color="auto" w:fill="auto"/>
            <w:noWrap/>
            <w:vAlign w:val="center"/>
          </w:tcPr>
          <w:p w14:paraId="7BDE7C3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0.7883</w:t>
            </w:r>
          </w:p>
        </w:tc>
      </w:tr>
      <w:tr w14:paraId="4457E0B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E9F61F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1.1 </w:t>
            </w:r>
          </w:p>
        </w:tc>
        <w:tc>
          <w:tcPr>
            <w:tcW w:w="1098" w:type="dxa"/>
            <w:shd w:val="clear" w:color="auto" w:fill="auto"/>
            <w:noWrap/>
            <w:vAlign w:val="center"/>
          </w:tcPr>
          <w:p w14:paraId="437E3BC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1.2284</w:t>
            </w:r>
          </w:p>
        </w:tc>
        <w:tc>
          <w:tcPr>
            <w:tcW w:w="1253" w:type="dxa"/>
            <w:shd w:val="clear" w:color="auto" w:fill="auto"/>
            <w:noWrap/>
            <w:vAlign w:val="center"/>
          </w:tcPr>
          <w:p w14:paraId="5CC78B9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1.1985</w:t>
            </w:r>
          </w:p>
        </w:tc>
        <w:tc>
          <w:tcPr>
            <w:tcW w:w="1253" w:type="dxa"/>
            <w:shd w:val="clear" w:color="auto" w:fill="auto"/>
            <w:noWrap/>
            <w:vAlign w:val="center"/>
          </w:tcPr>
          <w:p w14:paraId="6E4230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1.1899</w:t>
            </w:r>
          </w:p>
        </w:tc>
        <w:tc>
          <w:tcPr>
            <w:tcW w:w="1179" w:type="dxa"/>
            <w:shd w:val="clear" w:color="auto" w:fill="auto"/>
            <w:vAlign w:val="center"/>
          </w:tcPr>
          <w:p w14:paraId="7C576E0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5.6 </w:t>
            </w:r>
          </w:p>
        </w:tc>
        <w:tc>
          <w:tcPr>
            <w:tcW w:w="979" w:type="dxa"/>
            <w:shd w:val="clear" w:color="auto" w:fill="auto"/>
            <w:noWrap/>
            <w:vAlign w:val="center"/>
          </w:tcPr>
          <w:p w14:paraId="41260ED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0.948</w:t>
            </w:r>
          </w:p>
        </w:tc>
        <w:tc>
          <w:tcPr>
            <w:tcW w:w="1179" w:type="dxa"/>
            <w:shd w:val="clear" w:color="auto" w:fill="auto"/>
            <w:noWrap/>
            <w:vAlign w:val="center"/>
          </w:tcPr>
          <w:p w14:paraId="6C141C6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0.8939</w:t>
            </w:r>
          </w:p>
        </w:tc>
        <w:tc>
          <w:tcPr>
            <w:tcW w:w="1179" w:type="dxa"/>
            <w:shd w:val="clear" w:color="auto" w:fill="auto"/>
            <w:noWrap/>
            <w:vAlign w:val="center"/>
          </w:tcPr>
          <w:p w14:paraId="5A92948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0.7847</w:t>
            </w:r>
          </w:p>
        </w:tc>
      </w:tr>
      <w:tr w14:paraId="077B785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A54D4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1.2 </w:t>
            </w:r>
          </w:p>
        </w:tc>
        <w:tc>
          <w:tcPr>
            <w:tcW w:w="1098" w:type="dxa"/>
            <w:shd w:val="clear" w:color="auto" w:fill="auto"/>
            <w:noWrap/>
            <w:vAlign w:val="center"/>
          </w:tcPr>
          <w:p w14:paraId="2359BA7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1.2031</w:t>
            </w:r>
          </w:p>
        </w:tc>
        <w:tc>
          <w:tcPr>
            <w:tcW w:w="1253" w:type="dxa"/>
            <w:shd w:val="clear" w:color="auto" w:fill="auto"/>
            <w:noWrap/>
            <w:vAlign w:val="center"/>
          </w:tcPr>
          <w:p w14:paraId="4452688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1.1711</w:t>
            </w:r>
          </w:p>
        </w:tc>
        <w:tc>
          <w:tcPr>
            <w:tcW w:w="1253" w:type="dxa"/>
            <w:shd w:val="clear" w:color="auto" w:fill="auto"/>
            <w:noWrap/>
            <w:vAlign w:val="center"/>
          </w:tcPr>
          <w:p w14:paraId="2880D6F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1.1528</w:t>
            </w:r>
          </w:p>
        </w:tc>
        <w:tc>
          <w:tcPr>
            <w:tcW w:w="1179" w:type="dxa"/>
            <w:shd w:val="clear" w:color="auto" w:fill="auto"/>
            <w:vAlign w:val="center"/>
          </w:tcPr>
          <w:p w14:paraId="71C385F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5.7 </w:t>
            </w:r>
          </w:p>
        </w:tc>
        <w:tc>
          <w:tcPr>
            <w:tcW w:w="979" w:type="dxa"/>
            <w:shd w:val="clear" w:color="auto" w:fill="auto"/>
            <w:noWrap/>
            <w:vAlign w:val="center"/>
          </w:tcPr>
          <w:p w14:paraId="74F826F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0.9462</w:t>
            </w:r>
          </w:p>
        </w:tc>
        <w:tc>
          <w:tcPr>
            <w:tcW w:w="1179" w:type="dxa"/>
            <w:shd w:val="clear" w:color="auto" w:fill="auto"/>
            <w:noWrap/>
            <w:vAlign w:val="center"/>
          </w:tcPr>
          <w:p w14:paraId="6EFB5C2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0.8915</w:t>
            </w:r>
          </w:p>
        </w:tc>
        <w:tc>
          <w:tcPr>
            <w:tcW w:w="1179" w:type="dxa"/>
            <w:shd w:val="clear" w:color="auto" w:fill="auto"/>
            <w:noWrap/>
            <w:vAlign w:val="center"/>
          </w:tcPr>
          <w:p w14:paraId="3C0ADAD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0.7811</w:t>
            </w:r>
          </w:p>
        </w:tc>
      </w:tr>
      <w:tr w14:paraId="3A02C6A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6C4D84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1.3 </w:t>
            </w:r>
          </w:p>
        </w:tc>
        <w:tc>
          <w:tcPr>
            <w:tcW w:w="1098" w:type="dxa"/>
            <w:shd w:val="clear" w:color="auto" w:fill="auto"/>
            <w:noWrap/>
            <w:vAlign w:val="center"/>
          </w:tcPr>
          <w:p w14:paraId="68AA15D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1.1811</w:t>
            </w:r>
          </w:p>
        </w:tc>
        <w:tc>
          <w:tcPr>
            <w:tcW w:w="1253" w:type="dxa"/>
            <w:shd w:val="clear" w:color="auto" w:fill="auto"/>
            <w:noWrap/>
            <w:vAlign w:val="center"/>
          </w:tcPr>
          <w:p w14:paraId="601521E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1.1472</w:t>
            </w:r>
          </w:p>
        </w:tc>
        <w:tc>
          <w:tcPr>
            <w:tcW w:w="1253" w:type="dxa"/>
            <w:shd w:val="clear" w:color="auto" w:fill="auto"/>
            <w:noWrap/>
            <w:vAlign w:val="center"/>
          </w:tcPr>
          <w:p w14:paraId="25C2E00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1.1214</w:t>
            </w:r>
          </w:p>
        </w:tc>
        <w:tc>
          <w:tcPr>
            <w:tcW w:w="1179" w:type="dxa"/>
            <w:shd w:val="clear" w:color="auto" w:fill="auto"/>
            <w:vAlign w:val="center"/>
          </w:tcPr>
          <w:p w14:paraId="401A4EF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5.8 </w:t>
            </w:r>
          </w:p>
        </w:tc>
        <w:tc>
          <w:tcPr>
            <w:tcW w:w="979" w:type="dxa"/>
            <w:shd w:val="clear" w:color="auto" w:fill="auto"/>
            <w:noWrap/>
            <w:vAlign w:val="center"/>
          </w:tcPr>
          <w:p w14:paraId="4C53C6A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0.9445</w:t>
            </w:r>
          </w:p>
        </w:tc>
        <w:tc>
          <w:tcPr>
            <w:tcW w:w="1179" w:type="dxa"/>
            <w:shd w:val="clear" w:color="auto" w:fill="auto"/>
            <w:noWrap/>
            <w:vAlign w:val="center"/>
          </w:tcPr>
          <w:p w14:paraId="44F7B5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0.8892</w:t>
            </w:r>
          </w:p>
        </w:tc>
        <w:tc>
          <w:tcPr>
            <w:tcW w:w="1179" w:type="dxa"/>
            <w:shd w:val="clear" w:color="auto" w:fill="auto"/>
            <w:noWrap/>
            <w:vAlign w:val="center"/>
          </w:tcPr>
          <w:p w14:paraId="6E04677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0.7776</w:t>
            </w:r>
          </w:p>
        </w:tc>
      </w:tr>
      <w:tr w14:paraId="3940562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78AEC8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1.4 </w:t>
            </w:r>
          </w:p>
        </w:tc>
        <w:tc>
          <w:tcPr>
            <w:tcW w:w="1098" w:type="dxa"/>
            <w:shd w:val="clear" w:color="auto" w:fill="auto"/>
            <w:noWrap/>
            <w:vAlign w:val="center"/>
          </w:tcPr>
          <w:p w14:paraId="47A0A8F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1.162</w:t>
            </w:r>
          </w:p>
        </w:tc>
        <w:tc>
          <w:tcPr>
            <w:tcW w:w="1253" w:type="dxa"/>
            <w:shd w:val="clear" w:color="auto" w:fill="auto"/>
            <w:noWrap/>
            <w:vAlign w:val="center"/>
          </w:tcPr>
          <w:p w14:paraId="797E24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1.1265</w:t>
            </w:r>
          </w:p>
        </w:tc>
        <w:tc>
          <w:tcPr>
            <w:tcW w:w="1253" w:type="dxa"/>
            <w:shd w:val="clear" w:color="auto" w:fill="auto"/>
            <w:noWrap/>
            <w:vAlign w:val="center"/>
          </w:tcPr>
          <w:p w14:paraId="7752F09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1.0948</w:t>
            </w:r>
          </w:p>
        </w:tc>
        <w:tc>
          <w:tcPr>
            <w:tcW w:w="1179" w:type="dxa"/>
            <w:shd w:val="clear" w:color="auto" w:fill="auto"/>
            <w:vAlign w:val="center"/>
          </w:tcPr>
          <w:p w14:paraId="43E4E3F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5.9 </w:t>
            </w:r>
          </w:p>
        </w:tc>
        <w:tc>
          <w:tcPr>
            <w:tcW w:w="979" w:type="dxa"/>
            <w:shd w:val="clear" w:color="auto" w:fill="auto"/>
            <w:noWrap/>
            <w:vAlign w:val="center"/>
          </w:tcPr>
          <w:p w14:paraId="3F095D9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0.9428</w:t>
            </w:r>
          </w:p>
        </w:tc>
        <w:tc>
          <w:tcPr>
            <w:tcW w:w="1179" w:type="dxa"/>
            <w:shd w:val="clear" w:color="auto" w:fill="auto"/>
            <w:noWrap/>
            <w:vAlign w:val="center"/>
          </w:tcPr>
          <w:p w14:paraId="6558E0F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0.8869</w:t>
            </w:r>
          </w:p>
        </w:tc>
        <w:tc>
          <w:tcPr>
            <w:tcW w:w="1179" w:type="dxa"/>
            <w:shd w:val="clear" w:color="auto" w:fill="auto"/>
            <w:noWrap/>
            <w:vAlign w:val="center"/>
          </w:tcPr>
          <w:p w14:paraId="1DBB65E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0.7741</w:t>
            </w:r>
          </w:p>
        </w:tc>
      </w:tr>
      <w:tr w14:paraId="11F016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43537A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1.5 </w:t>
            </w:r>
          </w:p>
        </w:tc>
        <w:tc>
          <w:tcPr>
            <w:tcW w:w="1098" w:type="dxa"/>
            <w:shd w:val="clear" w:color="auto" w:fill="auto"/>
            <w:noWrap/>
            <w:vAlign w:val="center"/>
          </w:tcPr>
          <w:p w14:paraId="38A60C8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1.1453</w:t>
            </w:r>
          </w:p>
        </w:tc>
        <w:tc>
          <w:tcPr>
            <w:tcW w:w="1253" w:type="dxa"/>
            <w:shd w:val="clear" w:color="auto" w:fill="auto"/>
            <w:noWrap/>
            <w:vAlign w:val="center"/>
          </w:tcPr>
          <w:p w14:paraId="553BED9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1.1084</w:t>
            </w:r>
          </w:p>
        </w:tc>
        <w:tc>
          <w:tcPr>
            <w:tcW w:w="1253" w:type="dxa"/>
            <w:shd w:val="clear" w:color="auto" w:fill="auto"/>
            <w:noWrap/>
            <w:vAlign w:val="center"/>
          </w:tcPr>
          <w:p w14:paraId="7715889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1.0725</w:t>
            </w:r>
          </w:p>
        </w:tc>
        <w:tc>
          <w:tcPr>
            <w:tcW w:w="1179" w:type="dxa"/>
            <w:shd w:val="clear" w:color="auto" w:fill="auto"/>
            <w:vAlign w:val="center"/>
          </w:tcPr>
          <w:p w14:paraId="1025526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6.0 </w:t>
            </w:r>
          </w:p>
        </w:tc>
        <w:tc>
          <w:tcPr>
            <w:tcW w:w="979" w:type="dxa"/>
            <w:shd w:val="clear" w:color="auto" w:fill="auto"/>
            <w:noWrap/>
            <w:vAlign w:val="center"/>
          </w:tcPr>
          <w:p w14:paraId="02D6517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0.9411</w:t>
            </w:r>
          </w:p>
        </w:tc>
        <w:tc>
          <w:tcPr>
            <w:tcW w:w="1179" w:type="dxa"/>
            <w:shd w:val="clear" w:color="auto" w:fill="auto"/>
            <w:noWrap/>
            <w:vAlign w:val="center"/>
          </w:tcPr>
          <w:p w14:paraId="73012B1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0.8846</w:t>
            </w:r>
          </w:p>
        </w:tc>
        <w:tc>
          <w:tcPr>
            <w:tcW w:w="1179" w:type="dxa"/>
            <w:shd w:val="clear" w:color="auto" w:fill="auto"/>
            <w:noWrap/>
            <w:vAlign w:val="center"/>
          </w:tcPr>
          <w:p w14:paraId="0EDEBC7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0.7707</w:t>
            </w:r>
          </w:p>
        </w:tc>
      </w:tr>
      <w:tr w14:paraId="6D1051D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29D7D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1.6 </w:t>
            </w:r>
          </w:p>
        </w:tc>
        <w:tc>
          <w:tcPr>
            <w:tcW w:w="1098" w:type="dxa"/>
            <w:shd w:val="clear" w:color="auto" w:fill="auto"/>
            <w:noWrap/>
            <w:vAlign w:val="center"/>
          </w:tcPr>
          <w:p w14:paraId="2EEA617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1.1306</w:t>
            </w:r>
          </w:p>
        </w:tc>
        <w:tc>
          <w:tcPr>
            <w:tcW w:w="1253" w:type="dxa"/>
            <w:shd w:val="clear" w:color="auto" w:fill="auto"/>
            <w:noWrap/>
            <w:vAlign w:val="center"/>
          </w:tcPr>
          <w:p w14:paraId="70AAA88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1.0924</w:t>
            </w:r>
          </w:p>
        </w:tc>
        <w:tc>
          <w:tcPr>
            <w:tcW w:w="1253" w:type="dxa"/>
            <w:shd w:val="clear" w:color="auto" w:fill="auto"/>
            <w:noWrap/>
            <w:vAlign w:val="center"/>
          </w:tcPr>
          <w:p w14:paraId="5E0F9AF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1.0538</w:t>
            </w:r>
          </w:p>
        </w:tc>
        <w:tc>
          <w:tcPr>
            <w:tcW w:w="1179" w:type="dxa"/>
            <w:shd w:val="clear" w:color="auto" w:fill="auto"/>
            <w:vAlign w:val="center"/>
          </w:tcPr>
          <w:p w14:paraId="17B87C1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6.1 </w:t>
            </w:r>
          </w:p>
        </w:tc>
        <w:tc>
          <w:tcPr>
            <w:tcW w:w="979" w:type="dxa"/>
            <w:shd w:val="clear" w:color="auto" w:fill="auto"/>
            <w:noWrap/>
            <w:vAlign w:val="center"/>
          </w:tcPr>
          <w:p w14:paraId="1B7DB5C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0.9394</w:t>
            </w:r>
          </w:p>
        </w:tc>
        <w:tc>
          <w:tcPr>
            <w:tcW w:w="1179" w:type="dxa"/>
            <w:shd w:val="clear" w:color="auto" w:fill="auto"/>
            <w:noWrap/>
            <w:vAlign w:val="center"/>
          </w:tcPr>
          <w:p w14:paraId="40B3864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0.8823</w:t>
            </w:r>
          </w:p>
        </w:tc>
        <w:tc>
          <w:tcPr>
            <w:tcW w:w="1179" w:type="dxa"/>
            <w:shd w:val="clear" w:color="auto" w:fill="auto"/>
            <w:noWrap/>
            <w:vAlign w:val="center"/>
          </w:tcPr>
          <w:p w14:paraId="4234579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0.7673</w:t>
            </w:r>
          </w:p>
        </w:tc>
      </w:tr>
      <w:tr w14:paraId="4423B9F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620316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1.7 </w:t>
            </w:r>
          </w:p>
        </w:tc>
        <w:tc>
          <w:tcPr>
            <w:tcW w:w="1098" w:type="dxa"/>
            <w:shd w:val="clear" w:color="auto" w:fill="auto"/>
            <w:noWrap/>
            <w:vAlign w:val="center"/>
          </w:tcPr>
          <w:p w14:paraId="3C13C17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1.1176</w:t>
            </w:r>
          </w:p>
        </w:tc>
        <w:tc>
          <w:tcPr>
            <w:tcW w:w="1253" w:type="dxa"/>
            <w:shd w:val="clear" w:color="auto" w:fill="auto"/>
            <w:noWrap/>
            <w:vAlign w:val="center"/>
          </w:tcPr>
          <w:p w14:paraId="5CF0C60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1.0783</w:t>
            </w:r>
          </w:p>
        </w:tc>
        <w:tc>
          <w:tcPr>
            <w:tcW w:w="1253" w:type="dxa"/>
            <w:shd w:val="clear" w:color="auto" w:fill="auto"/>
            <w:noWrap/>
            <w:vAlign w:val="center"/>
          </w:tcPr>
          <w:p w14:paraId="1BEA847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1.0379</w:t>
            </w:r>
          </w:p>
        </w:tc>
        <w:tc>
          <w:tcPr>
            <w:tcW w:w="1179" w:type="dxa"/>
            <w:shd w:val="clear" w:color="auto" w:fill="auto"/>
            <w:vAlign w:val="center"/>
          </w:tcPr>
          <w:p w14:paraId="0EE8955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6.2 </w:t>
            </w:r>
          </w:p>
        </w:tc>
        <w:tc>
          <w:tcPr>
            <w:tcW w:w="979" w:type="dxa"/>
            <w:shd w:val="clear" w:color="auto" w:fill="auto"/>
            <w:noWrap/>
            <w:vAlign w:val="center"/>
          </w:tcPr>
          <w:p w14:paraId="0BB6B2E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0.9377</w:t>
            </w:r>
          </w:p>
        </w:tc>
        <w:tc>
          <w:tcPr>
            <w:tcW w:w="1179" w:type="dxa"/>
            <w:shd w:val="clear" w:color="auto" w:fill="auto"/>
            <w:noWrap/>
            <w:vAlign w:val="center"/>
          </w:tcPr>
          <w:p w14:paraId="7AF92E0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w:t>
            </w:r>
          </w:p>
        </w:tc>
        <w:tc>
          <w:tcPr>
            <w:tcW w:w="1179" w:type="dxa"/>
            <w:shd w:val="clear" w:color="auto" w:fill="auto"/>
            <w:noWrap/>
            <w:vAlign w:val="center"/>
          </w:tcPr>
          <w:p w14:paraId="446725D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0.764</w:t>
            </w:r>
          </w:p>
        </w:tc>
      </w:tr>
      <w:tr w14:paraId="1154F9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9A130A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1.8 </w:t>
            </w:r>
          </w:p>
        </w:tc>
        <w:tc>
          <w:tcPr>
            <w:tcW w:w="1098" w:type="dxa"/>
            <w:shd w:val="clear" w:color="auto" w:fill="auto"/>
            <w:noWrap/>
            <w:vAlign w:val="center"/>
          </w:tcPr>
          <w:p w14:paraId="27D4A2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1.1058</w:t>
            </w:r>
          </w:p>
        </w:tc>
        <w:tc>
          <w:tcPr>
            <w:tcW w:w="1253" w:type="dxa"/>
            <w:shd w:val="clear" w:color="auto" w:fill="auto"/>
            <w:noWrap/>
            <w:vAlign w:val="center"/>
          </w:tcPr>
          <w:p w14:paraId="236FCF2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1.0654</w:t>
            </w:r>
          </w:p>
        </w:tc>
        <w:tc>
          <w:tcPr>
            <w:tcW w:w="1253" w:type="dxa"/>
            <w:shd w:val="clear" w:color="auto" w:fill="auto"/>
            <w:noWrap/>
            <w:vAlign w:val="center"/>
          </w:tcPr>
          <w:p w14:paraId="136B151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1.0241</w:t>
            </w:r>
          </w:p>
        </w:tc>
        <w:tc>
          <w:tcPr>
            <w:tcW w:w="1179" w:type="dxa"/>
            <w:shd w:val="clear" w:color="auto" w:fill="auto"/>
            <w:vAlign w:val="center"/>
          </w:tcPr>
          <w:p w14:paraId="0E15BC6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6.3 </w:t>
            </w:r>
          </w:p>
        </w:tc>
        <w:tc>
          <w:tcPr>
            <w:tcW w:w="979" w:type="dxa"/>
            <w:shd w:val="clear" w:color="auto" w:fill="auto"/>
            <w:noWrap/>
            <w:vAlign w:val="center"/>
          </w:tcPr>
          <w:p w14:paraId="72E8633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0.9361</w:t>
            </w:r>
          </w:p>
        </w:tc>
        <w:tc>
          <w:tcPr>
            <w:tcW w:w="1179" w:type="dxa"/>
            <w:shd w:val="clear" w:color="auto" w:fill="auto"/>
            <w:noWrap/>
            <w:vAlign w:val="center"/>
          </w:tcPr>
          <w:p w14:paraId="583466D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0.8778</w:t>
            </w:r>
          </w:p>
        </w:tc>
        <w:tc>
          <w:tcPr>
            <w:tcW w:w="1179" w:type="dxa"/>
            <w:shd w:val="clear" w:color="auto" w:fill="auto"/>
            <w:noWrap/>
            <w:vAlign w:val="center"/>
          </w:tcPr>
          <w:p w14:paraId="6D592E6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0.7607</w:t>
            </w:r>
          </w:p>
        </w:tc>
      </w:tr>
      <w:tr w14:paraId="3AADFAE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3F5BC8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1.9 </w:t>
            </w:r>
          </w:p>
        </w:tc>
        <w:tc>
          <w:tcPr>
            <w:tcW w:w="1098" w:type="dxa"/>
            <w:shd w:val="clear" w:color="auto" w:fill="auto"/>
            <w:noWrap/>
            <w:vAlign w:val="center"/>
          </w:tcPr>
          <w:p w14:paraId="054E9D5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1.0949</w:t>
            </w:r>
          </w:p>
        </w:tc>
        <w:tc>
          <w:tcPr>
            <w:tcW w:w="1253" w:type="dxa"/>
            <w:shd w:val="clear" w:color="auto" w:fill="auto"/>
            <w:noWrap/>
            <w:vAlign w:val="center"/>
          </w:tcPr>
          <w:p w14:paraId="33F7476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1.0537</w:t>
            </w:r>
          </w:p>
        </w:tc>
        <w:tc>
          <w:tcPr>
            <w:tcW w:w="1253" w:type="dxa"/>
            <w:shd w:val="clear" w:color="auto" w:fill="auto"/>
            <w:noWrap/>
            <w:vAlign w:val="center"/>
          </w:tcPr>
          <w:p w14:paraId="307B461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1.0117</w:t>
            </w:r>
          </w:p>
        </w:tc>
        <w:tc>
          <w:tcPr>
            <w:tcW w:w="1179" w:type="dxa"/>
            <w:shd w:val="clear" w:color="auto" w:fill="auto"/>
            <w:vAlign w:val="center"/>
          </w:tcPr>
          <w:p w14:paraId="043C83A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6.4 </w:t>
            </w:r>
          </w:p>
        </w:tc>
        <w:tc>
          <w:tcPr>
            <w:tcW w:w="979" w:type="dxa"/>
            <w:shd w:val="clear" w:color="auto" w:fill="auto"/>
            <w:noWrap/>
            <w:vAlign w:val="center"/>
          </w:tcPr>
          <w:p w14:paraId="20933FF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0.9345</w:t>
            </w:r>
          </w:p>
        </w:tc>
        <w:tc>
          <w:tcPr>
            <w:tcW w:w="1179" w:type="dxa"/>
            <w:shd w:val="clear" w:color="auto" w:fill="auto"/>
            <w:noWrap/>
            <w:vAlign w:val="center"/>
          </w:tcPr>
          <w:p w14:paraId="4C0A87B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0.8756</w:t>
            </w:r>
          </w:p>
        </w:tc>
        <w:tc>
          <w:tcPr>
            <w:tcW w:w="1179" w:type="dxa"/>
            <w:shd w:val="clear" w:color="auto" w:fill="auto"/>
            <w:noWrap/>
            <w:vAlign w:val="center"/>
          </w:tcPr>
          <w:p w14:paraId="4B05DAF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0.7575</w:t>
            </w:r>
          </w:p>
        </w:tc>
      </w:tr>
      <w:tr w14:paraId="60282BC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F7EC96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2.0 </w:t>
            </w:r>
          </w:p>
        </w:tc>
        <w:tc>
          <w:tcPr>
            <w:tcW w:w="1098" w:type="dxa"/>
            <w:shd w:val="clear" w:color="auto" w:fill="auto"/>
            <w:noWrap/>
            <w:vAlign w:val="center"/>
          </w:tcPr>
          <w:p w14:paraId="7E0166A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1.0847</w:t>
            </w:r>
          </w:p>
        </w:tc>
        <w:tc>
          <w:tcPr>
            <w:tcW w:w="1253" w:type="dxa"/>
            <w:shd w:val="clear" w:color="auto" w:fill="auto"/>
            <w:noWrap/>
            <w:vAlign w:val="center"/>
          </w:tcPr>
          <w:p w14:paraId="16CD217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1.0427</w:t>
            </w:r>
          </w:p>
        </w:tc>
        <w:tc>
          <w:tcPr>
            <w:tcW w:w="1253" w:type="dxa"/>
            <w:shd w:val="clear" w:color="auto" w:fill="auto"/>
            <w:noWrap/>
            <w:vAlign w:val="center"/>
          </w:tcPr>
          <w:p w14:paraId="568A910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1179" w:type="dxa"/>
            <w:shd w:val="clear" w:color="auto" w:fill="auto"/>
            <w:vAlign w:val="center"/>
          </w:tcPr>
          <w:p w14:paraId="1CEB74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6.5 </w:t>
            </w:r>
          </w:p>
        </w:tc>
        <w:tc>
          <w:tcPr>
            <w:tcW w:w="979" w:type="dxa"/>
            <w:shd w:val="clear" w:color="auto" w:fill="auto"/>
            <w:noWrap/>
            <w:vAlign w:val="center"/>
          </w:tcPr>
          <w:p w14:paraId="0FF402E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0.9329</w:t>
            </w:r>
          </w:p>
        </w:tc>
        <w:tc>
          <w:tcPr>
            <w:tcW w:w="1179" w:type="dxa"/>
            <w:shd w:val="clear" w:color="auto" w:fill="auto"/>
            <w:noWrap/>
            <w:vAlign w:val="center"/>
          </w:tcPr>
          <w:p w14:paraId="1F1F139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0.8734</w:t>
            </w:r>
          </w:p>
        </w:tc>
        <w:tc>
          <w:tcPr>
            <w:tcW w:w="1179" w:type="dxa"/>
            <w:shd w:val="clear" w:color="auto" w:fill="auto"/>
            <w:noWrap/>
            <w:vAlign w:val="center"/>
          </w:tcPr>
          <w:p w14:paraId="063FFF0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0.7543</w:t>
            </w:r>
          </w:p>
        </w:tc>
      </w:tr>
      <w:tr w14:paraId="33F6A1C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0234E0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2.1 </w:t>
            </w:r>
          </w:p>
        </w:tc>
        <w:tc>
          <w:tcPr>
            <w:tcW w:w="1098" w:type="dxa"/>
            <w:shd w:val="clear" w:color="auto" w:fill="auto"/>
            <w:noWrap/>
            <w:vAlign w:val="center"/>
          </w:tcPr>
          <w:p w14:paraId="65751DE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1.0749</w:t>
            </w:r>
          </w:p>
        </w:tc>
        <w:tc>
          <w:tcPr>
            <w:tcW w:w="1253" w:type="dxa"/>
            <w:shd w:val="clear" w:color="auto" w:fill="auto"/>
            <w:noWrap/>
            <w:vAlign w:val="center"/>
          </w:tcPr>
          <w:p w14:paraId="590861E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1.0328</w:t>
            </w:r>
          </w:p>
        </w:tc>
        <w:tc>
          <w:tcPr>
            <w:tcW w:w="1253" w:type="dxa"/>
            <w:shd w:val="clear" w:color="auto" w:fill="auto"/>
            <w:noWrap/>
            <w:vAlign w:val="center"/>
          </w:tcPr>
          <w:p w14:paraId="31A104B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0.9882</w:t>
            </w:r>
          </w:p>
        </w:tc>
        <w:tc>
          <w:tcPr>
            <w:tcW w:w="1179" w:type="dxa"/>
            <w:shd w:val="clear" w:color="auto" w:fill="auto"/>
            <w:vAlign w:val="center"/>
          </w:tcPr>
          <w:p w14:paraId="093E5E2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6.6 </w:t>
            </w:r>
          </w:p>
        </w:tc>
        <w:tc>
          <w:tcPr>
            <w:tcW w:w="979" w:type="dxa"/>
            <w:shd w:val="clear" w:color="auto" w:fill="auto"/>
            <w:noWrap/>
            <w:vAlign w:val="center"/>
          </w:tcPr>
          <w:p w14:paraId="38AF0C8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0.9313</w:t>
            </w:r>
          </w:p>
        </w:tc>
        <w:tc>
          <w:tcPr>
            <w:tcW w:w="1179" w:type="dxa"/>
            <w:shd w:val="clear" w:color="auto" w:fill="auto"/>
            <w:noWrap/>
            <w:vAlign w:val="center"/>
          </w:tcPr>
          <w:p w14:paraId="2E809BB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0.8712</w:t>
            </w:r>
          </w:p>
        </w:tc>
        <w:tc>
          <w:tcPr>
            <w:tcW w:w="1179" w:type="dxa"/>
            <w:shd w:val="clear" w:color="auto" w:fill="auto"/>
            <w:noWrap/>
            <w:vAlign w:val="center"/>
          </w:tcPr>
          <w:p w14:paraId="16E395C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0.7512</w:t>
            </w:r>
          </w:p>
        </w:tc>
      </w:tr>
      <w:tr w14:paraId="41927B7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7A9340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2.2 </w:t>
            </w:r>
          </w:p>
        </w:tc>
        <w:tc>
          <w:tcPr>
            <w:tcW w:w="1098" w:type="dxa"/>
            <w:shd w:val="clear" w:color="auto" w:fill="auto"/>
            <w:noWrap/>
            <w:vAlign w:val="center"/>
          </w:tcPr>
          <w:p w14:paraId="513C9C4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1.0663</w:t>
            </w:r>
          </w:p>
        </w:tc>
        <w:tc>
          <w:tcPr>
            <w:tcW w:w="1253" w:type="dxa"/>
            <w:shd w:val="clear" w:color="auto" w:fill="auto"/>
            <w:noWrap/>
            <w:vAlign w:val="center"/>
          </w:tcPr>
          <w:p w14:paraId="1D43ECB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1.0237</w:t>
            </w:r>
          </w:p>
        </w:tc>
        <w:tc>
          <w:tcPr>
            <w:tcW w:w="1253" w:type="dxa"/>
            <w:shd w:val="clear" w:color="auto" w:fill="auto"/>
            <w:noWrap/>
            <w:vAlign w:val="center"/>
          </w:tcPr>
          <w:p w14:paraId="51DD06A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0.9768</w:t>
            </w:r>
          </w:p>
        </w:tc>
        <w:tc>
          <w:tcPr>
            <w:tcW w:w="1179" w:type="dxa"/>
            <w:shd w:val="clear" w:color="auto" w:fill="auto"/>
            <w:vAlign w:val="center"/>
          </w:tcPr>
          <w:p w14:paraId="27558DF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6.7 </w:t>
            </w:r>
          </w:p>
        </w:tc>
        <w:tc>
          <w:tcPr>
            <w:tcW w:w="979" w:type="dxa"/>
            <w:shd w:val="clear" w:color="auto" w:fill="auto"/>
            <w:noWrap/>
            <w:vAlign w:val="center"/>
          </w:tcPr>
          <w:p w14:paraId="1833E6E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0.9297</w:t>
            </w:r>
          </w:p>
        </w:tc>
        <w:tc>
          <w:tcPr>
            <w:tcW w:w="1179" w:type="dxa"/>
            <w:shd w:val="clear" w:color="auto" w:fill="auto"/>
            <w:noWrap/>
            <w:vAlign w:val="center"/>
          </w:tcPr>
          <w:p w14:paraId="1A2E82F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0.869</w:t>
            </w:r>
          </w:p>
        </w:tc>
        <w:tc>
          <w:tcPr>
            <w:tcW w:w="1179" w:type="dxa"/>
            <w:shd w:val="clear" w:color="auto" w:fill="auto"/>
            <w:noWrap/>
            <w:vAlign w:val="center"/>
          </w:tcPr>
          <w:p w14:paraId="0562FD0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0.7481</w:t>
            </w:r>
          </w:p>
        </w:tc>
      </w:tr>
      <w:tr w14:paraId="4956778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B986B3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2.3 </w:t>
            </w:r>
          </w:p>
        </w:tc>
        <w:tc>
          <w:tcPr>
            <w:tcW w:w="1098" w:type="dxa"/>
            <w:shd w:val="clear" w:color="auto" w:fill="auto"/>
            <w:noWrap/>
            <w:vAlign w:val="center"/>
          </w:tcPr>
          <w:p w14:paraId="1155D9A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1.0584</w:t>
            </w:r>
          </w:p>
        </w:tc>
        <w:tc>
          <w:tcPr>
            <w:tcW w:w="1253" w:type="dxa"/>
            <w:shd w:val="clear" w:color="auto" w:fill="auto"/>
            <w:noWrap/>
            <w:vAlign w:val="center"/>
          </w:tcPr>
          <w:p w14:paraId="258C7A4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1.0152</w:t>
            </w:r>
          </w:p>
        </w:tc>
        <w:tc>
          <w:tcPr>
            <w:tcW w:w="1253" w:type="dxa"/>
            <w:shd w:val="clear" w:color="auto" w:fill="auto"/>
            <w:noWrap/>
            <w:vAlign w:val="center"/>
          </w:tcPr>
          <w:p w14:paraId="193B7A4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0.9661</w:t>
            </w:r>
          </w:p>
        </w:tc>
        <w:tc>
          <w:tcPr>
            <w:tcW w:w="1179" w:type="dxa"/>
            <w:shd w:val="clear" w:color="auto" w:fill="auto"/>
            <w:vAlign w:val="center"/>
          </w:tcPr>
          <w:p w14:paraId="19CF3ED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6.8 </w:t>
            </w:r>
          </w:p>
        </w:tc>
        <w:tc>
          <w:tcPr>
            <w:tcW w:w="979" w:type="dxa"/>
            <w:shd w:val="clear" w:color="auto" w:fill="auto"/>
            <w:noWrap/>
            <w:vAlign w:val="center"/>
          </w:tcPr>
          <w:p w14:paraId="3EAA0B9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0.9282</w:t>
            </w:r>
          </w:p>
        </w:tc>
        <w:tc>
          <w:tcPr>
            <w:tcW w:w="1179" w:type="dxa"/>
            <w:shd w:val="clear" w:color="auto" w:fill="auto"/>
            <w:noWrap/>
            <w:vAlign w:val="center"/>
          </w:tcPr>
          <w:p w14:paraId="1C8C02D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0.8669</w:t>
            </w:r>
          </w:p>
        </w:tc>
        <w:tc>
          <w:tcPr>
            <w:tcW w:w="1179" w:type="dxa"/>
            <w:shd w:val="clear" w:color="auto" w:fill="auto"/>
            <w:noWrap/>
            <w:vAlign w:val="center"/>
          </w:tcPr>
          <w:p w14:paraId="4254C6A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0.7451</w:t>
            </w:r>
          </w:p>
        </w:tc>
      </w:tr>
      <w:tr w14:paraId="23B14A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534FF2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2.4 </w:t>
            </w:r>
          </w:p>
        </w:tc>
        <w:tc>
          <w:tcPr>
            <w:tcW w:w="1098" w:type="dxa"/>
            <w:shd w:val="clear" w:color="auto" w:fill="auto"/>
            <w:noWrap/>
            <w:vAlign w:val="center"/>
          </w:tcPr>
          <w:p w14:paraId="2D2CD44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1.0512</w:t>
            </w:r>
          </w:p>
        </w:tc>
        <w:tc>
          <w:tcPr>
            <w:tcW w:w="1253" w:type="dxa"/>
            <w:shd w:val="clear" w:color="auto" w:fill="auto"/>
            <w:noWrap/>
            <w:vAlign w:val="center"/>
          </w:tcPr>
          <w:p w14:paraId="2BD89D9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1.0074</w:t>
            </w:r>
          </w:p>
        </w:tc>
        <w:tc>
          <w:tcPr>
            <w:tcW w:w="1253" w:type="dxa"/>
            <w:shd w:val="clear" w:color="auto" w:fill="auto"/>
            <w:noWrap/>
            <w:vAlign w:val="center"/>
          </w:tcPr>
          <w:p w14:paraId="3022254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0.9558</w:t>
            </w:r>
          </w:p>
        </w:tc>
        <w:tc>
          <w:tcPr>
            <w:tcW w:w="1179" w:type="dxa"/>
            <w:shd w:val="clear" w:color="auto" w:fill="auto"/>
            <w:vAlign w:val="center"/>
          </w:tcPr>
          <w:p w14:paraId="28FD384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6.9 </w:t>
            </w:r>
          </w:p>
        </w:tc>
        <w:tc>
          <w:tcPr>
            <w:tcW w:w="979" w:type="dxa"/>
            <w:shd w:val="clear" w:color="auto" w:fill="auto"/>
            <w:noWrap/>
            <w:vAlign w:val="center"/>
          </w:tcPr>
          <w:p w14:paraId="15652F6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0.9267</w:t>
            </w:r>
          </w:p>
        </w:tc>
        <w:tc>
          <w:tcPr>
            <w:tcW w:w="1179" w:type="dxa"/>
            <w:shd w:val="clear" w:color="auto" w:fill="auto"/>
            <w:noWrap/>
            <w:vAlign w:val="center"/>
          </w:tcPr>
          <w:p w14:paraId="65D81E9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0.8648</w:t>
            </w:r>
          </w:p>
        </w:tc>
        <w:tc>
          <w:tcPr>
            <w:tcW w:w="1179" w:type="dxa"/>
            <w:shd w:val="clear" w:color="auto" w:fill="auto"/>
            <w:noWrap/>
            <w:vAlign w:val="center"/>
          </w:tcPr>
          <w:p w14:paraId="2F1A6C1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0.7421</w:t>
            </w:r>
          </w:p>
        </w:tc>
      </w:tr>
      <w:tr w14:paraId="266AC2E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38AC20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2.5 </w:t>
            </w:r>
          </w:p>
        </w:tc>
        <w:tc>
          <w:tcPr>
            <w:tcW w:w="1098" w:type="dxa"/>
            <w:shd w:val="clear" w:color="auto" w:fill="auto"/>
            <w:noWrap/>
            <w:vAlign w:val="center"/>
          </w:tcPr>
          <w:p w14:paraId="5D41CDE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1.0445</w:t>
            </w:r>
          </w:p>
        </w:tc>
        <w:tc>
          <w:tcPr>
            <w:tcW w:w="1253" w:type="dxa"/>
            <w:shd w:val="clear" w:color="auto" w:fill="auto"/>
            <w:noWrap/>
            <w:vAlign w:val="center"/>
          </w:tcPr>
          <w:p w14:paraId="4084BE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1253" w:type="dxa"/>
            <w:shd w:val="clear" w:color="auto" w:fill="auto"/>
            <w:noWrap/>
            <w:vAlign w:val="center"/>
          </w:tcPr>
          <w:p w14:paraId="3F7DEB9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0.9462</w:t>
            </w:r>
          </w:p>
        </w:tc>
        <w:tc>
          <w:tcPr>
            <w:tcW w:w="1179" w:type="dxa"/>
            <w:shd w:val="clear" w:color="auto" w:fill="auto"/>
            <w:vAlign w:val="center"/>
          </w:tcPr>
          <w:p w14:paraId="5CC331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7.0 </w:t>
            </w:r>
          </w:p>
        </w:tc>
        <w:tc>
          <w:tcPr>
            <w:tcW w:w="979" w:type="dxa"/>
            <w:shd w:val="clear" w:color="auto" w:fill="auto"/>
            <w:noWrap/>
            <w:vAlign w:val="center"/>
          </w:tcPr>
          <w:p w14:paraId="473FB65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0.9252</w:t>
            </w:r>
          </w:p>
        </w:tc>
        <w:tc>
          <w:tcPr>
            <w:tcW w:w="1179" w:type="dxa"/>
            <w:shd w:val="clear" w:color="auto" w:fill="auto"/>
            <w:noWrap/>
            <w:vAlign w:val="center"/>
          </w:tcPr>
          <w:p w14:paraId="724235A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0.8627</w:t>
            </w:r>
          </w:p>
        </w:tc>
        <w:tc>
          <w:tcPr>
            <w:tcW w:w="1179" w:type="dxa"/>
            <w:shd w:val="clear" w:color="auto" w:fill="auto"/>
            <w:noWrap/>
            <w:vAlign w:val="center"/>
          </w:tcPr>
          <w:p w14:paraId="7110A3D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0.7392</w:t>
            </w:r>
          </w:p>
        </w:tc>
      </w:tr>
      <w:tr w14:paraId="43EBB26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8C4EB1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2.6 </w:t>
            </w:r>
          </w:p>
        </w:tc>
        <w:tc>
          <w:tcPr>
            <w:tcW w:w="1098" w:type="dxa"/>
            <w:shd w:val="clear" w:color="auto" w:fill="auto"/>
            <w:noWrap/>
            <w:vAlign w:val="center"/>
          </w:tcPr>
          <w:p w14:paraId="657CC2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1.0386</w:t>
            </w:r>
          </w:p>
        </w:tc>
        <w:tc>
          <w:tcPr>
            <w:tcW w:w="1253" w:type="dxa"/>
            <w:shd w:val="clear" w:color="auto" w:fill="auto"/>
            <w:noWrap/>
            <w:vAlign w:val="center"/>
          </w:tcPr>
          <w:p w14:paraId="7E482C5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0.9935</w:t>
            </w:r>
          </w:p>
        </w:tc>
        <w:tc>
          <w:tcPr>
            <w:tcW w:w="1253" w:type="dxa"/>
            <w:shd w:val="clear" w:color="auto" w:fill="auto"/>
            <w:noWrap/>
            <w:vAlign w:val="center"/>
          </w:tcPr>
          <w:p w14:paraId="31D9273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0.9371</w:t>
            </w:r>
          </w:p>
        </w:tc>
        <w:tc>
          <w:tcPr>
            <w:tcW w:w="1179" w:type="dxa"/>
            <w:shd w:val="clear" w:color="auto" w:fill="auto"/>
            <w:vAlign w:val="center"/>
          </w:tcPr>
          <w:p w14:paraId="72C1881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7.1 </w:t>
            </w:r>
          </w:p>
        </w:tc>
        <w:tc>
          <w:tcPr>
            <w:tcW w:w="979" w:type="dxa"/>
            <w:shd w:val="clear" w:color="auto" w:fill="auto"/>
            <w:noWrap/>
            <w:vAlign w:val="center"/>
          </w:tcPr>
          <w:p w14:paraId="058F063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0.9237</w:t>
            </w:r>
          </w:p>
        </w:tc>
        <w:tc>
          <w:tcPr>
            <w:tcW w:w="1179" w:type="dxa"/>
            <w:shd w:val="clear" w:color="auto" w:fill="auto"/>
            <w:noWrap/>
            <w:vAlign w:val="center"/>
          </w:tcPr>
          <w:p w14:paraId="5AEF465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0.8606</w:t>
            </w:r>
          </w:p>
        </w:tc>
        <w:tc>
          <w:tcPr>
            <w:tcW w:w="1179" w:type="dxa"/>
            <w:shd w:val="clear" w:color="auto" w:fill="auto"/>
            <w:noWrap/>
            <w:vAlign w:val="center"/>
          </w:tcPr>
          <w:p w14:paraId="286BA02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0.7363</w:t>
            </w:r>
          </w:p>
        </w:tc>
      </w:tr>
      <w:tr w14:paraId="3A37FF0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4275EF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2.7 </w:t>
            </w:r>
          </w:p>
        </w:tc>
        <w:tc>
          <w:tcPr>
            <w:tcW w:w="1098" w:type="dxa"/>
            <w:shd w:val="clear" w:color="auto" w:fill="auto"/>
            <w:noWrap/>
            <w:vAlign w:val="center"/>
          </w:tcPr>
          <w:p w14:paraId="35735C9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1.0332</w:t>
            </w:r>
          </w:p>
        </w:tc>
        <w:tc>
          <w:tcPr>
            <w:tcW w:w="1253" w:type="dxa"/>
            <w:shd w:val="clear" w:color="auto" w:fill="auto"/>
            <w:noWrap/>
            <w:vAlign w:val="center"/>
          </w:tcPr>
          <w:p w14:paraId="25B3B01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0.9877</w:t>
            </w:r>
          </w:p>
        </w:tc>
        <w:tc>
          <w:tcPr>
            <w:tcW w:w="1253" w:type="dxa"/>
            <w:shd w:val="clear" w:color="auto" w:fill="auto"/>
            <w:noWrap/>
            <w:vAlign w:val="center"/>
          </w:tcPr>
          <w:p w14:paraId="79768A9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0.9286</w:t>
            </w:r>
          </w:p>
        </w:tc>
        <w:tc>
          <w:tcPr>
            <w:tcW w:w="1179" w:type="dxa"/>
            <w:shd w:val="clear" w:color="auto" w:fill="auto"/>
            <w:vAlign w:val="center"/>
          </w:tcPr>
          <w:p w14:paraId="53B08E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7.2 </w:t>
            </w:r>
          </w:p>
        </w:tc>
        <w:tc>
          <w:tcPr>
            <w:tcW w:w="979" w:type="dxa"/>
            <w:shd w:val="clear" w:color="auto" w:fill="auto"/>
            <w:noWrap/>
            <w:vAlign w:val="center"/>
          </w:tcPr>
          <w:p w14:paraId="3751694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0.9222</w:t>
            </w:r>
          </w:p>
        </w:tc>
        <w:tc>
          <w:tcPr>
            <w:tcW w:w="1179" w:type="dxa"/>
            <w:shd w:val="clear" w:color="auto" w:fill="auto"/>
            <w:noWrap/>
            <w:vAlign w:val="center"/>
          </w:tcPr>
          <w:p w14:paraId="493FF80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0.8585</w:t>
            </w:r>
          </w:p>
        </w:tc>
        <w:tc>
          <w:tcPr>
            <w:tcW w:w="1179" w:type="dxa"/>
            <w:shd w:val="clear" w:color="auto" w:fill="auto"/>
            <w:noWrap/>
            <w:vAlign w:val="center"/>
          </w:tcPr>
          <w:p w14:paraId="361AB90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0.7335</w:t>
            </w:r>
          </w:p>
        </w:tc>
      </w:tr>
      <w:tr w14:paraId="563066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13F9B1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2.8 </w:t>
            </w:r>
          </w:p>
        </w:tc>
        <w:tc>
          <w:tcPr>
            <w:tcW w:w="1098" w:type="dxa"/>
            <w:shd w:val="clear" w:color="auto" w:fill="auto"/>
            <w:noWrap/>
            <w:vAlign w:val="center"/>
          </w:tcPr>
          <w:p w14:paraId="502CA7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1.0282</w:t>
            </w:r>
          </w:p>
        </w:tc>
        <w:tc>
          <w:tcPr>
            <w:tcW w:w="1253" w:type="dxa"/>
            <w:shd w:val="clear" w:color="auto" w:fill="auto"/>
            <w:noWrap/>
            <w:vAlign w:val="center"/>
          </w:tcPr>
          <w:p w14:paraId="5C2C630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0.9826</w:t>
            </w:r>
          </w:p>
        </w:tc>
        <w:tc>
          <w:tcPr>
            <w:tcW w:w="1253" w:type="dxa"/>
            <w:shd w:val="clear" w:color="auto" w:fill="auto"/>
            <w:noWrap/>
            <w:vAlign w:val="center"/>
          </w:tcPr>
          <w:p w14:paraId="2DDF6A5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0.9207</w:t>
            </w:r>
          </w:p>
        </w:tc>
        <w:tc>
          <w:tcPr>
            <w:tcW w:w="1179" w:type="dxa"/>
            <w:shd w:val="clear" w:color="auto" w:fill="auto"/>
            <w:vAlign w:val="center"/>
          </w:tcPr>
          <w:p w14:paraId="6F0070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7.3 </w:t>
            </w:r>
          </w:p>
        </w:tc>
        <w:tc>
          <w:tcPr>
            <w:tcW w:w="979" w:type="dxa"/>
            <w:shd w:val="clear" w:color="auto" w:fill="auto"/>
            <w:noWrap/>
            <w:vAlign w:val="center"/>
          </w:tcPr>
          <w:p w14:paraId="7EF3CAA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0.9207</w:t>
            </w:r>
          </w:p>
        </w:tc>
        <w:tc>
          <w:tcPr>
            <w:tcW w:w="1179" w:type="dxa"/>
            <w:shd w:val="clear" w:color="auto" w:fill="auto"/>
            <w:noWrap/>
            <w:vAlign w:val="center"/>
          </w:tcPr>
          <w:p w14:paraId="69B2376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0.8565</w:t>
            </w:r>
          </w:p>
        </w:tc>
        <w:tc>
          <w:tcPr>
            <w:tcW w:w="1179" w:type="dxa"/>
            <w:shd w:val="clear" w:color="auto" w:fill="auto"/>
            <w:noWrap/>
            <w:vAlign w:val="center"/>
          </w:tcPr>
          <w:p w14:paraId="7504DA1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0.7307</w:t>
            </w:r>
          </w:p>
        </w:tc>
      </w:tr>
      <w:tr w14:paraId="0F41F7A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9EC242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2.9 </w:t>
            </w:r>
          </w:p>
        </w:tc>
        <w:tc>
          <w:tcPr>
            <w:tcW w:w="1098" w:type="dxa"/>
            <w:shd w:val="clear" w:color="auto" w:fill="auto"/>
            <w:noWrap/>
            <w:vAlign w:val="center"/>
          </w:tcPr>
          <w:p w14:paraId="1334762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1.0235</w:t>
            </w:r>
          </w:p>
        </w:tc>
        <w:tc>
          <w:tcPr>
            <w:tcW w:w="1253" w:type="dxa"/>
            <w:shd w:val="clear" w:color="auto" w:fill="auto"/>
            <w:noWrap/>
            <w:vAlign w:val="center"/>
          </w:tcPr>
          <w:p w14:paraId="5EA5FC5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0.9777</w:t>
            </w:r>
          </w:p>
        </w:tc>
        <w:tc>
          <w:tcPr>
            <w:tcW w:w="1253" w:type="dxa"/>
            <w:shd w:val="clear" w:color="auto" w:fill="auto"/>
            <w:noWrap/>
            <w:vAlign w:val="center"/>
          </w:tcPr>
          <w:p w14:paraId="20CEF36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0.9133</w:t>
            </w:r>
          </w:p>
        </w:tc>
        <w:tc>
          <w:tcPr>
            <w:tcW w:w="1179" w:type="dxa"/>
            <w:shd w:val="clear" w:color="auto" w:fill="auto"/>
            <w:vAlign w:val="center"/>
          </w:tcPr>
          <w:p w14:paraId="3E5C365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7.4 </w:t>
            </w:r>
          </w:p>
        </w:tc>
        <w:tc>
          <w:tcPr>
            <w:tcW w:w="979" w:type="dxa"/>
            <w:shd w:val="clear" w:color="auto" w:fill="auto"/>
            <w:noWrap/>
            <w:vAlign w:val="center"/>
          </w:tcPr>
          <w:p w14:paraId="729DA0D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0.9193</w:t>
            </w:r>
          </w:p>
        </w:tc>
        <w:tc>
          <w:tcPr>
            <w:tcW w:w="1179" w:type="dxa"/>
            <w:shd w:val="clear" w:color="auto" w:fill="auto"/>
            <w:noWrap/>
            <w:vAlign w:val="center"/>
          </w:tcPr>
          <w:p w14:paraId="24302DE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0.8545</w:t>
            </w:r>
          </w:p>
        </w:tc>
        <w:tc>
          <w:tcPr>
            <w:tcW w:w="1179" w:type="dxa"/>
            <w:shd w:val="clear" w:color="auto" w:fill="auto"/>
            <w:noWrap/>
            <w:vAlign w:val="center"/>
          </w:tcPr>
          <w:p w14:paraId="675DA9A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0.728</w:t>
            </w:r>
          </w:p>
        </w:tc>
      </w:tr>
      <w:tr w14:paraId="697ECD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0C6C44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3.0 </w:t>
            </w:r>
          </w:p>
        </w:tc>
        <w:tc>
          <w:tcPr>
            <w:tcW w:w="1098" w:type="dxa"/>
            <w:shd w:val="clear" w:color="auto" w:fill="auto"/>
            <w:noWrap/>
            <w:vAlign w:val="center"/>
          </w:tcPr>
          <w:p w14:paraId="1464558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1.0191</w:t>
            </w:r>
          </w:p>
        </w:tc>
        <w:tc>
          <w:tcPr>
            <w:tcW w:w="1253" w:type="dxa"/>
            <w:shd w:val="clear" w:color="auto" w:fill="auto"/>
            <w:noWrap/>
            <w:vAlign w:val="center"/>
          </w:tcPr>
          <w:p w14:paraId="6832A49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0.973</w:t>
            </w:r>
          </w:p>
        </w:tc>
        <w:tc>
          <w:tcPr>
            <w:tcW w:w="1253" w:type="dxa"/>
            <w:shd w:val="clear" w:color="auto" w:fill="auto"/>
            <w:noWrap/>
            <w:vAlign w:val="center"/>
          </w:tcPr>
          <w:p w14:paraId="79E2032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0.9063</w:t>
            </w:r>
          </w:p>
        </w:tc>
        <w:tc>
          <w:tcPr>
            <w:tcW w:w="1179" w:type="dxa"/>
            <w:shd w:val="clear" w:color="auto" w:fill="auto"/>
            <w:vAlign w:val="center"/>
          </w:tcPr>
          <w:p w14:paraId="6EA10E5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7.5 </w:t>
            </w:r>
          </w:p>
        </w:tc>
        <w:tc>
          <w:tcPr>
            <w:tcW w:w="979" w:type="dxa"/>
            <w:shd w:val="clear" w:color="auto" w:fill="auto"/>
            <w:noWrap/>
            <w:vAlign w:val="center"/>
          </w:tcPr>
          <w:p w14:paraId="33B031F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0.9179</w:t>
            </w:r>
          </w:p>
        </w:tc>
        <w:tc>
          <w:tcPr>
            <w:tcW w:w="1179" w:type="dxa"/>
            <w:shd w:val="clear" w:color="auto" w:fill="auto"/>
            <w:noWrap/>
            <w:vAlign w:val="center"/>
          </w:tcPr>
          <w:p w14:paraId="0978BAA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0.8525</w:t>
            </w:r>
          </w:p>
        </w:tc>
        <w:tc>
          <w:tcPr>
            <w:tcW w:w="1179" w:type="dxa"/>
            <w:shd w:val="clear" w:color="auto" w:fill="auto"/>
            <w:noWrap/>
            <w:vAlign w:val="center"/>
          </w:tcPr>
          <w:p w14:paraId="779D52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0.7253</w:t>
            </w:r>
          </w:p>
        </w:tc>
      </w:tr>
      <w:tr w14:paraId="20E9CC9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0A2774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3.1 </w:t>
            </w:r>
          </w:p>
        </w:tc>
        <w:tc>
          <w:tcPr>
            <w:tcW w:w="1098" w:type="dxa"/>
            <w:shd w:val="clear" w:color="auto" w:fill="auto"/>
            <w:noWrap/>
            <w:vAlign w:val="center"/>
          </w:tcPr>
          <w:p w14:paraId="33C662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1.0149</w:t>
            </w:r>
          </w:p>
        </w:tc>
        <w:tc>
          <w:tcPr>
            <w:tcW w:w="1253" w:type="dxa"/>
            <w:shd w:val="clear" w:color="auto" w:fill="auto"/>
            <w:noWrap/>
            <w:vAlign w:val="center"/>
          </w:tcPr>
          <w:p w14:paraId="5CB3A5A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0.9684</w:t>
            </w:r>
          </w:p>
        </w:tc>
        <w:tc>
          <w:tcPr>
            <w:tcW w:w="1253" w:type="dxa"/>
            <w:shd w:val="clear" w:color="auto" w:fill="auto"/>
            <w:noWrap/>
            <w:vAlign w:val="center"/>
          </w:tcPr>
          <w:p w14:paraId="72E6322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0.8996</w:t>
            </w:r>
          </w:p>
        </w:tc>
        <w:tc>
          <w:tcPr>
            <w:tcW w:w="1179" w:type="dxa"/>
            <w:shd w:val="clear" w:color="auto" w:fill="auto"/>
            <w:vAlign w:val="center"/>
          </w:tcPr>
          <w:p w14:paraId="041E2CF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7.6</w:t>
            </w:r>
          </w:p>
        </w:tc>
        <w:tc>
          <w:tcPr>
            <w:tcW w:w="979" w:type="dxa"/>
            <w:shd w:val="clear" w:color="auto" w:fill="auto"/>
            <w:noWrap/>
            <w:vAlign w:val="center"/>
          </w:tcPr>
          <w:p w14:paraId="14B0389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0.9165</w:t>
            </w:r>
          </w:p>
        </w:tc>
        <w:tc>
          <w:tcPr>
            <w:tcW w:w="1179" w:type="dxa"/>
            <w:shd w:val="clear" w:color="auto" w:fill="auto"/>
            <w:noWrap/>
            <w:vAlign w:val="center"/>
          </w:tcPr>
          <w:p w14:paraId="477763B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0.8505</w:t>
            </w:r>
          </w:p>
        </w:tc>
        <w:tc>
          <w:tcPr>
            <w:tcW w:w="1179" w:type="dxa"/>
            <w:shd w:val="clear" w:color="auto" w:fill="auto"/>
            <w:noWrap/>
            <w:vAlign w:val="center"/>
          </w:tcPr>
          <w:p w14:paraId="4A39A7D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0.7226</w:t>
            </w:r>
          </w:p>
        </w:tc>
      </w:tr>
      <w:tr w14:paraId="693AAE3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4596CC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3.2 </w:t>
            </w:r>
          </w:p>
        </w:tc>
        <w:tc>
          <w:tcPr>
            <w:tcW w:w="1098" w:type="dxa"/>
            <w:shd w:val="clear" w:color="auto" w:fill="auto"/>
            <w:noWrap/>
            <w:vAlign w:val="center"/>
          </w:tcPr>
          <w:p w14:paraId="35AEFE8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1.0109</w:t>
            </w:r>
          </w:p>
        </w:tc>
        <w:tc>
          <w:tcPr>
            <w:tcW w:w="1253" w:type="dxa"/>
            <w:shd w:val="clear" w:color="auto" w:fill="auto"/>
            <w:noWrap/>
            <w:vAlign w:val="center"/>
          </w:tcPr>
          <w:p w14:paraId="1567AB5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0.964</w:t>
            </w:r>
          </w:p>
        </w:tc>
        <w:tc>
          <w:tcPr>
            <w:tcW w:w="1253" w:type="dxa"/>
            <w:shd w:val="clear" w:color="auto" w:fill="auto"/>
            <w:noWrap/>
            <w:vAlign w:val="center"/>
          </w:tcPr>
          <w:p w14:paraId="452596E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0.8932</w:t>
            </w:r>
          </w:p>
        </w:tc>
        <w:tc>
          <w:tcPr>
            <w:tcW w:w="1179" w:type="dxa"/>
            <w:shd w:val="clear" w:color="auto" w:fill="auto"/>
            <w:vAlign w:val="center"/>
          </w:tcPr>
          <w:p w14:paraId="4E1A00E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7.7 </w:t>
            </w:r>
          </w:p>
        </w:tc>
        <w:tc>
          <w:tcPr>
            <w:tcW w:w="979" w:type="dxa"/>
            <w:shd w:val="clear" w:color="auto" w:fill="auto"/>
            <w:noWrap/>
            <w:vAlign w:val="center"/>
          </w:tcPr>
          <w:p w14:paraId="56A10B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0.9151</w:t>
            </w:r>
          </w:p>
        </w:tc>
        <w:tc>
          <w:tcPr>
            <w:tcW w:w="1179" w:type="dxa"/>
            <w:shd w:val="clear" w:color="auto" w:fill="auto"/>
            <w:noWrap/>
            <w:vAlign w:val="center"/>
          </w:tcPr>
          <w:p w14:paraId="7B4DF98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0.8485</w:t>
            </w:r>
          </w:p>
        </w:tc>
        <w:tc>
          <w:tcPr>
            <w:tcW w:w="1179" w:type="dxa"/>
            <w:shd w:val="clear" w:color="auto" w:fill="auto"/>
            <w:noWrap/>
            <w:vAlign w:val="center"/>
          </w:tcPr>
          <w:p w14:paraId="7969C1B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w:t>
            </w:r>
          </w:p>
        </w:tc>
      </w:tr>
      <w:tr w14:paraId="4E097C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B39D77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3.3 </w:t>
            </w:r>
          </w:p>
        </w:tc>
        <w:tc>
          <w:tcPr>
            <w:tcW w:w="1098" w:type="dxa"/>
            <w:shd w:val="clear" w:color="auto" w:fill="auto"/>
            <w:noWrap/>
            <w:vAlign w:val="center"/>
          </w:tcPr>
          <w:p w14:paraId="450A8F4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1.0071</w:t>
            </w:r>
          </w:p>
        </w:tc>
        <w:tc>
          <w:tcPr>
            <w:tcW w:w="1253" w:type="dxa"/>
            <w:shd w:val="clear" w:color="auto" w:fill="auto"/>
            <w:noWrap/>
            <w:vAlign w:val="center"/>
          </w:tcPr>
          <w:p w14:paraId="4128258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0.9598</w:t>
            </w:r>
          </w:p>
        </w:tc>
        <w:tc>
          <w:tcPr>
            <w:tcW w:w="1253" w:type="dxa"/>
            <w:shd w:val="clear" w:color="auto" w:fill="auto"/>
            <w:noWrap/>
            <w:vAlign w:val="center"/>
          </w:tcPr>
          <w:p w14:paraId="3C33D05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0.8871</w:t>
            </w:r>
          </w:p>
        </w:tc>
        <w:tc>
          <w:tcPr>
            <w:tcW w:w="1179" w:type="dxa"/>
            <w:shd w:val="clear" w:color="auto" w:fill="auto"/>
            <w:vAlign w:val="center"/>
          </w:tcPr>
          <w:p w14:paraId="2ACC1A2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7.8 </w:t>
            </w:r>
          </w:p>
        </w:tc>
        <w:tc>
          <w:tcPr>
            <w:tcW w:w="979" w:type="dxa"/>
            <w:shd w:val="clear" w:color="auto" w:fill="auto"/>
            <w:noWrap/>
            <w:vAlign w:val="center"/>
          </w:tcPr>
          <w:p w14:paraId="7313483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0.9137</w:t>
            </w:r>
          </w:p>
        </w:tc>
        <w:tc>
          <w:tcPr>
            <w:tcW w:w="1179" w:type="dxa"/>
            <w:shd w:val="clear" w:color="auto" w:fill="auto"/>
            <w:noWrap/>
            <w:vAlign w:val="center"/>
          </w:tcPr>
          <w:p w14:paraId="45C74DB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0.8466</w:t>
            </w:r>
          </w:p>
        </w:tc>
        <w:tc>
          <w:tcPr>
            <w:tcW w:w="1179" w:type="dxa"/>
            <w:shd w:val="clear" w:color="auto" w:fill="auto"/>
            <w:noWrap/>
            <w:vAlign w:val="center"/>
          </w:tcPr>
          <w:p w14:paraId="09FD1B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0.7174</w:t>
            </w:r>
          </w:p>
        </w:tc>
      </w:tr>
      <w:tr w14:paraId="409F84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D056EF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3.4 </w:t>
            </w:r>
          </w:p>
        </w:tc>
        <w:tc>
          <w:tcPr>
            <w:tcW w:w="1098" w:type="dxa"/>
            <w:shd w:val="clear" w:color="auto" w:fill="auto"/>
            <w:noWrap/>
            <w:vAlign w:val="center"/>
          </w:tcPr>
          <w:p w14:paraId="347E867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1.0035</w:t>
            </w:r>
          </w:p>
        </w:tc>
        <w:tc>
          <w:tcPr>
            <w:tcW w:w="1253" w:type="dxa"/>
            <w:shd w:val="clear" w:color="auto" w:fill="auto"/>
            <w:noWrap/>
            <w:vAlign w:val="center"/>
          </w:tcPr>
          <w:p w14:paraId="74F97E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0.9558</w:t>
            </w:r>
          </w:p>
        </w:tc>
        <w:tc>
          <w:tcPr>
            <w:tcW w:w="1253" w:type="dxa"/>
            <w:shd w:val="clear" w:color="auto" w:fill="auto"/>
            <w:noWrap/>
            <w:vAlign w:val="center"/>
          </w:tcPr>
          <w:p w14:paraId="2281D30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0.8812</w:t>
            </w:r>
          </w:p>
        </w:tc>
        <w:tc>
          <w:tcPr>
            <w:tcW w:w="1179" w:type="dxa"/>
            <w:shd w:val="clear" w:color="auto" w:fill="auto"/>
            <w:vAlign w:val="center"/>
          </w:tcPr>
          <w:p w14:paraId="69890CC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7.9 </w:t>
            </w:r>
          </w:p>
        </w:tc>
        <w:tc>
          <w:tcPr>
            <w:tcW w:w="979" w:type="dxa"/>
            <w:shd w:val="clear" w:color="auto" w:fill="auto"/>
            <w:noWrap/>
            <w:vAlign w:val="center"/>
          </w:tcPr>
          <w:p w14:paraId="49BD183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0.9123</w:t>
            </w:r>
          </w:p>
        </w:tc>
        <w:tc>
          <w:tcPr>
            <w:tcW w:w="1179" w:type="dxa"/>
            <w:shd w:val="clear" w:color="auto" w:fill="auto"/>
            <w:noWrap/>
            <w:vAlign w:val="center"/>
          </w:tcPr>
          <w:p w14:paraId="76561C7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0.8447</w:t>
            </w:r>
          </w:p>
        </w:tc>
        <w:tc>
          <w:tcPr>
            <w:tcW w:w="1179" w:type="dxa"/>
            <w:shd w:val="clear" w:color="auto" w:fill="auto"/>
            <w:noWrap/>
            <w:vAlign w:val="center"/>
          </w:tcPr>
          <w:p w14:paraId="608DF29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0.7148</w:t>
            </w:r>
          </w:p>
        </w:tc>
      </w:tr>
      <w:tr w14:paraId="48C2AAE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2AB554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3.5 </w:t>
            </w:r>
          </w:p>
        </w:tc>
        <w:tc>
          <w:tcPr>
            <w:tcW w:w="1098" w:type="dxa"/>
            <w:shd w:val="clear" w:color="auto" w:fill="auto"/>
            <w:noWrap/>
            <w:vAlign w:val="center"/>
          </w:tcPr>
          <w:p w14:paraId="41F36DC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1253" w:type="dxa"/>
            <w:shd w:val="clear" w:color="auto" w:fill="auto"/>
            <w:noWrap/>
            <w:vAlign w:val="center"/>
          </w:tcPr>
          <w:p w14:paraId="32C6E46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0.952</w:t>
            </w:r>
          </w:p>
        </w:tc>
        <w:tc>
          <w:tcPr>
            <w:tcW w:w="1253" w:type="dxa"/>
            <w:shd w:val="clear" w:color="auto" w:fill="auto"/>
            <w:noWrap/>
            <w:vAlign w:val="center"/>
          </w:tcPr>
          <w:p w14:paraId="133501F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0.8755</w:t>
            </w:r>
          </w:p>
        </w:tc>
        <w:tc>
          <w:tcPr>
            <w:tcW w:w="1179" w:type="dxa"/>
            <w:shd w:val="clear" w:color="auto" w:fill="auto"/>
            <w:vAlign w:val="center"/>
          </w:tcPr>
          <w:p w14:paraId="7399EDB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8.0 </w:t>
            </w:r>
          </w:p>
        </w:tc>
        <w:tc>
          <w:tcPr>
            <w:tcW w:w="979" w:type="dxa"/>
            <w:shd w:val="clear" w:color="auto" w:fill="auto"/>
            <w:noWrap/>
            <w:vAlign w:val="center"/>
          </w:tcPr>
          <w:p w14:paraId="7341AF7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0.9109</w:t>
            </w:r>
          </w:p>
        </w:tc>
        <w:tc>
          <w:tcPr>
            <w:tcW w:w="1179" w:type="dxa"/>
            <w:shd w:val="clear" w:color="auto" w:fill="auto"/>
            <w:noWrap/>
            <w:vAlign w:val="center"/>
          </w:tcPr>
          <w:p w14:paraId="39F6542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0.8428</w:t>
            </w:r>
          </w:p>
        </w:tc>
        <w:tc>
          <w:tcPr>
            <w:tcW w:w="1179" w:type="dxa"/>
            <w:shd w:val="clear" w:color="auto" w:fill="auto"/>
            <w:noWrap/>
            <w:vAlign w:val="center"/>
          </w:tcPr>
          <w:p w14:paraId="3A0765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0.7123</w:t>
            </w:r>
          </w:p>
        </w:tc>
      </w:tr>
      <w:tr w14:paraId="6F92E1D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F2405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3.6 </w:t>
            </w:r>
          </w:p>
        </w:tc>
        <w:tc>
          <w:tcPr>
            <w:tcW w:w="1098" w:type="dxa"/>
            <w:shd w:val="clear" w:color="auto" w:fill="auto"/>
            <w:noWrap/>
            <w:vAlign w:val="center"/>
          </w:tcPr>
          <w:p w14:paraId="53F6396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0.9966</w:t>
            </w:r>
          </w:p>
        </w:tc>
        <w:tc>
          <w:tcPr>
            <w:tcW w:w="1253" w:type="dxa"/>
            <w:shd w:val="clear" w:color="auto" w:fill="auto"/>
            <w:noWrap/>
            <w:vAlign w:val="center"/>
          </w:tcPr>
          <w:p w14:paraId="280436F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0.9484</w:t>
            </w:r>
          </w:p>
        </w:tc>
        <w:tc>
          <w:tcPr>
            <w:tcW w:w="1253" w:type="dxa"/>
            <w:shd w:val="clear" w:color="auto" w:fill="auto"/>
            <w:noWrap/>
            <w:vAlign w:val="center"/>
          </w:tcPr>
          <w:p w14:paraId="44BCD3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w:t>
            </w:r>
          </w:p>
        </w:tc>
        <w:tc>
          <w:tcPr>
            <w:tcW w:w="1179" w:type="dxa"/>
            <w:shd w:val="clear" w:color="auto" w:fill="auto"/>
            <w:vAlign w:val="center"/>
          </w:tcPr>
          <w:p w14:paraId="1B10A38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8.1 </w:t>
            </w:r>
          </w:p>
        </w:tc>
        <w:tc>
          <w:tcPr>
            <w:tcW w:w="979" w:type="dxa"/>
            <w:shd w:val="clear" w:color="auto" w:fill="auto"/>
            <w:noWrap/>
            <w:vAlign w:val="center"/>
          </w:tcPr>
          <w:p w14:paraId="685E678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0.9096</w:t>
            </w:r>
          </w:p>
        </w:tc>
        <w:tc>
          <w:tcPr>
            <w:tcW w:w="1179" w:type="dxa"/>
            <w:shd w:val="clear" w:color="auto" w:fill="auto"/>
            <w:noWrap/>
            <w:vAlign w:val="center"/>
          </w:tcPr>
          <w:p w14:paraId="08B69F0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0.8409</w:t>
            </w:r>
          </w:p>
        </w:tc>
        <w:tc>
          <w:tcPr>
            <w:tcW w:w="1179" w:type="dxa"/>
            <w:shd w:val="clear" w:color="auto" w:fill="auto"/>
            <w:noWrap/>
            <w:vAlign w:val="center"/>
          </w:tcPr>
          <w:p w14:paraId="61009CF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0.7098</w:t>
            </w:r>
          </w:p>
        </w:tc>
      </w:tr>
      <w:tr w14:paraId="3F9FD9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0EE9F5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3.7 </w:t>
            </w:r>
          </w:p>
        </w:tc>
        <w:tc>
          <w:tcPr>
            <w:tcW w:w="1098" w:type="dxa"/>
            <w:shd w:val="clear" w:color="auto" w:fill="auto"/>
            <w:noWrap/>
            <w:vAlign w:val="center"/>
          </w:tcPr>
          <w:p w14:paraId="0D649DB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0.9933</w:t>
            </w:r>
          </w:p>
        </w:tc>
        <w:tc>
          <w:tcPr>
            <w:tcW w:w="1253" w:type="dxa"/>
            <w:shd w:val="clear" w:color="auto" w:fill="auto"/>
            <w:noWrap/>
            <w:vAlign w:val="center"/>
          </w:tcPr>
          <w:p w14:paraId="68030A6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0.945</w:t>
            </w:r>
          </w:p>
        </w:tc>
        <w:tc>
          <w:tcPr>
            <w:tcW w:w="1253" w:type="dxa"/>
            <w:shd w:val="clear" w:color="auto" w:fill="auto"/>
            <w:noWrap/>
            <w:vAlign w:val="center"/>
          </w:tcPr>
          <w:p w14:paraId="57B245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0.8647</w:t>
            </w:r>
          </w:p>
        </w:tc>
        <w:tc>
          <w:tcPr>
            <w:tcW w:w="1179" w:type="dxa"/>
            <w:shd w:val="clear" w:color="auto" w:fill="auto"/>
            <w:vAlign w:val="center"/>
          </w:tcPr>
          <w:p w14:paraId="6D1ED2D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8.2 </w:t>
            </w:r>
          </w:p>
        </w:tc>
        <w:tc>
          <w:tcPr>
            <w:tcW w:w="979" w:type="dxa"/>
            <w:shd w:val="clear" w:color="auto" w:fill="auto"/>
            <w:noWrap/>
            <w:vAlign w:val="center"/>
          </w:tcPr>
          <w:p w14:paraId="528B9D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0.9083</w:t>
            </w:r>
          </w:p>
        </w:tc>
        <w:tc>
          <w:tcPr>
            <w:tcW w:w="1179" w:type="dxa"/>
            <w:shd w:val="clear" w:color="auto" w:fill="auto"/>
            <w:noWrap/>
            <w:vAlign w:val="center"/>
          </w:tcPr>
          <w:p w14:paraId="512C132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0.839</w:t>
            </w:r>
          </w:p>
        </w:tc>
        <w:tc>
          <w:tcPr>
            <w:tcW w:w="1179" w:type="dxa"/>
            <w:shd w:val="clear" w:color="auto" w:fill="auto"/>
            <w:noWrap/>
            <w:vAlign w:val="center"/>
          </w:tcPr>
          <w:p w14:paraId="22E829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0.7073</w:t>
            </w:r>
          </w:p>
        </w:tc>
      </w:tr>
      <w:tr w14:paraId="327A63D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25A8BE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3.8 </w:t>
            </w:r>
          </w:p>
        </w:tc>
        <w:tc>
          <w:tcPr>
            <w:tcW w:w="1098" w:type="dxa"/>
            <w:shd w:val="clear" w:color="auto" w:fill="auto"/>
            <w:noWrap/>
            <w:vAlign w:val="center"/>
          </w:tcPr>
          <w:p w14:paraId="16B500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0.9901</w:t>
            </w:r>
          </w:p>
        </w:tc>
        <w:tc>
          <w:tcPr>
            <w:tcW w:w="1253" w:type="dxa"/>
            <w:shd w:val="clear" w:color="auto" w:fill="auto"/>
            <w:noWrap/>
            <w:vAlign w:val="center"/>
          </w:tcPr>
          <w:p w14:paraId="38F3EA6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0.9417</w:t>
            </w:r>
          </w:p>
        </w:tc>
        <w:tc>
          <w:tcPr>
            <w:tcW w:w="1253" w:type="dxa"/>
            <w:shd w:val="clear" w:color="auto" w:fill="auto"/>
            <w:noWrap/>
            <w:vAlign w:val="center"/>
          </w:tcPr>
          <w:p w14:paraId="0074ABB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0.8596</w:t>
            </w:r>
          </w:p>
        </w:tc>
        <w:tc>
          <w:tcPr>
            <w:tcW w:w="1179" w:type="dxa"/>
            <w:shd w:val="clear" w:color="auto" w:fill="auto"/>
            <w:vAlign w:val="center"/>
          </w:tcPr>
          <w:p w14:paraId="16EB6E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8.3 </w:t>
            </w:r>
          </w:p>
        </w:tc>
        <w:tc>
          <w:tcPr>
            <w:tcW w:w="979" w:type="dxa"/>
            <w:shd w:val="clear" w:color="auto" w:fill="auto"/>
            <w:noWrap/>
            <w:vAlign w:val="center"/>
          </w:tcPr>
          <w:p w14:paraId="60EFB6F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0.907</w:t>
            </w:r>
          </w:p>
        </w:tc>
        <w:tc>
          <w:tcPr>
            <w:tcW w:w="1179" w:type="dxa"/>
            <w:shd w:val="clear" w:color="auto" w:fill="auto"/>
            <w:noWrap/>
            <w:vAlign w:val="center"/>
          </w:tcPr>
          <w:p w14:paraId="674B845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0.8372</w:t>
            </w:r>
          </w:p>
        </w:tc>
        <w:tc>
          <w:tcPr>
            <w:tcW w:w="1179" w:type="dxa"/>
            <w:shd w:val="clear" w:color="auto" w:fill="auto"/>
            <w:noWrap/>
            <w:vAlign w:val="center"/>
          </w:tcPr>
          <w:p w14:paraId="572145A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0.7049</w:t>
            </w:r>
          </w:p>
        </w:tc>
      </w:tr>
      <w:tr w14:paraId="6F5F0E5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C55548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3.9 </w:t>
            </w:r>
          </w:p>
        </w:tc>
        <w:tc>
          <w:tcPr>
            <w:tcW w:w="1098" w:type="dxa"/>
            <w:shd w:val="clear" w:color="auto" w:fill="auto"/>
            <w:noWrap/>
            <w:vAlign w:val="center"/>
          </w:tcPr>
          <w:p w14:paraId="10995B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0.987</w:t>
            </w:r>
          </w:p>
        </w:tc>
        <w:tc>
          <w:tcPr>
            <w:tcW w:w="1253" w:type="dxa"/>
            <w:shd w:val="clear" w:color="auto" w:fill="auto"/>
            <w:noWrap/>
            <w:vAlign w:val="center"/>
          </w:tcPr>
          <w:p w14:paraId="664898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0.9385</w:t>
            </w:r>
          </w:p>
        </w:tc>
        <w:tc>
          <w:tcPr>
            <w:tcW w:w="1253" w:type="dxa"/>
            <w:shd w:val="clear" w:color="auto" w:fill="auto"/>
            <w:noWrap/>
            <w:vAlign w:val="center"/>
          </w:tcPr>
          <w:p w14:paraId="0A1194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0.8547</w:t>
            </w:r>
          </w:p>
        </w:tc>
        <w:tc>
          <w:tcPr>
            <w:tcW w:w="1179" w:type="dxa"/>
            <w:shd w:val="clear" w:color="auto" w:fill="auto"/>
            <w:vAlign w:val="center"/>
          </w:tcPr>
          <w:p w14:paraId="5F8AD59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8.4 </w:t>
            </w:r>
          </w:p>
        </w:tc>
        <w:tc>
          <w:tcPr>
            <w:tcW w:w="979" w:type="dxa"/>
            <w:shd w:val="clear" w:color="auto" w:fill="auto"/>
            <w:noWrap/>
            <w:vAlign w:val="center"/>
          </w:tcPr>
          <w:p w14:paraId="6C30A9A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0.9057</w:t>
            </w:r>
          </w:p>
        </w:tc>
        <w:tc>
          <w:tcPr>
            <w:tcW w:w="1179" w:type="dxa"/>
            <w:shd w:val="clear" w:color="auto" w:fill="auto"/>
            <w:noWrap/>
            <w:vAlign w:val="center"/>
          </w:tcPr>
          <w:p w14:paraId="21E8E3B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0.8354</w:t>
            </w:r>
          </w:p>
        </w:tc>
        <w:tc>
          <w:tcPr>
            <w:tcW w:w="1179" w:type="dxa"/>
            <w:shd w:val="clear" w:color="auto" w:fill="auto"/>
            <w:noWrap/>
            <w:vAlign w:val="center"/>
          </w:tcPr>
          <w:p w14:paraId="7E7526D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0.7025</w:t>
            </w:r>
          </w:p>
        </w:tc>
      </w:tr>
      <w:tr w14:paraId="2722887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CB7227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4.0 </w:t>
            </w:r>
          </w:p>
        </w:tc>
        <w:tc>
          <w:tcPr>
            <w:tcW w:w="1098" w:type="dxa"/>
            <w:shd w:val="clear" w:color="auto" w:fill="auto"/>
            <w:noWrap/>
            <w:vAlign w:val="center"/>
          </w:tcPr>
          <w:p w14:paraId="08B1DB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0.984</w:t>
            </w:r>
          </w:p>
        </w:tc>
        <w:tc>
          <w:tcPr>
            <w:tcW w:w="1253" w:type="dxa"/>
            <w:shd w:val="clear" w:color="auto" w:fill="auto"/>
            <w:noWrap/>
            <w:vAlign w:val="center"/>
          </w:tcPr>
          <w:p w14:paraId="2A3F17D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0.9354</w:t>
            </w:r>
          </w:p>
        </w:tc>
        <w:tc>
          <w:tcPr>
            <w:tcW w:w="1253" w:type="dxa"/>
            <w:shd w:val="clear" w:color="auto" w:fill="auto"/>
            <w:noWrap/>
            <w:vAlign w:val="center"/>
          </w:tcPr>
          <w:p w14:paraId="5182787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0.8499</w:t>
            </w:r>
          </w:p>
        </w:tc>
        <w:tc>
          <w:tcPr>
            <w:tcW w:w="1179" w:type="dxa"/>
            <w:shd w:val="clear" w:color="auto" w:fill="auto"/>
            <w:vAlign w:val="center"/>
          </w:tcPr>
          <w:p w14:paraId="1554FDA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8.5 </w:t>
            </w:r>
          </w:p>
        </w:tc>
        <w:tc>
          <w:tcPr>
            <w:tcW w:w="979" w:type="dxa"/>
            <w:shd w:val="clear" w:color="auto" w:fill="auto"/>
            <w:noWrap/>
            <w:vAlign w:val="center"/>
          </w:tcPr>
          <w:p w14:paraId="7894740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0.9044</w:t>
            </w:r>
          </w:p>
        </w:tc>
        <w:tc>
          <w:tcPr>
            <w:tcW w:w="1179" w:type="dxa"/>
            <w:shd w:val="clear" w:color="auto" w:fill="auto"/>
            <w:noWrap/>
            <w:vAlign w:val="center"/>
          </w:tcPr>
          <w:p w14:paraId="7234AB8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0.8336</w:t>
            </w:r>
          </w:p>
        </w:tc>
        <w:tc>
          <w:tcPr>
            <w:tcW w:w="1179" w:type="dxa"/>
            <w:shd w:val="clear" w:color="auto" w:fill="auto"/>
            <w:noWrap/>
            <w:vAlign w:val="center"/>
          </w:tcPr>
          <w:p w14:paraId="69A62D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0.7001</w:t>
            </w:r>
          </w:p>
        </w:tc>
      </w:tr>
      <w:tr w14:paraId="184D997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2D9975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4.1 </w:t>
            </w:r>
          </w:p>
        </w:tc>
        <w:tc>
          <w:tcPr>
            <w:tcW w:w="1098" w:type="dxa"/>
            <w:shd w:val="clear" w:color="auto" w:fill="auto"/>
            <w:noWrap/>
            <w:vAlign w:val="center"/>
          </w:tcPr>
          <w:p w14:paraId="208EDBB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0.9811</w:t>
            </w:r>
          </w:p>
        </w:tc>
        <w:tc>
          <w:tcPr>
            <w:tcW w:w="1253" w:type="dxa"/>
            <w:shd w:val="clear" w:color="auto" w:fill="auto"/>
            <w:noWrap/>
            <w:vAlign w:val="center"/>
          </w:tcPr>
          <w:p w14:paraId="238FB48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0.9324</w:t>
            </w:r>
          </w:p>
        </w:tc>
        <w:tc>
          <w:tcPr>
            <w:tcW w:w="1253" w:type="dxa"/>
            <w:shd w:val="clear" w:color="auto" w:fill="auto"/>
            <w:noWrap/>
            <w:vAlign w:val="center"/>
          </w:tcPr>
          <w:p w14:paraId="5B0C75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0.8452</w:t>
            </w:r>
          </w:p>
        </w:tc>
        <w:tc>
          <w:tcPr>
            <w:tcW w:w="1179" w:type="dxa"/>
            <w:shd w:val="clear" w:color="auto" w:fill="auto"/>
            <w:vAlign w:val="center"/>
          </w:tcPr>
          <w:p w14:paraId="07F5682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8.6 </w:t>
            </w:r>
          </w:p>
        </w:tc>
        <w:tc>
          <w:tcPr>
            <w:tcW w:w="979" w:type="dxa"/>
            <w:shd w:val="clear" w:color="auto" w:fill="auto"/>
            <w:noWrap/>
            <w:vAlign w:val="center"/>
          </w:tcPr>
          <w:p w14:paraId="6CA93D6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0.9031</w:t>
            </w:r>
          </w:p>
        </w:tc>
        <w:tc>
          <w:tcPr>
            <w:tcW w:w="1179" w:type="dxa"/>
            <w:shd w:val="clear" w:color="auto" w:fill="auto"/>
            <w:noWrap/>
            <w:vAlign w:val="center"/>
          </w:tcPr>
          <w:p w14:paraId="33A4F90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0.8318</w:t>
            </w:r>
          </w:p>
        </w:tc>
        <w:tc>
          <w:tcPr>
            <w:tcW w:w="1179" w:type="dxa"/>
            <w:shd w:val="clear" w:color="auto" w:fill="auto"/>
            <w:noWrap/>
            <w:vAlign w:val="center"/>
          </w:tcPr>
          <w:p w14:paraId="5AF230F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0.6978</w:t>
            </w:r>
          </w:p>
        </w:tc>
      </w:tr>
      <w:tr w14:paraId="54E7D32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40588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4.2 </w:t>
            </w:r>
          </w:p>
        </w:tc>
        <w:tc>
          <w:tcPr>
            <w:tcW w:w="1098" w:type="dxa"/>
            <w:shd w:val="clear" w:color="auto" w:fill="auto"/>
            <w:noWrap/>
            <w:vAlign w:val="center"/>
          </w:tcPr>
          <w:p w14:paraId="135A41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0.9783</w:t>
            </w:r>
          </w:p>
        </w:tc>
        <w:tc>
          <w:tcPr>
            <w:tcW w:w="1253" w:type="dxa"/>
            <w:shd w:val="clear" w:color="auto" w:fill="auto"/>
            <w:noWrap/>
            <w:vAlign w:val="center"/>
          </w:tcPr>
          <w:p w14:paraId="08992D0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0.9295</w:t>
            </w:r>
          </w:p>
        </w:tc>
        <w:tc>
          <w:tcPr>
            <w:tcW w:w="1253" w:type="dxa"/>
            <w:shd w:val="clear" w:color="auto" w:fill="auto"/>
            <w:noWrap/>
            <w:vAlign w:val="center"/>
          </w:tcPr>
          <w:p w14:paraId="7760596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0.8406</w:t>
            </w:r>
          </w:p>
        </w:tc>
        <w:tc>
          <w:tcPr>
            <w:tcW w:w="1179" w:type="dxa"/>
            <w:shd w:val="clear" w:color="auto" w:fill="auto"/>
            <w:vAlign w:val="center"/>
          </w:tcPr>
          <w:p w14:paraId="4653912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8.7 </w:t>
            </w:r>
          </w:p>
        </w:tc>
        <w:tc>
          <w:tcPr>
            <w:tcW w:w="979" w:type="dxa"/>
            <w:shd w:val="clear" w:color="auto" w:fill="auto"/>
            <w:noWrap/>
            <w:vAlign w:val="center"/>
          </w:tcPr>
          <w:p w14:paraId="0EF5387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0.9018</w:t>
            </w:r>
          </w:p>
        </w:tc>
        <w:tc>
          <w:tcPr>
            <w:tcW w:w="1179" w:type="dxa"/>
            <w:shd w:val="clear" w:color="auto" w:fill="auto"/>
            <w:noWrap/>
            <w:vAlign w:val="center"/>
          </w:tcPr>
          <w:p w14:paraId="70836A1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w:t>
            </w:r>
          </w:p>
        </w:tc>
        <w:tc>
          <w:tcPr>
            <w:tcW w:w="1179" w:type="dxa"/>
            <w:shd w:val="clear" w:color="auto" w:fill="auto"/>
            <w:noWrap/>
            <w:vAlign w:val="center"/>
          </w:tcPr>
          <w:p w14:paraId="7C89FE2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0.6955</w:t>
            </w:r>
          </w:p>
        </w:tc>
      </w:tr>
      <w:tr w14:paraId="2829898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C9BF61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4.3 </w:t>
            </w:r>
          </w:p>
        </w:tc>
        <w:tc>
          <w:tcPr>
            <w:tcW w:w="1098" w:type="dxa"/>
            <w:shd w:val="clear" w:color="auto" w:fill="auto"/>
            <w:noWrap/>
            <w:vAlign w:val="center"/>
          </w:tcPr>
          <w:p w14:paraId="663D1E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0.9756</w:t>
            </w:r>
          </w:p>
        </w:tc>
        <w:tc>
          <w:tcPr>
            <w:tcW w:w="1253" w:type="dxa"/>
            <w:shd w:val="clear" w:color="auto" w:fill="auto"/>
            <w:noWrap/>
            <w:vAlign w:val="center"/>
          </w:tcPr>
          <w:p w14:paraId="51B8E9C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0.9267</w:t>
            </w:r>
          </w:p>
        </w:tc>
        <w:tc>
          <w:tcPr>
            <w:tcW w:w="1253" w:type="dxa"/>
            <w:shd w:val="clear" w:color="auto" w:fill="auto"/>
            <w:noWrap/>
            <w:vAlign w:val="center"/>
          </w:tcPr>
          <w:p w14:paraId="3DECFCF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0.8361</w:t>
            </w:r>
          </w:p>
        </w:tc>
        <w:tc>
          <w:tcPr>
            <w:tcW w:w="1179" w:type="dxa"/>
            <w:shd w:val="clear" w:color="auto" w:fill="auto"/>
            <w:vAlign w:val="center"/>
          </w:tcPr>
          <w:p w14:paraId="47B2484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8.8 </w:t>
            </w:r>
          </w:p>
        </w:tc>
        <w:tc>
          <w:tcPr>
            <w:tcW w:w="979" w:type="dxa"/>
            <w:shd w:val="clear" w:color="auto" w:fill="auto"/>
            <w:noWrap/>
            <w:vAlign w:val="center"/>
          </w:tcPr>
          <w:p w14:paraId="1D8AD75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0.9006</w:t>
            </w:r>
          </w:p>
        </w:tc>
        <w:tc>
          <w:tcPr>
            <w:tcW w:w="1179" w:type="dxa"/>
            <w:shd w:val="clear" w:color="auto" w:fill="auto"/>
            <w:noWrap/>
            <w:vAlign w:val="center"/>
          </w:tcPr>
          <w:p w14:paraId="72748D8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0.8283</w:t>
            </w:r>
          </w:p>
        </w:tc>
        <w:tc>
          <w:tcPr>
            <w:tcW w:w="1179" w:type="dxa"/>
            <w:shd w:val="clear" w:color="auto" w:fill="auto"/>
            <w:noWrap/>
            <w:vAlign w:val="center"/>
          </w:tcPr>
          <w:p w14:paraId="7C6776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0.6932</w:t>
            </w:r>
          </w:p>
        </w:tc>
      </w:tr>
      <w:tr w14:paraId="364159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C8EA72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4.4 </w:t>
            </w:r>
          </w:p>
        </w:tc>
        <w:tc>
          <w:tcPr>
            <w:tcW w:w="1098" w:type="dxa"/>
            <w:shd w:val="clear" w:color="auto" w:fill="auto"/>
            <w:noWrap/>
            <w:vAlign w:val="center"/>
          </w:tcPr>
          <w:p w14:paraId="67B0A26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0.973</w:t>
            </w:r>
          </w:p>
        </w:tc>
        <w:tc>
          <w:tcPr>
            <w:tcW w:w="1253" w:type="dxa"/>
            <w:shd w:val="clear" w:color="auto" w:fill="auto"/>
            <w:noWrap/>
            <w:vAlign w:val="center"/>
          </w:tcPr>
          <w:p w14:paraId="7E53D5B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0.924</w:t>
            </w:r>
          </w:p>
        </w:tc>
        <w:tc>
          <w:tcPr>
            <w:tcW w:w="1253" w:type="dxa"/>
            <w:shd w:val="clear" w:color="auto" w:fill="auto"/>
            <w:noWrap/>
            <w:vAlign w:val="center"/>
          </w:tcPr>
          <w:p w14:paraId="713B789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0.8317</w:t>
            </w:r>
          </w:p>
        </w:tc>
        <w:tc>
          <w:tcPr>
            <w:tcW w:w="1179" w:type="dxa"/>
            <w:shd w:val="clear" w:color="auto" w:fill="auto"/>
            <w:vAlign w:val="center"/>
          </w:tcPr>
          <w:p w14:paraId="118E3D4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8.9 </w:t>
            </w:r>
          </w:p>
        </w:tc>
        <w:tc>
          <w:tcPr>
            <w:tcW w:w="979" w:type="dxa"/>
            <w:shd w:val="clear" w:color="auto" w:fill="auto"/>
            <w:noWrap/>
            <w:vAlign w:val="center"/>
          </w:tcPr>
          <w:p w14:paraId="18D0BEF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0.8994</w:t>
            </w:r>
          </w:p>
        </w:tc>
        <w:tc>
          <w:tcPr>
            <w:tcW w:w="1179" w:type="dxa"/>
            <w:shd w:val="clear" w:color="auto" w:fill="auto"/>
            <w:noWrap/>
            <w:vAlign w:val="center"/>
          </w:tcPr>
          <w:p w14:paraId="1B3A766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0.8266</w:t>
            </w:r>
          </w:p>
        </w:tc>
        <w:tc>
          <w:tcPr>
            <w:tcW w:w="1179" w:type="dxa"/>
            <w:shd w:val="clear" w:color="auto" w:fill="auto"/>
            <w:noWrap/>
            <w:vAlign w:val="center"/>
          </w:tcPr>
          <w:p w14:paraId="2CDD062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0.691</w:t>
            </w:r>
          </w:p>
        </w:tc>
      </w:tr>
      <w:tr w14:paraId="72A88C7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41F460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4.5 </w:t>
            </w:r>
          </w:p>
        </w:tc>
        <w:tc>
          <w:tcPr>
            <w:tcW w:w="1098" w:type="dxa"/>
            <w:shd w:val="clear" w:color="auto" w:fill="auto"/>
            <w:noWrap/>
            <w:vAlign w:val="center"/>
          </w:tcPr>
          <w:p w14:paraId="3ECE164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0.9705</w:t>
            </w:r>
          </w:p>
        </w:tc>
        <w:tc>
          <w:tcPr>
            <w:tcW w:w="1253" w:type="dxa"/>
            <w:shd w:val="clear" w:color="auto" w:fill="auto"/>
            <w:noWrap/>
            <w:vAlign w:val="center"/>
          </w:tcPr>
          <w:p w14:paraId="0339107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0.9213</w:t>
            </w:r>
          </w:p>
        </w:tc>
        <w:tc>
          <w:tcPr>
            <w:tcW w:w="1253" w:type="dxa"/>
            <w:shd w:val="clear" w:color="auto" w:fill="auto"/>
            <w:noWrap/>
            <w:vAlign w:val="center"/>
          </w:tcPr>
          <w:p w14:paraId="3F3A407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0.8274</w:t>
            </w:r>
          </w:p>
        </w:tc>
        <w:tc>
          <w:tcPr>
            <w:tcW w:w="1179" w:type="dxa"/>
            <w:shd w:val="clear" w:color="auto" w:fill="auto"/>
            <w:vAlign w:val="center"/>
          </w:tcPr>
          <w:p w14:paraId="38C7B96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9.0 </w:t>
            </w:r>
          </w:p>
        </w:tc>
        <w:tc>
          <w:tcPr>
            <w:tcW w:w="979" w:type="dxa"/>
            <w:shd w:val="clear" w:color="auto" w:fill="auto"/>
            <w:noWrap/>
            <w:vAlign w:val="center"/>
          </w:tcPr>
          <w:p w14:paraId="61214A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0.8982</w:t>
            </w:r>
          </w:p>
        </w:tc>
        <w:tc>
          <w:tcPr>
            <w:tcW w:w="1179" w:type="dxa"/>
            <w:shd w:val="clear" w:color="auto" w:fill="auto"/>
            <w:noWrap/>
            <w:vAlign w:val="center"/>
          </w:tcPr>
          <w:p w14:paraId="553FDA9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0.8249</w:t>
            </w:r>
          </w:p>
        </w:tc>
        <w:tc>
          <w:tcPr>
            <w:tcW w:w="1179" w:type="dxa"/>
            <w:shd w:val="clear" w:color="auto" w:fill="auto"/>
            <w:noWrap/>
            <w:vAlign w:val="center"/>
          </w:tcPr>
          <w:p w14:paraId="0DB1A2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0.6888</w:t>
            </w:r>
          </w:p>
        </w:tc>
      </w:tr>
      <w:tr w14:paraId="4AB3B65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720A5F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4.6 </w:t>
            </w:r>
          </w:p>
        </w:tc>
        <w:tc>
          <w:tcPr>
            <w:tcW w:w="1098" w:type="dxa"/>
            <w:shd w:val="clear" w:color="auto" w:fill="auto"/>
            <w:noWrap/>
            <w:vAlign w:val="center"/>
          </w:tcPr>
          <w:p w14:paraId="4A8ACEC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0.9681</w:t>
            </w:r>
          </w:p>
        </w:tc>
        <w:tc>
          <w:tcPr>
            <w:tcW w:w="1253" w:type="dxa"/>
            <w:shd w:val="clear" w:color="auto" w:fill="auto"/>
            <w:noWrap/>
            <w:vAlign w:val="center"/>
          </w:tcPr>
          <w:p w14:paraId="4A2B023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0.9187</w:t>
            </w:r>
          </w:p>
        </w:tc>
        <w:tc>
          <w:tcPr>
            <w:tcW w:w="1253" w:type="dxa"/>
            <w:shd w:val="clear" w:color="auto" w:fill="auto"/>
            <w:noWrap/>
            <w:vAlign w:val="center"/>
          </w:tcPr>
          <w:p w14:paraId="6F0160C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0.8232</w:t>
            </w:r>
          </w:p>
        </w:tc>
        <w:tc>
          <w:tcPr>
            <w:tcW w:w="1179" w:type="dxa"/>
            <w:shd w:val="clear" w:color="auto" w:fill="auto"/>
            <w:vAlign w:val="center"/>
          </w:tcPr>
          <w:p w14:paraId="22EAC0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9.1 </w:t>
            </w:r>
          </w:p>
        </w:tc>
        <w:tc>
          <w:tcPr>
            <w:tcW w:w="979" w:type="dxa"/>
            <w:shd w:val="clear" w:color="auto" w:fill="auto"/>
            <w:noWrap/>
            <w:vAlign w:val="center"/>
          </w:tcPr>
          <w:p w14:paraId="22DC8C4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0.897</w:t>
            </w:r>
          </w:p>
        </w:tc>
        <w:tc>
          <w:tcPr>
            <w:tcW w:w="1179" w:type="dxa"/>
            <w:shd w:val="clear" w:color="auto" w:fill="auto"/>
            <w:noWrap/>
            <w:vAlign w:val="center"/>
          </w:tcPr>
          <w:p w14:paraId="01FEE75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0.8232</w:t>
            </w:r>
          </w:p>
        </w:tc>
        <w:tc>
          <w:tcPr>
            <w:tcW w:w="1179" w:type="dxa"/>
            <w:shd w:val="clear" w:color="auto" w:fill="auto"/>
            <w:noWrap/>
            <w:vAlign w:val="center"/>
          </w:tcPr>
          <w:p w14:paraId="2AFD18F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0.6866</w:t>
            </w:r>
          </w:p>
        </w:tc>
      </w:tr>
      <w:tr w14:paraId="4E136CC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B66123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4.7 </w:t>
            </w:r>
          </w:p>
        </w:tc>
        <w:tc>
          <w:tcPr>
            <w:tcW w:w="1098" w:type="dxa"/>
            <w:shd w:val="clear" w:color="auto" w:fill="auto"/>
            <w:noWrap/>
            <w:vAlign w:val="center"/>
          </w:tcPr>
          <w:p w14:paraId="45D5010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0.9658</w:t>
            </w:r>
          </w:p>
        </w:tc>
        <w:tc>
          <w:tcPr>
            <w:tcW w:w="1253" w:type="dxa"/>
            <w:shd w:val="clear" w:color="auto" w:fill="auto"/>
            <w:noWrap/>
            <w:vAlign w:val="center"/>
          </w:tcPr>
          <w:p w14:paraId="17951C9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0.9161</w:t>
            </w:r>
          </w:p>
        </w:tc>
        <w:tc>
          <w:tcPr>
            <w:tcW w:w="1253" w:type="dxa"/>
            <w:shd w:val="clear" w:color="auto" w:fill="auto"/>
            <w:noWrap/>
            <w:vAlign w:val="center"/>
          </w:tcPr>
          <w:p w14:paraId="4E75DB4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0.8191</w:t>
            </w:r>
          </w:p>
        </w:tc>
        <w:tc>
          <w:tcPr>
            <w:tcW w:w="1179" w:type="dxa"/>
            <w:shd w:val="clear" w:color="auto" w:fill="auto"/>
            <w:vAlign w:val="center"/>
          </w:tcPr>
          <w:p w14:paraId="1A698B7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9.2 </w:t>
            </w:r>
          </w:p>
        </w:tc>
        <w:tc>
          <w:tcPr>
            <w:tcW w:w="979" w:type="dxa"/>
            <w:shd w:val="clear" w:color="auto" w:fill="auto"/>
            <w:noWrap/>
            <w:vAlign w:val="center"/>
          </w:tcPr>
          <w:p w14:paraId="5E17D37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0.8958</w:t>
            </w:r>
          </w:p>
        </w:tc>
        <w:tc>
          <w:tcPr>
            <w:tcW w:w="1179" w:type="dxa"/>
            <w:shd w:val="clear" w:color="auto" w:fill="auto"/>
            <w:noWrap/>
            <w:vAlign w:val="center"/>
          </w:tcPr>
          <w:p w14:paraId="5318F69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0.8215</w:t>
            </w:r>
          </w:p>
        </w:tc>
        <w:tc>
          <w:tcPr>
            <w:tcW w:w="1179" w:type="dxa"/>
            <w:shd w:val="clear" w:color="auto" w:fill="auto"/>
            <w:noWrap/>
            <w:vAlign w:val="center"/>
          </w:tcPr>
          <w:p w14:paraId="7FB7ED3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0.6845</w:t>
            </w:r>
          </w:p>
        </w:tc>
      </w:tr>
      <w:tr w14:paraId="711A55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A420C5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4.8 </w:t>
            </w:r>
          </w:p>
        </w:tc>
        <w:tc>
          <w:tcPr>
            <w:tcW w:w="1098" w:type="dxa"/>
            <w:shd w:val="clear" w:color="auto" w:fill="auto"/>
            <w:noWrap/>
            <w:vAlign w:val="center"/>
          </w:tcPr>
          <w:p w14:paraId="32E0B9A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0.9636</w:t>
            </w:r>
          </w:p>
        </w:tc>
        <w:tc>
          <w:tcPr>
            <w:tcW w:w="1253" w:type="dxa"/>
            <w:shd w:val="clear" w:color="auto" w:fill="auto"/>
            <w:noWrap/>
            <w:vAlign w:val="center"/>
          </w:tcPr>
          <w:p w14:paraId="723F172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0.9135</w:t>
            </w:r>
          </w:p>
        </w:tc>
        <w:tc>
          <w:tcPr>
            <w:tcW w:w="1253" w:type="dxa"/>
            <w:shd w:val="clear" w:color="auto" w:fill="auto"/>
            <w:noWrap/>
            <w:vAlign w:val="center"/>
          </w:tcPr>
          <w:p w14:paraId="79682B0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0.8151</w:t>
            </w:r>
          </w:p>
        </w:tc>
        <w:tc>
          <w:tcPr>
            <w:tcW w:w="1179" w:type="dxa"/>
            <w:shd w:val="clear" w:color="auto" w:fill="auto"/>
            <w:vAlign w:val="center"/>
          </w:tcPr>
          <w:p w14:paraId="2C48838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9.3 </w:t>
            </w:r>
          </w:p>
        </w:tc>
        <w:tc>
          <w:tcPr>
            <w:tcW w:w="979" w:type="dxa"/>
            <w:shd w:val="clear" w:color="auto" w:fill="auto"/>
            <w:noWrap/>
            <w:vAlign w:val="center"/>
          </w:tcPr>
          <w:p w14:paraId="74EB1BA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0.8946</w:t>
            </w:r>
          </w:p>
        </w:tc>
        <w:tc>
          <w:tcPr>
            <w:tcW w:w="1179" w:type="dxa"/>
            <w:shd w:val="clear" w:color="auto" w:fill="auto"/>
            <w:noWrap/>
            <w:vAlign w:val="center"/>
          </w:tcPr>
          <w:p w14:paraId="7A918DD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0.8199</w:t>
            </w:r>
          </w:p>
        </w:tc>
        <w:tc>
          <w:tcPr>
            <w:tcW w:w="1179" w:type="dxa"/>
            <w:shd w:val="clear" w:color="auto" w:fill="auto"/>
            <w:noWrap/>
            <w:vAlign w:val="center"/>
          </w:tcPr>
          <w:p w14:paraId="3CFA805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0.6824</w:t>
            </w:r>
          </w:p>
        </w:tc>
      </w:tr>
      <w:tr w14:paraId="1127C3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A49766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4.9 </w:t>
            </w:r>
          </w:p>
        </w:tc>
        <w:tc>
          <w:tcPr>
            <w:tcW w:w="1098" w:type="dxa"/>
            <w:shd w:val="clear" w:color="auto" w:fill="auto"/>
            <w:noWrap/>
            <w:vAlign w:val="center"/>
          </w:tcPr>
          <w:p w14:paraId="0F50081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0.9615</w:t>
            </w:r>
          </w:p>
        </w:tc>
        <w:tc>
          <w:tcPr>
            <w:tcW w:w="1253" w:type="dxa"/>
            <w:shd w:val="clear" w:color="auto" w:fill="auto"/>
            <w:noWrap/>
            <w:vAlign w:val="center"/>
          </w:tcPr>
          <w:p w14:paraId="0C53167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0.911</w:t>
            </w:r>
          </w:p>
        </w:tc>
        <w:tc>
          <w:tcPr>
            <w:tcW w:w="1253" w:type="dxa"/>
            <w:shd w:val="clear" w:color="auto" w:fill="auto"/>
            <w:noWrap/>
            <w:vAlign w:val="center"/>
          </w:tcPr>
          <w:p w14:paraId="6A91072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0.8111</w:t>
            </w:r>
          </w:p>
        </w:tc>
        <w:tc>
          <w:tcPr>
            <w:tcW w:w="1179" w:type="dxa"/>
            <w:shd w:val="clear" w:color="auto" w:fill="auto"/>
            <w:vAlign w:val="center"/>
          </w:tcPr>
          <w:p w14:paraId="58CD3B8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9.4 </w:t>
            </w:r>
          </w:p>
        </w:tc>
        <w:tc>
          <w:tcPr>
            <w:tcW w:w="979" w:type="dxa"/>
            <w:shd w:val="clear" w:color="auto" w:fill="auto"/>
            <w:noWrap/>
            <w:vAlign w:val="center"/>
          </w:tcPr>
          <w:p w14:paraId="5471F01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0.8934</w:t>
            </w:r>
          </w:p>
        </w:tc>
        <w:tc>
          <w:tcPr>
            <w:tcW w:w="1179" w:type="dxa"/>
            <w:shd w:val="clear" w:color="auto" w:fill="auto"/>
            <w:noWrap/>
            <w:vAlign w:val="center"/>
          </w:tcPr>
          <w:p w14:paraId="32140C0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0.8183</w:t>
            </w:r>
          </w:p>
        </w:tc>
        <w:tc>
          <w:tcPr>
            <w:tcW w:w="1179" w:type="dxa"/>
            <w:shd w:val="clear" w:color="auto" w:fill="auto"/>
            <w:noWrap/>
            <w:vAlign w:val="center"/>
          </w:tcPr>
          <w:p w14:paraId="461E3D7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0.6803</w:t>
            </w:r>
          </w:p>
        </w:tc>
      </w:tr>
      <w:tr w14:paraId="11924C4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8FB90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5.0</w:t>
            </w:r>
          </w:p>
        </w:tc>
        <w:tc>
          <w:tcPr>
            <w:tcW w:w="1098" w:type="dxa"/>
            <w:shd w:val="clear" w:color="auto" w:fill="auto"/>
            <w:noWrap/>
            <w:vAlign w:val="center"/>
          </w:tcPr>
          <w:p w14:paraId="4DBA6A2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0.9594</w:t>
            </w:r>
          </w:p>
        </w:tc>
        <w:tc>
          <w:tcPr>
            <w:tcW w:w="1253" w:type="dxa"/>
            <w:shd w:val="clear" w:color="auto" w:fill="auto"/>
            <w:noWrap/>
            <w:vAlign w:val="center"/>
          </w:tcPr>
          <w:p w14:paraId="0386685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0.9085</w:t>
            </w:r>
          </w:p>
        </w:tc>
        <w:tc>
          <w:tcPr>
            <w:tcW w:w="1253" w:type="dxa"/>
            <w:shd w:val="clear" w:color="auto" w:fill="auto"/>
            <w:noWrap/>
            <w:vAlign w:val="center"/>
          </w:tcPr>
          <w:p w14:paraId="565E21E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0.8072</w:t>
            </w:r>
          </w:p>
        </w:tc>
        <w:tc>
          <w:tcPr>
            <w:tcW w:w="1179" w:type="dxa"/>
            <w:shd w:val="clear" w:color="auto" w:fill="auto"/>
            <w:vAlign w:val="center"/>
          </w:tcPr>
          <w:p w14:paraId="744799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9.5 </w:t>
            </w:r>
          </w:p>
        </w:tc>
        <w:tc>
          <w:tcPr>
            <w:tcW w:w="979" w:type="dxa"/>
            <w:shd w:val="clear" w:color="auto" w:fill="auto"/>
            <w:noWrap/>
            <w:vAlign w:val="center"/>
          </w:tcPr>
          <w:p w14:paraId="79DD48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0.8923</w:t>
            </w:r>
          </w:p>
        </w:tc>
        <w:tc>
          <w:tcPr>
            <w:tcW w:w="1179" w:type="dxa"/>
            <w:shd w:val="clear" w:color="auto" w:fill="auto"/>
            <w:noWrap/>
            <w:vAlign w:val="center"/>
          </w:tcPr>
          <w:p w14:paraId="3933F58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0.8167</w:t>
            </w:r>
          </w:p>
        </w:tc>
        <w:tc>
          <w:tcPr>
            <w:tcW w:w="1179" w:type="dxa"/>
            <w:shd w:val="clear" w:color="auto" w:fill="auto"/>
            <w:noWrap/>
            <w:vAlign w:val="center"/>
          </w:tcPr>
          <w:p w14:paraId="195FF6F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0.6783</w:t>
            </w:r>
          </w:p>
        </w:tc>
      </w:tr>
      <w:tr w14:paraId="3F96C41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48524D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5.1 </w:t>
            </w:r>
          </w:p>
        </w:tc>
        <w:tc>
          <w:tcPr>
            <w:tcW w:w="1098" w:type="dxa"/>
            <w:shd w:val="clear" w:color="auto" w:fill="auto"/>
            <w:noWrap/>
            <w:vAlign w:val="center"/>
          </w:tcPr>
          <w:p w14:paraId="72E45A1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0.9574</w:t>
            </w:r>
          </w:p>
        </w:tc>
        <w:tc>
          <w:tcPr>
            <w:tcW w:w="1253" w:type="dxa"/>
            <w:shd w:val="clear" w:color="auto" w:fill="auto"/>
            <w:noWrap/>
            <w:vAlign w:val="center"/>
          </w:tcPr>
          <w:p w14:paraId="3D6252A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0.906</w:t>
            </w:r>
          </w:p>
        </w:tc>
        <w:tc>
          <w:tcPr>
            <w:tcW w:w="1253" w:type="dxa"/>
            <w:shd w:val="clear" w:color="auto" w:fill="auto"/>
            <w:noWrap/>
            <w:vAlign w:val="center"/>
          </w:tcPr>
          <w:p w14:paraId="000A4A4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0.8033</w:t>
            </w:r>
          </w:p>
        </w:tc>
        <w:tc>
          <w:tcPr>
            <w:tcW w:w="1179" w:type="dxa"/>
            <w:shd w:val="clear" w:color="auto" w:fill="auto"/>
            <w:vAlign w:val="center"/>
          </w:tcPr>
          <w:p w14:paraId="25CF7B2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9.6 </w:t>
            </w:r>
          </w:p>
        </w:tc>
        <w:tc>
          <w:tcPr>
            <w:tcW w:w="979" w:type="dxa"/>
            <w:shd w:val="clear" w:color="auto" w:fill="auto"/>
            <w:noWrap/>
            <w:vAlign w:val="center"/>
          </w:tcPr>
          <w:p w14:paraId="23B545D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0.8912</w:t>
            </w:r>
          </w:p>
        </w:tc>
        <w:tc>
          <w:tcPr>
            <w:tcW w:w="1179" w:type="dxa"/>
            <w:shd w:val="clear" w:color="auto" w:fill="auto"/>
            <w:noWrap/>
            <w:vAlign w:val="center"/>
          </w:tcPr>
          <w:p w14:paraId="7C451E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0.8151</w:t>
            </w:r>
          </w:p>
        </w:tc>
        <w:tc>
          <w:tcPr>
            <w:tcW w:w="1179" w:type="dxa"/>
            <w:shd w:val="clear" w:color="auto" w:fill="auto"/>
            <w:noWrap/>
            <w:vAlign w:val="center"/>
          </w:tcPr>
          <w:p w14:paraId="029F97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0.6763</w:t>
            </w:r>
          </w:p>
        </w:tc>
      </w:tr>
      <w:tr w14:paraId="13D84CC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5EC7D0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5.2 </w:t>
            </w:r>
          </w:p>
        </w:tc>
        <w:tc>
          <w:tcPr>
            <w:tcW w:w="1098" w:type="dxa"/>
            <w:shd w:val="clear" w:color="auto" w:fill="auto"/>
            <w:noWrap/>
            <w:vAlign w:val="center"/>
          </w:tcPr>
          <w:p w14:paraId="2C85062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0.9554</w:t>
            </w:r>
          </w:p>
        </w:tc>
        <w:tc>
          <w:tcPr>
            <w:tcW w:w="1253" w:type="dxa"/>
            <w:shd w:val="clear" w:color="auto" w:fill="auto"/>
            <w:noWrap/>
            <w:vAlign w:val="center"/>
          </w:tcPr>
          <w:p w14:paraId="064AD2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0.9035</w:t>
            </w:r>
          </w:p>
        </w:tc>
        <w:tc>
          <w:tcPr>
            <w:tcW w:w="1253" w:type="dxa"/>
            <w:shd w:val="clear" w:color="auto" w:fill="auto"/>
            <w:noWrap/>
            <w:vAlign w:val="center"/>
          </w:tcPr>
          <w:p w14:paraId="7F7F1BA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0.7995</w:t>
            </w:r>
          </w:p>
        </w:tc>
        <w:tc>
          <w:tcPr>
            <w:tcW w:w="1179" w:type="dxa"/>
            <w:shd w:val="clear" w:color="auto" w:fill="auto"/>
            <w:vAlign w:val="center"/>
          </w:tcPr>
          <w:p w14:paraId="4A54426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9.7 </w:t>
            </w:r>
          </w:p>
        </w:tc>
        <w:tc>
          <w:tcPr>
            <w:tcW w:w="979" w:type="dxa"/>
            <w:shd w:val="clear" w:color="auto" w:fill="auto"/>
            <w:noWrap/>
            <w:vAlign w:val="center"/>
          </w:tcPr>
          <w:p w14:paraId="1D849C4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0.8901</w:t>
            </w:r>
          </w:p>
        </w:tc>
        <w:tc>
          <w:tcPr>
            <w:tcW w:w="1179" w:type="dxa"/>
            <w:shd w:val="clear" w:color="auto" w:fill="auto"/>
            <w:noWrap/>
            <w:vAlign w:val="center"/>
          </w:tcPr>
          <w:p w14:paraId="036BF30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0.8135</w:t>
            </w:r>
          </w:p>
        </w:tc>
        <w:tc>
          <w:tcPr>
            <w:tcW w:w="1179" w:type="dxa"/>
            <w:shd w:val="clear" w:color="auto" w:fill="auto"/>
            <w:noWrap/>
            <w:vAlign w:val="center"/>
          </w:tcPr>
          <w:p w14:paraId="5F567BC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0.6743</w:t>
            </w:r>
          </w:p>
        </w:tc>
      </w:tr>
      <w:tr w14:paraId="44746DC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C0637F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5.3 </w:t>
            </w:r>
          </w:p>
        </w:tc>
        <w:tc>
          <w:tcPr>
            <w:tcW w:w="1098" w:type="dxa"/>
            <w:shd w:val="clear" w:color="auto" w:fill="auto"/>
            <w:noWrap/>
            <w:vAlign w:val="center"/>
          </w:tcPr>
          <w:p w14:paraId="459D2DF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0.9535</w:t>
            </w:r>
          </w:p>
        </w:tc>
        <w:tc>
          <w:tcPr>
            <w:tcW w:w="1253" w:type="dxa"/>
            <w:shd w:val="clear" w:color="auto" w:fill="auto"/>
            <w:noWrap/>
            <w:vAlign w:val="center"/>
          </w:tcPr>
          <w:p w14:paraId="39F8F1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0.9011</w:t>
            </w:r>
          </w:p>
        </w:tc>
        <w:tc>
          <w:tcPr>
            <w:tcW w:w="1253" w:type="dxa"/>
            <w:shd w:val="clear" w:color="auto" w:fill="auto"/>
            <w:noWrap/>
            <w:vAlign w:val="center"/>
          </w:tcPr>
          <w:p w14:paraId="1E4F48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0.7957</w:t>
            </w:r>
          </w:p>
        </w:tc>
        <w:tc>
          <w:tcPr>
            <w:tcW w:w="1179" w:type="dxa"/>
            <w:shd w:val="clear" w:color="auto" w:fill="auto"/>
            <w:vAlign w:val="center"/>
          </w:tcPr>
          <w:p w14:paraId="6291FC8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9.8 </w:t>
            </w:r>
          </w:p>
        </w:tc>
        <w:tc>
          <w:tcPr>
            <w:tcW w:w="979" w:type="dxa"/>
            <w:shd w:val="clear" w:color="auto" w:fill="auto"/>
            <w:noWrap/>
            <w:vAlign w:val="center"/>
          </w:tcPr>
          <w:p w14:paraId="1591E1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0.889</w:t>
            </w:r>
          </w:p>
        </w:tc>
        <w:tc>
          <w:tcPr>
            <w:tcW w:w="1179" w:type="dxa"/>
            <w:shd w:val="clear" w:color="auto" w:fill="auto"/>
            <w:noWrap/>
            <w:vAlign w:val="center"/>
          </w:tcPr>
          <w:p w14:paraId="187540F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0.812</w:t>
            </w:r>
          </w:p>
        </w:tc>
        <w:tc>
          <w:tcPr>
            <w:tcW w:w="1179" w:type="dxa"/>
            <w:shd w:val="clear" w:color="auto" w:fill="auto"/>
            <w:noWrap/>
            <w:vAlign w:val="center"/>
          </w:tcPr>
          <w:p w14:paraId="654934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0.6724</w:t>
            </w:r>
          </w:p>
        </w:tc>
      </w:tr>
      <w:tr w14:paraId="1C3311A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vAlign w:val="center"/>
          </w:tcPr>
          <w:p w14:paraId="41A4906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5.4 </w:t>
            </w:r>
          </w:p>
        </w:tc>
        <w:tc>
          <w:tcPr>
            <w:tcW w:w="1098" w:type="dxa"/>
            <w:shd w:val="clear" w:color="auto" w:fill="auto"/>
            <w:noWrap/>
            <w:vAlign w:val="center"/>
          </w:tcPr>
          <w:p w14:paraId="6145D90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0.9516</w:t>
            </w:r>
          </w:p>
        </w:tc>
        <w:tc>
          <w:tcPr>
            <w:tcW w:w="1253" w:type="dxa"/>
            <w:shd w:val="clear" w:color="auto" w:fill="auto"/>
            <w:noWrap/>
            <w:vAlign w:val="center"/>
          </w:tcPr>
          <w:p w14:paraId="4FA4A2A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0.8987</w:t>
            </w:r>
          </w:p>
        </w:tc>
        <w:tc>
          <w:tcPr>
            <w:tcW w:w="1253" w:type="dxa"/>
            <w:shd w:val="clear" w:color="auto" w:fill="auto"/>
            <w:noWrap/>
            <w:vAlign w:val="center"/>
          </w:tcPr>
          <w:p w14:paraId="7A02010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0.792</w:t>
            </w:r>
          </w:p>
        </w:tc>
        <w:tc>
          <w:tcPr>
            <w:tcW w:w="1179" w:type="dxa"/>
            <w:shd w:val="clear" w:color="auto" w:fill="auto"/>
            <w:vAlign w:val="center"/>
          </w:tcPr>
          <w:p w14:paraId="39EEEB4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9.9</w:t>
            </w:r>
          </w:p>
        </w:tc>
        <w:tc>
          <w:tcPr>
            <w:tcW w:w="979" w:type="dxa"/>
            <w:shd w:val="clear" w:color="auto" w:fill="auto"/>
            <w:noWrap/>
            <w:vAlign w:val="center"/>
          </w:tcPr>
          <w:p w14:paraId="1DC5967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0.8879</w:t>
            </w:r>
          </w:p>
        </w:tc>
        <w:tc>
          <w:tcPr>
            <w:tcW w:w="1179" w:type="dxa"/>
            <w:shd w:val="clear" w:color="auto" w:fill="auto"/>
            <w:noWrap/>
            <w:vAlign w:val="center"/>
          </w:tcPr>
          <w:p w14:paraId="4029C3C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0.8105</w:t>
            </w:r>
          </w:p>
        </w:tc>
        <w:tc>
          <w:tcPr>
            <w:tcW w:w="1179" w:type="dxa"/>
            <w:shd w:val="clear" w:color="auto" w:fill="auto"/>
            <w:noWrap/>
            <w:vAlign w:val="center"/>
          </w:tcPr>
          <w:p w14:paraId="1D4932E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0.6705</w:t>
            </w:r>
          </w:p>
        </w:tc>
      </w:tr>
      <w:tr w14:paraId="756756F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9299" w:type="dxa"/>
            <w:gridSpan w:val="8"/>
            <w:shd w:val="clear" w:color="auto" w:fill="auto"/>
            <w:vAlign w:val="center"/>
          </w:tcPr>
          <w:p w14:paraId="6E380010">
            <w:pPr>
              <w:spacing w:line="200" w:lineRule="exact"/>
              <w:rPr>
                <w:rFonts w:ascii="Arial" w:hAnsi="Arial" w:eastAsia="仿宋" w:cs="Arial"/>
                <w:sz w:val="20"/>
                <w:highlight w:val="none"/>
              </w:rPr>
            </w:pPr>
            <w:r>
              <w:rPr>
                <w:rFonts w:ascii="Arial" w:hAnsi="Arial" w:eastAsia="仿宋" w:cs="Arial"/>
                <w:sz w:val="20"/>
                <w:highlight w:val="none"/>
              </w:rPr>
              <w:t>说明：容积率大于等于10时的容积率修正系数按照以下公式计算：1～2级：X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0.9968－0.011R；3～7级：X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0.949－0.014R；8～12级：X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0.8486－0.018R。</w:t>
            </w:r>
          </w:p>
        </w:tc>
      </w:tr>
    </w:tbl>
    <w:p w14:paraId="760D35CE">
      <w:pPr>
        <w:keepNext w:val="0"/>
        <w:keepLines w:val="0"/>
        <w:pageBreakBefore w:val="0"/>
        <w:widowControl w:val="0"/>
        <w:kinsoku/>
        <w:wordWrap/>
        <w:overflowPunct/>
        <w:topLinePunct w:val="0"/>
        <w:autoSpaceDE/>
        <w:autoSpaceDN/>
        <w:bidi w:val="0"/>
        <w:adjustRightInd/>
        <w:snapToGrid w:val="0"/>
        <w:spacing w:before="313" w:beforeLines="100" w:line="300" w:lineRule="auto"/>
        <w:ind w:firstLine="560" w:firstLineChars="200"/>
        <w:textAlignment w:val="baseline"/>
        <w:rPr>
          <w:rFonts w:ascii="Arial" w:hAnsi="Arial" w:eastAsia="仿宋" w:cs="Arial"/>
          <w:sz w:val="28"/>
          <w:szCs w:val="28"/>
          <w:highlight w:val="none"/>
        </w:rPr>
      </w:pPr>
      <w:r>
        <w:rPr>
          <w:rFonts w:ascii="Arial" w:hAnsi="Arial" w:eastAsia="仿宋" w:cs="Arial"/>
          <w:sz w:val="28"/>
          <w:szCs w:val="28"/>
          <w:highlight w:val="none"/>
        </w:rPr>
        <w:t>估价对象容积率R为1.20，根据上表可知，容积率修正系数为1.1528。</w:t>
      </w:r>
    </w:p>
    <w:p w14:paraId="73D61492">
      <w:pPr>
        <w:adjustRightInd/>
        <w:spacing w:line="36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F.因素修正系数的确定</w:t>
      </w:r>
    </w:p>
    <w:p w14:paraId="76E0253D">
      <w:pPr>
        <w:adjustRightInd/>
        <w:spacing w:line="36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10018D46">
      <w:pPr>
        <w:adjustRightInd/>
        <w:spacing w:line="36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因素修正系数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szCs w:val="28"/>
          <w:highlight w:val="none"/>
        </w:rPr>
        <w:fldChar w:fldCharType="begin"/>
      </w:r>
      <w:r>
        <w:rPr>
          <w:rFonts w:ascii="Arial" w:hAnsi="Arial" w:eastAsia="仿宋" w:cs="Arial"/>
          <w:sz w:val="28"/>
          <w:szCs w:val="28"/>
          <w:highlight w:val="none"/>
        </w:rPr>
        <w:instrText xml:space="preserve"> QUOTE </w:instrText>
      </w:r>
      <w:r>
        <w:rPr>
          <w:rFonts w:ascii="Arial" w:hAnsi="Arial" w:eastAsia="仿宋" w:cs="Arial"/>
          <w:sz w:val="28"/>
          <w:szCs w:val="28"/>
          <w:highlight w:val="none"/>
        </w:rPr>
        <w:pict>
          <v:shape id="_x0000_i1027"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a MatO/hO/&quot;O/ O/wO/:O/hO/-ansi=&quot;Cambria Math&quot; w:cs=&quot;仿宋_GB2312&quot;/&gt;&lt;wx:font wx:val=&quot;Cambria Math&quot;/&gt;&lt;w:i/&gt;&lt;w:sz w:val=&quot;21&quot;/&gt;&lt;w:sz-cs w:val=&quot;29&quot;/&gt;&lt;/w:rPr&gt;&lt;m:t&gt;i=1&lt;/m:t&gt;&lt;/m:r&gt;&lt;/m:sub&gt;&lt;m:sup&gt;&lt;m:r&gt;&lt;w:rPr&gt;&lt;w:rFonts w:ascii=&quot;Cambria Math&quot; w:h-ansi=&quot;Cambria Math&quot; w:cs=&quot;?O/滤蝨hO/_GBh&quot;O/231&quot; O/2&quot;/ wO/&gt;&lt;ww:O/x:f:hO/ont wx:val=&quot;Cambria Math&quot;/&gt;&lt;w:i/&gt;&lt;w:sz w:val=&quot;21&quot;/&gt;&lt;w:sz-cs w:val=&quot;29&quot;/&gt;&lt;/w:rPr&gt;&lt;m:t&gt;n&lt;/m:t&gt;&lt;/m:r&gt;&lt;/m:sup&gt;&lt;m:e&gt;&lt;m:r&gt;&lt;w:rPr&gt;&lt;w:rFonts w:ascii=&quot;Cambria Math&quot; w:h-ansi=&quot;Cambria Math&quot; w:cs=&quot;仿宋_GB2312&quot;/&gt;&lt;wx:font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sz w:val="28"/>
          <w:szCs w:val="28"/>
          <w:highlight w:val="none"/>
        </w:rPr>
        <w:instrText xml:space="preserve"> </w:instrText>
      </w:r>
      <w:r>
        <w:rPr>
          <w:rFonts w:ascii="Arial" w:hAnsi="Arial" w:eastAsia="仿宋" w:cs="Arial"/>
          <w:sz w:val="28"/>
          <w:szCs w:val="28"/>
          <w:highlight w:val="none"/>
        </w:rPr>
        <w:fldChar w:fldCharType="separate"/>
      </w:r>
      <w:r>
        <w:rPr>
          <w:rFonts w:ascii="Arial" w:hAnsi="Arial" w:eastAsia="仿宋" w:cs="Arial"/>
          <w:sz w:val="28"/>
          <w:szCs w:val="28"/>
          <w:highlight w:val="none"/>
        </w:rPr>
        <w:pict>
          <v:shape id="_x0000_i1028"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a MatO/hO/&quot;O/ O/wO/:O/hO/-ansi=&quot;Cambria Math&quot; w:cs=&quot;仿宋_GB2312&quot;/&gt;&lt;wx:font wx:val=&quot;Cambria Math&quot;/&gt;&lt;w:i/&gt;&lt;w:sz w:val=&quot;21&quot;/&gt;&lt;w:sz-cs w:val=&quot;29&quot;/&gt;&lt;/w:rPr&gt;&lt;m:t&gt;i=1&lt;/m:t&gt;&lt;/m:r&gt;&lt;/m:sub&gt;&lt;m:sup&gt;&lt;m:r&gt;&lt;w:rPr&gt;&lt;w:rFonts w:ascii=&quot;Cambria Math&quot; w:h-ansi=&quot;Cambria Math&quot; w:cs=&quot;?O/滤蝨hO/_GBh&quot;O/231&quot; O/2&quot;/ wO/&gt;&lt;ww:O/x:f:hO/ont wx:val=&quot;Cambria Math&quot;/&gt;&lt;w:i/&gt;&lt;w:sz w:val=&quot;21&quot;/&gt;&lt;w:sz-cs w:val=&quot;29&quot;/&gt;&lt;/w:rPr&gt;&lt;m:t&gt;n&lt;/m:t&gt;&lt;/m:r&gt;&lt;/m:sup&gt;&lt;m:e&gt;&lt;m:r&gt;&lt;w:rPr&gt;&lt;w:rFonts w:ascii=&quot;Cambria Math&quot; w:h-ansi=&quot;Cambria Math&quot; w:cs=&quot;仿宋_GB2312&quot;/&gt;&lt;wx:font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sz w:val="28"/>
          <w:szCs w:val="28"/>
          <w:highlight w:val="none"/>
        </w:rPr>
        <w:fldChar w:fldCharType="end"/>
      </w:r>
    </w:p>
    <w:p w14:paraId="26957080">
      <w:pPr>
        <w:adjustRightInd/>
        <w:spacing w:line="36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其中ki：第i种因素的修正系数</w:t>
      </w:r>
    </w:p>
    <w:p w14:paraId="4E09AF92">
      <w:pPr>
        <w:adjustRightInd/>
        <w:spacing w:line="36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各因素的修正系数根据影响地价的因素权重和因素总修正幅度确定。</w:t>
      </w:r>
    </w:p>
    <w:p w14:paraId="64A16268">
      <w:pPr>
        <w:spacing w:line="360" w:lineRule="auto"/>
        <w:jc w:val="center"/>
        <w:rPr>
          <w:rFonts w:ascii="Arial" w:hAnsi="Arial" w:eastAsia="仿宋" w:cs="Arial"/>
          <w:sz w:val="28"/>
          <w:szCs w:val="28"/>
          <w:highlight w:val="none"/>
        </w:rPr>
      </w:pPr>
      <w:r>
        <w:rPr>
          <w:rFonts w:ascii="Arial" w:hAnsi="Arial" w:eastAsia="仿宋" w:cs="Arial"/>
          <w:bCs/>
          <w:sz w:val="28"/>
          <w:szCs w:val="28"/>
          <w:highlight w:val="none"/>
        </w:rPr>
        <w:t>北京市基准地价因素权重表</w:t>
      </w:r>
    </w:p>
    <w:tbl>
      <w:tblPr>
        <w:tblStyle w:val="34"/>
        <w:tblW w:w="9299" w:type="dxa"/>
        <w:jc w:val="center"/>
        <w:tblLayout w:type="fixed"/>
        <w:tblCellMar>
          <w:top w:w="57" w:type="dxa"/>
          <w:left w:w="28" w:type="dxa"/>
          <w:bottom w:w="57" w:type="dxa"/>
          <w:right w:w="28" w:type="dxa"/>
        </w:tblCellMar>
      </w:tblPr>
      <w:tblGrid>
        <w:gridCol w:w="1400"/>
        <w:gridCol w:w="498"/>
        <w:gridCol w:w="1382"/>
        <w:gridCol w:w="497"/>
        <w:gridCol w:w="1363"/>
        <w:gridCol w:w="497"/>
        <w:gridCol w:w="1343"/>
        <w:gridCol w:w="497"/>
        <w:gridCol w:w="1325"/>
        <w:gridCol w:w="497"/>
      </w:tblGrid>
      <w:tr w14:paraId="6981F152">
        <w:tblPrEx>
          <w:tblCellMar>
            <w:top w:w="57" w:type="dxa"/>
            <w:left w:w="28" w:type="dxa"/>
            <w:bottom w:w="57" w:type="dxa"/>
            <w:right w:w="28" w:type="dxa"/>
          </w:tblCellMar>
        </w:tblPrEx>
        <w:trPr>
          <w:cantSplit/>
          <w:jc w:val="center"/>
        </w:trPr>
        <w:tc>
          <w:tcPr>
            <w:tcW w:w="454" w:type="dxa"/>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1E491EF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7636259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164C608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住宅类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0B20EDA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454" w:type="dxa"/>
            <w:gridSpan w:val="2"/>
            <w:tcBorders>
              <w:top w:val="single" w:color="404040" w:sz="8" w:space="0"/>
              <w:left w:val="nil"/>
              <w:bottom w:val="single" w:color="404040" w:sz="8" w:space="0"/>
              <w:right w:val="single" w:color="404040" w:sz="8" w:space="0"/>
            </w:tcBorders>
            <w:shd w:val="clear" w:color="auto" w:fill="auto"/>
            <w:noWrap/>
            <w:vAlign w:val="center"/>
          </w:tcPr>
          <w:p w14:paraId="0949A66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r>
      <w:tr w14:paraId="4433C53F">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noWrap/>
            <w:vAlign w:val="center"/>
          </w:tcPr>
          <w:p w14:paraId="3913B53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441B3A4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1261" w:type="dxa"/>
            <w:tcBorders>
              <w:top w:val="nil"/>
              <w:left w:val="nil"/>
              <w:bottom w:val="single" w:color="404040" w:sz="8" w:space="0"/>
              <w:right w:val="single" w:color="404040" w:sz="8" w:space="0"/>
            </w:tcBorders>
            <w:shd w:val="clear" w:color="auto" w:fill="auto"/>
            <w:noWrap/>
            <w:vAlign w:val="center"/>
          </w:tcPr>
          <w:p w14:paraId="6397539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3F6F931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1244" w:type="dxa"/>
            <w:tcBorders>
              <w:top w:val="nil"/>
              <w:left w:val="nil"/>
              <w:bottom w:val="single" w:color="404040" w:sz="8" w:space="0"/>
              <w:right w:val="single" w:color="404040" w:sz="8" w:space="0"/>
            </w:tcBorders>
            <w:shd w:val="clear" w:color="auto" w:fill="auto"/>
            <w:noWrap/>
            <w:vAlign w:val="center"/>
          </w:tcPr>
          <w:p w14:paraId="366B9AA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5918A75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1226" w:type="dxa"/>
            <w:tcBorders>
              <w:top w:val="nil"/>
              <w:left w:val="nil"/>
              <w:bottom w:val="single" w:color="404040" w:sz="8" w:space="0"/>
              <w:right w:val="single" w:color="404040" w:sz="8" w:space="0"/>
            </w:tcBorders>
            <w:shd w:val="clear" w:color="auto" w:fill="auto"/>
            <w:noWrap/>
            <w:vAlign w:val="center"/>
          </w:tcPr>
          <w:p w14:paraId="21D8E16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184B8DE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1209" w:type="dxa"/>
            <w:tcBorders>
              <w:top w:val="nil"/>
              <w:left w:val="nil"/>
              <w:bottom w:val="single" w:color="404040" w:sz="8" w:space="0"/>
              <w:right w:val="single" w:color="404040" w:sz="8" w:space="0"/>
            </w:tcBorders>
            <w:shd w:val="clear" w:color="auto" w:fill="auto"/>
            <w:noWrap/>
            <w:vAlign w:val="center"/>
          </w:tcPr>
          <w:p w14:paraId="2590735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454" w:type="dxa"/>
            <w:tcBorders>
              <w:top w:val="nil"/>
              <w:left w:val="nil"/>
              <w:bottom w:val="single" w:color="404040" w:sz="8" w:space="0"/>
              <w:right w:val="single" w:color="404040" w:sz="8" w:space="0"/>
            </w:tcBorders>
            <w:shd w:val="clear" w:color="auto" w:fill="auto"/>
            <w:noWrap/>
            <w:vAlign w:val="center"/>
          </w:tcPr>
          <w:p w14:paraId="31A5E44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r>
      <w:tr w14:paraId="34282E2D">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1122DDF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商业繁华程度</w:t>
            </w:r>
          </w:p>
        </w:tc>
        <w:tc>
          <w:tcPr>
            <w:tcW w:w="454" w:type="dxa"/>
            <w:tcBorders>
              <w:top w:val="nil"/>
              <w:left w:val="nil"/>
              <w:bottom w:val="single" w:color="404040" w:sz="8" w:space="0"/>
              <w:right w:val="single" w:color="404040" w:sz="8" w:space="0"/>
            </w:tcBorders>
            <w:shd w:val="clear" w:color="auto" w:fill="auto"/>
            <w:vAlign w:val="center"/>
          </w:tcPr>
          <w:p w14:paraId="01AA7C5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30%</w:t>
            </w:r>
          </w:p>
        </w:tc>
        <w:tc>
          <w:tcPr>
            <w:tcW w:w="1261" w:type="dxa"/>
            <w:tcBorders>
              <w:top w:val="nil"/>
              <w:left w:val="nil"/>
              <w:bottom w:val="single" w:color="404040" w:sz="8" w:space="0"/>
              <w:right w:val="single" w:color="404040" w:sz="8" w:space="0"/>
            </w:tcBorders>
            <w:shd w:val="clear" w:color="auto" w:fill="auto"/>
            <w:vAlign w:val="center"/>
          </w:tcPr>
          <w:p w14:paraId="0471CCA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办公集聚程度</w:t>
            </w:r>
          </w:p>
        </w:tc>
        <w:tc>
          <w:tcPr>
            <w:tcW w:w="454" w:type="dxa"/>
            <w:tcBorders>
              <w:top w:val="nil"/>
              <w:left w:val="nil"/>
              <w:bottom w:val="single" w:color="404040" w:sz="8" w:space="0"/>
              <w:right w:val="single" w:color="404040" w:sz="8" w:space="0"/>
            </w:tcBorders>
            <w:shd w:val="clear" w:color="auto" w:fill="auto"/>
            <w:vAlign w:val="center"/>
          </w:tcPr>
          <w:p w14:paraId="1CC43C5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c>
          <w:tcPr>
            <w:tcW w:w="1244" w:type="dxa"/>
            <w:tcBorders>
              <w:top w:val="nil"/>
              <w:left w:val="nil"/>
              <w:bottom w:val="single" w:color="404040" w:sz="8" w:space="0"/>
              <w:right w:val="single" w:color="404040" w:sz="8" w:space="0"/>
            </w:tcBorders>
            <w:shd w:val="clear" w:color="auto" w:fill="auto"/>
            <w:vAlign w:val="center"/>
          </w:tcPr>
          <w:p w14:paraId="2F4ADB9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住宅社区成熟度</w:t>
            </w:r>
          </w:p>
        </w:tc>
        <w:tc>
          <w:tcPr>
            <w:tcW w:w="454" w:type="dxa"/>
            <w:tcBorders>
              <w:top w:val="nil"/>
              <w:left w:val="nil"/>
              <w:bottom w:val="single" w:color="404040" w:sz="8" w:space="0"/>
              <w:right w:val="single" w:color="404040" w:sz="8" w:space="0"/>
            </w:tcBorders>
            <w:shd w:val="clear" w:color="auto" w:fill="auto"/>
            <w:vAlign w:val="center"/>
          </w:tcPr>
          <w:p w14:paraId="65D7EBB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20%</w:t>
            </w:r>
          </w:p>
        </w:tc>
        <w:tc>
          <w:tcPr>
            <w:tcW w:w="1226" w:type="dxa"/>
            <w:tcBorders>
              <w:top w:val="nil"/>
              <w:left w:val="nil"/>
              <w:bottom w:val="single" w:color="404040" w:sz="8" w:space="0"/>
              <w:right w:val="single" w:color="404040" w:sz="8" w:space="0"/>
            </w:tcBorders>
            <w:shd w:val="clear" w:color="auto" w:fill="auto"/>
            <w:vAlign w:val="center"/>
          </w:tcPr>
          <w:p w14:paraId="277AAD3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产业集聚程度</w:t>
            </w:r>
          </w:p>
        </w:tc>
        <w:tc>
          <w:tcPr>
            <w:tcW w:w="454" w:type="dxa"/>
            <w:tcBorders>
              <w:top w:val="nil"/>
              <w:left w:val="nil"/>
              <w:bottom w:val="single" w:color="404040" w:sz="8" w:space="0"/>
              <w:right w:val="single" w:color="404040" w:sz="8" w:space="0"/>
            </w:tcBorders>
            <w:shd w:val="clear" w:color="auto" w:fill="auto"/>
            <w:vAlign w:val="center"/>
          </w:tcPr>
          <w:p w14:paraId="28544ED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1209" w:type="dxa"/>
            <w:tcBorders>
              <w:top w:val="nil"/>
              <w:left w:val="nil"/>
              <w:bottom w:val="single" w:color="404040" w:sz="8" w:space="0"/>
              <w:right w:val="single" w:color="404040" w:sz="8" w:space="0"/>
            </w:tcBorders>
            <w:shd w:val="clear" w:color="auto" w:fill="auto"/>
            <w:vAlign w:val="center"/>
          </w:tcPr>
          <w:p w14:paraId="4561F7A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物业集聚程度</w:t>
            </w:r>
          </w:p>
        </w:tc>
        <w:tc>
          <w:tcPr>
            <w:tcW w:w="454" w:type="dxa"/>
            <w:tcBorders>
              <w:top w:val="nil"/>
              <w:left w:val="nil"/>
              <w:bottom w:val="single" w:color="404040" w:sz="8" w:space="0"/>
              <w:right w:val="single" w:color="404040" w:sz="8" w:space="0"/>
            </w:tcBorders>
            <w:shd w:val="clear" w:color="auto" w:fill="auto"/>
            <w:vAlign w:val="center"/>
          </w:tcPr>
          <w:p w14:paraId="5A66C88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r>
      <w:tr w14:paraId="5E360DB9">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0480383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454" w:type="dxa"/>
            <w:tcBorders>
              <w:top w:val="nil"/>
              <w:left w:val="nil"/>
              <w:bottom w:val="single" w:color="404040" w:sz="8" w:space="0"/>
              <w:right w:val="single" w:color="404040" w:sz="8" w:space="0"/>
            </w:tcBorders>
            <w:shd w:val="clear" w:color="auto" w:fill="auto"/>
            <w:vAlign w:val="center"/>
          </w:tcPr>
          <w:p w14:paraId="45FA1F0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22%</w:t>
            </w:r>
          </w:p>
        </w:tc>
        <w:tc>
          <w:tcPr>
            <w:tcW w:w="1261" w:type="dxa"/>
            <w:tcBorders>
              <w:top w:val="nil"/>
              <w:left w:val="nil"/>
              <w:bottom w:val="single" w:color="404040" w:sz="8" w:space="0"/>
              <w:right w:val="single" w:color="404040" w:sz="8" w:space="0"/>
            </w:tcBorders>
            <w:shd w:val="clear" w:color="auto" w:fill="auto"/>
            <w:vAlign w:val="center"/>
          </w:tcPr>
          <w:p w14:paraId="27842E9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454" w:type="dxa"/>
            <w:tcBorders>
              <w:top w:val="nil"/>
              <w:left w:val="nil"/>
              <w:bottom w:val="single" w:color="404040" w:sz="8" w:space="0"/>
              <w:right w:val="single" w:color="404040" w:sz="8" w:space="0"/>
            </w:tcBorders>
            <w:shd w:val="clear" w:color="auto" w:fill="auto"/>
            <w:vAlign w:val="center"/>
          </w:tcPr>
          <w:p w14:paraId="14FC772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1244" w:type="dxa"/>
            <w:tcBorders>
              <w:top w:val="nil"/>
              <w:left w:val="nil"/>
              <w:bottom w:val="single" w:color="404040" w:sz="8" w:space="0"/>
              <w:right w:val="single" w:color="404040" w:sz="8" w:space="0"/>
            </w:tcBorders>
            <w:shd w:val="clear" w:color="auto" w:fill="auto"/>
            <w:vAlign w:val="center"/>
          </w:tcPr>
          <w:p w14:paraId="3472F4C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454" w:type="dxa"/>
            <w:tcBorders>
              <w:top w:val="nil"/>
              <w:left w:val="nil"/>
              <w:bottom w:val="single" w:color="404040" w:sz="8" w:space="0"/>
              <w:right w:val="single" w:color="404040" w:sz="8" w:space="0"/>
            </w:tcBorders>
            <w:shd w:val="clear" w:color="auto" w:fill="auto"/>
            <w:vAlign w:val="center"/>
          </w:tcPr>
          <w:p w14:paraId="392503D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1226" w:type="dxa"/>
            <w:tcBorders>
              <w:top w:val="nil"/>
              <w:left w:val="nil"/>
              <w:bottom w:val="single" w:color="404040" w:sz="8" w:space="0"/>
              <w:right w:val="single" w:color="404040" w:sz="8" w:space="0"/>
            </w:tcBorders>
            <w:shd w:val="clear" w:color="auto" w:fill="auto"/>
            <w:vAlign w:val="center"/>
          </w:tcPr>
          <w:p w14:paraId="5C11BDA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454" w:type="dxa"/>
            <w:tcBorders>
              <w:top w:val="nil"/>
              <w:left w:val="nil"/>
              <w:bottom w:val="single" w:color="404040" w:sz="8" w:space="0"/>
              <w:right w:val="single" w:color="404040" w:sz="8" w:space="0"/>
            </w:tcBorders>
            <w:shd w:val="clear" w:color="auto" w:fill="auto"/>
            <w:vAlign w:val="center"/>
          </w:tcPr>
          <w:p w14:paraId="2FA67CE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30%</w:t>
            </w:r>
          </w:p>
        </w:tc>
        <w:tc>
          <w:tcPr>
            <w:tcW w:w="1209" w:type="dxa"/>
            <w:tcBorders>
              <w:top w:val="nil"/>
              <w:left w:val="nil"/>
              <w:bottom w:val="single" w:color="404040" w:sz="8" w:space="0"/>
              <w:right w:val="single" w:color="404040" w:sz="8" w:space="0"/>
            </w:tcBorders>
            <w:shd w:val="clear" w:color="auto" w:fill="auto"/>
            <w:vAlign w:val="center"/>
          </w:tcPr>
          <w:p w14:paraId="21116DD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454" w:type="dxa"/>
            <w:tcBorders>
              <w:top w:val="nil"/>
              <w:left w:val="nil"/>
              <w:bottom w:val="single" w:color="404040" w:sz="8" w:space="0"/>
              <w:right w:val="single" w:color="404040" w:sz="8" w:space="0"/>
            </w:tcBorders>
            <w:shd w:val="clear" w:color="auto" w:fill="auto"/>
            <w:vAlign w:val="center"/>
          </w:tcPr>
          <w:p w14:paraId="34AFFAD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r>
      <w:tr w14:paraId="0DE69535">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5AB95E5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14649A7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1261" w:type="dxa"/>
            <w:tcBorders>
              <w:top w:val="nil"/>
              <w:left w:val="nil"/>
              <w:bottom w:val="single" w:color="404040" w:sz="8" w:space="0"/>
              <w:right w:val="single" w:color="404040" w:sz="8" w:space="0"/>
            </w:tcBorders>
            <w:shd w:val="clear" w:color="auto" w:fill="auto"/>
            <w:vAlign w:val="center"/>
          </w:tcPr>
          <w:p w14:paraId="72870B9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41D5894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w:t>
            </w:r>
          </w:p>
        </w:tc>
        <w:tc>
          <w:tcPr>
            <w:tcW w:w="1244" w:type="dxa"/>
            <w:tcBorders>
              <w:top w:val="nil"/>
              <w:left w:val="nil"/>
              <w:bottom w:val="single" w:color="404040" w:sz="8" w:space="0"/>
              <w:right w:val="single" w:color="404040" w:sz="8" w:space="0"/>
            </w:tcBorders>
            <w:shd w:val="clear" w:color="auto" w:fill="auto"/>
            <w:vAlign w:val="center"/>
          </w:tcPr>
          <w:p w14:paraId="38017E8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2C5FF14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w:t>
            </w:r>
          </w:p>
        </w:tc>
        <w:tc>
          <w:tcPr>
            <w:tcW w:w="1226" w:type="dxa"/>
            <w:tcBorders>
              <w:top w:val="nil"/>
              <w:left w:val="nil"/>
              <w:bottom w:val="single" w:color="404040" w:sz="8" w:space="0"/>
              <w:right w:val="single" w:color="404040" w:sz="8" w:space="0"/>
            </w:tcBorders>
            <w:shd w:val="clear" w:color="auto" w:fill="auto"/>
            <w:vAlign w:val="center"/>
          </w:tcPr>
          <w:p w14:paraId="77B85B1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768BEFA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w:t>
            </w:r>
          </w:p>
        </w:tc>
        <w:tc>
          <w:tcPr>
            <w:tcW w:w="1209" w:type="dxa"/>
            <w:tcBorders>
              <w:top w:val="nil"/>
              <w:left w:val="nil"/>
              <w:bottom w:val="single" w:color="404040" w:sz="8" w:space="0"/>
              <w:right w:val="single" w:color="404040" w:sz="8" w:space="0"/>
            </w:tcBorders>
            <w:shd w:val="clear" w:color="auto" w:fill="auto"/>
            <w:vAlign w:val="center"/>
          </w:tcPr>
          <w:p w14:paraId="7174BEA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454" w:type="dxa"/>
            <w:tcBorders>
              <w:top w:val="nil"/>
              <w:left w:val="nil"/>
              <w:bottom w:val="single" w:color="404040" w:sz="8" w:space="0"/>
              <w:right w:val="single" w:color="404040" w:sz="8" w:space="0"/>
            </w:tcBorders>
            <w:shd w:val="clear" w:color="auto" w:fill="auto"/>
            <w:vAlign w:val="center"/>
          </w:tcPr>
          <w:p w14:paraId="26C27A9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w:t>
            </w:r>
          </w:p>
        </w:tc>
      </w:tr>
      <w:tr w14:paraId="6D626064">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61F6C04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523A920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61" w:type="dxa"/>
            <w:tcBorders>
              <w:top w:val="nil"/>
              <w:left w:val="nil"/>
              <w:bottom w:val="single" w:color="404040" w:sz="8" w:space="0"/>
              <w:right w:val="single" w:color="404040" w:sz="8" w:space="0"/>
            </w:tcBorders>
            <w:shd w:val="clear" w:color="auto" w:fill="auto"/>
            <w:vAlign w:val="center"/>
          </w:tcPr>
          <w:p w14:paraId="2C01A9A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56D7517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44" w:type="dxa"/>
            <w:tcBorders>
              <w:top w:val="nil"/>
              <w:left w:val="nil"/>
              <w:bottom w:val="single" w:color="404040" w:sz="8" w:space="0"/>
              <w:right w:val="single" w:color="404040" w:sz="8" w:space="0"/>
            </w:tcBorders>
            <w:shd w:val="clear" w:color="auto" w:fill="auto"/>
            <w:vAlign w:val="center"/>
          </w:tcPr>
          <w:p w14:paraId="1D5C8F6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临路状况</w:t>
            </w:r>
          </w:p>
        </w:tc>
        <w:tc>
          <w:tcPr>
            <w:tcW w:w="454" w:type="dxa"/>
            <w:tcBorders>
              <w:top w:val="nil"/>
              <w:left w:val="nil"/>
              <w:bottom w:val="single" w:color="404040" w:sz="8" w:space="0"/>
              <w:right w:val="single" w:color="404040" w:sz="8" w:space="0"/>
            </w:tcBorders>
            <w:shd w:val="clear" w:color="auto" w:fill="auto"/>
            <w:vAlign w:val="center"/>
          </w:tcPr>
          <w:p w14:paraId="02F742F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26" w:type="dxa"/>
            <w:tcBorders>
              <w:top w:val="nil"/>
              <w:left w:val="nil"/>
              <w:bottom w:val="single" w:color="404040" w:sz="8" w:space="0"/>
              <w:right w:val="single" w:color="404040" w:sz="8" w:space="0"/>
            </w:tcBorders>
            <w:shd w:val="clear" w:color="auto" w:fill="auto"/>
            <w:vAlign w:val="center"/>
          </w:tcPr>
          <w:p w14:paraId="62D07C3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临路状况</w:t>
            </w:r>
          </w:p>
        </w:tc>
        <w:tc>
          <w:tcPr>
            <w:tcW w:w="454" w:type="dxa"/>
            <w:tcBorders>
              <w:top w:val="nil"/>
              <w:left w:val="nil"/>
              <w:bottom w:val="single" w:color="404040" w:sz="8" w:space="0"/>
              <w:right w:val="single" w:color="404040" w:sz="8" w:space="0"/>
            </w:tcBorders>
            <w:shd w:val="clear" w:color="auto" w:fill="auto"/>
            <w:vAlign w:val="center"/>
          </w:tcPr>
          <w:p w14:paraId="733ACB5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09" w:type="dxa"/>
            <w:tcBorders>
              <w:top w:val="nil"/>
              <w:left w:val="nil"/>
              <w:bottom w:val="single" w:color="404040" w:sz="8" w:space="0"/>
              <w:right w:val="single" w:color="404040" w:sz="8" w:space="0"/>
            </w:tcBorders>
            <w:shd w:val="clear" w:color="auto" w:fill="auto"/>
            <w:vAlign w:val="center"/>
          </w:tcPr>
          <w:p w14:paraId="319876C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454" w:type="dxa"/>
            <w:tcBorders>
              <w:top w:val="nil"/>
              <w:left w:val="nil"/>
              <w:bottom w:val="single" w:color="404040" w:sz="8" w:space="0"/>
              <w:right w:val="single" w:color="404040" w:sz="8" w:space="0"/>
            </w:tcBorders>
            <w:shd w:val="clear" w:color="auto" w:fill="auto"/>
            <w:vAlign w:val="center"/>
          </w:tcPr>
          <w:p w14:paraId="411212A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r>
      <w:tr w14:paraId="622438BA">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7218C05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3A984FC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1261" w:type="dxa"/>
            <w:tcBorders>
              <w:top w:val="nil"/>
              <w:left w:val="nil"/>
              <w:bottom w:val="single" w:color="404040" w:sz="8" w:space="0"/>
              <w:right w:val="single" w:color="404040" w:sz="8" w:space="0"/>
            </w:tcBorders>
            <w:shd w:val="clear" w:color="auto" w:fill="auto"/>
            <w:vAlign w:val="center"/>
          </w:tcPr>
          <w:p w14:paraId="003974B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373F47C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44" w:type="dxa"/>
            <w:tcBorders>
              <w:top w:val="nil"/>
              <w:left w:val="nil"/>
              <w:bottom w:val="single" w:color="404040" w:sz="8" w:space="0"/>
              <w:right w:val="single" w:color="404040" w:sz="8" w:space="0"/>
            </w:tcBorders>
            <w:shd w:val="clear" w:color="auto" w:fill="auto"/>
            <w:vAlign w:val="center"/>
          </w:tcPr>
          <w:p w14:paraId="11B1791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607EF00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1226" w:type="dxa"/>
            <w:tcBorders>
              <w:top w:val="nil"/>
              <w:left w:val="nil"/>
              <w:bottom w:val="single" w:color="404040" w:sz="8" w:space="0"/>
              <w:right w:val="single" w:color="404040" w:sz="8" w:space="0"/>
            </w:tcBorders>
            <w:shd w:val="clear" w:color="auto" w:fill="auto"/>
            <w:vAlign w:val="center"/>
          </w:tcPr>
          <w:p w14:paraId="00CBD8E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274CAF8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1209" w:type="dxa"/>
            <w:tcBorders>
              <w:top w:val="nil"/>
              <w:left w:val="nil"/>
              <w:bottom w:val="single" w:color="404040" w:sz="8" w:space="0"/>
              <w:right w:val="single" w:color="404040" w:sz="8" w:space="0"/>
            </w:tcBorders>
            <w:shd w:val="clear" w:color="auto" w:fill="auto"/>
            <w:vAlign w:val="center"/>
          </w:tcPr>
          <w:p w14:paraId="43F745F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454" w:type="dxa"/>
            <w:tcBorders>
              <w:top w:val="nil"/>
              <w:left w:val="nil"/>
              <w:bottom w:val="single" w:color="404040" w:sz="8" w:space="0"/>
              <w:right w:val="single" w:color="404040" w:sz="8" w:space="0"/>
            </w:tcBorders>
            <w:shd w:val="clear" w:color="auto" w:fill="auto"/>
            <w:vAlign w:val="center"/>
          </w:tcPr>
          <w:p w14:paraId="0044956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r>
      <w:tr w14:paraId="66A21974">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22A12D2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1C4D595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61" w:type="dxa"/>
            <w:tcBorders>
              <w:top w:val="nil"/>
              <w:left w:val="nil"/>
              <w:bottom w:val="single" w:color="404040" w:sz="8" w:space="0"/>
              <w:right w:val="single" w:color="404040" w:sz="8" w:space="0"/>
            </w:tcBorders>
            <w:shd w:val="clear" w:color="auto" w:fill="auto"/>
            <w:vAlign w:val="center"/>
          </w:tcPr>
          <w:p w14:paraId="5E69B00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1792F0A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1244" w:type="dxa"/>
            <w:tcBorders>
              <w:top w:val="nil"/>
              <w:left w:val="nil"/>
              <w:bottom w:val="single" w:color="404040" w:sz="8" w:space="0"/>
              <w:right w:val="single" w:color="404040" w:sz="8" w:space="0"/>
            </w:tcBorders>
            <w:shd w:val="clear" w:color="auto" w:fill="auto"/>
            <w:vAlign w:val="center"/>
          </w:tcPr>
          <w:p w14:paraId="7B2831E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500E697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26" w:type="dxa"/>
            <w:tcBorders>
              <w:top w:val="nil"/>
              <w:left w:val="nil"/>
              <w:bottom w:val="single" w:color="404040" w:sz="8" w:space="0"/>
              <w:right w:val="single" w:color="404040" w:sz="8" w:space="0"/>
            </w:tcBorders>
            <w:shd w:val="clear" w:color="auto" w:fill="auto"/>
            <w:vAlign w:val="center"/>
          </w:tcPr>
          <w:p w14:paraId="53EFF2A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373E0D3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1209" w:type="dxa"/>
            <w:tcBorders>
              <w:top w:val="nil"/>
              <w:left w:val="nil"/>
              <w:bottom w:val="single" w:color="404040" w:sz="8" w:space="0"/>
              <w:right w:val="single" w:color="404040" w:sz="8" w:space="0"/>
            </w:tcBorders>
            <w:shd w:val="clear" w:color="auto" w:fill="auto"/>
            <w:vAlign w:val="center"/>
          </w:tcPr>
          <w:p w14:paraId="628E21E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454" w:type="dxa"/>
            <w:tcBorders>
              <w:top w:val="nil"/>
              <w:left w:val="nil"/>
              <w:bottom w:val="single" w:color="404040" w:sz="8" w:space="0"/>
              <w:right w:val="single" w:color="404040" w:sz="8" w:space="0"/>
            </w:tcBorders>
            <w:shd w:val="clear" w:color="auto" w:fill="auto"/>
            <w:vAlign w:val="center"/>
          </w:tcPr>
          <w:p w14:paraId="01B70E0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r>
      <w:tr w14:paraId="0363E892">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73B75B1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5C2EA46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61" w:type="dxa"/>
            <w:tcBorders>
              <w:top w:val="nil"/>
              <w:left w:val="nil"/>
              <w:bottom w:val="single" w:color="404040" w:sz="8" w:space="0"/>
              <w:right w:val="single" w:color="404040" w:sz="8" w:space="0"/>
            </w:tcBorders>
            <w:shd w:val="clear" w:color="auto" w:fill="auto"/>
            <w:vAlign w:val="center"/>
          </w:tcPr>
          <w:p w14:paraId="0465C07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4E96304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1244" w:type="dxa"/>
            <w:tcBorders>
              <w:top w:val="nil"/>
              <w:left w:val="nil"/>
              <w:bottom w:val="single" w:color="404040" w:sz="8" w:space="0"/>
              <w:right w:val="single" w:color="404040" w:sz="8" w:space="0"/>
            </w:tcBorders>
            <w:shd w:val="clear" w:color="auto" w:fill="auto"/>
            <w:vAlign w:val="center"/>
          </w:tcPr>
          <w:p w14:paraId="72C829A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03F3D00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c>
          <w:tcPr>
            <w:tcW w:w="1226" w:type="dxa"/>
            <w:tcBorders>
              <w:top w:val="nil"/>
              <w:left w:val="nil"/>
              <w:bottom w:val="single" w:color="404040" w:sz="8" w:space="0"/>
              <w:right w:val="single" w:color="404040" w:sz="8" w:space="0"/>
            </w:tcBorders>
            <w:shd w:val="clear" w:color="auto" w:fill="auto"/>
            <w:vAlign w:val="center"/>
          </w:tcPr>
          <w:p w14:paraId="3B8071E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499DE70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1209" w:type="dxa"/>
            <w:tcBorders>
              <w:top w:val="nil"/>
              <w:left w:val="nil"/>
              <w:bottom w:val="single" w:color="404040" w:sz="8" w:space="0"/>
              <w:right w:val="single" w:color="404040" w:sz="8" w:space="0"/>
            </w:tcBorders>
            <w:shd w:val="clear" w:color="auto" w:fill="auto"/>
            <w:vAlign w:val="center"/>
          </w:tcPr>
          <w:p w14:paraId="49B5086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454" w:type="dxa"/>
            <w:tcBorders>
              <w:top w:val="nil"/>
              <w:left w:val="nil"/>
              <w:bottom w:val="single" w:color="404040" w:sz="8" w:space="0"/>
              <w:right w:val="single" w:color="404040" w:sz="8" w:space="0"/>
            </w:tcBorders>
            <w:shd w:val="clear" w:color="auto" w:fill="auto"/>
            <w:vAlign w:val="center"/>
          </w:tcPr>
          <w:p w14:paraId="410F4F5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r>
      <w:tr w14:paraId="4382CB4B">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2ADDD75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1B9B2E8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1261" w:type="dxa"/>
            <w:tcBorders>
              <w:top w:val="nil"/>
              <w:left w:val="nil"/>
              <w:bottom w:val="single" w:color="404040" w:sz="8" w:space="0"/>
              <w:right w:val="single" w:color="404040" w:sz="8" w:space="0"/>
            </w:tcBorders>
            <w:shd w:val="clear" w:color="auto" w:fill="auto"/>
            <w:vAlign w:val="center"/>
          </w:tcPr>
          <w:p w14:paraId="2B559A0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0E040C3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c>
          <w:tcPr>
            <w:tcW w:w="1244" w:type="dxa"/>
            <w:tcBorders>
              <w:top w:val="nil"/>
              <w:left w:val="nil"/>
              <w:bottom w:val="single" w:color="404040" w:sz="8" w:space="0"/>
              <w:right w:val="single" w:color="404040" w:sz="8" w:space="0"/>
            </w:tcBorders>
            <w:shd w:val="clear" w:color="auto" w:fill="auto"/>
            <w:vAlign w:val="center"/>
          </w:tcPr>
          <w:p w14:paraId="4C54660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5CDA02A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1226" w:type="dxa"/>
            <w:tcBorders>
              <w:top w:val="nil"/>
              <w:left w:val="nil"/>
              <w:bottom w:val="single" w:color="404040" w:sz="8" w:space="0"/>
              <w:right w:val="single" w:color="404040" w:sz="8" w:space="0"/>
            </w:tcBorders>
            <w:shd w:val="clear" w:color="auto" w:fill="auto"/>
            <w:vAlign w:val="center"/>
          </w:tcPr>
          <w:p w14:paraId="32A5067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环境状况</w:t>
            </w:r>
          </w:p>
        </w:tc>
        <w:tc>
          <w:tcPr>
            <w:tcW w:w="454" w:type="dxa"/>
            <w:tcBorders>
              <w:top w:val="nil"/>
              <w:left w:val="nil"/>
              <w:bottom w:val="single" w:color="404040" w:sz="8" w:space="0"/>
              <w:right w:val="single" w:color="404040" w:sz="8" w:space="0"/>
            </w:tcBorders>
            <w:shd w:val="clear" w:color="auto" w:fill="auto"/>
            <w:vAlign w:val="center"/>
          </w:tcPr>
          <w:p w14:paraId="7FF6648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09" w:type="dxa"/>
            <w:tcBorders>
              <w:top w:val="nil"/>
              <w:left w:val="nil"/>
              <w:bottom w:val="single" w:color="404040" w:sz="8" w:space="0"/>
              <w:right w:val="single" w:color="404040" w:sz="8" w:space="0"/>
            </w:tcBorders>
            <w:shd w:val="clear" w:color="auto" w:fill="auto"/>
            <w:vAlign w:val="center"/>
          </w:tcPr>
          <w:p w14:paraId="2A7BE36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454" w:type="dxa"/>
            <w:tcBorders>
              <w:top w:val="nil"/>
              <w:left w:val="nil"/>
              <w:bottom w:val="single" w:color="404040" w:sz="8" w:space="0"/>
              <w:right w:val="single" w:color="404040" w:sz="8" w:space="0"/>
            </w:tcBorders>
            <w:shd w:val="clear" w:color="auto" w:fill="auto"/>
            <w:vAlign w:val="center"/>
          </w:tcPr>
          <w:p w14:paraId="6DCF447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r>
      <w:tr w14:paraId="4A9433E5">
        <w:tblPrEx>
          <w:tblCellMar>
            <w:top w:w="57" w:type="dxa"/>
            <w:left w:w="28" w:type="dxa"/>
            <w:bottom w:w="57" w:type="dxa"/>
            <w:right w:w="28" w:type="dxa"/>
          </w:tblCellMar>
        </w:tblPrEx>
        <w:trPr>
          <w:cantSplit/>
          <w:jc w:val="center"/>
        </w:trPr>
        <w:tc>
          <w:tcPr>
            <w:tcW w:w="1277" w:type="dxa"/>
            <w:tcBorders>
              <w:top w:val="nil"/>
              <w:left w:val="single" w:color="404040" w:sz="8" w:space="0"/>
              <w:bottom w:val="single" w:color="404040" w:sz="8" w:space="0"/>
              <w:right w:val="single" w:color="404040" w:sz="8" w:space="0"/>
            </w:tcBorders>
            <w:shd w:val="clear" w:color="auto" w:fill="auto"/>
            <w:vAlign w:val="center"/>
          </w:tcPr>
          <w:p w14:paraId="0BBDE77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0F65BDA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61" w:type="dxa"/>
            <w:tcBorders>
              <w:top w:val="nil"/>
              <w:left w:val="nil"/>
              <w:bottom w:val="single" w:color="404040" w:sz="8" w:space="0"/>
              <w:right w:val="single" w:color="404040" w:sz="8" w:space="0"/>
            </w:tcBorders>
            <w:shd w:val="clear" w:color="auto" w:fill="auto"/>
            <w:vAlign w:val="center"/>
          </w:tcPr>
          <w:p w14:paraId="4D29D8C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596E491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7%</w:t>
            </w:r>
          </w:p>
        </w:tc>
        <w:tc>
          <w:tcPr>
            <w:tcW w:w="1244" w:type="dxa"/>
            <w:tcBorders>
              <w:top w:val="nil"/>
              <w:left w:val="nil"/>
              <w:bottom w:val="single" w:color="404040" w:sz="8" w:space="0"/>
              <w:right w:val="single" w:color="404040" w:sz="8" w:space="0"/>
            </w:tcBorders>
            <w:shd w:val="clear" w:color="auto" w:fill="auto"/>
            <w:vAlign w:val="center"/>
          </w:tcPr>
          <w:p w14:paraId="76F61E4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与区域中心的接近程度</w:t>
            </w:r>
          </w:p>
        </w:tc>
        <w:tc>
          <w:tcPr>
            <w:tcW w:w="454" w:type="dxa"/>
            <w:tcBorders>
              <w:top w:val="nil"/>
              <w:left w:val="nil"/>
              <w:bottom w:val="single" w:color="404040" w:sz="8" w:space="0"/>
              <w:right w:val="single" w:color="404040" w:sz="8" w:space="0"/>
            </w:tcBorders>
            <w:shd w:val="clear" w:color="auto" w:fill="auto"/>
            <w:vAlign w:val="center"/>
          </w:tcPr>
          <w:p w14:paraId="5AF3F1A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226" w:type="dxa"/>
            <w:tcBorders>
              <w:top w:val="nil"/>
              <w:left w:val="nil"/>
              <w:bottom w:val="single" w:color="404040" w:sz="8" w:space="0"/>
              <w:right w:val="single" w:color="404040" w:sz="8" w:space="0"/>
            </w:tcBorders>
            <w:shd w:val="clear" w:color="auto" w:fill="auto"/>
            <w:vAlign w:val="center"/>
          </w:tcPr>
          <w:p w14:paraId="5B8AF46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454" w:type="dxa"/>
            <w:tcBorders>
              <w:top w:val="nil"/>
              <w:left w:val="nil"/>
              <w:bottom w:val="single" w:color="404040" w:sz="8" w:space="0"/>
              <w:right w:val="single" w:color="404040" w:sz="8" w:space="0"/>
            </w:tcBorders>
            <w:shd w:val="clear" w:color="auto" w:fill="auto"/>
            <w:vAlign w:val="center"/>
          </w:tcPr>
          <w:p w14:paraId="7CCDFD1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1209" w:type="dxa"/>
            <w:tcBorders>
              <w:top w:val="nil"/>
              <w:left w:val="nil"/>
              <w:bottom w:val="single" w:color="404040" w:sz="8" w:space="0"/>
              <w:right w:val="single" w:color="404040" w:sz="8" w:space="0"/>
            </w:tcBorders>
            <w:shd w:val="clear" w:color="auto" w:fill="auto"/>
            <w:vAlign w:val="center"/>
          </w:tcPr>
          <w:p w14:paraId="05740D2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454" w:type="dxa"/>
            <w:tcBorders>
              <w:top w:val="nil"/>
              <w:left w:val="nil"/>
              <w:bottom w:val="single" w:color="404040" w:sz="8" w:space="0"/>
              <w:right w:val="single" w:color="404040" w:sz="8" w:space="0"/>
            </w:tcBorders>
            <w:shd w:val="clear" w:color="auto" w:fill="auto"/>
            <w:vAlign w:val="center"/>
          </w:tcPr>
          <w:p w14:paraId="5028DC3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7%</w:t>
            </w:r>
          </w:p>
        </w:tc>
      </w:tr>
    </w:tbl>
    <w:p w14:paraId="3297A7D7">
      <w:pPr>
        <w:widowControl/>
        <w:adjustRightInd/>
        <w:spacing w:line="240" w:lineRule="exact"/>
        <w:textAlignment w:val="auto"/>
        <w:rPr>
          <w:rFonts w:ascii="Arial" w:hAnsi="Arial" w:eastAsia="华文细黑" w:cs="宋体"/>
          <w:sz w:val="18"/>
          <w:szCs w:val="24"/>
          <w:highlight w:val="none"/>
        </w:rPr>
      </w:pPr>
    </w:p>
    <w:p w14:paraId="687C17EA">
      <w:pPr>
        <w:rPr>
          <w:rFonts w:hint="eastAsia" w:ascii="仿宋" w:hAnsi="仿宋" w:eastAsia="仿宋" w:cs="Arial"/>
          <w:sz w:val="28"/>
          <w:highlight w:val="none"/>
        </w:rPr>
      </w:pPr>
      <w:r>
        <w:rPr>
          <w:rFonts w:hint="eastAsia" w:ascii="仿宋" w:hAnsi="仿宋" w:eastAsia="仿宋" w:cs="Arial"/>
          <w:sz w:val="28"/>
          <w:highlight w:val="none"/>
        </w:rPr>
        <w:br w:type="page"/>
      </w:r>
    </w:p>
    <w:p w14:paraId="7F0EC02A">
      <w:pPr>
        <w:spacing w:line="300" w:lineRule="auto"/>
        <w:ind w:firstLine="560" w:firstLineChars="200"/>
        <w:jc w:val="both"/>
        <w:rPr>
          <w:rFonts w:ascii="仿宋" w:hAnsi="仿宋" w:eastAsia="仿宋" w:cs="Arial"/>
          <w:sz w:val="28"/>
          <w:highlight w:val="none"/>
        </w:rPr>
      </w:pPr>
      <w:r>
        <w:rPr>
          <w:rFonts w:hint="eastAsia" w:ascii="仿宋" w:hAnsi="仿宋" w:eastAsia="仿宋" w:cs="Arial"/>
          <w:sz w:val="28"/>
          <w:highlight w:val="none"/>
        </w:rPr>
        <w:t>估价对象位于商业类九级地价区，该级别《区片基准地价因素总修正幅度表》如下：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1EF36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73EEFC0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级别</w:t>
            </w:r>
          </w:p>
        </w:tc>
        <w:tc>
          <w:tcPr>
            <w:tcW w:w="1056" w:type="pct"/>
            <w:shd w:val="clear" w:color="auto" w:fill="auto"/>
            <w:vAlign w:val="center"/>
          </w:tcPr>
          <w:p w14:paraId="32475A42">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区片编号</w:t>
            </w:r>
          </w:p>
        </w:tc>
        <w:tc>
          <w:tcPr>
            <w:tcW w:w="674" w:type="pct"/>
            <w:shd w:val="clear" w:color="auto" w:fill="auto"/>
            <w:vAlign w:val="center"/>
          </w:tcPr>
          <w:p w14:paraId="765E54FD">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674" w:type="pct"/>
            <w:shd w:val="clear" w:color="auto" w:fill="auto"/>
            <w:vAlign w:val="center"/>
          </w:tcPr>
          <w:p w14:paraId="1BEF64E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674" w:type="pct"/>
            <w:shd w:val="clear" w:color="auto" w:fill="auto"/>
            <w:vAlign w:val="center"/>
          </w:tcPr>
          <w:p w14:paraId="49FE901D">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住宅类</w:t>
            </w:r>
          </w:p>
        </w:tc>
        <w:tc>
          <w:tcPr>
            <w:tcW w:w="595" w:type="pct"/>
            <w:shd w:val="clear" w:color="auto" w:fill="auto"/>
            <w:vAlign w:val="center"/>
          </w:tcPr>
          <w:p w14:paraId="45EB8A1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752" w:type="pct"/>
            <w:shd w:val="clear" w:color="auto" w:fill="auto"/>
            <w:vAlign w:val="center"/>
          </w:tcPr>
          <w:p w14:paraId="781D8139">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r>
      <w:tr w14:paraId="76723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7A760C5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九级</w:t>
            </w:r>
          </w:p>
        </w:tc>
        <w:tc>
          <w:tcPr>
            <w:tcW w:w="1056" w:type="pct"/>
            <w:shd w:val="clear" w:color="auto" w:fill="auto"/>
            <w:vAlign w:val="center"/>
          </w:tcPr>
          <w:p w14:paraId="1DC5061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01</w:t>
            </w:r>
          </w:p>
        </w:tc>
        <w:tc>
          <w:tcPr>
            <w:tcW w:w="674" w:type="pct"/>
            <w:shd w:val="clear" w:color="auto" w:fill="auto"/>
            <w:vAlign w:val="center"/>
          </w:tcPr>
          <w:p w14:paraId="2A87136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AFFD34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358E62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481D86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6456F14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FFCA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71AC33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8BFDF1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02</w:t>
            </w:r>
          </w:p>
        </w:tc>
        <w:tc>
          <w:tcPr>
            <w:tcW w:w="674" w:type="pct"/>
            <w:shd w:val="clear" w:color="auto" w:fill="auto"/>
            <w:vAlign w:val="center"/>
          </w:tcPr>
          <w:p w14:paraId="73DE1B1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AC33CB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EFD2B3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16EFA8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498DCCF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105E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29700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FBB51B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门1</w:t>
            </w:r>
          </w:p>
        </w:tc>
        <w:tc>
          <w:tcPr>
            <w:tcW w:w="674" w:type="pct"/>
            <w:shd w:val="clear" w:color="auto" w:fill="auto"/>
            <w:vAlign w:val="center"/>
          </w:tcPr>
          <w:p w14:paraId="503BF5C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751F5E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E540B8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94B9EC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7517E70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BDD3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A20070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9BA163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门2</w:t>
            </w:r>
          </w:p>
        </w:tc>
        <w:tc>
          <w:tcPr>
            <w:tcW w:w="674" w:type="pct"/>
            <w:shd w:val="clear" w:color="auto" w:fill="auto"/>
            <w:vAlign w:val="center"/>
          </w:tcPr>
          <w:p w14:paraId="02F24BA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44D87E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D62BBC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FC98CA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52254BE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D417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137D74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64A998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门潭</w:t>
            </w:r>
          </w:p>
        </w:tc>
        <w:tc>
          <w:tcPr>
            <w:tcW w:w="674" w:type="pct"/>
            <w:shd w:val="clear" w:color="auto" w:fill="auto"/>
            <w:vAlign w:val="center"/>
          </w:tcPr>
          <w:p w14:paraId="76F0CF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F43D4A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840F33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EC0415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2097090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6AEB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3B3AA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2466A9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房1</w:t>
            </w:r>
          </w:p>
        </w:tc>
        <w:tc>
          <w:tcPr>
            <w:tcW w:w="674" w:type="pct"/>
            <w:shd w:val="clear" w:color="auto" w:fill="auto"/>
            <w:vAlign w:val="center"/>
          </w:tcPr>
          <w:p w14:paraId="6275079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EB0FDA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700D42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5D8A5A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4356DED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CAC3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88D421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E2D228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房2</w:t>
            </w:r>
          </w:p>
        </w:tc>
        <w:tc>
          <w:tcPr>
            <w:tcW w:w="674" w:type="pct"/>
            <w:shd w:val="clear" w:color="auto" w:fill="auto"/>
            <w:vAlign w:val="center"/>
          </w:tcPr>
          <w:p w14:paraId="34927B6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294B02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D378A0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6B847E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46AA41D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BEBC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2AD61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464D21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房3</w:t>
            </w:r>
          </w:p>
        </w:tc>
        <w:tc>
          <w:tcPr>
            <w:tcW w:w="674" w:type="pct"/>
            <w:shd w:val="clear" w:color="auto" w:fill="auto"/>
            <w:vAlign w:val="center"/>
          </w:tcPr>
          <w:p w14:paraId="5ADD18C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F0D0C9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2A81B4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62C1FE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45D1C7D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1404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0DC69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E87798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房4</w:t>
            </w:r>
          </w:p>
        </w:tc>
        <w:tc>
          <w:tcPr>
            <w:tcW w:w="674" w:type="pct"/>
            <w:shd w:val="clear" w:color="auto" w:fill="auto"/>
            <w:vAlign w:val="center"/>
          </w:tcPr>
          <w:p w14:paraId="7E4DE32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D0FD7A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3D04FE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996E40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0CB7C65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DB2C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99C66D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021C49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房5</w:t>
            </w:r>
          </w:p>
        </w:tc>
        <w:tc>
          <w:tcPr>
            <w:tcW w:w="674" w:type="pct"/>
            <w:shd w:val="clear" w:color="auto" w:fill="auto"/>
            <w:vAlign w:val="center"/>
          </w:tcPr>
          <w:p w14:paraId="4A8061B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674" w:type="pct"/>
            <w:shd w:val="clear" w:color="auto" w:fill="auto"/>
            <w:vAlign w:val="center"/>
          </w:tcPr>
          <w:p w14:paraId="3A324F5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674" w:type="pct"/>
            <w:shd w:val="clear" w:color="auto" w:fill="auto"/>
            <w:vAlign w:val="center"/>
          </w:tcPr>
          <w:p w14:paraId="371982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8A9E1A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752" w:type="pct"/>
            <w:shd w:val="clear" w:color="auto" w:fill="auto"/>
            <w:vAlign w:val="center"/>
          </w:tcPr>
          <w:p w14:paraId="5842974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r>
      <w:tr w14:paraId="0F4F3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D94DD0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2EFDE4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通1</w:t>
            </w:r>
          </w:p>
        </w:tc>
        <w:tc>
          <w:tcPr>
            <w:tcW w:w="674" w:type="pct"/>
            <w:shd w:val="clear" w:color="auto" w:fill="auto"/>
            <w:vAlign w:val="center"/>
          </w:tcPr>
          <w:p w14:paraId="7730603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11.00%</w:t>
            </w:r>
          </w:p>
        </w:tc>
        <w:tc>
          <w:tcPr>
            <w:tcW w:w="674" w:type="pct"/>
            <w:shd w:val="clear" w:color="auto" w:fill="auto"/>
            <w:vAlign w:val="center"/>
          </w:tcPr>
          <w:p w14:paraId="15E78D2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11.10%</w:t>
            </w:r>
          </w:p>
        </w:tc>
        <w:tc>
          <w:tcPr>
            <w:tcW w:w="674" w:type="pct"/>
            <w:shd w:val="clear" w:color="auto" w:fill="auto"/>
            <w:vAlign w:val="center"/>
          </w:tcPr>
          <w:p w14:paraId="6F1DBD3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595" w:type="pct"/>
            <w:shd w:val="clear" w:color="auto" w:fill="auto"/>
            <w:vAlign w:val="center"/>
          </w:tcPr>
          <w:p w14:paraId="62F0065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11.00%</w:t>
            </w:r>
          </w:p>
        </w:tc>
        <w:tc>
          <w:tcPr>
            <w:tcW w:w="752" w:type="pct"/>
            <w:shd w:val="clear" w:color="auto" w:fill="auto"/>
            <w:vAlign w:val="center"/>
          </w:tcPr>
          <w:p w14:paraId="2D2F6C0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12.00%</w:t>
            </w:r>
          </w:p>
        </w:tc>
      </w:tr>
      <w:tr w14:paraId="3894E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C301AC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C80E31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通2</w:t>
            </w:r>
          </w:p>
        </w:tc>
        <w:tc>
          <w:tcPr>
            <w:tcW w:w="674" w:type="pct"/>
            <w:shd w:val="clear" w:color="auto" w:fill="auto"/>
            <w:vAlign w:val="center"/>
          </w:tcPr>
          <w:p w14:paraId="4795DC0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674" w:type="pct"/>
            <w:shd w:val="clear" w:color="auto" w:fill="auto"/>
            <w:vAlign w:val="center"/>
          </w:tcPr>
          <w:p w14:paraId="5B26C21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78F2075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810538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2561EB8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r>
      <w:tr w14:paraId="6541E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4BCDAE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C26BC3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顺1</w:t>
            </w:r>
          </w:p>
        </w:tc>
        <w:tc>
          <w:tcPr>
            <w:tcW w:w="674" w:type="pct"/>
            <w:shd w:val="clear" w:color="auto" w:fill="auto"/>
            <w:vAlign w:val="center"/>
          </w:tcPr>
          <w:p w14:paraId="150E69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64EBD14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45C92E4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595" w:type="pct"/>
            <w:shd w:val="clear" w:color="auto" w:fill="auto"/>
            <w:vAlign w:val="center"/>
          </w:tcPr>
          <w:p w14:paraId="5200E8D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07F1E09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r>
      <w:tr w14:paraId="47274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B8F236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D4E09B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顺2</w:t>
            </w:r>
          </w:p>
        </w:tc>
        <w:tc>
          <w:tcPr>
            <w:tcW w:w="674" w:type="pct"/>
            <w:shd w:val="clear" w:color="auto" w:fill="auto"/>
            <w:vAlign w:val="center"/>
          </w:tcPr>
          <w:p w14:paraId="25D6E55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674" w:type="pct"/>
            <w:shd w:val="clear" w:color="auto" w:fill="auto"/>
            <w:vAlign w:val="center"/>
          </w:tcPr>
          <w:p w14:paraId="402998E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674" w:type="pct"/>
            <w:shd w:val="clear" w:color="auto" w:fill="auto"/>
            <w:vAlign w:val="center"/>
          </w:tcPr>
          <w:p w14:paraId="16DC467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1B87131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12.70%</w:t>
            </w:r>
          </w:p>
        </w:tc>
        <w:tc>
          <w:tcPr>
            <w:tcW w:w="752" w:type="pct"/>
            <w:shd w:val="clear" w:color="auto" w:fill="auto"/>
            <w:vAlign w:val="center"/>
          </w:tcPr>
          <w:p w14:paraId="27F3985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1B30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821AD2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EFBB87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顺3</w:t>
            </w:r>
          </w:p>
        </w:tc>
        <w:tc>
          <w:tcPr>
            <w:tcW w:w="674" w:type="pct"/>
            <w:shd w:val="clear" w:color="auto" w:fill="auto"/>
            <w:vAlign w:val="center"/>
          </w:tcPr>
          <w:p w14:paraId="29E048C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C55DAA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4B328D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833967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3E1FB6C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129B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C7D18A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6277CC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顺4</w:t>
            </w:r>
          </w:p>
        </w:tc>
        <w:tc>
          <w:tcPr>
            <w:tcW w:w="674" w:type="pct"/>
            <w:shd w:val="clear" w:color="auto" w:fill="auto"/>
            <w:vAlign w:val="center"/>
          </w:tcPr>
          <w:p w14:paraId="43EAF4C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7BC396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AF2DB1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1CCD84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3A92EA0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5690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7DE4A6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5D98D3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顺5</w:t>
            </w:r>
          </w:p>
        </w:tc>
        <w:tc>
          <w:tcPr>
            <w:tcW w:w="674" w:type="pct"/>
            <w:shd w:val="clear" w:color="auto" w:fill="auto"/>
            <w:vAlign w:val="center"/>
          </w:tcPr>
          <w:p w14:paraId="560A4B9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403DCC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33A1CE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773BCD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5E210FD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C4BA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8946A9E">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0CADF2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昌1</w:t>
            </w:r>
          </w:p>
        </w:tc>
        <w:tc>
          <w:tcPr>
            <w:tcW w:w="674" w:type="pct"/>
            <w:shd w:val="clear" w:color="auto" w:fill="auto"/>
            <w:vAlign w:val="center"/>
          </w:tcPr>
          <w:p w14:paraId="51DEC38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9FF603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51AFFD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7D5971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58136D0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F187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D88239F">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ACB918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昌2</w:t>
            </w:r>
          </w:p>
        </w:tc>
        <w:tc>
          <w:tcPr>
            <w:tcW w:w="674" w:type="pct"/>
            <w:shd w:val="clear" w:color="auto" w:fill="auto"/>
            <w:vAlign w:val="center"/>
          </w:tcPr>
          <w:p w14:paraId="1E9BEC1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EBD4A2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ED1C60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0A6E5E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752" w:type="pct"/>
            <w:shd w:val="clear" w:color="auto" w:fill="auto"/>
            <w:vAlign w:val="center"/>
          </w:tcPr>
          <w:p w14:paraId="4DCF270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9C8C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7E340F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43FFD0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昌3</w:t>
            </w:r>
          </w:p>
        </w:tc>
        <w:tc>
          <w:tcPr>
            <w:tcW w:w="674" w:type="pct"/>
            <w:shd w:val="clear" w:color="auto" w:fill="auto"/>
            <w:vAlign w:val="center"/>
          </w:tcPr>
          <w:p w14:paraId="15DBB3D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88F09F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27DE77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32512C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404D1FC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288D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6BF96C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F07714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昌4</w:t>
            </w:r>
          </w:p>
        </w:tc>
        <w:tc>
          <w:tcPr>
            <w:tcW w:w="674" w:type="pct"/>
            <w:shd w:val="clear" w:color="auto" w:fill="auto"/>
            <w:vAlign w:val="center"/>
          </w:tcPr>
          <w:p w14:paraId="2B91CB1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3284B4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BDDBA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436EF2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5A812C4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859C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58CB6E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251749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昌5</w:t>
            </w:r>
          </w:p>
        </w:tc>
        <w:tc>
          <w:tcPr>
            <w:tcW w:w="674" w:type="pct"/>
            <w:shd w:val="clear" w:color="auto" w:fill="auto"/>
            <w:vAlign w:val="center"/>
          </w:tcPr>
          <w:p w14:paraId="49F19E7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5581EA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09BEE9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91BEF9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6FC44A0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E9C6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6B8178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F6BBAB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兴1</w:t>
            </w:r>
          </w:p>
        </w:tc>
        <w:tc>
          <w:tcPr>
            <w:tcW w:w="674" w:type="pct"/>
            <w:shd w:val="clear" w:color="auto" w:fill="auto"/>
            <w:vAlign w:val="center"/>
          </w:tcPr>
          <w:p w14:paraId="42E7A19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B2E781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0C1F59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BF705D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0EA798C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75DE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72E720">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D19919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兴2</w:t>
            </w:r>
          </w:p>
        </w:tc>
        <w:tc>
          <w:tcPr>
            <w:tcW w:w="674" w:type="pct"/>
            <w:shd w:val="clear" w:color="auto" w:fill="auto"/>
            <w:vAlign w:val="center"/>
          </w:tcPr>
          <w:p w14:paraId="08F314F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07809B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81A98D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F66294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14.60%</w:t>
            </w:r>
          </w:p>
        </w:tc>
        <w:tc>
          <w:tcPr>
            <w:tcW w:w="752" w:type="pct"/>
            <w:shd w:val="clear" w:color="auto" w:fill="auto"/>
            <w:vAlign w:val="center"/>
          </w:tcPr>
          <w:p w14:paraId="4D4A52F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804D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96F24E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7E83E6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兴3</w:t>
            </w:r>
          </w:p>
        </w:tc>
        <w:tc>
          <w:tcPr>
            <w:tcW w:w="674" w:type="pct"/>
            <w:shd w:val="clear" w:color="auto" w:fill="auto"/>
            <w:vAlign w:val="center"/>
          </w:tcPr>
          <w:p w14:paraId="13AE2ED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12.60%</w:t>
            </w:r>
          </w:p>
        </w:tc>
        <w:tc>
          <w:tcPr>
            <w:tcW w:w="674" w:type="pct"/>
            <w:shd w:val="clear" w:color="auto" w:fill="auto"/>
            <w:vAlign w:val="center"/>
          </w:tcPr>
          <w:p w14:paraId="1C479D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12.40%</w:t>
            </w:r>
          </w:p>
        </w:tc>
        <w:tc>
          <w:tcPr>
            <w:tcW w:w="674" w:type="pct"/>
            <w:shd w:val="clear" w:color="auto" w:fill="auto"/>
            <w:vAlign w:val="center"/>
          </w:tcPr>
          <w:p w14:paraId="027369C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595" w:type="pct"/>
            <w:shd w:val="clear" w:color="auto" w:fill="auto"/>
            <w:vAlign w:val="center"/>
          </w:tcPr>
          <w:p w14:paraId="20AE15C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5185E09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13.00%</w:t>
            </w:r>
          </w:p>
        </w:tc>
      </w:tr>
      <w:tr w14:paraId="36C36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C7C534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89453E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怀1</w:t>
            </w:r>
          </w:p>
        </w:tc>
        <w:tc>
          <w:tcPr>
            <w:tcW w:w="674" w:type="pct"/>
            <w:shd w:val="clear" w:color="auto" w:fill="auto"/>
            <w:vAlign w:val="center"/>
          </w:tcPr>
          <w:p w14:paraId="0D631E0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E83E85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574CD0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CEAA90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14.70%</w:t>
            </w:r>
          </w:p>
        </w:tc>
        <w:tc>
          <w:tcPr>
            <w:tcW w:w="752" w:type="pct"/>
            <w:shd w:val="clear" w:color="auto" w:fill="auto"/>
            <w:vAlign w:val="center"/>
          </w:tcPr>
          <w:p w14:paraId="1163A52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DC9E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1139FD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8E7976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怀2</w:t>
            </w:r>
          </w:p>
        </w:tc>
        <w:tc>
          <w:tcPr>
            <w:tcW w:w="674" w:type="pct"/>
            <w:shd w:val="clear" w:color="auto" w:fill="auto"/>
            <w:vAlign w:val="center"/>
          </w:tcPr>
          <w:p w14:paraId="17A923C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ECDDC1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A820A1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9C91D9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33812DE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1BAC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897DD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3AC942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怀3</w:t>
            </w:r>
          </w:p>
        </w:tc>
        <w:tc>
          <w:tcPr>
            <w:tcW w:w="674" w:type="pct"/>
            <w:shd w:val="clear" w:color="auto" w:fill="auto"/>
            <w:vAlign w:val="center"/>
          </w:tcPr>
          <w:p w14:paraId="2EBCF5E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232BFA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FEEC1C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58DE3C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3F67873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BB2B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6837619">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C56855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怀4</w:t>
            </w:r>
          </w:p>
        </w:tc>
        <w:tc>
          <w:tcPr>
            <w:tcW w:w="674" w:type="pct"/>
            <w:shd w:val="clear" w:color="auto" w:fill="auto"/>
            <w:vAlign w:val="center"/>
          </w:tcPr>
          <w:p w14:paraId="0E450B9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9DA0B7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CF7119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D6A0E7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11.10%</w:t>
            </w:r>
          </w:p>
        </w:tc>
        <w:tc>
          <w:tcPr>
            <w:tcW w:w="752" w:type="pct"/>
            <w:shd w:val="clear" w:color="auto" w:fill="auto"/>
            <w:vAlign w:val="center"/>
          </w:tcPr>
          <w:p w14:paraId="68B9D1C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D6EE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61C34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88DD14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平1</w:t>
            </w:r>
          </w:p>
        </w:tc>
        <w:tc>
          <w:tcPr>
            <w:tcW w:w="674" w:type="pct"/>
            <w:shd w:val="clear" w:color="auto" w:fill="auto"/>
            <w:vAlign w:val="center"/>
          </w:tcPr>
          <w:p w14:paraId="23A3C55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CD5E42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49DC42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37B7AF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12.60%</w:t>
            </w:r>
          </w:p>
        </w:tc>
        <w:tc>
          <w:tcPr>
            <w:tcW w:w="752" w:type="pct"/>
            <w:shd w:val="clear" w:color="auto" w:fill="auto"/>
            <w:vAlign w:val="center"/>
          </w:tcPr>
          <w:p w14:paraId="33292B4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C4EB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38A1CB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47D5DE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平2</w:t>
            </w:r>
          </w:p>
        </w:tc>
        <w:tc>
          <w:tcPr>
            <w:tcW w:w="674" w:type="pct"/>
            <w:shd w:val="clear" w:color="auto" w:fill="auto"/>
            <w:vAlign w:val="center"/>
          </w:tcPr>
          <w:p w14:paraId="6887EED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1E3518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8BA84B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681A1C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12.00%</w:t>
            </w:r>
          </w:p>
        </w:tc>
        <w:tc>
          <w:tcPr>
            <w:tcW w:w="752" w:type="pct"/>
            <w:shd w:val="clear" w:color="auto" w:fill="auto"/>
            <w:vAlign w:val="center"/>
          </w:tcPr>
          <w:p w14:paraId="2627B4C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CFAD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2F0925E">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22C0E5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密1</w:t>
            </w:r>
          </w:p>
        </w:tc>
        <w:tc>
          <w:tcPr>
            <w:tcW w:w="674" w:type="pct"/>
            <w:shd w:val="clear" w:color="auto" w:fill="auto"/>
            <w:vAlign w:val="center"/>
          </w:tcPr>
          <w:p w14:paraId="1F300D6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17F1FE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4F8BC6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561D96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13.00%</w:t>
            </w:r>
          </w:p>
        </w:tc>
        <w:tc>
          <w:tcPr>
            <w:tcW w:w="752" w:type="pct"/>
            <w:shd w:val="clear" w:color="auto" w:fill="auto"/>
            <w:vAlign w:val="center"/>
          </w:tcPr>
          <w:p w14:paraId="75DDE72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24DFE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EA5032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B75FDB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延1</w:t>
            </w:r>
          </w:p>
        </w:tc>
        <w:tc>
          <w:tcPr>
            <w:tcW w:w="674" w:type="pct"/>
            <w:shd w:val="clear" w:color="auto" w:fill="auto"/>
            <w:vAlign w:val="center"/>
          </w:tcPr>
          <w:p w14:paraId="3893A24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2C4A81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D70C28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9E3CF4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752" w:type="pct"/>
            <w:shd w:val="clear" w:color="auto" w:fill="auto"/>
            <w:vAlign w:val="center"/>
          </w:tcPr>
          <w:p w14:paraId="039276B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FB5E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C96B43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C8B8D2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延2</w:t>
            </w:r>
          </w:p>
        </w:tc>
        <w:tc>
          <w:tcPr>
            <w:tcW w:w="674" w:type="pct"/>
            <w:shd w:val="clear" w:color="auto" w:fill="auto"/>
            <w:vAlign w:val="center"/>
          </w:tcPr>
          <w:p w14:paraId="10B3B4D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92E611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34EC0C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F45CEC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141AB59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894C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10BFE7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42D919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亦1</w:t>
            </w:r>
          </w:p>
        </w:tc>
        <w:tc>
          <w:tcPr>
            <w:tcW w:w="674" w:type="pct"/>
            <w:shd w:val="clear" w:color="auto" w:fill="auto"/>
            <w:vAlign w:val="center"/>
          </w:tcPr>
          <w:p w14:paraId="033630F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13.20%</w:t>
            </w:r>
          </w:p>
        </w:tc>
        <w:tc>
          <w:tcPr>
            <w:tcW w:w="674" w:type="pct"/>
            <w:shd w:val="clear" w:color="auto" w:fill="auto"/>
            <w:vAlign w:val="center"/>
          </w:tcPr>
          <w:p w14:paraId="5100F33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13.30%</w:t>
            </w:r>
          </w:p>
        </w:tc>
        <w:tc>
          <w:tcPr>
            <w:tcW w:w="674" w:type="pct"/>
            <w:shd w:val="clear" w:color="auto" w:fill="auto"/>
            <w:vAlign w:val="center"/>
          </w:tcPr>
          <w:p w14:paraId="2C7F07A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595" w:type="pct"/>
            <w:shd w:val="clear" w:color="auto" w:fill="auto"/>
            <w:vAlign w:val="center"/>
          </w:tcPr>
          <w:p w14:paraId="20567D5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3114733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14.00%</w:t>
            </w:r>
          </w:p>
        </w:tc>
      </w:tr>
      <w:tr w14:paraId="697F9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E88FA3F">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7F5479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亦2</w:t>
            </w:r>
          </w:p>
        </w:tc>
        <w:tc>
          <w:tcPr>
            <w:tcW w:w="674" w:type="pct"/>
            <w:shd w:val="clear" w:color="auto" w:fill="auto"/>
            <w:vAlign w:val="center"/>
          </w:tcPr>
          <w:p w14:paraId="47C8135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13.80%</w:t>
            </w:r>
          </w:p>
        </w:tc>
        <w:tc>
          <w:tcPr>
            <w:tcW w:w="674" w:type="pct"/>
            <w:shd w:val="clear" w:color="auto" w:fill="auto"/>
            <w:vAlign w:val="center"/>
          </w:tcPr>
          <w:p w14:paraId="619AE63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14.00%</w:t>
            </w:r>
          </w:p>
        </w:tc>
        <w:tc>
          <w:tcPr>
            <w:tcW w:w="674" w:type="pct"/>
            <w:shd w:val="clear" w:color="auto" w:fill="auto"/>
            <w:vAlign w:val="center"/>
          </w:tcPr>
          <w:p w14:paraId="0E7FB91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14.60%</w:t>
            </w:r>
          </w:p>
        </w:tc>
        <w:tc>
          <w:tcPr>
            <w:tcW w:w="595" w:type="pct"/>
            <w:shd w:val="clear" w:color="auto" w:fill="auto"/>
            <w:vAlign w:val="center"/>
          </w:tcPr>
          <w:p w14:paraId="54ED1FD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27EA7B0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r>
      <w:tr w14:paraId="4F95C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E040ED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CB9E6A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亦3</w:t>
            </w:r>
          </w:p>
        </w:tc>
        <w:tc>
          <w:tcPr>
            <w:tcW w:w="674" w:type="pct"/>
            <w:shd w:val="clear" w:color="auto" w:fill="auto"/>
            <w:vAlign w:val="center"/>
          </w:tcPr>
          <w:p w14:paraId="62D3913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12.50%</w:t>
            </w:r>
          </w:p>
        </w:tc>
        <w:tc>
          <w:tcPr>
            <w:tcW w:w="674" w:type="pct"/>
            <w:shd w:val="clear" w:color="auto" w:fill="auto"/>
            <w:vAlign w:val="center"/>
          </w:tcPr>
          <w:p w14:paraId="69774D1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12.70%</w:t>
            </w:r>
          </w:p>
        </w:tc>
        <w:tc>
          <w:tcPr>
            <w:tcW w:w="674" w:type="pct"/>
            <w:shd w:val="clear" w:color="auto" w:fill="auto"/>
            <w:vAlign w:val="center"/>
          </w:tcPr>
          <w:p w14:paraId="20D632B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595" w:type="pct"/>
            <w:shd w:val="clear" w:color="auto" w:fill="auto"/>
            <w:vAlign w:val="center"/>
          </w:tcPr>
          <w:p w14:paraId="546486D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11.50%</w:t>
            </w:r>
          </w:p>
        </w:tc>
        <w:tc>
          <w:tcPr>
            <w:tcW w:w="752" w:type="pct"/>
            <w:shd w:val="clear" w:color="auto" w:fill="auto"/>
            <w:vAlign w:val="center"/>
          </w:tcPr>
          <w:p w14:paraId="2F97048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13.60%</w:t>
            </w:r>
          </w:p>
        </w:tc>
      </w:tr>
      <w:tr w14:paraId="24C94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033CA3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DE239B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房山工业园西</w:t>
            </w:r>
          </w:p>
        </w:tc>
        <w:tc>
          <w:tcPr>
            <w:tcW w:w="674" w:type="pct"/>
            <w:shd w:val="clear" w:color="auto" w:fill="auto"/>
            <w:vAlign w:val="center"/>
          </w:tcPr>
          <w:p w14:paraId="0ACCD3C3">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6EE48EBE">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514503FC">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595" w:type="pct"/>
            <w:shd w:val="clear" w:color="auto" w:fill="auto"/>
            <w:vAlign w:val="center"/>
          </w:tcPr>
          <w:p w14:paraId="5FB6C93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025227B0">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7A680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82431E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F9B601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房山工业园东</w:t>
            </w:r>
          </w:p>
        </w:tc>
        <w:tc>
          <w:tcPr>
            <w:tcW w:w="674" w:type="pct"/>
            <w:shd w:val="clear" w:color="auto" w:fill="auto"/>
            <w:vAlign w:val="center"/>
          </w:tcPr>
          <w:p w14:paraId="06C2C8F3">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79A3BD5C">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19A45D4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595" w:type="pct"/>
            <w:shd w:val="clear" w:color="auto" w:fill="auto"/>
            <w:vAlign w:val="center"/>
          </w:tcPr>
          <w:p w14:paraId="519AFAC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194896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73758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3D1F9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AF0C58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永乐开发区</w:t>
            </w:r>
          </w:p>
        </w:tc>
        <w:tc>
          <w:tcPr>
            <w:tcW w:w="674" w:type="pct"/>
            <w:shd w:val="clear" w:color="auto" w:fill="auto"/>
            <w:noWrap/>
            <w:vAlign w:val="center"/>
          </w:tcPr>
          <w:p w14:paraId="61D6D3A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98308C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2F3D8D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5FD171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00F5DEEB">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7CBEF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F962E43">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F79B65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采育开发区</w:t>
            </w:r>
          </w:p>
        </w:tc>
        <w:tc>
          <w:tcPr>
            <w:tcW w:w="674" w:type="pct"/>
            <w:shd w:val="clear" w:color="auto" w:fill="auto"/>
            <w:noWrap/>
            <w:vAlign w:val="center"/>
          </w:tcPr>
          <w:p w14:paraId="3B5577D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58E2F7C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164764A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4BEC533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44095C8">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BE78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498C06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31ABC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雁栖开发区A</w:t>
            </w:r>
          </w:p>
        </w:tc>
        <w:tc>
          <w:tcPr>
            <w:tcW w:w="674" w:type="pct"/>
            <w:shd w:val="clear" w:color="auto" w:fill="auto"/>
            <w:noWrap/>
            <w:vAlign w:val="center"/>
          </w:tcPr>
          <w:p w14:paraId="23B8059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5BA226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0C5BE8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2D2A177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2D3A180">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31A02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B46B40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275A7B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雁栖开发区B</w:t>
            </w:r>
          </w:p>
        </w:tc>
        <w:tc>
          <w:tcPr>
            <w:tcW w:w="674" w:type="pct"/>
            <w:shd w:val="clear" w:color="auto" w:fill="auto"/>
            <w:noWrap/>
            <w:vAlign w:val="center"/>
          </w:tcPr>
          <w:p w14:paraId="66B1022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2FABB19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8C89C2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731BB47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08E76F29">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1C2D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8CF2BA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EC9B42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雁栖开发区C</w:t>
            </w:r>
          </w:p>
        </w:tc>
        <w:tc>
          <w:tcPr>
            <w:tcW w:w="674" w:type="pct"/>
            <w:shd w:val="clear" w:color="auto" w:fill="auto"/>
            <w:noWrap/>
            <w:vAlign w:val="center"/>
          </w:tcPr>
          <w:p w14:paraId="4B110EE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87508A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CDB02D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2908766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4B2285A">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3B40F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AFCE9A9">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39CBE1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兴谷开发区A</w:t>
            </w:r>
          </w:p>
        </w:tc>
        <w:tc>
          <w:tcPr>
            <w:tcW w:w="674" w:type="pct"/>
            <w:shd w:val="clear" w:color="auto" w:fill="auto"/>
            <w:noWrap/>
            <w:vAlign w:val="center"/>
          </w:tcPr>
          <w:p w14:paraId="6F34F34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5D651DB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B30ECB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6EF6D5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0E6B08E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253AF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5BB62A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0C530B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兴谷开发区B</w:t>
            </w:r>
          </w:p>
        </w:tc>
        <w:tc>
          <w:tcPr>
            <w:tcW w:w="674" w:type="pct"/>
            <w:shd w:val="clear" w:color="auto" w:fill="auto"/>
            <w:noWrap/>
            <w:vAlign w:val="center"/>
          </w:tcPr>
          <w:p w14:paraId="67EB646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C76AD0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7FD91D4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4744A23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2F1073E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E84B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20D86F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BFEE4B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马坊工业园</w:t>
            </w:r>
          </w:p>
        </w:tc>
        <w:tc>
          <w:tcPr>
            <w:tcW w:w="674" w:type="pct"/>
            <w:shd w:val="clear" w:color="auto" w:fill="auto"/>
            <w:noWrap/>
            <w:vAlign w:val="center"/>
          </w:tcPr>
          <w:p w14:paraId="3C98B1B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8E6C20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57AD51E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2F2B742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1135A8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1195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9B62A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B23AB7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密云开发区</w:t>
            </w:r>
          </w:p>
        </w:tc>
        <w:tc>
          <w:tcPr>
            <w:tcW w:w="674" w:type="pct"/>
            <w:shd w:val="clear" w:color="auto" w:fill="auto"/>
            <w:noWrap/>
            <w:vAlign w:val="center"/>
          </w:tcPr>
          <w:p w14:paraId="7276643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2EFD7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619900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1DB7E80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34D8CA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5E28F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3CEAC4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AB3D29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延庆开发区</w:t>
            </w:r>
          </w:p>
        </w:tc>
        <w:tc>
          <w:tcPr>
            <w:tcW w:w="674" w:type="pct"/>
            <w:shd w:val="clear" w:color="auto" w:fill="auto"/>
            <w:noWrap/>
            <w:vAlign w:val="center"/>
          </w:tcPr>
          <w:p w14:paraId="4FA2F0E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900A60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8EE721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1E9CFAB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074ADDBB">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E08D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64D5B8C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61DC6A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八达岭开发区</w:t>
            </w:r>
          </w:p>
        </w:tc>
        <w:tc>
          <w:tcPr>
            <w:tcW w:w="674" w:type="pct"/>
            <w:shd w:val="clear" w:color="auto" w:fill="auto"/>
            <w:noWrap/>
            <w:vAlign w:val="center"/>
          </w:tcPr>
          <w:p w14:paraId="6F5A451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7519502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6724EF6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0F018A1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91BE40E">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bl>
    <w:p w14:paraId="44AFA225">
      <w:pPr>
        <w:keepNext w:val="0"/>
        <w:keepLines w:val="0"/>
        <w:pageBreakBefore w:val="0"/>
        <w:widowControl w:val="0"/>
        <w:kinsoku/>
        <w:wordWrap/>
        <w:overflowPunct/>
        <w:topLinePunct w:val="0"/>
        <w:autoSpaceDE/>
        <w:autoSpaceDN/>
        <w:bidi w:val="0"/>
        <w:adjustRightInd w:val="0"/>
        <w:snapToGrid/>
        <w:spacing w:before="157" w:beforeLines="50" w:line="360" w:lineRule="auto"/>
        <w:jc w:val="center"/>
        <w:textAlignment w:val="baseline"/>
        <w:rPr>
          <w:rFonts w:ascii="仿宋" w:hAnsi="仿宋" w:eastAsia="仿宋" w:cs="宋体"/>
          <w:bCs/>
          <w:sz w:val="28"/>
          <w:szCs w:val="28"/>
          <w:highlight w:val="none"/>
        </w:rPr>
      </w:pPr>
      <w:r>
        <w:rPr>
          <w:rFonts w:hint="eastAsia" w:ascii="仿宋" w:hAnsi="仿宋" w:eastAsia="仿宋" w:cs="宋体"/>
          <w:bCs/>
          <w:sz w:val="28"/>
          <w:szCs w:val="28"/>
          <w:highlight w:val="none"/>
        </w:rPr>
        <w:t>因素等级说明表</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004"/>
        <w:gridCol w:w="1479"/>
        <w:gridCol w:w="1480"/>
        <w:gridCol w:w="1480"/>
        <w:gridCol w:w="1480"/>
        <w:gridCol w:w="1481"/>
      </w:tblGrid>
      <w:tr w14:paraId="5AF543E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29" w:hRule="atLeast"/>
          <w:jc w:val="center"/>
        </w:trPr>
        <w:tc>
          <w:tcPr>
            <w:tcW w:w="1065" w:type="pct"/>
            <w:tcBorders>
              <w:top w:val="single" w:color="404040" w:sz="2" w:space="0"/>
              <w:left w:val="single" w:color="404040" w:sz="2" w:space="0"/>
              <w:bottom w:val="single" w:color="404040" w:sz="2" w:space="0"/>
              <w:right w:val="single" w:color="404040" w:sz="2" w:space="0"/>
              <w:tl2br w:val="single" w:color="auto" w:sz="4" w:space="0"/>
            </w:tcBorders>
            <w:vAlign w:val="center"/>
          </w:tcPr>
          <w:p w14:paraId="20EC4188">
            <w:pPr>
              <w:widowControl/>
              <w:adjustRightInd/>
              <w:spacing w:line="240" w:lineRule="atLeast"/>
              <w:ind w:firstLine="1365" w:firstLineChars="650"/>
              <w:jc w:val="right"/>
              <w:rPr>
                <w:rFonts w:ascii="Arial" w:hAnsi="Arial" w:eastAsia="仿宋" w:cs="Arial"/>
                <w:sz w:val="21"/>
                <w:szCs w:val="21"/>
                <w:highlight w:val="none"/>
              </w:rPr>
            </w:pPr>
            <w:r>
              <w:rPr>
                <w:rFonts w:ascii="Arial" w:hAnsi="Arial" w:eastAsia="仿宋" w:cs="Arial"/>
                <w:sz w:val="21"/>
                <w:szCs w:val="21"/>
                <w:highlight w:val="none"/>
              </w:rPr>
              <w:t>等级</w:t>
            </w:r>
          </w:p>
          <w:p w14:paraId="229ABAF3">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影响因素</w:t>
            </w:r>
          </w:p>
        </w:tc>
        <w:tc>
          <w:tcPr>
            <w:tcW w:w="786" w:type="pct"/>
            <w:tcBorders>
              <w:top w:val="single" w:color="404040" w:sz="2" w:space="0"/>
              <w:left w:val="single" w:color="404040" w:sz="2" w:space="0"/>
              <w:bottom w:val="single" w:color="404040" w:sz="2" w:space="0"/>
              <w:right w:val="single" w:color="404040" w:sz="2" w:space="0"/>
            </w:tcBorders>
            <w:vAlign w:val="center"/>
          </w:tcPr>
          <w:p w14:paraId="2502CD20">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好</w:t>
            </w:r>
          </w:p>
        </w:tc>
        <w:tc>
          <w:tcPr>
            <w:tcW w:w="786" w:type="pct"/>
            <w:tcBorders>
              <w:top w:val="single" w:color="404040" w:sz="2" w:space="0"/>
              <w:left w:val="single" w:color="404040" w:sz="2" w:space="0"/>
              <w:bottom w:val="single" w:color="404040" w:sz="2" w:space="0"/>
              <w:right w:val="single" w:color="404040" w:sz="2" w:space="0"/>
            </w:tcBorders>
            <w:vAlign w:val="center"/>
          </w:tcPr>
          <w:p w14:paraId="77841E16">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22832D8D">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1D7741EE">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03291AC9">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差</w:t>
            </w:r>
          </w:p>
        </w:tc>
      </w:tr>
      <w:tr w14:paraId="142321E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0E3A8ED9">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商业繁华度</w:t>
            </w:r>
          </w:p>
        </w:tc>
        <w:tc>
          <w:tcPr>
            <w:tcW w:w="786" w:type="pct"/>
            <w:tcBorders>
              <w:top w:val="single" w:color="404040" w:sz="2" w:space="0"/>
              <w:left w:val="single" w:color="404040" w:sz="2" w:space="0"/>
              <w:bottom w:val="single" w:color="404040" w:sz="2" w:space="0"/>
              <w:right w:val="single" w:color="404040" w:sz="2" w:space="0"/>
            </w:tcBorders>
            <w:vAlign w:val="center"/>
          </w:tcPr>
          <w:p w14:paraId="7786DF77">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周边商服物业分布密集，商业繁华度好</w:t>
            </w:r>
          </w:p>
        </w:tc>
        <w:tc>
          <w:tcPr>
            <w:tcW w:w="786" w:type="pct"/>
            <w:tcBorders>
              <w:top w:val="single" w:color="404040" w:sz="2" w:space="0"/>
              <w:left w:val="single" w:color="404040" w:sz="2" w:space="0"/>
              <w:bottom w:val="single" w:color="404040" w:sz="2" w:space="0"/>
              <w:right w:val="single" w:color="404040" w:sz="2" w:space="0"/>
            </w:tcBorders>
            <w:vAlign w:val="center"/>
          </w:tcPr>
          <w:p w14:paraId="0C37C0C2">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周边商服物业分布较密集，商业繁华度较好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51EA94F0">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周边商服物业分布一般，商业繁华度一般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2F609973">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周边商服物业分布较分散，商业繁华度较差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27EB9796">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周边暂无商服物业分布，商业繁华度差</w:t>
            </w:r>
          </w:p>
        </w:tc>
      </w:tr>
      <w:tr w14:paraId="2B44B16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22D918B4">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交通便捷度</w:t>
            </w:r>
          </w:p>
        </w:tc>
        <w:tc>
          <w:tcPr>
            <w:tcW w:w="786" w:type="pct"/>
            <w:tcBorders>
              <w:top w:val="single" w:color="404040" w:sz="2" w:space="0"/>
              <w:left w:val="single" w:color="404040" w:sz="2" w:space="0"/>
              <w:bottom w:val="single" w:color="404040" w:sz="2" w:space="0"/>
              <w:right w:val="single" w:color="404040" w:sz="2" w:space="0"/>
            </w:tcBorders>
            <w:vAlign w:val="center"/>
          </w:tcPr>
          <w:p w14:paraId="7D956D2E">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便捷</w:t>
            </w:r>
          </w:p>
        </w:tc>
        <w:tc>
          <w:tcPr>
            <w:tcW w:w="786" w:type="pct"/>
            <w:tcBorders>
              <w:top w:val="single" w:color="404040" w:sz="2" w:space="0"/>
              <w:left w:val="single" w:color="404040" w:sz="2" w:space="0"/>
              <w:bottom w:val="single" w:color="404040" w:sz="2" w:space="0"/>
              <w:right w:val="single" w:color="404040" w:sz="2" w:space="0"/>
            </w:tcBorders>
            <w:vAlign w:val="center"/>
          </w:tcPr>
          <w:p w14:paraId="688A7BF7">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较便捷</w:t>
            </w:r>
          </w:p>
        </w:tc>
        <w:tc>
          <w:tcPr>
            <w:tcW w:w="786" w:type="pct"/>
            <w:tcBorders>
              <w:top w:val="single" w:color="404040" w:sz="2" w:space="0"/>
              <w:left w:val="single" w:color="404040" w:sz="2" w:space="0"/>
              <w:bottom w:val="single" w:color="404040" w:sz="2" w:space="0"/>
              <w:right w:val="single" w:color="404040" w:sz="2" w:space="0"/>
            </w:tcBorders>
            <w:vAlign w:val="center"/>
          </w:tcPr>
          <w:p w14:paraId="23C28F1E">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79F94A50">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较不便捷</w:t>
            </w:r>
          </w:p>
        </w:tc>
        <w:tc>
          <w:tcPr>
            <w:tcW w:w="787" w:type="pct"/>
            <w:tcBorders>
              <w:top w:val="single" w:color="404040" w:sz="2" w:space="0"/>
              <w:left w:val="single" w:color="404040" w:sz="2" w:space="0"/>
              <w:bottom w:val="single" w:color="404040" w:sz="2" w:space="0"/>
              <w:right w:val="single" w:color="404040" w:sz="2" w:space="0"/>
            </w:tcBorders>
            <w:vAlign w:val="center"/>
          </w:tcPr>
          <w:p w14:paraId="6BA4C5C9">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不便捷</w:t>
            </w:r>
          </w:p>
        </w:tc>
      </w:tr>
      <w:tr w14:paraId="6A99114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05574A63">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786" w:type="pct"/>
            <w:tcBorders>
              <w:top w:val="single" w:color="404040" w:sz="2" w:space="0"/>
              <w:left w:val="single" w:color="404040" w:sz="2" w:space="0"/>
              <w:bottom w:val="single" w:color="404040" w:sz="2" w:space="0"/>
              <w:right w:val="single" w:color="404040" w:sz="2" w:space="0"/>
            </w:tcBorders>
            <w:vAlign w:val="center"/>
          </w:tcPr>
          <w:p w14:paraId="00CD7CC1">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估价对象用途与周边土地利用方向一致</w:t>
            </w:r>
          </w:p>
        </w:tc>
        <w:tc>
          <w:tcPr>
            <w:tcW w:w="786" w:type="pct"/>
            <w:tcBorders>
              <w:top w:val="single" w:color="404040" w:sz="2" w:space="0"/>
              <w:left w:val="single" w:color="404040" w:sz="2" w:space="0"/>
              <w:bottom w:val="single" w:color="404040" w:sz="2" w:space="0"/>
              <w:right w:val="single" w:color="404040" w:sz="2" w:space="0"/>
            </w:tcBorders>
            <w:vAlign w:val="center"/>
          </w:tcPr>
          <w:p w14:paraId="6637A1D9">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零星有其他用地，基本不影响本宗地</w:t>
            </w:r>
          </w:p>
        </w:tc>
        <w:tc>
          <w:tcPr>
            <w:tcW w:w="786" w:type="pct"/>
            <w:tcBorders>
              <w:top w:val="single" w:color="404040" w:sz="2" w:space="0"/>
              <w:left w:val="single" w:color="404040" w:sz="2" w:space="0"/>
              <w:bottom w:val="single" w:color="404040" w:sz="2" w:space="0"/>
              <w:right w:val="single" w:color="404040" w:sz="2" w:space="0"/>
            </w:tcBorders>
            <w:vAlign w:val="center"/>
          </w:tcPr>
          <w:p w14:paraId="7F48E256">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有部分有其他用地，对本宗地略有影响</w:t>
            </w:r>
          </w:p>
        </w:tc>
        <w:tc>
          <w:tcPr>
            <w:tcW w:w="786" w:type="pct"/>
            <w:tcBorders>
              <w:top w:val="single" w:color="404040" w:sz="2" w:space="0"/>
              <w:left w:val="single" w:color="404040" w:sz="2" w:space="0"/>
              <w:bottom w:val="single" w:color="404040" w:sz="2" w:space="0"/>
              <w:right w:val="single" w:color="404040" w:sz="2" w:space="0"/>
            </w:tcBorders>
            <w:vAlign w:val="center"/>
          </w:tcPr>
          <w:p w14:paraId="2A20071D">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其他用地较多，对本宗地影响较大</w:t>
            </w:r>
          </w:p>
        </w:tc>
        <w:tc>
          <w:tcPr>
            <w:tcW w:w="787" w:type="pct"/>
            <w:tcBorders>
              <w:top w:val="single" w:color="404040" w:sz="2" w:space="0"/>
              <w:left w:val="single" w:color="404040" w:sz="2" w:space="0"/>
              <w:bottom w:val="single" w:color="404040" w:sz="2" w:space="0"/>
              <w:right w:val="single" w:color="404040" w:sz="2" w:space="0"/>
            </w:tcBorders>
            <w:vAlign w:val="center"/>
          </w:tcPr>
          <w:p w14:paraId="29BD9F68">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全部为不同用地，对本宗地有大的影响</w:t>
            </w:r>
          </w:p>
        </w:tc>
      </w:tr>
      <w:tr w14:paraId="2B60CEA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0D38A8FD">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786" w:type="pct"/>
            <w:tcBorders>
              <w:top w:val="single" w:color="404040" w:sz="2" w:space="0"/>
              <w:left w:val="single" w:color="404040" w:sz="2" w:space="0"/>
              <w:bottom w:val="single" w:color="404040" w:sz="2" w:space="0"/>
              <w:right w:val="single" w:color="404040" w:sz="2" w:space="0"/>
            </w:tcBorders>
            <w:vAlign w:val="center"/>
          </w:tcPr>
          <w:p w14:paraId="51B79D5E">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比例适宜</w:t>
            </w:r>
          </w:p>
        </w:tc>
        <w:tc>
          <w:tcPr>
            <w:tcW w:w="786" w:type="pct"/>
            <w:tcBorders>
              <w:top w:val="single" w:color="404040" w:sz="2" w:space="0"/>
              <w:left w:val="single" w:color="404040" w:sz="2" w:space="0"/>
              <w:bottom w:val="single" w:color="404040" w:sz="2" w:space="0"/>
              <w:right w:val="single" w:color="404040" w:sz="2" w:space="0"/>
            </w:tcBorders>
            <w:vAlign w:val="center"/>
          </w:tcPr>
          <w:p w14:paraId="0C1D067A">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比例较适宜</w:t>
            </w:r>
          </w:p>
        </w:tc>
        <w:tc>
          <w:tcPr>
            <w:tcW w:w="786" w:type="pct"/>
            <w:tcBorders>
              <w:top w:val="single" w:color="404040" w:sz="2" w:space="0"/>
              <w:left w:val="single" w:color="404040" w:sz="2" w:space="0"/>
              <w:bottom w:val="single" w:color="404040" w:sz="2" w:space="0"/>
              <w:right w:val="single" w:color="404040" w:sz="2" w:space="0"/>
            </w:tcBorders>
            <w:vAlign w:val="center"/>
          </w:tcPr>
          <w:p w14:paraId="508E3C4D">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7BAC48D6">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1B73250B">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差</w:t>
            </w:r>
          </w:p>
        </w:tc>
      </w:tr>
      <w:tr w14:paraId="5049F40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3BE54E63">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66FD04C1">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临高速公路</w:t>
            </w:r>
          </w:p>
        </w:tc>
        <w:tc>
          <w:tcPr>
            <w:tcW w:w="786" w:type="pct"/>
            <w:tcBorders>
              <w:top w:val="single" w:color="404040" w:sz="2" w:space="0"/>
              <w:left w:val="single" w:color="404040" w:sz="2" w:space="0"/>
              <w:bottom w:val="single" w:color="404040" w:sz="2" w:space="0"/>
              <w:right w:val="single" w:color="404040" w:sz="2" w:space="0"/>
            </w:tcBorders>
            <w:vAlign w:val="center"/>
          </w:tcPr>
          <w:p w14:paraId="13AC4352">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临城市快速路</w:t>
            </w:r>
          </w:p>
        </w:tc>
        <w:tc>
          <w:tcPr>
            <w:tcW w:w="786" w:type="pct"/>
            <w:tcBorders>
              <w:top w:val="single" w:color="404040" w:sz="2" w:space="0"/>
              <w:left w:val="single" w:color="404040" w:sz="2" w:space="0"/>
              <w:bottom w:val="single" w:color="404040" w:sz="2" w:space="0"/>
              <w:right w:val="single" w:color="404040" w:sz="2" w:space="0"/>
            </w:tcBorders>
            <w:vAlign w:val="center"/>
          </w:tcPr>
          <w:p w14:paraId="529F6725">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临城市主干道</w:t>
            </w:r>
          </w:p>
        </w:tc>
        <w:tc>
          <w:tcPr>
            <w:tcW w:w="786" w:type="pct"/>
            <w:tcBorders>
              <w:top w:val="single" w:color="404040" w:sz="2" w:space="0"/>
              <w:left w:val="single" w:color="404040" w:sz="2" w:space="0"/>
              <w:bottom w:val="single" w:color="404040" w:sz="2" w:space="0"/>
              <w:right w:val="single" w:color="404040" w:sz="2" w:space="0"/>
            </w:tcBorders>
            <w:vAlign w:val="center"/>
          </w:tcPr>
          <w:p w14:paraId="4844E5C9">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临城市次干道</w:t>
            </w:r>
          </w:p>
        </w:tc>
        <w:tc>
          <w:tcPr>
            <w:tcW w:w="787" w:type="pct"/>
            <w:tcBorders>
              <w:top w:val="single" w:color="404040" w:sz="2" w:space="0"/>
              <w:left w:val="single" w:color="404040" w:sz="2" w:space="0"/>
              <w:bottom w:val="single" w:color="404040" w:sz="2" w:space="0"/>
              <w:right w:val="single" w:color="404040" w:sz="2" w:space="0"/>
            </w:tcBorders>
            <w:vAlign w:val="center"/>
          </w:tcPr>
          <w:p w14:paraId="163026B7">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临城市支路</w:t>
            </w:r>
          </w:p>
        </w:tc>
      </w:tr>
      <w:tr w14:paraId="37E5044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40237733">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786" w:type="pct"/>
            <w:tcBorders>
              <w:top w:val="single" w:color="404040" w:sz="2" w:space="0"/>
              <w:left w:val="single" w:color="404040" w:sz="2" w:space="0"/>
              <w:bottom w:val="single" w:color="404040" w:sz="2" w:space="0"/>
              <w:right w:val="single" w:color="404040" w:sz="2" w:space="0"/>
            </w:tcBorders>
            <w:vAlign w:val="center"/>
          </w:tcPr>
          <w:p w14:paraId="2BA0C462">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宗地形状规则，可利用程度好</w:t>
            </w:r>
          </w:p>
        </w:tc>
        <w:tc>
          <w:tcPr>
            <w:tcW w:w="786" w:type="pct"/>
            <w:tcBorders>
              <w:top w:val="single" w:color="404040" w:sz="2" w:space="0"/>
              <w:left w:val="single" w:color="404040" w:sz="2" w:space="0"/>
              <w:bottom w:val="single" w:color="404040" w:sz="2" w:space="0"/>
              <w:right w:val="single" w:color="404040" w:sz="2" w:space="0"/>
            </w:tcBorders>
            <w:vAlign w:val="center"/>
          </w:tcPr>
          <w:p w14:paraId="519AA9CF">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宗地形状较规则，可利用程度较好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35714B9B">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宗地形状不规则，但对宗地利用影响较小</w:t>
            </w:r>
          </w:p>
        </w:tc>
        <w:tc>
          <w:tcPr>
            <w:tcW w:w="786" w:type="pct"/>
            <w:tcBorders>
              <w:top w:val="single" w:color="404040" w:sz="2" w:space="0"/>
              <w:left w:val="single" w:color="404040" w:sz="2" w:space="0"/>
              <w:bottom w:val="single" w:color="404040" w:sz="2" w:space="0"/>
              <w:right w:val="single" w:color="404040" w:sz="2" w:space="0"/>
            </w:tcBorders>
            <w:vAlign w:val="center"/>
          </w:tcPr>
          <w:p w14:paraId="566E583E">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宗地形状不规则，对宗地利用有影响</w:t>
            </w:r>
          </w:p>
        </w:tc>
        <w:tc>
          <w:tcPr>
            <w:tcW w:w="787" w:type="pct"/>
            <w:tcBorders>
              <w:top w:val="single" w:color="404040" w:sz="2" w:space="0"/>
              <w:left w:val="single" w:color="404040" w:sz="2" w:space="0"/>
              <w:bottom w:val="single" w:color="404040" w:sz="2" w:space="0"/>
              <w:right w:val="single" w:color="404040" w:sz="2" w:space="0"/>
            </w:tcBorders>
            <w:vAlign w:val="center"/>
          </w:tcPr>
          <w:p w14:paraId="623C21AE">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宗地形状极其不规则，对宗地利用影响很大</w:t>
            </w:r>
          </w:p>
        </w:tc>
      </w:tr>
      <w:tr w14:paraId="4EDFCE8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28"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67E1D921">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5E53AFD0">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配套完善</w:t>
            </w:r>
          </w:p>
        </w:tc>
        <w:tc>
          <w:tcPr>
            <w:tcW w:w="786" w:type="pct"/>
            <w:tcBorders>
              <w:top w:val="single" w:color="404040" w:sz="2" w:space="0"/>
              <w:left w:val="single" w:color="404040" w:sz="2" w:space="0"/>
              <w:bottom w:val="single" w:color="404040" w:sz="2" w:space="0"/>
              <w:right w:val="single" w:color="404040" w:sz="2" w:space="0"/>
            </w:tcBorders>
            <w:vAlign w:val="center"/>
          </w:tcPr>
          <w:p w14:paraId="4B8C9CD2">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配套较完善</w:t>
            </w:r>
          </w:p>
        </w:tc>
        <w:tc>
          <w:tcPr>
            <w:tcW w:w="786" w:type="pct"/>
            <w:tcBorders>
              <w:top w:val="single" w:color="404040" w:sz="2" w:space="0"/>
              <w:left w:val="single" w:color="404040" w:sz="2" w:space="0"/>
              <w:bottom w:val="single" w:color="404040" w:sz="2" w:space="0"/>
              <w:right w:val="single" w:color="404040" w:sz="2" w:space="0"/>
            </w:tcBorders>
            <w:vAlign w:val="center"/>
          </w:tcPr>
          <w:p w14:paraId="6C691175">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配套基本满足需要</w:t>
            </w:r>
          </w:p>
        </w:tc>
        <w:tc>
          <w:tcPr>
            <w:tcW w:w="786" w:type="pct"/>
            <w:tcBorders>
              <w:top w:val="single" w:color="404040" w:sz="2" w:space="0"/>
              <w:left w:val="single" w:color="404040" w:sz="2" w:space="0"/>
              <w:bottom w:val="single" w:color="404040" w:sz="2" w:space="0"/>
              <w:right w:val="single" w:color="404040" w:sz="2" w:space="0"/>
            </w:tcBorders>
            <w:vAlign w:val="center"/>
          </w:tcPr>
          <w:p w14:paraId="15CFA84C">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配套少</w:t>
            </w:r>
          </w:p>
        </w:tc>
        <w:tc>
          <w:tcPr>
            <w:tcW w:w="787" w:type="pct"/>
            <w:tcBorders>
              <w:top w:val="single" w:color="404040" w:sz="2" w:space="0"/>
              <w:left w:val="single" w:color="404040" w:sz="2" w:space="0"/>
              <w:bottom w:val="single" w:color="404040" w:sz="2" w:space="0"/>
              <w:right w:val="single" w:color="404040" w:sz="2" w:space="0"/>
            </w:tcBorders>
            <w:vAlign w:val="center"/>
          </w:tcPr>
          <w:p w14:paraId="5A782993">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配套极少</w:t>
            </w:r>
          </w:p>
        </w:tc>
      </w:tr>
      <w:tr w14:paraId="55D160B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7B041BD6">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67ACE36A">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七通</w:t>
            </w:r>
          </w:p>
        </w:tc>
        <w:tc>
          <w:tcPr>
            <w:tcW w:w="786" w:type="pct"/>
            <w:tcBorders>
              <w:top w:val="single" w:color="404040" w:sz="2" w:space="0"/>
              <w:left w:val="single" w:color="404040" w:sz="2" w:space="0"/>
              <w:bottom w:val="single" w:color="404040" w:sz="2" w:space="0"/>
              <w:right w:val="single" w:color="404040" w:sz="2" w:space="0"/>
            </w:tcBorders>
            <w:vAlign w:val="center"/>
          </w:tcPr>
          <w:p w14:paraId="6E9D5151">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六通</w:t>
            </w:r>
          </w:p>
        </w:tc>
        <w:tc>
          <w:tcPr>
            <w:tcW w:w="786" w:type="pct"/>
            <w:tcBorders>
              <w:top w:val="single" w:color="404040" w:sz="2" w:space="0"/>
              <w:left w:val="single" w:color="404040" w:sz="2" w:space="0"/>
              <w:bottom w:val="single" w:color="404040" w:sz="2" w:space="0"/>
              <w:right w:val="single" w:color="404040" w:sz="2" w:space="0"/>
            </w:tcBorders>
            <w:vAlign w:val="center"/>
          </w:tcPr>
          <w:p w14:paraId="24457B47">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五通</w:t>
            </w:r>
          </w:p>
        </w:tc>
        <w:tc>
          <w:tcPr>
            <w:tcW w:w="786" w:type="pct"/>
            <w:tcBorders>
              <w:top w:val="single" w:color="404040" w:sz="2" w:space="0"/>
              <w:left w:val="single" w:color="404040" w:sz="2" w:space="0"/>
              <w:bottom w:val="single" w:color="404040" w:sz="2" w:space="0"/>
              <w:right w:val="single" w:color="404040" w:sz="2" w:space="0"/>
            </w:tcBorders>
            <w:vAlign w:val="center"/>
          </w:tcPr>
          <w:p w14:paraId="1897072C">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四通</w:t>
            </w:r>
          </w:p>
        </w:tc>
        <w:tc>
          <w:tcPr>
            <w:tcW w:w="787" w:type="pct"/>
            <w:tcBorders>
              <w:top w:val="single" w:color="404040" w:sz="2" w:space="0"/>
              <w:left w:val="single" w:color="404040" w:sz="2" w:space="0"/>
              <w:bottom w:val="single" w:color="404040" w:sz="2" w:space="0"/>
              <w:right w:val="single" w:color="404040" w:sz="2" w:space="0"/>
            </w:tcBorders>
            <w:vAlign w:val="center"/>
          </w:tcPr>
          <w:p w14:paraId="74FAD52F">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三通</w:t>
            </w:r>
          </w:p>
        </w:tc>
      </w:tr>
      <w:tr w14:paraId="5AAEB23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065" w:type="pct"/>
            <w:tcBorders>
              <w:top w:val="single" w:color="404040" w:sz="2" w:space="0"/>
              <w:left w:val="single" w:color="404040" w:sz="2" w:space="0"/>
              <w:bottom w:val="single" w:color="404040" w:sz="2" w:space="0"/>
              <w:right w:val="single" w:color="404040" w:sz="2" w:space="0"/>
            </w:tcBorders>
            <w:vAlign w:val="center"/>
          </w:tcPr>
          <w:p w14:paraId="5C790574">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786" w:type="pct"/>
            <w:tcBorders>
              <w:top w:val="single" w:color="404040" w:sz="2" w:space="0"/>
              <w:left w:val="single" w:color="404040" w:sz="2" w:space="0"/>
              <w:bottom w:val="single" w:color="404040" w:sz="2" w:space="0"/>
              <w:right w:val="single" w:color="404040" w:sz="2" w:space="0"/>
            </w:tcBorders>
            <w:vAlign w:val="center"/>
          </w:tcPr>
          <w:p w14:paraId="29D32855">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好</w:t>
            </w:r>
          </w:p>
        </w:tc>
        <w:tc>
          <w:tcPr>
            <w:tcW w:w="786" w:type="pct"/>
            <w:tcBorders>
              <w:top w:val="single" w:color="404040" w:sz="2" w:space="0"/>
              <w:left w:val="single" w:color="404040" w:sz="2" w:space="0"/>
              <w:bottom w:val="single" w:color="404040" w:sz="2" w:space="0"/>
              <w:right w:val="single" w:color="404040" w:sz="2" w:space="0"/>
            </w:tcBorders>
            <w:vAlign w:val="center"/>
          </w:tcPr>
          <w:p w14:paraId="24BEFBA7">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较好</w:t>
            </w:r>
          </w:p>
        </w:tc>
        <w:tc>
          <w:tcPr>
            <w:tcW w:w="786" w:type="pct"/>
            <w:tcBorders>
              <w:top w:val="single" w:color="404040" w:sz="2" w:space="0"/>
              <w:left w:val="single" w:color="404040" w:sz="2" w:space="0"/>
              <w:bottom w:val="single" w:color="404040" w:sz="2" w:space="0"/>
              <w:right w:val="single" w:color="404040" w:sz="2" w:space="0"/>
            </w:tcBorders>
            <w:vAlign w:val="center"/>
          </w:tcPr>
          <w:p w14:paraId="4DC9070A">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一般</w:t>
            </w:r>
          </w:p>
        </w:tc>
        <w:tc>
          <w:tcPr>
            <w:tcW w:w="786" w:type="pct"/>
            <w:tcBorders>
              <w:top w:val="single" w:color="404040" w:sz="2" w:space="0"/>
              <w:left w:val="single" w:color="404040" w:sz="2" w:space="0"/>
              <w:bottom w:val="single" w:color="404040" w:sz="2" w:space="0"/>
              <w:right w:val="single" w:color="404040" w:sz="2" w:space="0"/>
            </w:tcBorders>
            <w:vAlign w:val="center"/>
          </w:tcPr>
          <w:p w14:paraId="341FEE83">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较差</w:t>
            </w:r>
          </w:p>
        </w:tc>
        <w:tc>
          <w:tcPr>
            <w:tcW w:w="787" w:type="pct"/>
            <w:tcBorders>
              <w:top w:val="single" w:color="404040" w:sz="2" w:space="0"/>
              <w:left w:val="single" w:color="404040" w:sz="2" w:space="0"/>
              <w:bottom w:val="single" w:color="404040" w:sz="2" w:space="0"/>
              <w:right w:val="single" w:color="404040" w:sz="2" w:space="0"/>
            </w:tcBorders>
            <w:vAlign w:val="center"/>
          </w:tcPr>
          <w:p w14:paraId="480DF64D">
            <w:pPr>
              <w:widowControl/>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差</w:t>
            </w:r>
          </w:p>
        </w:tc>
      </w:tr>
    </w:tbl>
    <w:p w14:paraId="1F1B3FEE">
      <w:pPr>
        <w:keepNext w:val="0"/>
        <w:keepLines w:val="0"/>
        <w:pageBreakBefore w:val="0"/>
        <w:widowControl w:val="0"/>
        <w:kinsoku/>
        <w:wordWrap/>
        <w:overflowPunct/>
        <w:topLinePunct w:val="0"/>
        <w:autoSpaceDE/>
        <w:autoSpaceDN/>
        <w:bidi w:val="0"/>
        <w:adjustRightInd w:val="0"/>
        <w:snapToGrid/>
        <w:spacing w:before="157" w:beforeLines="50" w:line="300" w:lineRule="auto"/>
        <w:ind w:firstLine="560" w:firstLineChars="200"/>
        <w:jc w:val="both"/>
        <w:textAlignment w:val="baseline"/>
        <w:rPr>
          <w:rFonts w:ascii="Arial" w:hAnsi="Arial" w:eastAsia="仿宋_GB2312" w:cs="Arial"/>
          <w:sz w:val="28"/>
          <w:highlight w:val="none"/>
        </w:rPr>
      </w:pPr>
      <w:r>
        <w:rPr>
          <w:rFonts w:ascii="Arial" w:hAnsi="Arial" w:eastAsia="仿宋" w:cs="Arial"/>
          <w:sz w:val="28"/>
          <w:szCs w:val="28"/>
          <w:highlight w:val="none"/>
        </w:rPr>
        <w:t>估价对象地处</w:t>
      </w:r>
      <w:r>
        <w:rPr>
          <w:rFonts w:hint="eastAsia" w:ascii="Arial" w:hAnsi="Arial" w:eastAsia="仿宋" w:cs="Arial"/>
          <w:sz w:val="28"/>
          <w:szCs w:val="28"/>
          <w:highlight w:val="none"/>
        </w:rPr>
        <w:t>商业</w:t>
      </w:r>
      <w:r>
        <w:rPr>
          <w:rFonts w:ascii="Arial" w:hAnsi="Arial" w:eastAsia="仿宋" w:cs="Arial"/>
          <w:sz w:val="28"/>
          <w:szCs w:val="28"/>
          <w:highlight w:val="none"/>
        </w:rPr>
        <w:t>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szCs w:val="28"/>
          <w:highlight w:val="none"/>
        </w:rPr>
        <w:t>区片，依据前述《北京市基准地价因素权重表》、《区片基准地价因素总修正幅度表》及《因素等级说明表》，整理《等级系数表》如下：</w:t>
      </w:r>
    </w:p>
    <w:p w14:paraId="73705A8F">
      <w:pPr>
        <w:adjustRightInd/>
        <w:spacing w:line="300" w:lineRule="auto"/>
        <w:jc w:val="center"/>
        <w:rPr>
          <w:rFonts w:ascii="Arial" w:hAnsi="Arial" w:eastAsia="仿宋_GB2312" w:cs="Arial"/>
          <w:szCs w:val="24"/>
          <w:highlight w:val="none"/>
        </w:rPr>
      </w:pPr>
      <w:r>
        <w:rPr>
          <w:rFonts w:ascii="Arial" w:hAnsi="Arial" w:eastAsia="仿宋" w:cs="Arial"/>
          <w:sz w:val="28"/>
          <w:szCs w:val="28"/>
          <w:highlight w:val="none"/>
        </w:rPr>
        <w:t xml:space="preserve">等级系数表  </w:t>
      </w:r>
      <w:r>
        <w:rPr>
          <w:rFonts w:ascii="Arial" w:hAnsi="Arial" w:eastAsia="仿宋_GB2312" w:cs="Arial"/>
          <w:szCs w:val="24"/>
          <w:highlight w:val="none"/>
        </w:rPr>
        <w:t xml:space="preserve">                    </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410"/>
        <w:gridCol w:w="1290"/>
        <w:gridCol w:w="1371"/>
        <w:gridCol w:w="1472"/>
        <w:gridCol w:w="1406"/>
        <w:gridCol w:w="1457"/>
      </w:tblGrid>
      <w:tr w14:paraId="00A345E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tblHeader/>
          <w:jc w:val="center"/>
        </w:trPr>
        <w:tc>
          <w:tcPr>
            <w:tcW w:w="1280" w:type="pct"/>
            <w:tcBorders>
              <w:tl2br w:val="single" w:color="404040" w:sz="2" w:space="0"/>
            </w:tcBorders>
            <w:vAlign w:val="center"/>
          </w:tcPr>
          <w:p w14:paraId="384F1CA1">
            <w:pPr>
              <w:widowControl/>
              <w:adjustRightInd/>
              <w:spacing w:line="240" w:lineRule="atLeast"/>
              <w:jc w:val="right"/>
              <w:textAlignment w:val="auto"/>
              <w:rPr>
                <w:rFonts w:ascii="Arial" w:hAnsi="Arial" w:eastAsia="仿宋" w:cs="Arial"/>
                <w:sz w:val="21"/>
                <w:szCs w:val="21"/>
                <w:highlight w:val="none"/>
              </w:rPr>
            </w:pPr>
            <w:r>
              <w:rPr>
                <w:rFonts w:ascii="Arial" w:hAnsi="Arial" w:eastAsia="仿宋" w:cs="Arial"/>
                <w:sz w:val="21"/>
                <w:szCs w:val="21"/>
                <w:highlight w:val="none"/>
              </w:rPr>
              <w:t>等级</w:t>
            </w:r>
          </w:p>
          <w:p w14:paraId="4E0A2FEB">
            <w:pPr>
              <w:widowControl/>
              <w:adjustRightInd/>
              <w:spacing w:line="240" w:lineRule="atLeast"/>
              <w:jc w:val="right"/>
              <w:textAlignment w:val="auto"/>
              <w:rPr>
                <w:rFonts w:ascii="Arial" w:hAnsi="Arial" w:eastAsia="仿宋" w:cs="Arial"/>
                <w:sz w:val="21"/>
                <w:szCs w:val="21"/>
                <w:highlight w:val="none"/>
              </w:rPr>
            </w:pPr>
            <w:r>
              <w:rPr>
                <w:rFonts w:ascii="Arial" w:hAnsi="Arial" w:eastAsia="仿宋" w:cs="Arial"/>
                <w:sz w:val="21"/>
                <w:szCs w:val="21"/>
                <w:highlight w:val="none"/>
              </w:rPr>
              <w:t xml:space="preserve">     </w:t>
            </w:r>
          </w:p>
          <w:p w14:paraId="77DD25A1">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685" w:type="pct"/>
            <w:vAlign w:val="center"/>
          </w:tcPr>
          <w:p w14:paraId="79F99AD4">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好</w:t>
            </w:r>
          </w:p>
        </w:tc>
        <w:tc>
          <w:tcPr>
            <w:tcW w:w="728" w:type="pct"/>
            <w:vAlign w:val="center"/>
          </w:tcPr>
          <w:p w14:paraId="77B5B544">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较好</w:t>
            </w:r>
          </w:p>
        </w:tc>
        <w:tc>
          <w:tcPr>
            <w:tcW w:w="782" w:type="pct"/>
            <w:vAlign w:val="center"/>
          </w:tcPr>
          <w:p w14:paraId="10F7F475">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一般</w:t>
            </w:r>
          </w:p>
        </w:tc>
        <w:tc>
          <w:tcPr>
            <w:tcW w:w="747" w:type="pct"/>
            <w:vAlign w:val="center"/>
          </w:tcPr>
          <w:p w14:paraId="1369DEA2">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较差</w:t>
            </w:r>
          </w:p>
        </w:tc>
        <w:tc>
          <w:tcPr>
            <w:tcW w:w="774" w:type="pct"/>
            <w:vAlign w:val="center"/>
          </w:tcPr>
          <w:p w14:paraId="5F8EB42F">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差</w:t>
            </w:r>
          </w:p>
        </w:tc>
      </w:tr>
      <w:tr w14:paraId="1E3D1BA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12BE0FDB">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商业繁华程度</w:t>
            </w:r>
          </w:p>
        </w:tc>
        <w:tc>
          <w:tcPr>
            <w:tcW w:w="685" w:type="pct"/>
            <w:vAlign w:val="center"/>
          </w:tcPr>
          <w:p w14:paraId="207302FA">
            <w:pPr>
              <w:widowControl/>
              <w:adjustRightInd/>
              <w:spacing w:line="240" w:lineRule="atLeast"/>
              <w:textAlignment w:val="auto"/>
              <w:rPr>
                <w:rFonts w:ascii="Arial" w:hAnsi="Arial" w:cs="Arial"/>
                <w:sz w:val="22"/>
                <w:szCs w:val="22"/>
                <w:highlight w:val="none"/>
              </w:rPr>
            </w:pPr>
            <w:r>
              <w:rPr>
                <w:rFonts w:ascii="Arial" w:hAnsi="Arial" w:cs="Arial"/>
                <w:sz w:val="22"/>
                <w:szCs w:val="22"/>
                <w:highlight w:val="none"/>
              </w:rPr>
              <w:t>4.50</w:t>
            </w:r>
          </w:p>
        </w:tc>
        <w:tc>
          <w:tcPr>
            <w:tcW w:w="728" w:type="pct"/>
            <w:vAlign w:val="center"/>
          </w:tcPr>
          <w:p w14:paraId="7745FB8F">
            <w:pPr>
              <w:spacing w:line="240" w:lineRule="atLeast"/>
              <w:rPr>
                <w:rFonts w:ascii="Arial" w:hAnsi="Arial" w:cs="Arial"/>
                <w:sz w:val="22"/>
                <w:szCs w:val="22"/>
                <w:highlight w:val="none"/>
              </w:rPr>
            </w:pPr>
            <w:r>
              <w:rPr>
                <w:rFonts w:ascii="Arial" w:hAnsi="Arial" w:cs="Arial"/>
                <w:sz w:val="22"/>
                <w:szCs w:val="22"/>
                <w:highlight w:val="none"/>
              </w:rPr>
              <w:t>2.25</w:t>
            </w:r>
          </w:p>
        </w:tc>
        <w:tc>
          <w:tcPr>
            <w:tcW w:w="782" w:type="pct"/>
            <w:vAlign w:val="center"/>
          </w:tcPr>
          <w:p w14:paraId="52D09120">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265C57B6">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2.25</w:t>
            </w:r>
          </w:p>
        </w:tc>
        <w:tc>
          <w:tcPr>
            <w:tcW w:w="774" w:type="pct"/>
            <w:vAlign w:val="center"/>
          </w:tcPr>
          <w:p w14:paraId="3F9DA7DA">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4.50</w:t>
            </w:r>
          </w:p>
        </w:tc>
      </w:tr>
      <w:tr w14:paraId="6BA02A0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95ABE1F">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交通便捷度</w:t>
            </w:r>
          </w:p>
        </w:tc>
        <w:tc>
          <w:tcPr>
            <w:tcW w:w="685" w:type="pct"/>
            <w:vAlign w:val="center"/>
          </w:tcPr>
          <w:p w14:paraId="193C66AF">
            <w:pPr>
              <w:spacing w:line="240" w:lineRule="atLeast"/>
              <w:rPr>
                <w:rFonts w:ascii="Arial" w:hAnsi="Arial" w:cs="Arial"/>
                <w:sz w:val="22"/>
                <w:szCs w:val="22"/>
                <w:highlight w:val="none"/>
              </w:rPr>
            </w:pPr>
            <w:r>
              <w:rPr>
                <w:rFonts w:ascii="Arial" w:hAnsi="Arial" w:cs="Arial"/>
                <w:sz w:val="22"/>
                <w:szCs w:val="22"/>
                <w:highlight w:val="none"/>
              </w:rPr>
              <w:t>3.30</w:t>
            </w:r>
          </w:p>
        </w:tc>
        <w:tc>
          <w:tcPr>
            <w:tcW w:w="728" w:type="pct"/>
            <w:vAlign w:val="center"/>
          </w:tcPr>
          <w:p w14:paraId="3D3BFCA0">
            <w:pPr>
              <w:spacing w:line="240" w:lineRule="atLeast"/>
              <w:rPr>
                <w:rFonts w:ascii="Arial" w:hAnsi="Arial" w:cs="Arial"/>
                <w:sz w:val="22"/>
                <w:szCs w:val="22"/>
                <w:highlight w:val="none"/>
              </w:rPr>
            </w:pPr>
            <w:r>
              <w:rPr>
                <w:rFonts w:ascii="Arial" w:hAnsi="Arial" w:cs="Arial"/>
                <w:sz w:val="22"/>
                <w:szCs w:val="22"/>
                <w:highlight w:val="none"/>
              </w:rPr>
              <w:t>1.65</w:t>
            </w:r>
          </w:p>
        </w:tc>
        <w:tc>
          <w:tcPr>
            <w:tcW w:w="782" w:type="pct"/>
            <w:vAlign w:val="center"/>
          </w:tcPr>
          <w:p w14:paraId="415750AE">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4DBEF2C9">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1.65</w:t>
            </w:r>
          </w:p>
        </w:tc>
        <w:tc>
          <w:tcPr>
            <w:tcW w:w="774" w:type="pct"/>
            <w:vAlign w:val="center"/>
          </w:tcPr>
          <w:p w14:paraId="3174DF1D">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3.30</w:t>
            </w:r>
          </w:p>
        </w:tc>
      </w:tr>
      <w:tr w14:paraId="375549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7A7A6912">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区域土地利用方向</w:t>
            </w:r>
          </w:p>
        </w:tc>
        <w:tc>
          <w:tcPr>
            <w:tcW w:w="685" w:type="pct"/>
            <w:vAlign w:val="center"/>
          </w:tcPr>
          <w:p w14:paraId="451DDFD5">
            <w:pPr>
              <w:spacing w:line="240" w:lineRule="atLeast"/>
              <w:rPr>
                <w:rFonts w:ascii="Arial" w:hAnsi="Arial" w:cs="Arial"/>
                <w:sz w:val="22"/>
                <w:szCs w:val="22"/>
                <w:highlight w:val="none"/>
              </w:rPr>
            </w:pPr>
            <w:r>
              <w:rPr>
                <w:rFonts w:ascii="Arial" w:hAnsi="Arial" w:cs="Arial"/>
                <w:sz w:val="22"/>
                <w:szCs w:val="22"/>
                <w:highlight w:val="none"/>
              </w:rPr>
              <w:t>1.80</w:t>
            </w:r>
          </w:p>
        </w:tc>
        <w:tc>
          <w:tcPr>
            <w:tcW w:w="728" w:type="pct"/>
            <w:vAlign w:val="center"/>
          </w:tcPr>
          <w:p w14:paraId="2620D7CE">
            <w:pPr>
              <w:spacing w:line="240" w:lineRule="atLeast"/>
              <w:rPr>
                <w:rFonts w:ascii="Arial" w:hAnsi="Arial" w:cs="Arial"/>
                <w:sz w:val="22"/>
                <w:szCs w:val="22"/>
                <w:highlight w:val="none"/>
              </w:rPr>
            </w:pPr>
            <w:r>
              <w:rPr>
                <w:rFonts w:ascii="Arial" w:hAnsi="Arial" w:cs="Arial"/>
                <w:sz w:val="22"/>
                <w:szCs w:val="22"/>
                <w:highlight w:val="none"/>
              </w:rPr>
              <w:t>0.90</w:t>
            </w:r>
          </w:p>
        </w:tc>
        <w:tc>
          <w:tcPr>
            <w:tcW w:w="782" w:type="pct"/>
            <w:vAlign w:val="center"/>
          </w:tcPr>
          <w:p w14:paraId="5503C31D">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0C61221B">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0.90</w:t>
            </w:r>
          </w:p>
        </w:tc>
        <w:tc>
          <w:tcPr>
            <w:tcW w:w="774" w:type="pct"/>
            <w:vAlign w:val="center"/>
          </w:tcPr>
          <w:p w14:paraId="05660EE0">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1.80</w:t>
            </w:r>
          </w:p>
        </w:tc>
      </w:tr>
      <w:tr w14:paraId="5F867D6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5DE4CD63">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685" w:type="pct"/>
            <w:vAlign w:val="center"/>
          </w:tcPr>
          <w:p w14:paraId="2DA835D8">
            <w:pPr>
              <w:spacing w:line="240" w:lineRule="atLeast"/>
              <w:rPr>
                <w:rFonts w:ascii="Arial" w:hAnsi="Arial" w:cs="Arial"/>
                <w:sz w:val="22"/>
                <w:szCs w:val="22"/>
                <w:highlight w:val="none"/>
              </w:rPr>
            </w:pPr>
            <w:r>
              <w:rPr>
                <w:rFonts w:ascii="Arial" w:hAnsi="Arial" w:cs="Arial"/>
                <w:sz w:val="22"/>
                <w:szCs w:val="22"/>
                <w:highlight w:val="none"/>
              </w:rPr>
              <w:t>0.74</w:t>
            </w:r>
          </w:p>
        </w:tc>
        <w:tc>
          <w:tcPr>
            <w:tcW w:w="728" w:type="pct"/>
            <w:vAlign w:val="center"/>
          </w:tcPr>
          <w:p w14:paraId="29266202">
            <w:pPr>
              <w:spacing w:line="240" w:lineRule="atLeast"/>
              <w:rPr>
                <w:rFonts w:ascii="Arial" w:hAnsi="Arial" w:cs="Arial"/>
                <w:sz w:val="22"/>
                <w:szCs w:val="22"/>
                <w:highlight w:val="none"/>
              </w:rPr>
            </w:pPr>
            <w:r>
              <w:rPr>
                <w:rFonts w:ascii="Arial" w:hAnsi="Arial" w:cs="Arial"/>
                <w:sz w:val="22"/>
                <w:szCs w:val="22"/>
                <w:highlight w:val="none"/>
              </w:rPr>
              <w:t>0.37</w:t>
            </w:r>
          </w:p>
        </w:tc>
        <w:tc>
          <w:tcPr>
            <w:tcW w:w="782" w:type="pct"/>
            <w:vAlign w:val="center"/>
          </w:tcPr>
          <w:p w14:paraId="408AA597">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21FF7AE8">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774" w:type="pct"/>
            <w:vAlign w:val="center"/>
          </w:tcPr>
          <w:p w14:paraId="611AE315">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r w14:paraId="6738BF1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586FF3D">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685" w:type="pct"/>
            <w:vAlign w:val="center"/>
          </w:tcPr>
          <w:p w14:paraId="66FAA0EC">
            <w:pPr>
              <w:spacing w:line="240" w:lineRule="atLeast"/>
              <w:rPr>
                <w:rFonts w:ascii="Arial" w:hAnsi="Arial" w:cs="Arial"/>
                <w:sz w:val="22"/>
                <w:szCs w:val="22"/>
                <w:highlight w:val="none"/>
              </w:rPr>
            </w:pPr>
            <w:r>
              <w:rPr>
                <w:rFonts w:ascii="Arial" w:hAnsi="Arial" w:cs="Arial"/>
                <w:sz w:val="22"/>
                <w:szCs w:val="22"/>
                <w:highlight w:val="none"/>
              </w:rPr>
              <w:t>1.20</w:t>
            </w:r>
          </w:p>
        </w:tc>
        <w:tc>
          <w:tcPr>
            <w:tcW w:w="728" w:type="pct"/>
            <w:vAlign w:val="center"/>
          </w:tcPr>
          <w:p w14:paraId="37FC6ECD">
            <w:pPr>
              <w:spacing w:line="240" w:lineRule="atLeast"/>
              <w:rPr>
                <w:rFonts w:ascii="Arial" w:hAnsi="Arial" w:cs="Arial"/>
                <w:sz w:val="22"/>
                <w:szCs w:val="22"/>
                <w:highlight w:val="none"/>
              </w:rPr>
            </w:pPr>
            <w:r>
              <w:rPr>
                <w:rFonts w:ascii="Arial" w:hAnsi="Arial" w:cs="Arial"/>
                <w:sz w:val="22"/>
                <w:szCs w:val="22"/>
                <w:highlight w:val="none"/>
              </w:rPr>
              <w:t>0.60</w:t>
            </w:r>
          </w:p>
        </w:tc>
        <w:tc>
          <w:tcPr>
            <w:tcW w:w="782" w:type="pct"/>
            <w:vAlign w:val="center"/>
          </w:tcPr>
          <w:p w14:paraId="6A338BFB">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568E1065">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0.60</w:t>
            </w:r>
          </w:p>
        </w:tc>
        <w:tc>
          <w:tcPr>
            <w:tcW w:w="774" w:type="pct"/>
            <w:vAlign w:val="center"/>
          </w:tcPr>
          <w:p w14:paraId="2317E855">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1.20</w:t>
            </w:r>
          </w:p>
        </w:tc>
      </w:tr>
      <w:tr w14:paraId="767E2D0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07080118">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685" w:type="pct"/>
            <w:vAlign w:val="center"/>
          </w:tcPr>
          <w:p w14:paraId="591EB57B">
            <w:pPr>
              <w:spacing w:line="240" w:lineRule="atLeast"/>
              <w:rPr>
                <w:rFonts w:ascii="Arial" w:hAnsi="Arial" w:cs="Arial"/>
                <w:sz w:val="22"/>
                <w:szCs w:val="22"/>
                <w:highlight w:val="none"/>
              </w:rPr>
            </w:pPr>
            <w:r>
              <w:rPr>
                <w:rFonts w:ascii="Arial" w:hAnsi="Arial" w:cs="Arial"/>
                <w:sz w:val="22"/>
                <w:szCs w:val="22"/>
                <w:highlight w:val="none"/>
              </w:rPr>
              <w:t>0.74</w:t>
            </w:r>
          </w:p>
        </w:tc>
        <w:tc>
          <w:tcPr>
            <w:tcW w:w="728" w:type="pct"/>
            <w:vAlign w:val="center"/>
          </w:tcPr>
          <w:p w14:paraId="0A251FA1">
            <w:pPr>
              <w:spacing w:line="240" w:lineRule="atLeast"/>
              <w:rPr>
                <w:rFonts w:ascii="Arial" w:hAnsi="Arial" w:cs="Arial"/>
                <w:sz w:val="22"/>
                <w:szCs w:val="22"/>
                <w:highlight w:val="none"/>
              </w:rPr>
            </w:pPr>
            <w:r>
              <w:rPr>
                <w:rFonts w:ascii="Arial" w:hAnsi="Arial" w:cs="Arial"/>
                <w:sz w:val="22"/>
                <w:szCs w:val="22"/>
                <w:highlight w:val="none"/>
              </w:rPr>
              <w:t>0.37</w:t>
            </w:r>
          </w:p>
        </w:tc>
        <w:tc>
          <w:tcPr>
            <w:tcW w:w="782" w:type="pct"/>
            <w:vAlign w:val="center"/>
          </w:tcPr>
          <w:p w14:paraId="4D3B2533">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710EFAD4">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774" w:type="pct"/>
            <w:vAlign w:val="center"/>
          </w:tcPr>
          <w:p w14:paraId="66B98708">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r w14:paraId="484C6D0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61922754">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685" w:type="pct"/>
            <w:vAlign w:val="center"/>
          </w:tcPr>
          <w:p w14:paraId="3EFBADF0">
            <w:pPr>
              <w:spacing w:line="240" w:lineRule="atLeast"/>
              <w:rPr>
                <w:rFonts w:ascii="Arial" w:hAnsi="Arial" w:cs="Arial"/>
                <w:sz w:val="22"/>
                <w:szCs w:val="22"/>
                <w:highlight w:val="none"/>
              </w:rPr>
            </w:pPr>
            <w:r>
              <w:rPr>
                <w:rFonts w:ascii="Arial" w:hAnsi="Arial" w:cs="Arial"/>
                <w:sz w:val="22"/>
                <w:szCs w:val="22"/>
                <w:highlight w:val="none"/>
              </w:rPr>
              <w:t>0.74</w:t>
            </w:r>
          </w:p>
        </w:tc>
        <w:tc>
          <w:tcPr>
            <w:tcW w:w="728" w:type="pct"/>
            <w:vAlign w:val="center"/>
          </w:tcPr>
          <w:p w14:paraId="584CA3A8">
            <w:pPr>
              <w:spacing w:line="240" w:lineRule="atLeast"/>
              <w:rPr>
                <w:rFonts w:ascii="Arial" w:hAnsi="Arial" w:cs="Arial"/>
                <w:sz w:val="22"/>
                <w:szCs w:val="22"/>
                <w:highlight w:val="none"/>
              </w:rPr>
            </w:pPr>
            <w:r>
              <w:rPr>
                <w:rFonts w:ascii="Arial" w:hAnsi="Arial" w:cs="Arial"/>
                <w:sz w:val="22"/>
                <w:szCs w:val="22"/>
                <w:highlight w:val="none"/>
              </w:rPr>
              <w:t>0.37</w:t>
            </w:r>
          </w:p>
        </w:tc>
        <w:tc>
          <w:tcPr>
            <w:tcW w:w="782" w:type="pct"/>
            <w:vAlign w:val="center"/>
          </w:tcPr>
          <w:p w14:paraId="0F2F4B36">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24650EAA">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774" w:type="pct"/>
            <w:vAlign w:val="center"/>
          </w:tcPr>
          <w:p w14:paraId="53F06480">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r w14:paraId="32670F2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37004A70">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685" w:type="pct"/>
            <w:vAlign w:val="center"/>
          </w:tcPr>
          <w:p w14:paraId="213485CD">
            <w:pPr>
              <w:spacing w:line="240" w:lineRule="atLeast"/>
              <w:rPr>
                <w:rFonts w:ascii="Arial" w:hAnsi="Arial" w:cs="Arial"/>
                <w:sz w:val="22"/>
                <w:szCs w:val="22"/>
                <w:highlight w:val="none"/>
              </w:rPr>
            </w:pPr>
            <w:r>
              <w:rPr>
                <w:rFonts w:ascii="Arial" w:hAnsi="Arial" w:cs="Arial"/>
                <w:sz w:val="22"/>
                <w:szCs w:val="22"/>
                <w:highlight w:val="none"/>
              </w:rPr>
              <w:t>1.20</w:t>
            </w:r>
          </w:p>
        </w:tc>
        <w:tc>
          <w:tcPr>
            <w:tcW w:w="728" w:type="pct"/>
            <w:vAlign w:val="center"/>
          </w:tcPr>
          <w:p w14:paraId="76FDDE83">
            <w:pPr>
              <w:spacing w:line="240" w:lineRule="atLeast"/>
              <w:rPr>
                <w:rFonts w:ascii="Arial" w:hAnsi="Arial" w:cs="Arial"/>
                <w:sz w:val="22"/>
                <w:szCs w:val="22"/>
                <w:highlight w:val="none"/>
              </w:rPr>
            </w:pPr>
            <w:r>
              <w:rPr>
                <w:rFonts w:ascii="Arial" w:hAnsi="Arial" w:cs="Arial"/>
                <w:sz w:val="22"/>
                <w:szCs w:val="22"/>
                <w:highlight w:val="none"/>
              </w:rPr>
              <w:t>0.60</w:t>
            </w:r>
          </w:p>
        </w:tc>
        <w:tc>
          <w:tcPr>
            <w:tcW w:w="782" w:type="pct"/>
            <w:vAlign w:val="center"/>
          </w:tcPr>
          <w:p w14:paraId="044E4E04">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4B139DD5">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0.60</w:t>
            </w:r>
          </w:p>
        </w:tc>
        <w:tc>
          <w:tcPr>
            <w:tcW w:w="774" w:type="pct"/>
            <w:vAlign w:val="center"/>
          </w:tcPr>
          <w:p w14:paraId="4A9ADEED">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1.20</w:t>
            </w:r>
          </w:p>
        </w:tc>
      </w:tr>
      <w:tr w14:paraId="29C9E28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36BE0C76">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685" w:type="pct"/>
            <w:vAlign w:val="center"/>
          </w:tcPr>
          <w:p w14:paraId="33F0DFE9">
            <w:pPr>
              <w:spacing w:line="240" w:lineRule="atLeast"/>
              <w:rPr>
                <w:rFonts w:ascii="Arial" w:hAnsi="Arial" w:cs="Arial"/>
                <w:sz w:val="22"/>
                <w:szCs w:val="22"/>
                <w:highlight w:val="none"/>
              </w:rPr>
            </w:pPr>
            <w:r>
              <w:rPr>
                <w:rFonts w:ascii="Arial" w:hAnsi="Arial" w:cs="Arial"/>
                <w:sz w:val="22"/>
                <w:szCs w:val="22"/>
                <w:highlight w:val="none"/>
              </w:rPr>
              <w:t>0.74</w:t>
            </w:r>
          </w:p>
        </w:tc>
        <w:tc>
          <w:tcPr>
            <w:tcW w:w="728" w:type="pct"/>
            <w:vAlign w:val="center"/>
          </w:tcPr>
          <w:p w14:paraId="3ACACDB4">
            <w:pPr>
              <w:spacing w:line="240" w:lineRule="atLeast"/>
              <w:rPr>
                <w:rFonts w:ascii="Arial" w:hAnsi="Arial" w:cs="Arial"/>
                <w:sz w:val="22"/>
                <w:szCs w:val="22"/>
                <w:highlight w:val="none"/>
              </w:rPr>
            </w:pPr>
            <w:r>
              <w:rPr>
                <w:rFonts w:ascii="Arial" w:hAnsi="Arial" w:cs="Arial"/>
                <w:sz w:val="22"/>
                <w:szCs w:val="22"/>
                <w:highlight w:val="none"/>
              </w:rPr>
              <w:t>0.37</w:t>
            </w:r>
          </w:p>
        </w:tc>
        <w:tc>
          <w:tcPr>
            <w:tcW w:w="782" w:type="pct"/>
            <w:vAlign w:val="center"/>
          </w:tcPr>
          <w:p w14:paraId="114246FD">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36AA0E29">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774" w:type="pct"/>
            <w:vAlign w:val="center"/>
          </w:tcPr>
          <w:p w14:paraId="34EE01DA">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bl>
    <w:p w14:paraId="41056409">
      <w:pPr>
        <w:spacing w:line="300" w:lineRule="auto"/>
        <w:ind w:firstLine="360" w:firstLineChars="200"/>
        <w:jc w:val="both"/>
        <w:rPr>
          <w:rFonts w:ascii="Arial" w:hAnsi="Arial" w:eastAsia="仿宋_GB2312" w:cs="Arial"/>
          <w:sz w:val="28"/>
          <w:highlight w:val="none"/>
        </w:rPr>
      </w:pPr>
      <w:r>
        <w:rPr>
          <w:rFonts w:hint="eastAsia" w:ascii="Arial" w:hAnsi="Arial" w:eastAsia="华文细黑" w:cs="宋体"/>
          <w:sz w:val="18"/>
          <w:szCs w:val="24"/>
          <w:highlight w:val="none"/>
        </w:rPr>
        <w:t>单位：%</w:t>
      </w:r>
    </w:p>
    <w:p w14:paraId="06DB902E">
      <w:pPr>
        <w:adjustRightInd/>
        <w:spacing w:line="300" w:lineRule="auto"/>
        <w:ind w:firstLine="560" w:firstLineChars="200"/>
        <w:jc w:val="both"/>
        <w:rPr>
          <w:rFonts w:ascii="Arial" w:hAnsi="Arial" w:eastAsia="仿宋" w:cs="Arial"/>
          <w:sz w:val="28"/>
          <w:highlight w:val="none"/>
        </w:rPr>
      </w:pPr>
      <w:r>
        <w:rPr>
          <w:rFonts w:ascii="Arial" w:hAnsi="Arial" w:eastAsia="仿宋" w:cs="Arial"/>
          <w:sz w:val="28"/>
          <w:highlight w:val="none"/>
        </w:rPr>
        <w:t>按照因素等级情况说明表、等级系数表以及估价对象的区域因素和个别因素条件，编制估价对象因素修正系数表如下：</w:t>
      </w:r>
    </w:p>
    <w:p w14:paraId="3036DF32">
      <w:pPr>
        <w:spacing w:line="300" w:lineRule="auto"/>
        <w:jc w:val="center"/>
        <w:rPr>
          <w:rFonts w:ascii="Arial" w:hAnsi="Arial" w:eastAsia="仿宋" w:cs="Arial"/>
          <w:sz w:val="28"/>
          <w:highlight w:val="none"/>
        </w:rPr>
      </w:pPr>
      <w:r>
        <w:rPr>
          <w:rFonts w:ascii="Arial" w:hAnsi="Arial" w:eastAsia="仿宋" w:cs="Arial"/>
          <w:sz w:val="28"/>
          <w:highlight w:val="none"/>
        </w:rPr>
        <w:t>估价对象因素修正系数表</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425"/>
        <w:gridCol w:w="2272"/>
        <w:gridCol w:w="5168"/>
        <w:gridCol w:w="532"/>
        <w:gridCol w:w="1007"/>
      </w:tblGrid>
      <w:tr w14:paraId="2D0CA26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226" w:type="pct"/>
            <w:vAlign w:val="center"/>
          </w:tcPr>
          <w:p w14:paraId="441D5AA1">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序号</w:t>
            </w:r>
          </w:p>
        </w:tc>
        <w:tc>
          <w:tcPr>
            <w:tcW w:w="1208" w:type="pct"/>
            <w:vAlign w:val="center"/>
          </w:tcPr>
          <w:p w14:paraId="352AA7AF">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影响因素</w:t>
            </w:r>
          </w:p>
        </w:tc>
        <w:tc>
          <w:tcPr>
            <w:tcW w:w="2747" w:type="pct"/>
            <w:vAlign w:val="center"/>
          </w:tcPr>
          <w:p w14:paraId="406FAC35">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估价对象情况</w:t>
            </w:r>
          </w:p>
        </w:tc>
        <w:tc>
          <w:tcPr>
            <w:tcW w:w="281" w:type="pct"/>
            <w:vAlign w:val="center"/>
          </w:tcPr>
          <w:p w14:paraId="172E399C">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等级</w:t>
            </w:r>
          </w:p>
        </w:tc>
        <w:tc>
          <w:tcPr>
            <w:tcW w:w="535" w:type="pct"/>
            <w:vAlign w:val="center"/>
          </w:tcPr>
          <w:p w14:paraId="6364CCAB">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修正系数</w:t>
            </w:r>
          </w:p>
        </w:tc>
      </w:tr>
      <w:tr w14:paraId="0C2826E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58BEFA92">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1）</w:t>
            </w:r>
          </w:p>
        </w:tc>
        <w:tc>
          <w:tcPr>
            <w:tcW w:w="1208" w:type="pct"/>
            <w:vAlign w:val="center"/>
          </w:tcPr>
          <w:p w14:paraId="319F92E0">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商业繁华程度</w:t>
            </w:r>
          </w:p>
        </w:tc>
        <w:tc>
          <w:tcPr>
            <w:tcW w:w="2747" w:type="pct"/>
            <w:vAlign w:val="center"/>
          </w:tcPr>
          <w:p w14:paraId="51D25B10">
            <w:pPr>
              <w:adjustRightInd/>
              <w:spacing w:line="240" w:lineRule="exact"/>
              <w:rPr>
                <w:rFonts w:hint="eastAsia" w:ascii="Arial" w:hAnsi="Arial" w:eastAsia="仿宋" w:cs="Arial"/>
                <w:sz w:val="21"/>
                <w:szCs w:val="21"/>
                <w:highlight w:val="none"/>
                <w:lang w:eastAsia="zh-CN"/>
              </w:rPr>
            </w:pPr>
            <w:r>
              <w:rPr>
                <w:rFonts w:hint="eastAsia" w:ascii="Arial" w:hAnsi="Arial" w:eastAsia="仿宋" w:cs="Arial"/>
                <w:sz w:val="21"/>
                <w:szCs w:val="21"/>
                <w:highlight w:val="none"/>
              </w:rPr>
              <w:t>估价对象位于北京市顺义区高丽营镇夏县营村，周边2公里范围内有社区商业街，北京超天商贸中心、隆华购物中心以及零星临街商铺，无大型购物中心，商业繁华度较差</w:t>
            </w:r>
            <w:r>
              <w:rPr>
                <w:rFonts w:hint="eastAsia" w:ascii="Arial" w:hAnsi="Arial" w:eastAsia="仿宋" w:cs="Arial"/>
                <w:sz w:val="21"/>
                <w:szCs w:val="21"/>
                <w:highlight w:val="none"/>
                <w:lang w:eastAsia="zh-CN"/>
              </w:rPr>
              <w:t>。</w:t>
            </w:r>
          </w:p>
        </w:tc>
        <w:tc>
          <w:tcPr>
            <w:tcW w:w="281" w:type="pct"/>
            <w:vAlign w:val="center"/>
          </w:tcPr>
          <w:p w14:paraId="0DFC5DCA">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bidi="ar"/>
              </w:rPr>
              <w:t>较差</w:t>
            </w:r>
          </w:p>
        </w:tc>
        <w:tc>
          <w:tcPr>
            <w:tcW w:w="535" w:type="pct"/>
            <w:vAlign w:val="center"/>
          </w:tcPr>
          <w:p w14:paraId="25A6D438">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2.25%</w:t>
            </w:r>
          </w:p>
        </w:tc>
      </w:tr>
      <w:tr w14:paraId="69BDC6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7B6985D1">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2）</w:t>
            </w:r>
          </w:p>
        </w:tc>
        <w:tc>
          <w:tcPr>
            <w:tcW w:w="1208" w:type="pct"/>
            <w:vAlign w:val="center"/>
          </w:tcPr>
          <w:p w14:paraId="1A3FA69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交通便捷度</w:t>
            </w:r>
          </w:p>
        </w:tc>
        <w:tc>
          <w:tcPr>
            <w:tcW w:w="2747" w:type="pct"/>
            <w:vAlign w:val="center"/>
          </w:tcPr>
          <w:p w14:paraId="16E634CA">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281" w:type="pct"/>
            <w:vAlign w:val="center"/>
          </w:tcPr>
          <w:p w14:paraId="1883E5A1">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bidi="ar"/>
              </w:rPr>
              <w:t>较差</w:t>
            </w:r>
          </w:p>
        </w:tc>
        <w:tc>
          <w:tcPr>
            <w:tcW w:w="535" w:type="pct"/>
            <w:vAlign w:val="center"/>
          </w:tcPr>
          <w:p w14:paraId="170D0677">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1.65 %</w:t>
            </w:r>
          </w:p>
        </w:tc>
      </w:tr>
      <w:tr w14:paraId="2A4910E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3081139F">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3）</w:t>
            </w:r>
          </w:p>
        </w:tc>
        <w:tc>
          <w:tcPr>
            <w:tcW w:w="1208" w:type="pct"/>
            <w:vAlign w:val="center"/>
          </w:tcPr>
          <w:p w14:paraId="62DA907A">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区域土地利用方向</w:t>
            </w:r>
          </w:p>
        </w:tc>
        <w:tc>
          <w:tcPr>
            <w:tcW w:w="2747" w:type="pct"/>
            <w:vAlign w:val="center"/>
          </w:tcPr>
          <w:p w14:paraId="75E590B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lang w:bidi="ar"/>
              </w:rPr>
              <w:t>估价对象周边有部分其他用途用地，基本不影响本宗地。</w:t>
            </w:r>
          </w:p>
        </w:tc>
        <w:tc>
          <w:tcPr>
            <w:tcW w:w="281" w:type="pct"/>
            <w:vAlign w:val="center"/>
          </w:tcPr>
          <w:p w14:paraId="02EE2BCE">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较好</w:t>
            </w:r>
          </w:p>
        </w:tc>
        <w:tc>
          <w:tcPr>
            <w:tcW w:w="535" w:type="pct"/>
            <w:vAlign w:val="center"/>
          </w:tcPr>
          <w:p w14:paraId="0613379C">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0.90%</w:t>
            </w:r>
          </w:p>
        </w:tc>
      </w:tr>
      <w:tr w14:paraId="27A5ED1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50192A7F">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4）</w:t>
            </w:r>
          </w:p>
        </w:tc>
        <w:tc>
          <w:tcPr>
            <w:tcW w:w="1208" w:type="pct"/>
            <w:vAlign w:val="center"/>
          </w:tcPr>
          <w:p w14:paraId="70801F8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747" w:type="pct"/>
            <w:vAlign w:val="center"/>
          </w:tcPr>
          <w:p w14:paraId="7E45F725">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临街宽度及深度比例一般。</w:t>
            </w:r>
          </w:p>
        </w:tc>
        <w:tc>
          <w:tcPr>
            <w:tcW w:w="281" w:type="pct"/>
            <w:vAlign w:val="center"/>
          </w:tcPr>
          <w:p w14:paraId="5D2751BB">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rPr>
              <w:t>一般</w:t>
            </w:r>
          </w:p>
        </w:tc>
        <w:tc>
          <w:tcPr>
            <w:tcW w:w="535" w:type="pct"/>
            <w:vAlign w:val="center"/>
          </w:tcPr>
          <w:p w14:paraId="4877668C">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00C15B1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23864CBA">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5）</w:t>
            </w:r>
          </w:p>
        </w:tc>
        <w:tc>
          <w:tcPr>
            <w:tcW w:w="1208" w:type="pct"/>
            <w:vAlign w:val="center"/>
          </w:tcPr>
          <w:p w14:paraId="723A3137">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747" w:type="pct"/>
            <w:vAlign w:val="center"/>
          </w:tcPr>
          <w:p w14:paraId="3D7F0D48">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lang w:bidi="ar"/>
              </w:rPr>
              <w:t>估价对象毗邻</w:t>
            </w:r>
            <w:r>
              <w:rPr>
                <w:rFonts w:hint="eastAsia" w:ascii="Arial" w:hAnsi="Arial" w:eastAsia="仿宋" w:cs="Arial"/>
                <w:sz w:val="21"/>
                <w:szCs w:val="21"/>
                <w:highlight w:val="none"/>
                <w:lang w:bidi="ar"/>
              </w:rPr>
              <w:t>城市主干道——火寺路</w:t>
            </w:r>
          </w:p>
        </w:tc>
        <w:tc>
          <w:tcPr>
            <w:tcW w:w="281" w:type="pct"/>
            <w:vAlign w:val="center"/>
          </w:tcPr>
          <w:p w14:paraId="4E2D5833">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较好</w:t>
            </w:r>
          </w:p>
        </w:tc>
        <w:tc>
          <w:tcPr>
            <w:tcW w:w="535" w:type="pct"/>
            <w:vAlign w:val="center"/>
          </w:tcPr>
          <w:p w14:paraId="3C9D7C96">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0.60%</w:t>
            </w:r>
          </w:p>
        </w:tc>
      </w:tr>
      <w:tr w14:paraId="37BA7CF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14D0379B">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6）</w:t>
            </w:r>
          </w:p>
        </w:tc>
        <w:tc>
          <w:tcPr>
            <w:tcW w:w="1208" w:type="pct"/>
            <w:vAlign w:val="center"/>
          </w:tcPr>
          <w:p w14:paraId="12F1FC45">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747" w:type="pct"/>
            <w:vAlign w:val="center"/>
          </w:tcPr>
          <w:p w14:paraId="6867A291">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rPr>
              <w:t>宗地形状规则，可利用程度好</w:t>
            </w:r>
            <w:r>
              <w:rPr>
                <w:rFonts w:ascii="Arial" w:hAnsi="Arial" w:eastAsia="仿宋" w:cs="Arial"/>
                <w:sz w:val="21"/>
                <w:szCs w:val="21"/>
                <w:highlight w:val="none"/>
                <w:lang w:bidi="ar"/>
              </w:rPr>
              <w:t>。</w:t>
            </w:r>
          </w:p>
        </w:tc>
        <w:tc>
          <w:tcPr>
            <w:tcW w:w="281" w:type="pct"/>
            <w:vAlign w:val="center"/>
          </w:tcPr>
          <w:p w14:paraId="6AD47F69">
            <w:pPr>
              <w:adjustRightInd/>
              <w:spacing w:line="240" w:lineRule="exact"/>
              <w:rPr>
                <w:rFonts w:hint="default" w:ascii="Arial" w:hAnsi="Arial" w:eastAsia="仿宋" w:cs="Arial"/>
                <w:sz w:val="21"/>
                <w:szCs w:val="21"/>
                <w:highlight w:val="none"/>
                <w:lang w:val="en-US" w:eastAsia="zh-CN" w:bidi="ar"/>
              </w:rPr>
            </w:pPr>
            <w:r>
              <w:rPr>
                <w:rFonts w:hint="eastAsia" w:ascii="Arial" w:hAnsi="Arial" w:eastAsia="仿宋" w:cs="Arial"/>
                <w:sz w:val="21"/>
                <w:szCs w:val="21"/>
                <w:highlight w:val="none"/>
                <w:lang w:val="en-US" w:eastAsia="zh-CN" w:bidi="ar"/>
              </w:rPr>
              <w:t>较好</w:t>
            </w:r>
          </w:p>
        </w:tc>
        <w:tc>
          <w:tcPr>
            <w:tcW w:w="535" w:type="pct"/>
            <w:vAlign w:val="center"/>
          </w:tcPr>
          <w:p w14:paraId="7528C27F">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w:t>
            </w:r>
            <w:r>
              <w:rPr>
                <w:rFonts w:hint="eastAsia" w:ascii="Arial" w:hAnsi="Arial" w:eastAsia="仿宋" w:cs="Arial"/>
                <w:sz w:val="21"/>
                <w:szCs w:val="21"/>
                <w:highlight w:val="none"/>
                <w:lang w:val="en-US" w:eastAsia="zh-CN" w:bidi="ar"/>
              </w:rPr>
              <w:t>37</w:t>
            </w:r>
            <w:r>
              <w:rPr>
                <w:rFonts w:ascii="Arial" w:hAnsi="Arial" w:eastAsia="仿宋" w:cs="Arial"/>
                <w:sz w:val="21"/>
                <w:szCs w:val="21"/>
                <w:highlight w:val="none"/>
                <w:lang w:bidi="ar"/>
              </w:rPr>
              <w:t>%</w:t>
            </w:r>
          </w:p>
        </w:tc>
      </w:tr>
      <w:tr w14:paraId="5CB3AA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08581EAB">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7）</w:t>
            </w:r>
          </w:p>
        </w:tc>
        <w:tc>
          <w:tcPr>
            <w:tcW w:w="1208" w:type="pct"/>
            <w:vAlign w:val="center"/>
          </w:tcPr>
          <w:p w14:paraId="379D35ED">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747" w:type="pct"/>
            <w:vAlign w:val="center"/>
          </w:tcPr>
          <w:p w14:paraId="252A9A98">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rPr>
              <w:t>估价对象周边2公里范围内</w:t>
            </w:r>
            <w:r>
              <w:rPr>
                <w:rFonts w:hint="eastAsia" w:ascii="Arial" w:hAnsi="Arial" w:eastAsia="仿宋" w:cs="Arial"/>
                <w:sz w:val="21"/>
                <w:szCs w:val="21"/>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 w:cs="Arial"/>
                <w:sz w:val="21"/>
                <w:szCs w:val="21"/>
                <w:highlight w:val="none"/>
              </w:rPr>
              <w:t>，公共配套设施齐备情况一般。</w:t>
            </w:r>
          </w:p>
        </w:tc>
        <w:tc>
          <w:tcPr>
            <w:tcW w:w="281" w:type="pct"/>
            <w:vAlign w:val="center"/>
          </w:tcPr>
          <w:p w14:paraId="6E79765C">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一般</w:t>
            </w:r>
          </w:p>
        </w:tc>
        <w:tc>
          <w:tcPr>
            <w:tcW w:w="535" w:type="pct"/>
            <w:vAlign w:val="center"/>
          </w:tcPr>
          <w:p w14:paraId="44BE89A7">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79312CB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73A4B51A">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8）</w:t>
            </w:r>
          </w:p>
        </w:tc>
        <w:tc>
          <w:tcPr>
            <w:tcW w:w="1208" w:type="pct"/>
            <w:vAlign w:val="center"/>
          </w:tcPr>
          <w:p w14:paraId="10C49A83">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747" w:type="pct"/>
            <w:vAlign w:val="center"/>
          </w:tcPr>
          <w:p w14:paraId="61685500">
            <w:pPr>
              <w:adjustRightInd/>
              <w:spacing w:line="240" w:lineRule="exact"/>
              <w:rPr>
                <w:rFonts w:hint="eastAsia" w:ascii="Arial" w:hAnsi="Arial" w:eastAsia="仿宋" w:cs="Arial"/>
                <w:sz w:val="21"/>
                <w:szCs w:val="21"/>
                <w:highlight w:val="none"/>
                <w:lang w:eastAsia="zh-CN"/>
              </w:rPr>
            </w:pPr>
            <w:r>
              <w:rPr>
                <w:rFonts w:ascii="Arial" w:hAnsi="Arial" w:eastAsia="仿宋" w:cs="Arial"/>
                <w:sz w:val="21"/>
                <w:szCs w:val="21"/>
                <w:highlight w:val="none"/>
              </w:rPr>
              <w:t>估价对象所在区域内基础设施配套条件达到</w:t>
            </w:r>
            <w:r>
              <w:rPr>
                <w:rFonts w:hint="eastAsia" w:ascii="Arial" w:hAnsi="Arial" w:eastAsia="仿宋" w:cs="Arial"/>
                <w:sz w:val="21"/>
                <w:szCs w:val="21"/>
                <w:highlight w:val="none"/>
                <w:lang w:eastAsia="zh-CN"/>
              </w:rPr>
              <w:t>“七通”</w:t>
            </w:r>
          </w:p>
        </w:tc>
        <w:tc>
          <w:tcPr>
            <w:tcW w:w="281" w:type="pct"/>
            <w:vAlign w:val="center"/>
          </w:tcPr>
          <w:p w14:paraId="7A91D0CA">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好</w:t>
            </w:r>
          </w:p>
        </w:tc>
        <w:tc>
          <w:tcPr>
            <w:tcW w:w="535" w:type="pct"/>
            <w:vAlign w:val="center"/>
          </w:tcPr>
          <w:p w14:paraId="4703D5E2">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1.2%</w:t>
            </w:r>
          </w:p>
        </w:tc>
      </w:tr>
      <w:tr w14:paraId="650B6F7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26" w:type="pct"/>
            <w:vAlign w:val="center"/>
          </w:tcPr>
          <w:p w14:paraId="6E8D851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9）</w:t>
            </w:r>
          </w:p>
        </w:tc>
        <w:tc>
          <w:tcPr>
            <w:tcW w:w="1208" w:type="pct"/>
            <w:vAlign w:val="center"/>
          </w:tcPr>
          <w:p w14:paraId="46374262">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747" w:type="pct"/>
            <w:vAlign w:val="center"/>
          </w:tcPr>
          <w:p w14:paraId="50FA75A7">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rPr>
              <w:t>估价对位于北京市顺义区高丽营镇夏县营村，周边2公里南郎中休闲公园、口袋公园、方氏渠等自然环境；无人文环境；综合评价环境状况一般。</w:t>
            </w:r>
          </w:p>
        </w:tc>
        <w:tc>
          <w:tcPr>
            <w:tcW w:w="281" w:type="pct"/>
            <w:vAlign w:val="center"/>
          </w:tcPr>
          <w:p w14:paraId="33806F85">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bidi="ar"/>
              </w:rPr>
              <w:t>一般</w:t>
            </w:r>
          </w:p>
        </w:tc>
        <w:tc>
          <w:tcPr>
            <w:tcW w:w="535" w:type="pct"/>
            <w:vAlign w:val="center"/>
          </w:tcPr>
          <w:p w14:paraId="614311B6">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7DE091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464" w:type="pct"/>
            <w:gridSpan w:val="4"/>
            <w:vAlign w:val="center"/>
          </w:tcPr>
          <w:p w14:paraId="02C14910">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合计（∑K</w:t>
            </w:r>
            <w:r>
              <w:rPr>
                <w:rFonts w:ascii="Arial" w:hAnsi="Arial" w:eastAsia="仿宋" w:cs="Arial"/>
                <w:sz w:val="21"/>
                <w:szCs w:val="21"/>
                <w:highlight w:val="none"/>
                <w:vertAlign w:val="subscript"/>
              </w:rPr>
              <w:t>i</w:t>
            </w:r>
            <w:r>
              <w:rPr>
                <w:rFonts w:ascii="Arial" w:hAnsi="Arial" w:eastAsia="仿宋" w:cs="Arial"/>
                <w:sz w:val="21"/>
                <w:szCs w:val="21"/>
                <w:highlight w:val="none"/>
              </w:rPr>
              <w:t>）</w:t>
            </w:r>
          </w:p>
        </w:tc>
        <w:tc>
          <w:tcPr>
            <w:tcW w:w="535" w:type="pct"/>
          </w:tcPr>
          <w:p w14:paraId="4C1C89D5">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0.</w:t>
            </w:r>
            <w:r>
              <w:rPr>
                <w:rFonts w:hint="eastAsia" w:ascii="Arial" w:hAnsi="Arial" w:eastAsia="仿宋" w:cs="Arial"/>
                <w:sz w:val="21"/>
                <w:szCs w:val="21"/>
                <w:highlight w:val="none"/>
                <w:lang w:val="en-US" w:eastAsia="zh-CN" w:bidi="ar"/>
              </w:rPr>
              <w:t>83</w:t>
            </w:r>
            <w:r>
              <w:rPr>
                <w:rFonts w:ascii="Arial" w:hAnsi="Arial" w:eastAsia="仿宋" w:cs="Arial"/>
                <w:sz w:val="21"/>
                <w:szCs w:val="21"/>
                <w:highlight w:val="none"/>
                <w:lang w:bidi="ar"/>
              </w:rPr>
              <w:t>%</w:t>
            </w:r>
          </w:p>
        </w:tc>
      </w:tr>
      <w:tr w14:paraId="528F7FA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464" w:type="pct"/>
            <w:gridSpan w:val="4"/>
            <w:vAlign w:val="center"/>
          </w:tcPr>
          <w:p w14:paraId="2B48A1D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因素修正系数（1</w:t>
            </w:r>
            <w:r>
              <w:rPr>
                <w:rFonts w:hint="eastAsia" w:ascii="Arial" w:hAnsi="Arial" w:eastAsia="仿宋" w:cs="Arial"/>
                <w:sz w:val="21"/>
                <w:szCs w:val="21"/>
                <w:highlight w:val="none"/>
                <w:lang w:eastAsia="zh-CN"/>
              </w:rPr>
              <w:t>＋</w:t>
            </w:r>
            <w:r>
              <w:rPr>
                <w:rFonts w:ascii="Arial" w:hAnsi="Arial" w:eastAsia="仿宋" w:cs="Arial"/>
                <w:sz w:val="21"/>
                <w:szCs w:val="21"/>
                <w:highlight w:val="none"/>
              </w:rPr>
              <w:t>∑K</w:t>
            </w:r>
            <w:r>
              <w:rPr>
                <w:rFonts w:ascii="Arial" w:hAnsi="Arial" w:eastAsia="仿宋" w:cs="Arial"/>
                <w:sz w:val="21"/>
                <w:szCs w:val="21"/>
                <w:highlight w:val="none"/>
                <w:vertAlign w:val="subscript"/>
              </w:rPr>
              <w:t>i</w:t>
            </w:r>
            <w:r>
              <w:rPr>
                <w:rFonts w:ascii="Arial" w:hAnsi="Arial" w:eastAsia="仿宋" w:cs="Arial"/>
                <w:sz w:val="21"/>
                <w:szCs w:val="21"/>
                <w:highlight w:val="none"/>
              </w:rPr>
              <w:t>）</w:t>
            </w:r>
          </w:p>
        </w:tc>
        <w:tc>
          <w:tcPr>
            <w:tcW w:w="535" w:type="pct"/>
          </w:tcPr>
          <w:p w14:paraId="1C751411">
            <w:pPr>
              <w:adjustRightInd/>
              <w:spacing w:line="240" w:lineRule="exact"/>
              <w:rPr>
                <w:rFonts w:hint="default" w:ascii="Arial" w:hAnsi="Arial" w:eastAsia="仿宋" w:cs="Arial"/>
                <w:sz w:val="21"/>
                <w:szCs w:val="21"/>
                <w:highlight w:val="none"/>
                <w:lang w:val="en-US" w:eastAsia="zh-CN" w:bidi="ar"/>
              </w:rPr>
            </w:pPr>
            <w:r>
              <w:rPr>
                <w:rFonts w:ascii="Arial" w:hAnsi="Arial" w:eastAsia="仿宋" w:cs="Arial"/>
                <w:sz w:val="21"/>
                <w:szCs w:val="21"/>
                <w:highlight w:val="none"/>
                <w:lang w:bidi="ar"/>
              </w:rPr>
              <w:t>0</w:t>
            </w:r>
            <w:r>
              <w:rPr>
                <w:rFonts w:hint="eastAsia" w:ascii="Arial" w:hAnsi="Arial" w:eastAsia="仿宋" w:cs="Arial"/>
                <w:sz w:val="21"/>
                <w:szCs w:val="21"/>
                <w:highlight w:val="none"/>
                <w:lang w:val="en-US" w:eastAsia="zh-CN" w:bidi="ar"/>
              </w:rPr>
              <w:t>.9917</w:t>
            </w:r>
          </w:p>
        </w:tc>
      </w:tr>
    </w:tbl>
    <w:p w14:paraId="44BA49CA">
      <w:pPr>
        <w:keepNext w:val="0"/>
        <w:keepLines w:val="0"/>
        <w:pageBreakBefore w:val="0"/>
        <w:widowControl w:val="0"/>
        <w:tabs>
          <w:tab w:val="left" w:pos="1298"/>
        </w:tabs>
        <w:kinsoku/>
        <w:wordWrap/>
        <w:overflowPunct/>
        <w:topLinePunct w:val="0"/>
        <w:autoSpaceDE/>
        <w:autoSpaceDN/>
        <w:bidi w:val="0"/>
        <w:adjustRightInd/>
        <w:snapToGrid/>
        <w:spacing w:before="157" w:beforeLines="50" w:line="300" w:lineRule="auto"/>
        <w:ind w:firstLine="560" w:firstLineChars="200"/>
        <w:textAlignment w:val="baseline"/>
        <w:rPr>
          <w:rFonts w:hint="eastAsia" w:ascii="Arial" w:hAnsi="Arial" w:eastAsia="仿宋" w:cs="Arial"/>
          <w:sz w:val="28"/>
          <w:szCs w:val="28"/>
          <w:highlight w:val="none"/>
          <w:lang w:eastAsia="zh-CN"/>
        </w:rPr>
      </w:pPr>
      <w:r>
        <w:rPr>
          <w:rFonts w:ascii="Arial" w:hAnsi="Arial" w:eastAsia="仿宋" w:cs="Arial"/>
          <w:sz w:val="28"/>
          <w:szCs w:val="28"/>
          <w:highlight w:val="none"/>
        </w:rPr>
        <w:t>G.估价对象</w:t>
      </w:r>
      <w:r>
        <w:rPr>
          <w:rFonts w:hint="eastAsia" w:ascii="Arial" w:hAnsi="Arial" w:eastAsia="仿宋" w:cs="Arial"/>
          <w:sz w:val="28"/>
          <w:szCs w:val="28"/>
          <w:highlight w:val="none"/>
          <w:lang w:eastAsia="zh-CN"/>
        </w:rPr>
        <w:t>楼面地价</w:t>
      </w:r>
    </w:p>
    <w:p w14:paraId="39ADAB1E">
      <w:pPr>
        <w:adjustRightInd/>
        <w:spacing w:line="300" w:lineRule="auto"/>
        <w:ind w:firstLine="560" w:firstLineChars="200"/>
        <w:rPr>
          <w:rFonts w:hint="eastAsia" w:ascii="Arial" w:hAnsi="Arial" w:eastAsia="仿宋" w:cs="Arial"/>
          <w:sz w:val="28"/>
          <w:szCs w:val="28"/>
          <w:highlight w:val="none"/>
          <w:lang w:eastAsia="zh-CN"/>
        </w:rPr>
      </w:pPr>
      <w:r>
        <w:rPr>
          <w:rFonts w:ascii="Arial" w:hAnsi="Arial" w:eastAsia="仿宋" w:cs="Arial"/>
          <w:sz w:val="28"/>
          <w:szCs w:val="28"/>
          <w:highlight w:val="none"/>
        </w:rPr>
        <w:t>商业用途</w:t>
      </w:r>
      <w:r>
        <w:rPr>
          <w:rFonts w:hint="eastAsia" w:ascii="Arial" w:hAnsi="Arial" w:eastAsia="仿宋" w:cs="Arial"/>
          <w:sz w:val="28"/>
          <w:szCs w:val="28"/>
          <w:highlight w:val="none"/>
          <w:lang w:eastAsia="zh-CN"/>
        </w:rPr>
        <w:t>楼面地价</w:t>
      </w:r>
    </w:p>
    <w:p w14:paraId="568A647B">
      <w:pPr>
        <w:adjustRightInd/>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ascii="Arial" w:hAnsi="Arial" w:eastAsia="仿宋" w:cs="Arial"/>
          <w:sz w:val="28"/>
          <w:szCs w:val="28"/>
          <w:highlight w:val="none"/>
        </w:rPr>
        <w:t>适用的基准地价</w:t>
      </w:r>
      <w:r>
        <w:rPr>
          <w:rFonts w:hint="eastAsia" w:ascii="Arial" w:hAnsi="Arial" w:eastAsia="仿宋" w:cs="Arial"/>
          <w:sz w:val="28"/>
          <w:szCs w:val="28"/>
          <w:highlight w:val="none"/>
          <w:lang w:eastAsia="zh-CN"/>
        </w:rPr>
        <w:t>×</w:t>
      </w:r>
      <w:r>
        <w:rPr>
          <w:rFonts w:ascii="Arial" w:hAnsi="Arial" w:eastAsia="仿宋" w:cs="Arial"/>
          <w:sz w:val="28"/>
          <w:szCs w:val="28"/>
          <w:highlight w:val="none"/>
        </w:rPr>
        <w:t>用途修正系数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期日修正系数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年期修正系数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容积率修正系数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因素修正系数</w:t>
      </w:r>
    </w:p>
    <w:p w14:paraId="163DA092">
      <w:pPr>
        <w:adjustRightInd/>
        <w:spacing w:line="300" w:lineRule="auto"/>
        <w:ind w:firstLine="560" w:firstLineChars="200"/>
        <w:jc w:val="both"/>
        <w:rPr>
          <w:rFonts w:hint="default" w:ascii="Arial" w:hAnsi="Arial" w:eastAsia="仿宋" w:cs="Arial"/>
          <w:sz w:val="28"/>
          <w:szCs w:val="28"/>
          <w:highlight w:val="none"/>
          <w:lang w:val="en-US" w:eastAsia="zh-CN"/>
        </w:rPr>
      </w:pPr>
      <w:r>
        <w:rPr>
          <w:rFonts w:hint="eastAsia" w:ascii="Arial" w:hAnsi="Arial" w:eastAsia="仿宋" w:cs="Arial"/>
          <w:sz w:val="28"/>
          <w:szCs w:val="28"/>
          <w:highlight w:val="none"/>
          <w:lang w:eastAsia="zh-CN"/>
        </w:rPr>
        <w:t>＝</w:t>
      </w:r>
      <w:r>
        <w:rPr>
          <w:rFonts w:ascii="Arial" w:hAnsi="Arial" w:eastAsia="仿宋" w:cs="Arial"/>
          <w:sz w:val="28"/>
          <w:szCs w:val="28"/>
          <w:highlight w:val="none"/>
        </w:rPr>
        <w:t>（5320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35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0.8</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0.9723</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1.1528</w:t>
      </w:r>
      <w:r>
        <w:rPr>
          <w:rFonts w:hint="eastAsia" w:ascii="Arial" w:hAnsi="Arial" w:eastAsia="仿宋" w:cs="Arial"/>
          <w:sz w:val="28"/>
          <w:szCs w:val="28"/>
          <w:highlight w:val="none"/>
          <w:lang w:eastAsia="zh-CN"/>
        </w:rPr>
        <w:t>×</w:t>
      </w:r>
      <w:r>
        <w:rPr>
          <w:rFonts w:ascii="Arial" w:hAnsi="Arial" w:eastAsia="仿宋" w:cs="Arial"/>
          <w:sz w:val="28"/>
          <w:szCs w:val="28"/>
          <w:highlight w:val="none"/>
        </w:rPr>
        <w:t>0.99</w:t>
      </w:r>
      <w:r>
        <w:rPr>
          <w:rFonts w:hint="eastAsia" w:ascii="Arial" w:hAnsi="Arial" w:eastAsia="仿宋" w:cs="Arial"/>
          <w:sz w:val="28"/>
          <w:szCs w:val="28"/>
          <w:highlight w:val="none"/>
          <w:lang w:val="en-US" w:eastAsia="zh-CN"/>
        </w:rPr>
        <w:t>17</w:t>
      </w:r>
    </w:p>
    <w:p w14:paraId="5545CB5E">
      <w:pPr>
        <w:spacing w:line="300" w:lineRule="auto"/>
        <w:ind w:firstLine="560" w:firstLineChars="200"/>
        <w:jc w:val="both"/>
        <w:rPr>
          <w:rFonts w:ascii="Arial" w:hAnsi="Arial" w:eastAsia="仿宋_GB2312" w:cs="Arial"/>
          <w:sz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4762</w:t>
      </w:r>
      <w:r>
        <w:rPr>
          <w:rFonts w:ascii="Arial" w:hAnsi="Arial" w:eastAsia="仿宋" w:cs="Arial"/>
          <w:sz w:val="28"/>
          <w:szCs w:val="28"/>
          <w:highlight w:val="none"/>
        </w:rPr>
        <w:t>（元/平方米）</w:t>
      </w:r>
    </w:p>
    <w:p w14:paraId="5F87D715">
      <w:pPr>
        <w:rPr>
          <w:rFonts w:ascii="Arial" w:hAnsi="Arial" w:eastAsia="仿宋" w:cs="Arial"/>
          <w:sz w:val="28"/>
          <w:szCs w:val="28"/>
          <w:highlight w:val="none"/>
        </w:rPr>
      </w:pPr>
      <w:r>
        <w:rPr>
          <w:rFonts w:ascii="Arial" w:hAnsi="Arial" w:eastAsia="仿宋" w:cs="Arial"/>
          <w:sz w:val="28"/>
          <w:szCs w:val="28"/>
          <w:highlight w:val="none"/>
        </w:rPr>
        <w:br w:type="page"/>
      </w:r>
    </w:p>
    <w:p w14:paraId="7197B62E">
      <w:pPr>
        <w:adjustRightInd/>
        <w:spacing w:line="300" w:lineRule="auto"/>
        <w:ind w:firstLine="562" w:firstLineChars="200"/>
        <w:rPr>
          <w:rFonts w:hint="eastAsia" w:ascii="Arial" w:hAnsi="Arial" w:eastAsia="仿宋" w:cs="Arial"/>
          <w:b/>
          <w:bCs/>
          <w:sz w:val="28"/>
          <w:szCs w:val="28"/>
          <w:highlight w:val="none"/>
          <w:lang w:eastAsia="zh-CN"/>
        </w:rPr>
      </w:pPr>
      <w:r>
        <w:rPr>
          <w:rFonts w:ascii="Arial" w:hAnsi="Arial" w:eastAsia="仿宋" w:cs="Arial"/>
          <w:b/>
          <w:bCs/>
          <w:sz w:val="28"/>
          <w:szCs w:val="28"/>
          <w:highlight w:val="none"/>
        </w:rPr>
        <w:t>（3）求取估价对象公共服务用地</w:t>
      </w:r>
      <w:r>
        <w:rPr>
          <w:rFonts w:hint="eastAsia" w:ascii="Arial" w:hAnsi="Arial" w:eastAsia="仿宋" w:cs="Arial"/>
          <w:b/>
          <w:bCs/>
          <w:sz w:val="28"/>
          <w:szCs w:val="28"/>
          <w:highlight w:val="none"/>
          <w:lang w:eastAsia="zh-CN"/>
        </w:rPr>
        <w:t>楼面地价</w:t>
      </w:r>
    </w:p>
    <w:p w14:paraId="6434E52A">
      <w:pPr>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A.宗地适用基准地价水平的确定</w:t>
      </w:r>
    </w:p>
    <w:p w14:paraId="5C48702C">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（A）根据《北京市基准地价更新成果》，估价对象公共服务相应用途基准地价参照《北京市区片基准地价表》确定。估价对象位于北京市顺义区</w:t>
      </w:r>
      <w:r>
        <w:rPr>
          <w:rFonts w:hint="eastAsia" w:ascii="Arial" w:hAnsi="Arial" w:eastAsia="仿宋" w:cs="Arial"/>
          <w:sz w:val="28"/>
          <w:szCs w:val="28"/>
          <w:highlight w:val="none"/>
        </w:rPr>
        <w:t>高丽营镇</w:t>
      </w:r>
      <w:r>
        <w:rPr>
          <w:rFonts w:ascii="Arial" w:hAnsi="Arial" w:eastAsia="仿宋" w:cs="Arial"/>
          <w:sz w:val="28"/>
          <w:szCs w:val="28"/>
          <w:highlight w:val="none"/>
        </w:rPr>
        <w:t>夏县营</w:t>
      </w:r>
      <w:r>
        <w:rPr>
          <w:rFonts w:hint="eastAsia" w:ascii="Arial" w:hAnsi="Arial" w:eastAsia="仿宋" w:cs="Arial"/>
          <w:sz w:val="28"/>
          <w:szCs w:val="28"/>
          <w:highlight w:val="none"/>
        </w:rPr>
        <w:t>村</w:t>
      </w:r>
      <w:r>
        <w:rPr>
          <w:rFonts w:ascii="Arial" w:hAnsi="Arial" w:eastAsia="仿宋" w:cs="Arial"/>
          <w:sz w:val="28"/>
          <w:szCs w:val="28"/>
          <w:highlight w:val="none"/>
        </w:rPr>
        <w:t>，土地级别为公共服务类</w:t>
      </w:r>
      <w:r>
        <w:rPr>
          <w:rFonts w:hint="eastAsia" w:ascii="Arial" w:hAnsi="Arial" w:eastAsia="仿宋" w:cs="Arial"/>
          <w:sz w:val="28"/>
          <w:szCs w:val="28"/>
          <w:highlight w:val="none"/>
        </w:rPr>
        <w:t>九</w:t>
      </w:r>
      <w:r>
        <w:rPr>
          <w:rFonts w:ascii="Arial" w:hAnsi="Arial" w:eastAsia="仿宋" w:cs="Arial"/>
          <w:sz w:val="28"/>
          <w:szCs w:val="28"/>
          <w:highlight w:val="none"/>
        </w:rPr>
        <w:t>级地价区，属公共服务用途</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szCs w:val="28"/>
          <w:highlight w:val="none"/>
        </w:rPr>
        <w:t>。北京市各用途</w:t>
      </w:r>
      <w:r>
        <w:rPr>
          <w:rFonts w:hint="eastAsia" w:ascii="Arial" w:hAnsi="Arial" w:eastAsia="仿宋" w:cs="Arial"/>
          <w:sz w:val="28"/>
          <w:szCs w:val="28"/>
          <w:highlight w:val="none"/>
        </w:rPr>
        <w:t>九</w:t>
      </w:r>
      <w:r>
        <w:rPr>
          <w:rFonts w:ascii="Arial" w:hAnsi="Arial" w:eastAsia="仿宋" w:cs="Arial"/>
          <w:sz w:val="28"/>
          <w:szCs w:val="28"/>
          <w:highlight w:val="none"/>
        </w:rPr>
        <w:t>级区片基准地价详见前述，即，估价对象所在公共服务用途</w:t>
      </w:r>
      <w:r>
        <w:rPr>
          <w:rFonts w:hint="eastAsia" w:ascii="Arial" w:hAnsi="Arial" w:eastAsia="仿宋" w:cs="Arial"/>
          <w:sz w:val="28"/>
          <w:szCs w:val="28"/>
          <w:highlight w:val="none"/>
        </w:rPr>
        <w:t>九</w:t>
      </w:r>
      <w:r>
        <w:rPr>
          <w:rFonts w:ascii="Arial" w:hAnsi="Arial" w:eastAsia="仿宋" w:cs="Arial"/>
          <w:sz w:val="28"/>
          <w:szCs w:val="28"/>
          <w:highlight w:val="none"/>
        </w:rPr>
        <w:t>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szCs w:val="28"/>
          <w:highlight w:val="none"/>
        </w:rPr>
        <w:t>区片的区片基准地价为3170元/平方米。</w:t>
      </w:r>
    </w:p>
    <w:p w14:paraId="620421BF">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（B）土地开发程度修正</w:t>
      </w:r>
    </w:p>
    <w:p w14:paraId="538F8D74">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估价对象设定宗地土地开发程度为</w:t>
      </w:r>
      <w:r>
        <w:rPr>
          <w:rFonts w:hint="eastAsia" w:ascii="Arial" w:hAnsi="Arial" w:eastAsia="仿宋" w:cs="Arial"/>
          <w:sz w:val="28"/>
          <w:szCs w:val="28"/>
          <w:highlight w:val="none"/>
          <w:lang w:eastAsia="zh-CN"/>
        </w:rPr>
        <w:t>“七通”（通路、通上水（自来水、中水）、通下水（雨水、污水）、通电、通讯、通燃气、通热力）</w:t>
      </w:r>
      <w:r>
        <w:rPr>
          <w:rFonts w:ascii="Arial" w:hAnsi="Arial" w:eastAsia="仿宋" w:cs="Arial"/>
          <w:sz w:val="28"/>
          <w:szCs w:val="28"/>
          <w:highlight w:val="none"/>
        </w:rPr>
        <w:t>，估价对象所在区域为</w:t>
      </w:r>
      <w:r>
        <w:rPr>
          <w:rFonts w:hint="eastAsia" w:ascii="Arial" w:hAnsi="Arial" w:eastAsia="仿宋" w:cs="Arial"/>
          <w:sz w:val="28"/>
          <w:szCs w:val="28"/>
          <w:highlight w:val="none"/>
        </w:rPr>
        <w:t>九</w:t>
      </w:r>
      <w:r>
        <w:rPr>
          <w:rFonts w:ascii="Arial" w:hAnsi="Arial" w:eastAsia="仿宋" w:cs="Arial"/>
          <w:sz w:val="28"/>
          <w:szCs w:val="28"/>
          <w:highlight w:val="none"/>
        </w:rPr>
        <w:t>级地价区，级别基准地价土地开发程度为“五通一平”（即通路、通电、通上水、通下水、通</w:t>
      </w:r>
      <w:r>
        <w:rPr>
          <w:rFonts w:hint="eastAsia" w:ascii="Arial" w:hAnsi="Arial" w:eastAsia="仿宋" w:cs="Arial"/>
          <w:sz w:val="28"/>
          <w:szCs w:val="28"/>
          <w:highlight w:val="none"/>
        </w:rPr>
        <w:t>讯</w:t>
      </w:r>
      <w:r>
        <w:rPr>
          <w:rFonts w:ascii="Arial" w:hAnsi="Arial" w:eastAsia="仿宋" w:cs="Arial"/>
          <w:sz w:val="28"/>
          <w:szCs w:val="28"/>
          <w:highlight w:val="none"/>
        </w:rPr>
        <w:t>），相应用途级别平均容积率为1.5。估价对象设定状况与级别开发程度不一致，需进行修正。修正表如下：</w:t>
      </w:r>
    </w:p>
    <w:p w14:paraId="453278A7">
      <w:pPr>
        <w:spacing w:line="240" w:lineRule="auto"/>
        <w:jc w:val="center"/>
        <w:rPr>
          <w:rFonts w:ascii="仿宋" w:hAnsi="仿宋" w:eastAsia="仿宋" w:cs="宋体"/>
          <w:bCs/>
          <w:color w:val="000000"/>
          <w:sz w:val="28"/>
          <w:szCs w:val="28"/>
          <w:highlight w:val="none"/>
        </w:rPr>
      </w:pPr>
      <w:r>
        <w:rPr>
          <w:rFonts w:hint="eastAsia" w:ascii="仿宋" w:hAnsi="仿宋" w:eastAsia="仿宋" w:cs="宋体"/>
          <w:bCs/>
          <w:color w:val="000000"/>
          <w:sz w:val="28"/>
          <w:szCs w:val="28"/>
          <w:highlight w:val="none"/>
        </w:rPr>
        <w:t>基础设施建设费（土地开发费）</w:t>
      </w:r>
    </w:p>
    <w:p w14:paraId="3C4B6C85">
      <w:pPr>
        <w:adjustRightInd/>
        <w:spacing w:line="240" w:lineRule="auto"/>
        <w:jc w:val="right"/>
        <w:rPr>
          <w:rFonts w:ascii="Arial" w:hAnsi="Arial"/>
          <w:sz w:val="21"/>
          <w:highlight w:val="none"/>
        </w:rPr>
      </w:pPr>
      <w:r>
        <w:rPr>
          <w:rFonts w:hint="eastAsia" w:ascii="Arial" w:hAnsi="Arial" w:eastAsia="华文细黑" w:cs="宋体"/>
          <w:color w:val="000000"/>
          <w:sz w:val="18"/>
          <w:szCs w:val="24"/>
          <w:highlight w:val="none"/>
        </w:rPr>
        <w:t>单位：元/土地平方米</w:t>
      </w:r>
    </w:p>
    <w:tbl>
      <w:tblPr>
        <w:tblStyle w:val="34"/>
        <w:tblW w:w="4997" w:type="pct"/>
        <w:jc w:val="center"/>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Layout w:type="autofit"/>
        <w:tblCellMar>
          <w:top w:w="57" w:type="dxa"/>
          <w:left w:w="57" w:type="dxa"/>
          <w:bottom w:w="57" w:type="dxa"/>
          <w:right w:w="57" w:type="dxa"/>
        </w:tblCellMar>
      </w:tblPr>
      <w:tblGrid>
        <w:gridCol w:w="1630"/>
        <w:gridCol w:w="871"/>
        <w:gridCol w:w="871"/>
        <w:gridCol w:w="870"/>
        <w:gridCol w:w="870"/>
        <w:gridCol w:w="870"/>
        <w:gridCol w:w="870"/>
        <w:gridCol w:w="870"/>
        <w:gridCol w:w="870"/>
        <w:gridCol w:w="870"/>
      </w:tblGrid>
      <w:tr w14:paraId="4F86AF2E">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ign w:val="center"/>
          </w:tcPr>
          <w:p w14:paraId="348EF997">
            <w:pPr>
              <w:widowControl/>
              <w:adjustRightInd/>
              <w:spacing w:line="240" w:lineRule="exact"/>
              <w:ind w:firstLine="945" w:firstLineChars="450"/>
              <w:jc w:val="righ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费用</w:t>
            </w:r>
          </w:p>
          <w:p w14:paraId="6C09F670">
            <w:pPr>
              <w:spacing w:line="240" w:lineRule="exact"/>
              <w:rPr>
                <w:rFonts w:ascii="Arial" w:hAnsi="Arial" w:eastAsia="仿宋" w:cs="Arial"/>
                <w:color w:val="000000"/>
                <w:sz w:val="21"/>
                <w:szCs w:val="21"/>
                <w:highlight w:val="none"/>
              </w:rPr>
            </w:pPr>
            <w:r>
              <w:rPr>
                <w:rFonts w:ascii="Arial" w:hAnsi="Arial" w:eastAsia="仿宋" w:cs="Arial"/>
                <w:color w:val="000000"/>
                <w:sz w:val="21"/>
                <w:szCs w:val="21"/>
                <w:highlight w:val="none"/>
              </w:rPr>
              <w:t>类别</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4005B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通路</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42763C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通电</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62C2C5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通讯</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7AD543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通上水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F851A60">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通下水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0519E87">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通热</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63B9017">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通燃气</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6137D5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平整</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4BBB11F">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合计</w:t>
            </w:r>
          </w:p>
        </w:tc>
      </w:tr>
      <w:tr w14:paraId="6AB66A70">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CFB450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一至二级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E94557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80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BA099EB">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70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B3D895D">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2CB8915">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2556AB5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8F90C9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64D5B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867DE05">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3BD280D">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375</w:t>
            </w:r>
          </w:p>
        </w:tc>
      </w:tr>
      <w:tr w14:paraId="0B190F88">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31E4438">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三至七级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B2C0A02">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70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388DDB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4ADCFF5">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B0F98C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0643181">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ECBF256">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11CAA3A">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3BB5CDE">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E69CC5">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315</w:t>
            </w:r>
          </w:p>
        </w:tc>
      </w:tr>
      <w:tr w14:paraId="13B2BD9E">
        <w:tblPrEx>
          <w:tblBorders>
            <w:top w:val="single" w:color="404040" w:sz="2" w:space="0"/>
            <w:left w:val="single" w:color="404040" w:sz="2" w:space="0"/>
            <w:bottom w:val="none" w:color="auto" w:sz="0"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861"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B757F57">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八至十二级</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45A30984">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60</w:t>
            </w:r>
          </w:p>
        </w:tc>
        <w:tc>
          <w:tcPr>
            <w:tcW w:w="460"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AB0EFC9">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50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10EBBBE7">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E944424">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06EDE5">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35</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9E15BB4">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40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5880FB6">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30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FCF94C1">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10</w:t>
            </w:r>
          </w:p>
        </w:tc>
        <w:tc>
          <w:tcPr>
            <w:tcW w:w="45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98A8F93">
            <w:pPr>
              <w:widowControl/>
              <w:adjustRightInd/>
              <w:spacing w:line="240" w:lineRule="exact"/>
              <w:textAlignment w:val="auto"/>
              <w:rPr>
                <w:rFonts w:ascii="Arial" w:hAnsi="Arial" w:eastAsia="仿宋" w:cs="Arial"/>
                <w:color w:val="000000"/>
                <w:sz w:val="21"/>
                <w:szCs w:val="21"/>
                <w:highlight w:val="none"/>
              </w:rPr>
            </w:pPr>
            <w:r>
              <w:rPr>
                <w:rFonts w:ascii="Arial" w:hAnsi="Arial" w:eastAsia="仿宋" w:cs="Arial"/>
                <w:color w:val="000000"/>
                <w:sz w:val="21"/>
                <w:szCs w:val="21"/>
                <w:highlight w:val="none"/>
              </w:rPr>
              <w:t>255</w:t>
            </w:r>
          </w:p>
        </w:tc>
      </w:tr>
    </w:tbl>
    <w:p w14:paraId="4B210740">
      <w:pPr>
        <w:widowControl/>
        <w:adjustRightInd/>
        <w:spacing w:line="240" w:lineRule="exact"/>
        <w:textAlignment w:val="auto"/>
        <w:rPr>
          <w:rFonts w:ascii="Arial" w:hAnsi="Arial" w:eastAsia="华文细黑" w:cs="宋体"/>
          <w:color w:val="000000"/>
          <w:sz w:val="18"/>
          <w:szCs w:val="24"/>
          <w:highlight w:val="none"/>
        </w:rPr>
      </w:pPr>
    </w:p>
    <w:p w14:paraId="4D200C93">
      <w:pPr>
        <w:adjustRightInd/>
        <w:snapToGrid w:val="0"/>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土地开发程度修正</w:t>
      </w:r>
    </w:p>
    <w:p w14:paraId="618F3393">
      <w:pPr>
        <w:adjustRightInd/>
        <w:snapToGrid w:val="0"/>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w:t>
      </w:r>
      <w:r>
        <w:rPr>
          <w:rFonts w:ascii="Arial" w:hAnsi="Arial" w:eastAsia="仿宋" w:cs="Arial"/>
          <w:sz w:val="28"/>
          <w:szCs w:val="28"/>
          <w:highlight w:val="none"/>
        </w:rPr>
        <w:t>60</w:t>
      </w:r>
      <w:r>
        <w:rPr>
          <w:rFonts w:hint="eastAsia" w:ascii="Arial" w:hAnsi="Arial" w:eastAsia="仿宋" w:cs="Arial"/>
          <w:sz w:val="28"/>
          <w:szCs w:val="28"/>
          <w:highlight w:val="none"/>
          <w:lang w:eastAsia="zh-CN"/>
        </w:rPr>
        <w:t>＋</w:t>
      </w:r>
      <w:r>
        <w:rPr>
          <w:rFonts w:ascii="Arial" w:hAnsi="Arial" w:eastAsia="仿宋" w:cs="Arial"/>
          <w:sz w:val="28"/>
          <w:szCs w:val="28"/>
          <w:highlight w:val="none"/>
        </w:rPr>
        <w:t>50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w:t>
      </w:r>
      <w:r>
        <w:rPr>
          <w:rFonts w:hint="eastAsia" w:ascii="Arial" w:hAnsi="Arial" w:eastAsia="仿宋" w:cs="Arial"/>
          <w:sz w:val="28"/>
          <w:szCs w:val="28"/>
          <w:highlight w:val="none"/>
          <w:lang w:eastAsia="zh-CN"/>
        </w:rPr>
        <w:t>＋</w:t>
      </w:r>
      <w:r>
        <w:rPr>
          <w:rFonts w:ascii="Arial" w:hAnsi="Arial" w:eastAsia="仿宋" w:cs="Arial"/>
          <w:sz w:val="28"/>
          <w:szCs w:val="28"/>
          <w:highlight w:val="none"/>
        </w:rPr>
        <w:t>35</w:t>
      </w:r>
      <w:r>
        <w:rPr>
          <w:rFonts w:hint="eastAsia" w:ascii="Arial" w:hAnsi="Arial" w:eastAsia="仿宋" w:cs="Arial"/>
          <w:sz w:val="28"/>
          <w:szCs w:val="28"/>
          <w:highlight w:val="none"/>
          <w:lang w:eastAsia="zh-CN"/>
        </w:rPr>
        <w:t>＋</w:t>
      </w:r>
      <w:r>
        <w:rPr>
          <w:rFonts w:ascii="Arial" w:hAnsi="Arial" w:eastAsia="仿宋" w:cs="Arial"/>
          <w:sz w:val="28"/>
          <w:szCs w:val="28"/>
          <w:highlight w:val="none"/>
        </w:rPr>
        <w:t>40</w:t>
      </w:r>
      <w:r>
        <w:rPr>
          <w:rFonts w:hint="eastAsia" w:ascii="Arial" w:hAnsi="Arial" w:eastAsia="仿宋" w:cs="Arial"/>
          <w:sz w:val="28"/>
          <w:szCs w:val="28"/>
          <w:highlight w:val="none"/>
          <w:lang w:eastAsia="zh-CN"/>
        </w:rPr>
        <w:t>＋</w:t>
      </w:r>
      <w:r>
        <w:rPr>
          <w:rFonts w:ascii="Arial" w:hAnsi="Arial" w:eastAsia="仿宋" w:cs="Arial"/>
          <w:sz w:val="28"/>
          <w:szCs w:val="28"/>
          <w:highlight w:val="none"/>
        </w:rPr>
        <w:t>30</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w:t>
      </w:r>
      <w:r>
        <w:rPr>
          <w:rFonts w:hint="eastAsia"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185）</w:t>
      </w:r>
      <w:r>
        <w:rPr>
          <w:rFonts w:hint="eastAsia" w:ascii="Arial" w:hAnsi="Arial" w:eastAsia="仿宋" w:cs="Arial"/>
          <w:sz w:val="28"/>
          <w:szCs w:val="28"/>
          <w:highlight w:val="none"/>
          <w:lang w:eastAsia="zh-CN"/>
        </w:rPr>
        <w:t>÷</w:t>
      </w:r>
      <w:r>
        <w:rPr>
          <w:rFonts w:ascii="Arial" w:hAnsi="Arial" w:eastAsia="仿宋" w:cs="Arial"/>
          <w:sz w:val="28"/>
          <w:szCs w:val="28"/>
          <w:highlight w:val="none"/>
        </w:rPr>
        <w:t>1.5</w:t>
      </w:r>
    </w:p>
    <w:p w14:paraId="4DBA75E1">
      <w:pPr>
        <w:adjustRightInd/>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46.67</w:t>
      </w:r>
      <w:r>
        <w:rPr>
          <w:rFonts w:ascii="Arial" w:hAnsi="Arial" w:eastAsia="仿宋" w:cs="Arial"/>
          <w:sz w:val="28"/>
          <w:szCs w:val="28"/>
          <w:highlight w:val="none"/>
        </w:rPr>
        <w:t>（元/平方米）</w:t>
      </w:r>
    </w:p>
    <w:p w14:paraId="05490CA9">
      <w:pPr>
        <w:adjustRightInd/>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B.用途修正系数的确定</w:t>
      </w:r>
    </w:p>
    <w:p w14:paraId="5E7773A7">
      <w:pPr>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《北京市出让国有建设用地使用权基准地价更新成果》根据《土地利用现状分类》（GB/T21010</w:t>
      </w:r>
      <w:r>
        <w:rPr>
          <w:rFonts w:hint="eastAsia" w:ascii="Arial" w:hAnsi="Arial" w:eastAsia="仿宋" w:cs="Arial"/>
          <w:sz w:val="28"/>
          <w:szCs w:val="28"/>
          <w:highlight w:val="none"/>
          <w:lang w:eastAsia="zh-CN"/>
        </w:rPr>
        <w:t>－</w:t>
      </w:r>
      <w:r>
        <w:rPr>
          <w:rFonts w:ascii="Arial" w:hAnsi="Arial" w:eastAsia="仿宋" w:cs="Arial"/>
          <w:sz w:val="28"/>
          <w:szCs w:val="28"/>
          <w:highlight w:val="none"/>
        </w:rPr>
        <w:t>2007），对现有用地按照一级分类进行归类，分为商业、办公、住宅、工业和公共服务五类用途基准地价，并按照二级分类建立了地上用途修正系数。地下部分包括地下商业、地下办公、地下仓储（及其他）、地下车库等用途，并建立了地下空间修正系数。</w:t>
      </w:r>
    </w:p>
    <w:p w14:paraId="279CB9B7">
      <w:pPr>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地上部分：</w:t>
      </w:r>
    </w:p>
    <w:p w14:paraId="428D7879">
      <w:pPr>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估价对象地上用途为公共服务——机关团体用地，需依据《北京市基准地价土地用途二级分类用地修正系数表》进行用途修正。</w:t>
      </w:r>
    </w:p>
    <w:p w14:paraId="48538F60">
      <w:pPr>
        <w:overflowPunct w:val="0"/>
        <w:spacing w:line="300" w:lineRule="auto"/>
        <w:jc w:val="center"/>
        <w:textAlignment w:val="auto"/>
        <w:rPr>
          <w:rFonts w:ascii="Arial" w:hAnsi="Arial" w:eastAsia="仿宋" w:cs="Arial"/>
          <w:bCs/>
          <w:sz w:val="28"/>
          <w:szCs w:val="28"/>
          <w:highlight w:val="none"/>
        </w:rPr>
      </w:pPr>
      <w:r>
        <w:rPr>
          <w:rFonts w:ascii="Arial" w:hAnsi="Arial" w:eastAsia="仿宋" w:cs="Arial"/>
          <w:bCs/>
          <w:sz w:val="28"/>
          <w:szCs w:val="28"/>
          <w:highlight w:val="none"/>
        </w:rPr>
        <w:t>北京市基准地价土地用途二级分类用地修正系数表</w:t>
      </w:r>
    </w:p>
    <w:tbl>
      <w:tblPr>
        <w:tblStyle w:val="34"/>
        <w:tblW w:w="92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994"/>
        <w:gridCol w:w="1842"/>
        <w:gridCol w:w="4536"/>
        <w:gridCol w:w="1134"/>
        <w:gridCol w:w="793"/>
      </w:tblGrid>
      <w:tr w14:paraId="1F45E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shd w:val="clear" w:color="auto" w:fill="auto"/>
            <w:noWrap/>
            <w:vAlign w:val="center"/>
          </w:tcPr>
          <w:p w14:paraId="48B0326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一级类</w:t>
            </w:r>
          </w:p>
        </w:tc>
        <w:tc>
          <w:tcPr>
            <w:tcW w:w="1842" w:type="dxa"/>
            <w:shd w:val="clear" w:color="auto" w:fill="auto"/>
            <w:noWrap/>
            <w:vAlign w:val="center"/>
          </w:tcPr>
          <w:p w14:paraId="2A8ACC8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二级类</w:t>
            </w:r>
          </w:p>
        </w:tc>
        <w:tc>
          <w:tcPr>
            <w:tcW w:w="4536" w:type="dxa"/>
            <w:shd w:val="clear" w:color="auto" w:fill="auto"/>
            <w:noWrap/>
            <w:vAlign w:val="center"/>
          </w:tcPr>
          <w:p w14:paraId="29D4029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含义</w:t>
            </w:r>
          </w:p>
        </w:tc>
        <w:tc>
          <w:tcPr>
            <w:tcW w:w="1134" w:type="dxa"/>
            <w:shd w:val="clear" w:color="auto" w:fill="auto"/>
            <w:noWrap/>
            <w:vAlign w:val="center"/>
          </w:tcPr>
          <w:p w14:paraId="4575697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参照基准</w:t>
            </w:r>
          </w:p>
        </w:tc>
        <w:tc>
          <w:tcPr>
            <w:tcW w:w="793" w:type="dxa"/>
            <w:shd w:val="clear" w:color="auto" w:fill="auto"/>
            <w:noWrap/>
            <w:vAlign w:val="center"/>
          </w:tcPr>
          <w:p w14:paraId="445C2D6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用途修正系数</w:t>
            </w:r>
          </w:p>
        </w:tc>
      </w:tr>
      <w:tr w14:paraId="37ED0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restart"/>
            <w:shd w:val="clear" w:color="auto" w:fill="auto"/>
            <w:noWrap/>
            <w:vAlign w:val="center"/>
          </w:tcPr>
          <w:p w14:paraId="58CA66A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w:t>
            </w:r>
          </w:p>
        </w:tc>
        <w:tc>
          <w:tcPr>
            <w:tcW w:w="1842" w:type="dxa"/>
            <w:shd w:val="clear" w:color="auto" w:fill="auto"/>
            <w:noWrap/>
            <w:vAlign w:val="center"/>
          </w:tcPr>
          <w:p w14:paraId="67D1E1A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机关团体用地</w:t>
            </w:r>
          </w:p>
        </w:tc>
        <w:tc>
          <w:tcPr>
            <w:tcW w:w="4536" w:type="dxa"/>
            <w:shd w:val="clear" w:color="auto" w:fill="auto"/>
            <w:noWrap/>
            <w:vAlign w:val="center"/>
          </w:tcPr>
          <w:p w14:paraId="79CA7F3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指用于党政机关、社会团体、群众自治组织等的用地。</w:t>
            </w:r>
          </w:p>
        </w:tc>
        <w:tc>
          <w:tcPr>
            <w:tcW w:w="1134" w:type="dxa"/>
            <w:vMerge w:val="restart"/>
            <w:shd w:val="clear" w:color="auto" w:fill="auto"/>
            <w:noWrap/>
            <w:vAlign w:val="center"/>
          </w:tcPr>
          <w:p w14:paraId="68800A2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c>
          <w:tcPr>
            <w:tcW w:w="793" w:type="dxa"/>
            <w:shd w:val="clear" w:color="auto" w:fill="auto"/>
            <w:noWrap/>
            <w:vAlign w:val="center"/>
          </w:tcPr>
          <w:p w14:paraId="1312164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r>
      <w:tr w14:paraId="4AEED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1C17268A">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3F2E488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新闻出版用地</w:t>
            </w:r>
          </w:p>
        </w:tc>
        <w:tc>
          <w:tcPr>
            <w:tcW w:w="4536" w:type="dxa"/>
            <w:shd w:val="clear" w:color="auto" w:fill="auto"/>
            <w:noWrap/>
            <w:vAlign w:val="center"/>
          </w:tcPr>
          <w:p w14:paraId="6DA27A4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指用于广播电台、电视台、电影厂、报社、杂志社、通讯社、出版社等的用地。</w:t>
            </w:r>
          </w:p>
        </w:tc>
        <w:tc>
          <w:tcPr>
            <w:tcW w:w="1134" w:type="dxa"/>
            <w:vMerge w:val="continue"/>
            <w:shd w:val="clear" w:color="auto" w:fill="auto"/>
            <w:vAlign w:val="center"/>
          </w:tcPr>
          <w:p w14:paraId="0D39D7F4">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7F1E5D5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r>
      <w:tr w14:paraId="0B1C8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47AE7434">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0AACC21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教育用地</w:t>
            </w:r>
          </w:p>
        </w:tc>
        <w:tc>
          <w:tcPr>
            <w:tcW w:w="4536" w:type="dxa"/>
            <w:shd w:val="clear" w:color="auto" w:fill="auto"/>
            <w:noWrap/>
            <w:vAlign w:val="center"/>
          </w:tcPr>
          <w:p w14:paraId="209DAB1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指用于各类教育用地,包括高等院校、中等专业学校、中学、小学、幼儿园及其附属设施用地,聋、哑、盲人学校及工读学校用地,以及为学校配建的独立地段的学生生活用地。</w:t>
            </w:r>
          </w:p>
        </w:tc>
        <w:tc>
          <w:tcPr>
            <w:tcW w:w="1134" w:type="dxa"/>
            <w:vMerge w:val="continue"/>
            <w:shd w:val="clear" w:color="auto" w:fill="auto"/>
            <w:vAlign w:val="center"/>
          </w:tcPr>
          <w:p w14:paraId="5BBA666D">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18F85D3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0.8</w:t>
            </w:r>
          </w:p>
        </w:tc>
      </w:tr>
      <w:tr w14:paraId="7B392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450" w:hRule="atLeast"/>
          <w:jc w:val="center"/>
        </w:trPr>
        <w:tc>
          <w:tcPr>
            <w:tcW w:w="994" w:type="dxa"/>
            <w:vMerge w:val="continue"/>
            <w:shd w:val="clear" w:color="auto" w:fill="auto"/>
            <w:vAlign w:val="center"/>
          </w:tcPr>
          <w:p w14:paraId="6147DB73">
            <w:pPr>
              <w:widowControl/>
              <w:adjustRightInd/>
              <w:spacing w:line="240" w:lineRule="exact"/>
              <w:textAlignment w:val="auto"/>
              <w:rPr>
                <w:rFonts w:ascii="Arial" w:hAnsi="Arial" w:eastAsia="仿宋" w:cs="Arial"/>
                <w:sz w:val="21"/>
                <w:szCs w:val="21"/>
                <w:highlight w:val="none"/>
              </w:rPr>
            </w:pPr>
          </w:p>
        </w:tc>
        <w:tc>
          <w:tcPr>
            <w:tcW w:w="1842" w:type="dxa"/>
            <w:vMerge w:val="restart"/>
            <w:shd w:val="clear" w:color="auto" w:fill="auto"/>
            <w:noWrap/>
            <w:vAlign w:val="center"/>
          </w:tcPr>
          <w:p w14:paraId="1CBAC4C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科研用地</w:t>
            </w:r>
          </w:p>
        </w:tc>
        <w:tc>
          <w:tcPr>
            <w:tcW w:w="4536" w:type="dxa"/>
            <w:shd w:val="clear" w:color="auto" w:fill="auto"/>
            <w:noWrap/>
            <w:vAlign w:val="center"/>
          </w:tcPr>
          <w:p w14:paraId="441B3B9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指独立的科研、勘察、研发、设计、检验检测、技术推广、环境评估与监测、科普等科研事业单位及其附属设施用地</w:t>
            </w:r>
            <w:r>
              <w:rPr>
                <w:rFonts w:hint="eastAsia" w:ascii="Arial" w:hAnsi="Arial" w:eastAsia="仿宋" w:cs="Arial"/>
                <w:sz w:val="21"/>
                <w:szCs w:val="21"/>
                <w:highlight w:val="none"/>
                <w:lang w:eastAsia="zh-CN"/>
              </w:rPr>
              <w:t>（</w:t>
            </w:r>
            <w:r>
              <w:rPr>
                <w:rFonts w:ascii="Arial" w:hAnsi="Arial" w:eastAsia="仿宋" w:cs="Arial"/>
                <w:sz w:val="21"/>
                <w:szCs w:val="21"/>
                <w:highlight w:val="none"/>
              </w:rPr>
              <w:t>除 M4 工业研发用地</w:t>
            </w:r>
            <w:r>
              <w:rPr>
                <w:rFonts w:hint="eastAsia" w:ascii="Arial" w:hAnsi="Arial" w:eastAsia="仿宋" w:cs="Arial"/>
                <w:sz w:val="21"/>
                <w:szCs w:val="21"/>
                <w:highlight w:val="none"/>
                <w:lang w:eastAsia="zh-CN"/>
              </w:rPr>
              <w:t>）</w:t>
            </w:r>
            <w:r>
              <w:rPr>
                <w:rFonts w:ascii="Arial" w:hAnsi="Arial" w:eastAsia="仿宋" w:cs="Arial"/>
                <w:sz w:val="21"/>
                <w:szCs w:val="21"/>
                <w:highlight w:val="none"/>
              </w:rPr>
              <w:t>。</w:t>
            </w:r>
          </w:p>
        </w:tc>
        <w:tc>
          <w:tcPr>
            <w:tcW w:w="1134" w:type="dxa"/>
            <w:vMerge w:val="continue"/>
            <w:shd w:val="clear" w:color="auto" w:fill="auto"/>
            <w:vAlign w:val="center"/>
          </w:tcPr>
          <w:p w14:paraId="63C9E605">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538A49A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0.8</w:t>
            </w:r>
          </w:p>
        </w:tc>
      </w:tr>
      <w:tr w14:paraId="36EFC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450" w:hRule="atLeast"/>
          <w:jc w:val="center"/>
        </w:trPr>
        <w:tc>
          <w:tcPr>
            <w:tcW w:w="994" w:type="dxa"/>
            <w:vMerge w:val="continue"/>
            <w:shd w:val="clear" w:color="auto" w:fill="auto"/>
            <w:vAlign w:val="center"/>
          </w:tcPr>
          <w:p w14:paraId="5BCC8224">
            <w:pPr>
              <w:widowControl/>
              <w:adjustRightInd/>
              <w:spacing w:line="240" w:lineRule="exact"/>
              <w:textAlignment w:val="auto"/>
              <w:rPr>
                <w:rFonts w:ascii="Arial" w:hAnsi="Arial" w:eastAsia="仿宋" w:cs="Arial"/>
                <w:sz w:val="21"/>
                <w:szCs w:val="21"/>
                <w:highlight w:val="none"/>
              </w:rPr>
            </w:pPr>
          </w:p>
        </w:tc>
        <w:tc>
          <w:tcPr>
            <w:tcW w:w="1842" w:type="dxa"/>
            <w:vMerge w:val="continue"/>
            <w:shd w:val="clear" w:color="auto" w:fill="auto"/>
            <w:noWrap/>
            <w:vAlign w:val="center"/>
          </w:tcPr>
          <w:p w14:paraId="4FA97E03">
            <w:pPr>
              <w:widowControl/>
              <w:adjustRightInd/>
              <w:spacing w:line="240" w:lineRule="exact"/>
              <w:textAlignment w:val="auto"/>
              <w:rPr>
                <w:rFonts w:ascii="Arial" w:hAnsi="Arial" w:eastAsia="仿宋" w:cs="Arial"/>
                <w:sz w:val="21"/>
                <w:szCs w:val="21"/>
                <w:highlight w:val="none"/>
              </w:rPr>
            </w:pPr>
          </w:p>
        </w:tc>
        <w:tc>
          <w:tcPr>
            <w:tcW w:w="4536" w:type="dxa"/>
            <w:shd w:val="clear" w:color="auto" w:fill="auto"/>
            <w:noWrap/>
            <w:vAlign w:val="center"/>
          </w:tcPr>
          <w:p w14:paraId="3454184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工业研发用地</w:t>
            </w:r>
            <w:r>
              <w:rPr>
                <w:rFonts w:hint="eastAsia" w:ascii="Arial" w:hAnsi="Arial" w:eastAsia="仿宋" w:cs="Arial"/>
                <w:sz w:val="21"/>
                <w:szCs w:val="21"/>
                <w:highlight w:val="none"/>
                <w:lang w:eastAsia="zh-CN"/>
              </w:rPr>
              <w:t>（</w:t>
            </w:r>
            <w:r>
              <w:rPr>
                <w:rFonts w:ascii="Arial" w:hAnsi="Arial" w:eastAsia="仿宋" w:cs="Arial"/>
                <w:sz w:val="21"/>
                <w:szCs w:val="21"/>
                <w:highlight w:val="none"/>
              </w:rPr>
              <w:t>M4</w:t>
            </w:r>
            <w:r>
              <w:rPr>
                <w:rFonts w:hint="eastAsia" w:ascii="Arial" w:hAnsi="Arial" w:eastAsia="仿宋" w:cs="Arial"/>
                <w:sz w:val="21"/>
                <w:szCs w:val="21"/>
                <w:highlight w:val="none"/>
                <w:lang w:eastAsia="zh-CN"/>
              </w:rPr>
              <w:t>）</w:t>
            </w:r>
            <w:r>
              <w:rPr>
                <w:rFonts w:ascii="Arial" w:hAnsi="Arial" w:eastAsia="仿宋" w:cs="Arial"/>
                <w:sz w:val="21"/>
                <w:szCs w:val="21"/>
                <w:highlight w:val="none"/>
              </w:rPr>
              <w:t>指以技术研发、中试为主,兼具小规模的生产、技术服务、管理等功能的用地。</w:t>
            </w:r>
          </w:p>
        </w:tc>
        <w:tc>
          <w:tcPr>
            <w:tcW w:w="1134" w:type="dxa"/>
            <w:shd w:val="clear" w:color="auto" w:fill="auto"/>
            <w:vAlign w:val="center"/>
          </w:tcPr>
          <w:p w14:paraId="19331CF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793" w:type="dxa"/>
            <w:shd w:val="clear" w:color="auto" w:fill="auto"/>
            <w:noWrap/>
            <w:vAlign w:val="center"/>
          </w:tcPr>
          <w:p w14:paraId="58EA7DF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w:t>
            </w:r>
          </w:p>
        </w:tc>
      </w:tr>
      <w:tr w14:paraId="19189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27F14034">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6D38D1B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医疗卫生用地</w:t>
            </w:r>
          </w:p>
        </w:tc>
        <w:tc>
          <w:tcPr>
            <w:tcW w:w="4536" w:type="dxa"/>
            <w:shd w:val="clear" w:color="auto" w:fill="auto"/>
            <w:noWrap/>
            <w:vAlign w:val="center"/>
          </w:tcPr>
          <w:p w14:paraId="37D18C7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医疗、保健、卫生、防疫、康复和急救设施等用地,包括综合医院、专科医院、社区卫生服务中心等用地;卫生防疫站、专科防治所、检验中心和动物检疫站等用地;对环境有特殊要求的传染病、精神病等专科医院用地;急救中心、血库等用地。</w:t>
            </w:r>
          </w:p>
        </w:tc>
        <w:tc>
          <w:tcPr>
            <w:tcW w:w="1134" w:type="dxa"/>
            <w:vMerge w:val="restart"/>
            <w:shd w:val="clear" w:color="auto" w:fill="auto"/>
            <w:vAlign w:val="center"/>
          </w:tcPr>
          <w:p w14:paraId="7D06227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c>
          <w:tcPr>
            <w:tcW w:w="793" w:type="dxa"/>
            <w:shd w:val="clear" w:color="auto" w:fill="auto"/>
            <w:noWrap/>
            <w:vAlign w:val="center"/>
          </w:tcPr>
          <w:p w14:paraId="6F6537B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0.8</w:t>
            </w:r>
          </w:p>
        </w:tc>
      </w:tr>
      <w:tr w14:paraId="7FBC1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5FAA67B4">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27595AE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社会福利用地</w:t>
            </w:r>
          </w:p>
        </w:tc>
        <w:tc>
          <w:tcPr>
            <w:tcW w:w="4536" w:type="dxa"/>
            <w:shd w:val="clear" w:color="auto" w:fill="auto"/>
            <w:noWrap/>
            <w:vAlign w:val="center"/>
          </w:tcPr>
          <w:p w14:paraId="2A021D9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指为社会提供福利和慈善服务的设施及其附属设施用地,包括福利院、养老院、孤儿院等用地。</w:t>
            </w:r>
          </w:p>
        </w:tc>
        <w:tc>
          <w:tcPr>
            <w:tcW w:w="1134" w:type="dxa"/>
            <w:vMerge w:val="continue"/>
            <w:shd w:val="clear" w:color="auto" w:fill="auto"/>
            <w:vAlign w:val="center"/>
          </w:tcPr>
          <w:p w14:paraId="2E356453">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5156886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0.7</w:t>
            </w:r>
          </w:p>
        </w:tc>
      </w:tr>
      <w:tr w14:paraId="098C7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6CC5FECA">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02CC873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文化设施用地</w:t>
            </w:r>
          </w:p>
        </w:tc>
        <w:tc>
          <w:tcPr>
            <w:tcW w:w="4536" w:type="dxa"/>
            <w:shd w:val="clear" w:color="auto" w:fill="auto"/>
            <w:noWrap/>
            <w:vAlign w:val="center"/>
          </w:tcPr>
          <w:p w14:paraId="7B6D12B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指图书、展览等公共文化活动设施用地,包括公共图书馆、博物馆、档案馆、科技馆、纪念馆、美术馆和展览馆等设施用地;综合文化活动中心、文化馆、青少年宫、儿童活动中心、老年活动中心等设施用地。</w:t>
            </w:r>
          </w:p>
        </w:tc>
        <w:tc>
          <w:tcPr>
            <w:tcW w:w="1134" w:type="dxa"/>
            <w:vMerge w:val="continue"/>
            <w:shd w:val="clear" w:color="auto" w:fill="auto"/>
            <w:vAlign w:val="center"/>
          </w:tcPr>
          <w:p w14:paraId="2274C5DD">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74D77AB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0.8</w:t>
            </w:r>
          </w:p>
        </w:tc>
      </w:tr>
      <w:tr w14:paraId="6E92C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6D5C6C24">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0DAD820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体育用地</w:t>
            </w:r>
          </w:p>
        </w:tc>
        <w:tc>
          <w:tcPr>
            <w:tcW w:w="4536" w:type="dxa"/>
            <w:shd w:val="clear" w:color="auto" w:fill="auto"/>
            <w:noWrap/>
            <w:vAlign w:val="center"/>
          </w:tcPr>
          <w:p w14:paraId="54626EE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体育场馆和体育训练基地等用地,包括室内外体育运动用地,如体育场馆、游泳场馆、各类球场及其附属的业余体校等用地,溜冰场、跳伞场、摩托车场、射击场,以及水上运动的陆域部分等用地,以及为体育运动专设的训练基地用地,不包括学校等机构专用的体育设施用地。</w:t>
            </w:r>
          </w:p>
        </w:tc>
        <w:tc>
          <w:tcPr>
            <w:tcW w:w="1134" w:type="dxa"/>
            <w:vMerge w:val="continue"/>
            <w:shd w:val="clear" w:color="auto" w:fill="auto"/>
            <w:vAlign w:val="center"/>
          </w:tcPr>
          <w:p w14:paraId="5F4599BD">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0C27D13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0.6</w:t>
            </w:r>
          </w:p>
        </w:tc>
      </w:tr>
      <w:tr w14:paraId="77691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0F29D76B">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5339CDC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公用设施用地</w:t>
            </w:r>
          </w:p>
        </w:tc>
        <w:tc>
          <w:tcPr>
            <w:tcW w:w="4536" w:type="dxa"/>
            <w:shd w:val="clear" w:color="auto" w:fill="auto"/>
            <w:noWrap/>
            <w:vAlign w:val="center"/>
          </w:tcPr>
          <w:p w14:paraId="6B97538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指用于城乡基础设施的用地,包括供水、排 水、污水处理、供电、供热、供气、邮政、电信、消防、环卫、公用设施维修等用地。</w:t>
            </w:r>
          </w:p>
        </w:tc>
        <w:tc>
          <w:tcPr>
            <w:tcW w:w="1134" w:type="dxa"/>
            <w:vMerge w:val="continue"/>
            <w:shd w:val="clear" w:color="auto" w:fill="auto"/>
            <w:vAlign w:val="center"/>
          </w:tcPr>
          <w:p w14:paraId="276D64C0">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2ABEDE7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0.2</w:t>
            </w:r>
          </w:p>
        </w:tc>
      </w:tr>
      <w:tr w14:paraId="1AA4F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jc w:val="center"/>
        </w:trPr>
        <w:tc>
          <w:tcPr>
            <w:tcW w:w="994" w:type="dxa"/>
            <w:vMerge w:val="continue"/>
            <w:shd w:val="clear" w:color="auto" w:fill="auto"/>
            <w:vAlign w:val="center"/>
          </w:tcPr>
          <w:p w14:paraId="16B0A445">
            <w:pPr>
              <w:widowControl/>
              <w:adjustRightInd/>
              <w:spacing w:line="240" w:lineRule="exact"/>
              <w:textAlignment w:val="auto"/>
              <w:rPr>
                <w:rFonts w:ascii="Arial" w:hAnsi="Arial" w:eastAsia="仿宋" w:cs="Arial"/>
                <w:sz w:val="21"/>
                <w:szCs w:val="21"/>
                <w:highlight w:val="none"/>
              </w:rPr>
            </w:pPr>
          </w:p>
        </w:tc>
        <w:tc>
          <w:tcPr>
            <w:tcW w:w="1842" w:type="dxa"/>
            <w:shd w:val="clear" w:color="auto" w:fill="auto"/>
            <w:noWrap/>
            <w:vAlign w:val="center"/>
          </w:tcPr>
          <w:p w14:paraId="119A9C7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公园与绿地</w:t>
            </w:r>
          </w:p>
        </w:tc>
        <w:tc>
          <w:tcPr>
            <w:tcW w:w="4536" w:type="dxa"/>
            <w:shd w:val="clear" w:color="auto" w:fill="auto"/>
            <w:noWrap/>
            <w:vAlign w:val="center"/>
          </w:tcPr>
          <w:p w14:paraId="73708FC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指城镇、村庄范围内的公园、动物园、植物园、街心花园、广场和用于休憩、美化环境及防护 的绿化用地。</w:t>
            </w:r>
          </w:p>
        </w:tc>
        <w:tc>
          <w:tcPr>
            <w:tcW w:w="1134" w:type="dxa"/>
            <w:vMerge w:val="continue"/>
            <w:shd w:val="clear" w:color="auto" w:fill="auto"/>
            <w:vAlign w:val="center"/>
          </w:tcPr>
          <w:p w14:paraId="40491213">
            <w:pPr>
              <w:widowControl/>
              <w:adjustRightInd/>
              <w:spacing w:line="240" w:lineRule="exact"/>
              <w:textAlignment w:val="auto"/>
              <w:rPr>
                <w:rFonts w:ascii="Arial" w:hAnsi="Arial" w:eastAsia="仿宋" w:cs="Arial"/>
                <w:sz w:val="21"/>
                <w:szCs w:val="21"/>
                <w:highlight w:val="none"/>
              </w:rPr>
            </w:pPr>
          </w:p>
        </w:tc>
        <w:tc>
          <w:tcPr>
            <w:tcW w:w="793" w:type="dxa"/>
            <w:shd w:val="clear" w:color="auto" w:fill="auto"/>
            <w:noWrap/>
            <w:vAlign w:val="center"/>
          </w:tcPr>
          <w:p w14:paraId="4E4726B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0.2</w:t>
            </w:r>
          </w:p>
        </w:tc>
      </w:tr>
    </w:tbl>
    <w:p w14:paraId="467FE833">
      <w:pPr>
        <w:keepNext w:val="0"/>
        <w:keepLines w:val="0"/>
        <w:pageBreakBefore w:val="0"/>
        <w:widowControl w:val="0"/>
        <w:kinsoku/>
        <w:wordWrap/>
        <w:overflowPunct/>
        <w:topLinePunct w:val="0"/>
        <w:autoSpaceDE/>
        <w:autoSpaceDN/>
        <w:bidi w:val="0"/>
        <w:adjustRightInd w:val="0"/>
        <w:snapToGrid/>
        <w:spacing w:before="157" w:beforeLines="50" w:line="300" w:lineRule="auto"/>
        <w:ind w:firstLine="560" w:firstLineChars="200"/>
        <w:jc w:val="both"/>
        <w:textAlignment w:val="baseline"/>
        <w:rPr>
          <w:rFonts w:ascii="Arial" w:hAnsi="Arial" w:eastAsia="仿宋" w:cs="Arial"/>
          <w:sz w:val="28"/>
          <w:szCs w:val="28"/>
          <w:highlight w:val="none"/>
        </w:rPr>
      </w:pPr>
      <w:r>
        <w:rPr>
          <w:rFonts w:ascii="Arial" w:hAnsi="Arial" w:eastAsia="仿宋" w:cs="Arial"/>
          <w:sz w:val="28"/>
          <w:szCs w:val="28"/>
          <w:highlight w:val="none"/>
        </w:rPr>
        <w:t>依据上表，估价对象公共服务用途修正系数为1。</w:t>
      </w:r>
    </w:p>
    <w:p w14:paraId="33FBBFB3">
      <w:pPr>
        <w:adjustRightInd/>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C.期日修正系数的确定</w:t>
      </w:r>
    </w:p>
    <w:p w14:paraId="5BF60154">
      <w:pPr>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《北京市出让国有建设用地使用权基准地价更新成果（二〇二一年）》规定，基准地价期日修正系数必须以北京市地价动态监测成果公布的地价增值率为准。</w:t>
      </w:r>
    </w:p>
    <w:p w14:paraId="079DE26A">
      <w:pPr>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北京市基准地价更新成果的基准日为2021年1月1日，本次评估的估价期日为</w:t>
      </w:r>
      <w:r>
        <w:rPr>
          <w:rFonts w:hint="eastAsia" w:ascii="Arial" w:hAnsi="Arial" w:eastAsia="仿宋" w:cs="Arial"/>
          <w:sz w:val="28"/>
          <w:szCs w:val="28"/>
          <w:highlight w:val="none"/>
          <w:lang w:eastAsia="zh-CN"/>
        </w:rPr>
        <w:t>2026年3月26日</w:t>
      </w:r>
      <w:r>
        <w:rPr>
          <w:rFonts w:ascii="Arial" w:hAnsi="Arial" w:eastAsia="仿宋" w:cs="Arial"/>
          <w:sz w:val="28"/>
          <w:szCs w:val="28"/>
          <w:highlight w:val="none"/>
        </w:rPr>
        <w:t>，熟地价期日</w:t>
      </w:r>
      <w:r>
        <w:rPr>
          <w:rFonts w:hint="eastAsia" w:ascii="Arial" w:hAnsi="Arial" w:eastAsia="仿宋" w:cs="Arial"/>
          <w:sz w:val="28"/>
          <w:szCs w:val="28"/>
          <w:highlight w:val="none"/>
        </w:rPr>
        <w:t>修正参照办公用房，</w:t>
      </w:r>
      <w:r>
        <w:rPr>
          <w:rFonts w:ascii="Arial" w:hAnsi="Arial" w:eastAsia="仿宋" w:cs="Arial"/>
          <w:sz w:val="28"/>
          <w:szCs w:val="28"/>
          <w:highlight w:val="none"/>
        </w:rPr>
        <w:t>以北京市地价动态监测成果公布的地价增长率为准：</w:t>
      </w:r>
    </w:p>
    <w:p w14:paraId="4F03A964">
      <w:pPr>
        <w:spacing w:line="300" w:lineRule="auto"/>
        <w:ind w:firstLine="560" w:firstLineChars="200"/>
        <w:jc w:val="center"/>
        <w:rPr>
          <w:rFonts w:ascii="Arial" w:hAnsi="Arial" w:eastAsia="仿宋" w:cs="Arial"/>
          <w:bCs/>
          <w:sz w:val="28"/>
          <w:szCs w:val="28"/>
          <w:highlight w:val="none"/>
        </w:rPr>
      </w:pPr>
      <w:r>
        <w:rPr>
          <w:rFonts w:ascii="Arial" w:hAnsi="Arial" w:eastAsia="仿宋" w:cs="Arial"/>
          <w:bCs/>
          <w:sz w:val="28"/>
          <w:szCs w:val="28"/>
          <w:highlight w:val="none"/>
        </w:rPr>
        <w:t>北京市地价增长率</w:t>
      </w:r>
    </w:p>
    <w:p w14:paraId="5A863399">
      <w:pPr>
        <w:adjustRightInd/>
        <w:spacing w:line="240" w:lineRule="auto"/>
        <w:jc w:val="right"/>
        <w:rPr>
          <w:rFonts w:ascii="Arial" w:hAnsi="Arial" w:eastAsia="华文细黑" w:cs="宋体"/>
          <w:sz w:val="18"/>
          <w:szCs w:val="24"/>
          <w:highlight w:val="none"/>
        </w:rPr>
      </w:pPr>
      <w:r>
        <w:rPr>
          <w:rFonts w:hint="eastAsia" w:ascii="Arial" w:hAnsi="Arial" w:eastAsia="华文细黑" w:cs="宋体"/>
          <w:sz w:val="18"/>
          <w:szCs w:val="24"/>
          <w:highlight w:val="none"/>
        </w:rPr>
        <w:t xml:space="preserve"> 单位%</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57" w:type="dxa"/>
          <w:bottom w:w="57" w:type="dxa"/>
          <w:right w:w="57" w:type="dxa"/>
        </w:tblCellMar>
      </w:tblPr>
      <w:tblGrid>
        <w:gridCol w:w="1859"/>
        <w:gridCol w:w="1860"/>
        <w:gridCol w:w="1860"/>
        <w:gridCol w:w="1860"/>
        <w:gridCol w:w="1860"/>
      </w:tblGrid>
      <w:tr w14:paraId="001BADA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tcBorders>
              <w:tl2br w:val="single" w:color="auto" w:sz="4" w:space="0"/>
            </w:tcBorders>
            <w:shd w:val="clear" w:color="auto" w:fill="auto"/>
            <w:vAlign w:val="center"/>
          </w:tcPr>
          <w:p w14:paraId="69765F5A">
            <w:pPr>
              <w:tabs>
                <w:tab w:val="left" w:pos="2160"/>
              </w:tabs>
              <w:spacing w:line="240" w:lineRule="exact"/>
              <w:ind w:firstLine="945" w:firstLineChars="450"/>
              <w:jc w:val="right"/>
              <w:rPr>
                <w:rFonts w:ascii="Arial" w:hAnsi="Arial" w:eastAsia="仿宋" w:cs="Arial"/>
                <w:sz w:val="21"/>
                <w:szCs w:val="21"/>
                <w:highlight w:val="none"/>
              </w:rPr>
            </w:pPr>
            <w:r>
              <w:rPr>
                <w:rFonts w:ascii="Arial" w:hAnsi="Arial" w:eastAsia="仿宋" w:cs="Arial"/>
                <w:sz w:val="21"/>
                <w:szCs w:val="21"/>
                <w:highlight w:val="none"/>
              </w:rPr>
              <w:t>季度</w:t>
            </w:r>
          </w:p>
          <w:p w14:paraId="7D34F9AD">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年度</w:t>
            </w:r>
          </w:p>
        </w:tc>
        <w:tc>
          <w:tcPr>
            <w:tcW w:w="1860" w:type="dxa"/>
            <w:shd w:val="clear" w:color="auto" w:fill="auto"/>
            <w:vAlign w:val="center"/>
          </w:tcPr>
          <w:p w14:paraId="745B56F5">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1季度</w:t>
            </w:r>
          </w:p>
        </w:tc>
        <w:tc>
          <w:tcPr>
            <w:tcW w:w="1860" w:type="dxa"/>
            <w:shd w:val="clear" w:color="auto" w:fill="auto"/>
            <w:vAlign w:val="center"/>
          </w:tcPr>
          <w:p w14:paraId="6F23F19B">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2季度</w:t>
            </w:r>
          </w:p>
        </w:tc>
        <w:tc>
          <w:tcPr>
            <w:tcW w:w="1860" w:type="dxa"/>
            <w:shd w:val="clear" w:color="auto" w:fill="auto"/>
            <w:vAlign w:val="center"/>
          </w:tcPr>
          <w:p w14:paraId="50F8CA35">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3季度</w:t>
            </w:r>
          </w:p>
        </w:tc>
        <w:tc>
          <w:tcPr>
            <w:tcW w:w="1860" w:type="dxa"/>
            <w:shd w:val="clear" w:color="auto" w:fill="auto"/>
            <w:vAlign w:val="center"/>
          </w:tcPr>
          <w:p w14:paraId="737239AE">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4季度</w:t>
            </w:r>
          </w:p>
        </w:tc>
      </w:tr>
      <w:tr w14:paraId="3E8A703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40E22A80">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2021</w:t>
            </w:r>
          </w:p>
        </w:tc>
        <w:tc>
          <w:tcPr>
            <w:tcW w:w="1860" w:type="dxa"/>
            <w:shd w:val="clear" w:color="auto" w:fill="auto"/>
            <w:vAlign w:val="center"/>
          </w:tcPr>
          <w:p w14:paraId="3F853EE0">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0.48</w:t>
            </w:r>
          </w:p>
        </w:tc>
        <w:tc>
          <w:tcPr>
            <w:tcW w:w="1860" w:type="dxa"/>
            <w:shd w:val="clear" w:color="auto" w:fill="auto"/>
            <w:vAlign w:val="center"/>
          </w:tcPr>
          <w:p w14:paraId="75C9FF73">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0.46</w:t>
            </w:r>
          </w:p>
        </w:tc>
        <w:tc>
          <w:tcPr>
            <w:tcW w:w="1860" w:type="dxa"/>
            <w:shd w:val="clear" w:color="auto" w:fill="auto"/>
            <w:vAlign w:val="center"/>
          </w:tcPr>
          <w:p w14:paraId="6159C414">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0.28</w:t>
            </w:r>
          </w:p>
        </w:tc>
        <w:tc>
          <w:tcPr>
            <w:tcW w:w="1860" w:type="dxa"/>
            <w:shd w:val="clear" w:color="auto" w:fill="auto"/>
            <w:vAlign w:val="center"/>
          </w:tcPr>
          <w:p w14:paraId="4BC42348">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0.08</w:t>
            </w:r>
          </w:p>
        </w:tc>
      </w:tr>
      <w:tr w14:paraId="3BB086E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5FFF35B5">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2022</w:t>
            </w:r>
          </w:p>
        </w:tc>
        <w:tc>
          <w:tcPr>
            <w:tcW w:w="1860" w:type="dxa"/>
            <w:shd w:val="clear" w:color="auto" w:fill="auto"/>
            <w:vAlign w:val="center"/>
          </w:tcPr>
          <w:p w14:paraId="5CBC5125">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0.45</w:t>
            </w:r>
          </w:p>
        </w:tc>
        <w:tc>
          <w:tcPr>
            <w:tcW w:w="1860" w:type="dxa"/>
            <w:shd w:val="clear" w:color="auto" w:fill="auto"/>
            <w:vAlign w:val="center"/>
          </w:tcPr>
          <w:p w14:paraId="3F81E3F7">
            <w:pPr>
              <w:tabs>
                <w:tab w:val="left" w:pos="2160"/>
              </w:tabs>
              <w:spacing w:line="240" w:lineRule="exact"/>
              <w:rPr>
                <w:rFonts w:ascii="Arial" w:hAnsi="Arial" w:eastAsia="仿宋" w:cs="Arial"/>
                <w:sz w:val="21"/>
                <w:szCs w:val="21"/>
                <w:highlight w:val="none"/>
              </w:rPr>
            </w:pPr>
            <w:r>
              <w:rPr>
                <w:rFonts w:hint="eastAsia" w:ascii="Arial" w:hAnsi="Arial" w:eastAsia="仿宋" w:cs="Arial"/>
                <w:sz w:val="21"/>
                <w:szCs w:val="21"/>
                <w:highlight w:val="none"/>
                <w:lang w:eastAsia="zh-CN"/>
              </w:rPr>
              <w:t>－</w:t>
            </w:r>
            <w:r>
              <w:rPr>
                <w:rFonts w:ascii="Arial" w:hAnsi="Arial" w:eastAsia="仿宋" w:cs="Arial"/>
                <w:sz w:val="21"/>
                <w:szCs w:val="21"/>
                <w:highlight w:val="none"/>
              </w:rPr>
              <w:t>0.13</w:t>
            </w:r>
          </w:p>
        </w:tc>
        <w:tc>
          <w:tcPr>
            <w:tcW w:w="1860" w:type="dxa"/>
            <w:shd w:val="clear" w:color="auto" w:fill="auto"/>
            <w:vAlign w:val="center"/>
          </w:tcPr>
          <w:p w14:paraId="7513474E">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0.29</w:t>
            </w:r>
          </w:p>
        </w:tc>
        <w:tc>
          <w:tcPr>
            <w:tcW w:w="1860" w:type="dxa"/>
            <w:shd w:val="clear" w:color="auto" w:fill="auto"/>
            <w:vAlign w:val="center"/>
          </w:tcPr>
          <w:p w14:paraId="7FA36D99">
            <w:pPr>
              <w:tabs>
                <w:tab w:val="left" w:pos="2160"/>
              </w:tabs>
              <w:spacing w:line="240" w:lineRule="exact"/>
              <w:rPr>
                <w:rFonts w:ascii="Arial" w:hAnsi="Arial" w:eastAsia="仿宋" w:cs="Arial"/>
                <w:sz w:val="21"/>
                <w:szCs w:val="21"/>
                <w:highlight w:val="none"/>
              </w:rPr>
            </w:pPr>
            <w:r>
              <w:rPr>
                <w:rFonts w:ascii="Arial" w:hAnsi="Arial" w:eastAsia="仿宋" w:cs="Arial"/>
                <w:sz w:val="21"/>
                <w:szCs w:val="21"/>
                <w:highlight w:val="none"/>
              </w:rPr>
              <w:t>0.20</w:t>
            </w:r>
          </w:p>
        </w:tc>
      </w:tr>
      <w:tr w14:paraId="5E90451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7E355E81">
            <w:pPr>
              <w:tabs>
                <w:tab w:val="left" w:pos="2160"/>
              </w:tabs>
              <w:spacing w:line="240" w:lineRule="exact"/>
              <w:rPr>
                <w:rFonts w:ascii="Arial" w:hAnsi="Arial" w:eastAsia="仿宋" w:cs="Arial"/>
                <w:sz w:val="21"/>
                <w:szCs w:val="21"/>
                <w:highlight w:val="none"/>
              </w:rPr>
            </w:pPr>
            <w:r>
              <w:rPr>
                <w:rFonts w:hint="eastAsia" w:ascii="Arial" w:hAnsi="Arial" w:eastAsia="仿宋" w:cs="Arial"/>
                <w:sz w:val="21"/>
                <w:szCs w:val="21"/>
                <w:highlight w:val="none"/>
              </w:rPr>
              <w:t>2023</w:t>
            </w:r>
          </w:p>
        </w:tc>
        <w:tc>
          <w:tcPr>
            <w:tcW w:w="1860" w:type="dxa"/>
            <w:shd w:val="clear" w:color="auto" w:fill="auto"/>
            <w:vAlign w:val="center"/>
          </w:tcPr>
          <w:p w14:paraId="60777957">
            <w:pPr>
              <w:tabs>
                <w:tab w:val="left" w:pos="2160"/>
              </w:tabs>
              <w:spacing w:line="240" w:lineRule="exact"/>
              <w:rPr>
                <w:rFonts w:ascii="Arial" w:hAnsi="Arial" w:eastAsia="仿宋" w:cs="Arial"/>
                <w:sz w:val="21"/>
                <w:szCs w:val="21"/>
                <w:highlight w:val="none"/>
              </w:rPr>
            </w:pPr>
            <w:r>
              <w:rPr>
                <w:rFonts w:hint="eastAsia" w:ascii="Arial" w:hAnsi="Arial" w:eastAsia="仿宋" w:cs="Arial"/>
                <w:sz w:val="21"/>
                <w:szCs w:val="21"/>
                <w:highlight w:val="none"/>
              </w:rPr>
              <w:t>0.59</w:t>
            </w:r>
          </w:p>
        </w:tc>
        <w:tc>
          <w:tcPr>
            <w:tcW w:w="1860" w:type="dxa"/>
            <w:shd w:val="clear" w:color="auto" w:fill="auto"/>
            <w:vAlign w:val="center"/>
          </w:tcPr>
          <w:p w14:paraId="6276EFD2">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0.45</w:t>
            </w:r>
          </w:p>
        </w:tc>
        <w:tc>
          <w:tcPr>
            <w:tcW w:w="1860" w:type="dxa"/>
            <w:shd w:val="clear" w:color="auto" w:fill="auto"/>
            <w:vAlign w:val="center"/>
          </w:tcPr>
          <w:p w14:paraId="07DB36BD">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0.17</w:t>
            </w:r>
          </w:p>
        </w:tc>
        <w:tc>
          <w:tcPr>
            <w:tcW w:w="1860" w:type="dxa"/>
            <w:shd w:val="clear" w:color="auto" w:fill="auto"/>
            <w:vAlign w:val="center"/>
          </w:tcPr>
          <w:p w14:paraId="7FCFB644">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0.09</w:t>
            </w:r>
          </w:p>
        </w:tc>
      </w:tr>
      <w:tr w14:paraId="41D29CA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278616F6">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2024</w:t>
            </w:r>
          </w:p>
        </w:tc>
        <w:tc>
          <w:tcPr>
            <w:tcW w:w="1860" w:type="dxa"/>
            <w:shd w:val="clear" w:color="auto" w:fill="auto"/>
            <w:vAlign w:val="center"/>
          </w:tcPr>
          <w:p w14:paraId="73837C21">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0.40</w:t>
            </w:r>
          </w:p>
        </w:tc>
        <w:tc>
          <w:tcPr>
            <w:tcW w:w="1860" w:type="dxa"/>
            <w:shd w:val="clear" w:color="auto" w:fill="auto"/>
            <w:vAlign w:val="center"/>
          </w:tcPr>
          <w:p w14:paraId="7367D7D8">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－0.39</w:t>
            </w:r>
          </w:p>
        </w:tc>
        <w:tc>
          <w:tcPr>
            <w:tcW w:w="1860" w:type="dxa"/>
            <w:shd w:val="clear" w:color="auto" w:fill="auto"/>
            <w:vAlign w:val="center"/>
          </w:tcPr>
          <w:p w14:paraId="0490C284">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－0.52</w:t>
            </w:r>
          </w:p>
        </w:tc>
        <w:tc>
          <w:tcPr>
            <w:tcW w:w="1860" w:type="dxa"/>
            <w:shd w:val="clear" w:color="auto" w:fill="auto"/>
            <w:vAlign w:val="center"/>
          </w:tcPr>
          <w:p w14:paraId="72AC814C">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－0.71</w:t>
            </w:r>
          </w:p>
        </w:tc>
      </w:tr>
      <w:tr w14:paraId="51072C7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40C0B9C9">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2025</w:t>
            </w:r>
          </w:p>
        </w:tc>
        <w:tc>
          <w:tcPr>
            <w:tcW w:w="1860" w:type="dxa"/>
            <w:shd w:val="clear" w:color="auto" w:fill="auto"/>
            <w:vAlign w:val="center"/>
          </w:tcPr>
          <w:p w14:paraId="228ED4C8">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－0.98</w:t>
            </w:r>
          </w:p>
        </w:tc>
        <w:tc>
          <w:tcPr>
            <w:tcW w:w="1860" w:type="dxa"/>
            <w:shd w:val="clear" w:color="auto" w:fill="auto"/>
            <w:vAlign w:val="center"/>
          </w:tcPr>
          <w:p w14:paraId="2D05BD37">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－1.03</w:t>
            </w:r>
          </w:p>
        </w:tc>
        <w:tc>
          <w:tcPr>
            <w:tcW w:w="1860" w:type="dxa"/>
            <w:shd w:val="clear" w:color="auto" w:fill="auto"/>
            <w:vAlign w:val="center"/>
          </w:tcPr>
          <w:p w14:paraId="263AA61D">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－1.45</w:t>
            </w:r>
          </w:p>
        </w:tc>
        <w:tc>
          <w:tcPr>
            <w:tcW w:w="1860" w:type="dxa"/>
            <w:shd w:val="clear" w:color="auto" w:fill="auto"/>
            <w:vAlign w:val="center"/>
          </w:tcPr>
          <w:p w14:paraId="062BE930">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－3.68</w:t>
            </w:r>
          </w:p>
        </w:tc>
      </w:tr>
      <w:tr w14:paraId="7C4F49C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57" w:type="dxa"/>
            <w:bottom w:w="57" w:type="dxa"/>
            <w:right w:w="57" w:type="dxa"/>
          </w:tblCellMar>
        </w:tblPrEx>
        <w:trPr>
          <w:cantSplit/>
          <w:jc w:val="center"/>
        </w:trPr>
        <w:tc>
          <w:tcPr>
            <w:tcW w:w="1859" w:type="dxa"/>
            <w:shd w:val="clear" w:color="auto" w:fill="auto"/>
            <w:vAlign w:val="center"/>
          </w:tcPr>
          <w:p w14:paraId="0B4055E2">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2026</w:t>
            </w:r>
          </w:p>
        </w:tc>
        <w:tc>
          <w:tcPr>
            <w:tcW w:w="1860" w:type="dxa"/>
            <w:shd w:val="clear" w:color="auto" w:fill="auto"/>
            <w:vAlign w:val="center"/>
          </w:tcPr>
          <w:p w14:paraId="0593F2B1">
            <w:pPr>
              <w:tabs>
                <w:tab w:val="left" w:pos="2160"/>
              </w:tabs>
              <w:spacing w:line="240" w:lineRule="exact"/>
              <w:rPr>
                <w:rFonts w:hint="default"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－1.32</w:t>
            </w:r>
          </w:p>
        </w:tc>
        <w:tc>
          <w:tcPr>
            <w:tcW w:w="1860" w:type="dxa"/>
            <w:shd w:val="clear" w:color="auto" w:fill="auto"/>
            <w:vAlign w:val="center"/>
          </w:tcPr>
          <w:p w14:paraId="7620AE1C">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c>
          <w:tcPr>
            <w:tcW w:w="1860" w:type="dxa"/>
            <w:shd w:val="clear" w:color="auto" w:fill="auto"/>
            <w:vAlign w:val="center"/>
          </w:tcPr>
          <w:p w14:paraId="75577D30">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c>
          <w:tcPr>
            <w:tcW w:w="1860" w:type="dxa"/>
            <w:shd w:val="clear" w:color="auto" w:fill="auto"/>
            <w:vAlign w:val="center"/>
          </w:tcPr>
          <w:p w14:paraId="30CEA55E">
            <w:pPr>
              <w:tabs>
                <w:tab w:val="left" w:pos="2160"/>
              </w:tabs>
              <w:spacing w:line="240" w:lineRule="exact"/>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r>
    </w:tbl>
    <w:p w14:paraId="0E103E75">
      <w:pPr>
        <w:spacing w:line="300" w:lineRule="auto"/>
        <w:ind w:firstLine="560" w:firstLineChars="200"/>
        <w:jc w:val="both"/>
        <w:rPr>
          <w:rFonts w:hint="eastAsia" w:ascii="Arial" w:hAnsi="Arial" w:eastAsia="仿宋" w:cs="Arial"/>
          <w:sz w:val="28"/>
          <w:szCs w:val="28"/>
          <w:highlight w:val="none"/>
          <w:lang w:eastAsia="zh-CN"/>
        </w:rPr>
      </w:pPr>
      <w:r>
        <w:rPr>
          <w:rFonts w:hint="eastAsia" w:ascii="Arial" w:hAnsi="Arial" w:eastAsia="仿宋" w:cs="Arial"/>
          <w:sz w:val="28"/>
          <w:szCs w:val="28"/>
          <w:highlight w:val="none"/>
        </w:rPr>
        <w:t>采用2021年</w:t>
      </w:r>
      <w:r>
        <w:rPr>
          <w:rFonts w:hint="eastAsia" w:ascii="Arial" w:hAnsi="Arial" w:eastAsia="仿宋" w:cs="Arial"/>
          <w:sz w:val="28"/>
          <w:szCs w:val="28"/>
          <w:highlight w:val="none"/>
          <w:lang w:val="en-US" w:eastAsia="zh-CN"/>
        </w:rPr>
        <w:t>1</w:t>
      </w:r>
      <w:r>
        <w:rPr>
          <w:rFonts w:hint="eastAsia" w:ascii="Arial" w:hAnsi="Arial" w:eastAsia="仿宋" w:cs="Arial"/>
          <w:sz w:val="28"/>
          <w:szCs w:val="28"/>
          <w:highlight w:val="none"/>
        </w:rPr>
        <w:t>季度至202</w:t>
      </w:r>
      <w:r>
        <w:rPr>
          <w:rFonts w:hint="eastAsia" w:ascii="Arial" w:hAnsi="Arial" w:eastAsia="仿宋" w:cs="Arial"/>
          <w:sz w:val="28"/>
          <w:szCs w:val="28"/>
          <w:highlight w:val="none"/>
          <w:lang w:val="en-US" w:eastAsia="zh-CN"/>
        </w:rPr>
        <w:t>6</w:t>
      </w:r>
      <w:r>
        <w:rPr>
          <w:rFonts w:hint="eastAsia" w:ascii="Arial" w:hAnsi="Arial" w:eastAsia="仿宋" w:cs="Arial"/>
          <w:sz w:val="28"/>
          <w:szCs w:val="28"/>
          <w:highlight w:val="none"/>
        </w:rPr>
        <w:t>年</w:t>
      </w:r>
      <w:r>
        <w:rPr>
          <w:rFonts w:hint="eastAsia" w:ascii="Arial" w:hAnsi="Arial" w:eastAsia="仿宋" w:cs="Arial"/>
          <w:sz w:val="28"/>
          <w:szCs w:val="28"/>
          <w:highlight w:val="none"/>
          <w:lang w:val="en-US" w:eastAsia="zh-CN"/>
        </w:rPr>
        <w:t>1</w:t>
      </w:r>
      <w:r>
        <w:rPr>
          <w:rFonts w:hint="eastAsia" w:ascii="Arial" w:hAnsi="Arial" w:eastAsia="仿宋" w:cs="Arial"/>
          <w:sz w:val="28"/>
          <w:szCs w:val="28"/>
          <w:highlight w:val="none"/>
        </w:rPr>
        <w:t>季度</w:t>
      </w:r>
      <w:r>
        <w:rPr>
          <w:rFonts w:hint="eastAsia" w:ascii="Arial" w:hAnsi="Arial" w:eastAsia="仿宋" w:cs="Arial"/>
          <w:sz w:val="28"/>
          <w:szCs w:val="28"/>
          <w:highlight w:val="none"/>
          <w:lang w:val="en-US" w:eastAsia="zh-CN"/>
        </w:rPr>
        <w:t>办公</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规划新城</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地价增长率的数据</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 xml:space="preserve">本项目估价期日为 </w:t>
      </w:r>
      <w:r>
        <w:rPr>
          <w:rFonts w:hint="eastAsia" w:ascii="Arial" w:hAnsi="Arial" w:eastAsia="仿宋" w:cs="Arial"/>
          <w:sz w:val="28"/>
          <w:szCs w:val="28"/>
          <w:highlight w:val="none"/>
          <w:lang w:eastAsia="zh-CN"/>
        </w:rPr>
        <w:t>2026年3月26日</w:t>
      </w:r>
      <w:r>
        <w:rPr>
          <w:rFonts w:hint="eastAsia" w:ascii="Arial" w:hAnsi="Arial" w:eastAsia="仿宋" w:cs="Arial"/>
          <w:sz w:val="28"/>
          <w:szCs w:val="28"/>
          <w:highlight w:val="none"/>
        </w:rPr>
        <w:t>，属于2026年1季度，计算过程如下</w:t>
      </w:r>
      <w:r>
        <w:rPr>
          <w:rFonts w:hint="eastAsia" w:ascii="Arial" w:hAnsi="Arial" w:eastAsia="仿宋" w:cs="Arial"/>
          <w:sz w:val="28"/>
          <w:szCs w:val="28"/>
          <w:highlight w:val="none"/>
          <w:lang w:eastAsia="zh-CN"/>
        </w:rPr>
        <w:t>：</w:t>
      </w:r>
    </w:p>
    <w:p w14:paraId="1BB0BFFA">
      <w:pPr>
        <w:spacing w:line="300" w:lineRule="auto"/>
        <w:ind w:firstLine="560" w:firstLineChars="200"/>
        <w:jc w:val="both"/>
        <w:rPr>
          <w:rFonts w:hint="default" w:ascii="Arial" w:hAnsi="Arial" w:eastAsia="仿宋" w:cs="Arial"/>
          <w:sz w:val="28"/>
          <w:szCs w:val="28"/>
          <w:highlight w:val="none"/>
          <w:lang w:val="en-US"/>
        </w:rPr>
      </w:pPr>
      <w:r>
        <w:rPr>
          <w:rFonts w:ascii="Arial" w:hAnsi="Arial" w:eastAsia="仿宋" w:cs="Arial"/>
          <w:sz w:val="28"/>
          <w:szCs w:val="28"/>
          <w:highlight w:val="none"/>
        </w:rPr>
        <w:t>期日修正系数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48</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0.46</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28</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08</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45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－0.13</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29</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.20</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59</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0.45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17</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09</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0.40</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－0.39</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－0.52</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71</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－0.98</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－1</w:t>
      </w:r>
      <w:r>
        <w:rPr>
          <w:rFonts w:ascii="Arial" w:hAnsi="Arial" w:eastAsia="仿宋" w:cs="Arial"/>
          <w:sz w:val="28"/>
          <w:szCs w:val="28"/>
          <w:highlight w:val="none"/>
        </w:rPr>
        <w:t>.</w:t>
      </w:r>
      <w:r>
        <w:rPr>
          <w:rFonts w:hint="eastAsia" w:ascii="Arial" w:hAnsi="Arial" w:eastAsia="仿宋" w:cs="Arial"/>
          <w:sz w:val="28"/>
          <w:szCs w:val="28"/>
          <w:highlight w:val="none"/>
          <w:lang w:val="en-US" w:eastAsia="zh-CN"/>
        </w:rPr>
        <w:t>03</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－1.45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－3.68</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val="en-US" w:eastAsia="zh-CN"/>
        </w:rPr>
        <w:t>－1.32</w:t>
      </w:r>
      <w:r>
        <w:rPr>
          <w:rFonts w:ascii="Arial" w:hAnsi="Arial" w:eastAsia="仿宋" w:cs="Arial"/>
          <w:sz w:val="28"/>
          <w:szCs w:val="28"/>
          <w:highlight w:val="none"/>
        </w:rPr>
        <w:t>%</w:t>
      </w:r>
      <w:r>
        <w:rPr>
          <w:rFonts w:hint="eastAsia" w:ascii="Arial" w:hAnsi="Arial" w:eastAsia="仿宋" w:cs="Arial"/>
          <w:sz w:val="28"/>
          <w:szCs w:val="28"/>
          <w:highlight w:val="none"/>
          <w:lang w:val="en-US" w:eastAsia="zh-CN"/>
        </w:rPr>
        <w:t>÷90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85</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0.9388</w:t>
      </w:r>
    </w:p>
    <w:p w14:paraId="25CEFB92">
      <w:pPr>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D.年期修正系数的确定</w:t>
      </w:r>
    </w:p>
    <w:p w14:paraId="1095DCC5">
      <w:pPr>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年期修正系数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（1＋r）</w:t>
      </w:r>
      <w:r>
        <w:rPr>
          <w:rFonts w:ascii="Arial" w:hAnsi="Arial" w:eastAsia="仿宋" w:cs="Arial"/>
          <w:sz w:val="28"/>
          <w:szCs w:val="28"/>
          <w:highlight w:val="none"/>
          <w:vertAlign w:val="superscript"/>
        </w:rPr>
        <w:t>n</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（1＋r）</w:t>
      </w:r>
      <w:r>
        <w:rPr>
          <w:rFonts w:ascii="Arial" w:hAnsi="Arial" w:eastAsia="仿宋" w:cs="Arial"/>
          <w:sz w:val="28"/>
          <w:szCs w:val="28"/>
          <w:highlight w:val="none"/>
          <w:vertAlign w:val="superscript"/>
        </w:rPr>
        <w:t>N</w:t>
      </w:r>
      <w:r>
        <w:rPr>
          <w:rFonts w:ascii="Arial" w:hAnsi="Arial" w:eastAsia="仿宋" w:cs="Arial"/>
          <w:sz w:val="28"/>
          <w:szCs w:val="28"/>
          <w:highlight w:val="none"/>
        </w:rPr>
        <w:t>）</w:t>
      </w:r>
    </w:p>
    <w:p w14:paraId="6043250A">
      <w:pPr>
        <w:autoSpaceDE w:val="0"/>
        <w:autoSpaceDN w:val="0"/>
        <w:spacing w:line="300" w:lineRule="auto"/>
        <w:ind w:firstLine="560" w:firstLineChars="200"/>
        <w:textAlignment w:val="auto"/>
        <w:rPr>
          <w:rFonts w:ascii="Arial" w:hAnsi="Arial" w:eastAsia="仿宋" w:cs="Arial"/>
          <w:sz w:val="28"/>
          <w:szCs w:val="28"/>
          <w:highlight w:val="none"/>
        </w:rPr>
      </w:pPr>
      <w:r>
        <w:rPr>
          <w:rFonts w:ascii="Arial" w:hAnsi="Arial" w:eastAsia="仿宋" w:cs="Arial"/>
          <w:sz w:val="28"/>
          <w:szCs w:val="28"/>
          <w:highlight w:val="none"/>
        </w:rPr>
        <w:t>其中：r—土地还原率</w:t>
      </w:r>
    </w:p>
    <w:p w14:paraId="0AF0E8AC">
      <w:pPr>
        <w:autoSpaceDE w:val="0"/>
        <w:autoSpaceDN w:val="0"/>
        <w:spacing w:line="300" w:lineRule="auto"/>
        <w:ind w:firstLine="1400" w:firstLineChars="500"/>
        <w:textAlignment w:val="auto"/>
        <w:rPr>
          <w:rFonts w:ascii="Arial" w:hAnsi="Arial" w:eastAsia="仿宋" w:cs="Arial"/>
          <w:sz w:val="28"/>
          <w:szCs w:val="28"/>
          <w:highlight w:val="none"/>
        </w:rPr>
      </w:pPr>
      <w:r>
        <w:rPr>
          <w:rFonts w:ascii="Arial" w:hAnsi="Arial" w:eastAsia="仿宋" w:cs="Arial"/>
          <w:sz w:val="28"/>
          <w:szCs w:val="28"/>
          <w:highlight w:val="none"/>
        </w:rPr>
        <w:t>n—宗地剩余土地使用年限</w:t>
      </w:r>
    </w:p>
    <w:p w14:paraId="571AC182">
      <w:pPr>
        <w:spacing w:line="300" w:lineRule="auto"/>
        <w:ind w:firstLine="1400" w:firstLineChars="500"/>
        <w:rPr>
          <w:rFonts w:ascii="Arial" w:hAnsi="Arial" w:eastAsia="仿宋" w:cs="Arial"/>
          <w:sz w:val="28"/>
          <w:szCs w:val="28"/>
          <w:highlight w:val="none"/>
        </w:rPr>
      </w:pPr>
      <w:r>
        <w:rPr>
          <w:rFonts w:ascii="Arial" w:hAnsi="Arial" w:eastAsia="仿宋" w:cs="Arial"/>
          <w:sz w:val="28"/>
          <w:szCs w:val="28"/>
          <w:highlight w:val="none"/>
        </w:rPr>
        <w:t>N—基准地价规定的相应用途土地使用年限</w:t>
      </w:r>
    </w:p>
    <w:p w14:paraId="387E8CD1">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商业、办公、居住、工业、公共服务用途的土地还原率原则上按同期中国人民银行公布的一年期贷款利率分别上浮25％、20％、15％、10％、15％确定，且须分别不低于5.5％、5.5％、5％、5％、5％，不高于6.5％、6.5％、6％、6％、6％。估价对象用途为公共服务，按照上述利率计算得出的土地还原率为5%，低于所要求的的最低值。故土地还原率取</w:t>
      </w:r>
      <w:r>
        <w:rPr>
          <w:rFonts w:hint="eastAsia" w:ascii="Arial" w:hAnsi="Arial" w:eastAsia="仿宋" w:cs="Arial"/>
          <w:sz w:val="28"/>
          <w:szCs w:val="28"/>
          <w:highlight w:val="none"/>
        </w:rPr>
        <w:t>公共服务</w:t>
      </w:r>
      <w:r>
        <w:rPr>
          <w:rFonts w:ascii="Arial" w:hAnsi="Arial" w:eastAsia="仿宋" w:cs="Arial"/>
          <w:sz w:val="28"/>
          <w:szCs w:val="28"/>
          <w:highlight w:val="none"/>
        </w:rPr>
        <w:t>用途最低值5%。</w:t>
      </w:r>
    </w:p>
    <w:p w14:paraId="69ECF9AD">
      <w:pPr>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估价对象剩余土地使用年限为50年，公共服务用途法定用途最高出让年限为50年，故不做修正。</w:t>
      </w:r>
    </w:p>
    <w:p w14:paraId="43335430">
      <w:pPr>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E.容积率修正系数的确定</w:t>
      </w:r>
    </w:p>
    <w:p w14:paraId="23319652">
      <w:pPr>
        <w:adjustRightInd/>
        <w:spacing w:line="300" w:lineRule="auto"/>
        <w:ind w:firstLine="560" w:firstLineChars="200"/>
        <w:rPr>
          <w:rFonts w:ascii="Arial" w:hAnsi="Arial" w:eastAsia="仿宋" w:cs="Arial"/>
          <w:bCs/>
          <w:sz w:val="28"/>
          <w:szCs w:val="28"/>
          <w:highlight w:val="none"/>
        </w:rPr>
      </w:pPr>
      <w:r>
        <w:rPr>
          <w:rFonts w:ascii="Arial" w:hAnsi="Arial" w:eastAsia="仿宋" w:cs="Arial"/>
          <w:sz w:val="28"/>
          <w:szCs w:val="28"/>
          <w:highlight w:val="none"/>
        </w:rPr>
        <w:t>依据《北京市基准地价容积率修正系数表（公共服务类）》（详见下表）。</w:t>
      </w:r>
    </w:p>
    <w:p w14:paraId="40609C4F">
      <w:pPr>
        <w:spacing w:line="300" w:lineRule="auto"/>
        <w:jc w:val="center"/>
        <w:rPr>
          <w:rFonts w:ascii="Arial" w:hAnsi="Arial" w:eastAsia="仿宋" w:cs="Arial"/>
          <w:sz w:val="28"/>
          <w:szCs w:val="28"/>
          <w:highlight w:val="none"/>
        </w:rPr>
      </w:pPr>
      <w:r>
        <w:rPr>
          <w:rFonts w:ascii="Arial" w:hAnsi="Arial" w:eastAsia="仿宋" w:cs="Arial"/>
          <w:bCs/>
          <w:sz w:val="28"/>
          <w:szCs w:val="28"/>
          <w:highlight w:val="none"/>
        </w:rPr>
        <w:t>北京市基准地价容积率修正系数表（公共服务类）</w:t>
      </w:r>
    </w:p>
    <w:tbl>
      <w:tblPr>
        <w:tblStyle w:val="34"/>
        <w:tblW w:w="9299"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28" w:type="dxa"/>
          <w:left w:w="28" w:type="dxa"/>
          <w:bottom w:w="28" w:type="dxa"/>
          <w:right w:w="28" w:type="dxa"/>
        </w:tblCellMar>
      </w:tblPr>
      <w:tblGrid>
        <w:gridCol w:w="1179"/>
        <w:gridCol w:w="1098"/>
        <w:gridCol w:w="1253"/>
        <w:gridCol w:w="1253"/>
        <w:gridCol w:w="1179"/>
        <w:gridCol w:w="979"/>
        <w:gridCol w:w="1179"/>
        <w:gridCol w:w="1179"/>
      </w:tblGrid>
      <w:tr w14:paraId="0EFA228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tblHeader/>
          <w:jc w:val="center"/>
        </w:trPr>
        <w:tc>
          <w:tcPr>
            <w:tcW w:w="1179" w:type="dxa"/>
            <w:shd w:val="clear" w:color="auto" w:fill="auto"/>
            <w:noWrap/>
            <w:vAlign w:val="center"/>
          </w:tcPr>
          <w:p w14:paraId="5559585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容积率</w:t>
            </w:r>
          </w:p>
        </w:tc>
        <w:tc>
          <w:tcPr>
            <w:tcW w:w="1098" w:type="dxa"/>
            <w:shd w:val="clear" w:color="auto" w:fill="auto"/>
            <w:noWrap/>
            <w:vAlign w:val="center"/>
          </w:tcPr>
          <w:p w14:paraId="5F9EF30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r>
              <w:rPr>
                <w:rFonts w:hint="eastAsia" w:ascii="Arial" w:hAnsi="Arial" w:eastAsia="仿宋" w:cs="Arial"/>
                <w:sz w:val="20"/>
                <w:highlight w:val="none"/>
                <w:lang w:eastAsia="zh-CN"/>
              </w:rPr>
              <w:t>－</w:t>
            </w:r>
            <w:r>
              <w:rPr>
                <w:rFonts w:ascii="Arial" w:hAnsi="Arial" w:eastAsia="仿宋" w:cs="Arial"/>
                <w:sz w:val="20"/>
                <w:highlight w:val="none"/>
              </w:rPr>
              <w:t>2级</w:t>
            </w:r>
          </w:p>
        </w:tc>
        <w:tc>
          <w:tcPr>
            <w:tcW w:w="1253" w:type="dxa"/>
            <w:shd w:val="clear" w:color="auto" w:fill="auto"/>
            <w:vAlign w:val="center"/>
          </w:tcPr>
          <w:p w14:paraId="6FDEED5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3</w:t>
            </w:r>
            <w:r>
              <w:rPr>
                <w:rFonts w:hint="eastAsia" w:ascii="Arial" w:hAnsi="Arial" w:eastAsia="仿宋" w:cs="Arial"/>
                <w:sz w:val="20"/>
                <w:highlight w:val="none"/>
                <w:lang w:eastAsia="zh-CN"/>
              </w:rPr>
              <w:t>－</w:t>
            </w:r>
            <w:r>
              <w:rPr>
                <w:rFonts w:ascii="Arial" w:hAnsi="Arial" w:eastAsia="仿宋" w:cs="Arial"/>
                <w:sz w:val="20"/>
                <w:highlight w:val="none"/>
              </w:rPr>
              <w:t>7级</w:t>
            </w:r>
          </w:p>
        </w:tc>
        <w:tc>
          <w:tcPr>
            <w:tcW w:w="1253" w:type="dxa"/>
            <w:shd w:val="clear" w:color="auto" w:fill="auto"/>
            <w:vAlign w:val="center"/>
          </w:tcPr>
          <w:p w14:paraId="56444EF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8</w:t>
            </w:r>
            <w:r>
              <w:rPr>
                <w:rFonts w:hint="eastAsia" w:ascii="Arial" w:hAnsi="Arial" w:eastAsia="仿宋" w:cs="Arial"/>
                <w:sz w:val="20"/>
                <w:highlight w:val="none"/>
                <w:lang w:eastAsia="zh-CN"/>
              </w:rPr>
              <w:t>－</w:t>
            </w:r>
            <w:r>
              <w:rPr>
                <w:rFonts w:ascii="Arial" w:hAnsi="Arial" w:eastAsia="仿宋" w:cs="Arial"/>
                <w:sz w:val="20"/>
                <w:highlight w:val="none"/>
              </w:rPr>
              <w:t>12级</w:t>
            </w:r>
          </w:p>
        </w:tc>
        <w:tc>
          <w:tcPr>
            <w:tcW w:w="1179" w:type="dxa"/>
            <w:shd w:val="clear" w:color="auto" w:fill="auto"/>
            <w:noWrap/>
            <w:vAlign w:val="center"/>
          </w:tcPr>
          <w:p w14:paraId="159544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容积率</w:t>
            </w:r>
          </w:p>
        </w:tc>
        <w:tc>
          <w:tcPr>
            <w:tcW w:w="979" w:type="dxa"/>
            <w:shd w:val="clear" w:color="auto" w:fill="auto"/>
            <w:noWrap/>
            <w:vAlign w:val="center"/>
          </w:tcPr>
          <w:p w14:paraId="1A79560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r>
              <w:rPr>
                <w:rFonts w:hint="eastAsia" w:ascii="Arial" w:hAnsi="Arial" w:eastAsia="仿宋" w:cs="Arial"/>
                <w:sz w:val="20"/>
                <w:highlight w:val="none"/>
                <w:lang w:eastAsia="zh-CN"/>
              </w:rPr>
              <w:t>－</w:t>
            </w:r>
            <w:r>
              <w:rPr>
                <w:rFonts w:ascii="Arial" w:hAnsi="Arial" w:eastAsia="仿宋" w:cs="Arial"/>
                <w:sz w:val="20"/>
                <w:highlight w:val="none"/>
              </w:rPr>
              <w:t>2级</w:t>
            </w:r>
          </w:p>
        </w:tc>
        <w:tc>
          <w:tcPr>
            <w:tcW w:w="1179" w:type="dxa"/>
            <w:shd w:val="clear" w:color="auto" w:fill="auto"/>
            <w:vAlign w:val="center"/>
          </w:tcPr>
          <w:p w14:paraId="3BE5291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3</w:t>
            </w:r>
            <w:r>
              <w:rPr>
                <w:rFonts w:hint="eastAsia" w:ascii="Arial" w:hAnsi="Arial" w:eastAsia="仿宋" w:cs="Arial"/>
                <w:sz w:val="20"/>
                <w:highlight w:val="none"/>
                <w:lang w:eastAsia="zh-CN"/>
              </w:rPr>
              <w:t>－</w:t>
            </w:r>
            <w:r>
              <w:rPr>
                <w:rFonts w:ascii="Arial" w:hAnsi="Arial" w:eastAsia="仿宋" w:cs="Arial"/>
                <w:sz w:val="20"/>
                <w:highlight w:val="none"/>
              </w:rPr>
              <w:t>7级</w:t>
            </w:r>
          </w:p>
        </w:tc>
        <w:tc>
          <w:tcPr>
            <w:tcW w:w="1179" w:type="dxa"/>
            <w:shd w:val="clear" w:color="auto" w:fill="auto"/>
            <w:vAlign w:val="center"/>
          </w:tcPr>
          <w:p w14:paraId="6165870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8</w:t>
            </w:r>
            <w:r>
              <w:rPr>
                <w:rFonts w:hint="eastAsia" w:ascii="Arial" w:hAnsi="Arial" w:eastAsia="仿宋" w:cs="Arial"/>
                <w:sz w:val="20"/>
                <w:highlight w:val="none"/>
                <w:lang w:eastAsia="zh-CN"/>
              </w:rPr>
              <w:t>－</w:t>
            </w:r>
            <w:r>
              <w:rPr>
                <w:rFonts w:ascii="Arial" w:hAnsi="Arial" w:eastAsia="仿宋" w:cs="Arial"/>
                <w:sz w:val="20"/>
                <w:highlight w:val="none"/>
              </w:rPr>
              <w:t>12级</w:t>
            </w:r>
          </w:p>
        </w:tc>
      </w:tr>
      <w:tr w14:paraId="0A05F9E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D0BB97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1.0 </w:t>
            </w:r>
          </w:p>
        </w:tc>
        <w:tc>
          <w:tcPr>
            <w:tcW w:w="1098" w:type="dxa"/>
            <w:shd w:val="clear" w:color="auto" w:fill="auto"/>
            <w:noWrap/>
            <w:vAlign w:val="center"/>
          </w:tcPr>
          <w:p w14:paraId="35D5C51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1.184</w:t>
            </w:r>
          </w:p>
        </w:tc>
        <w:tc>
          <w:tcPr>
            <w:tcW w:w="1253" w:type="dxa"/>
            <w:shd w:val="clear" w:color="auto" w:fill="auto"/>
            <w:noWrap/>
            <w:vAlign w:val="center"/>
          </w:tcPr>
          <w:p w14:paraId="64F7078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1.1565</w:t>
            </w:r>
          </w:p>
        </w:tc>
        <w:tc>
          <w:tcPr>
            <w:tcW w:w="1253" w:type="dxa"/>
            <w:shd w:val="clear" w:color="auto" w:fill="auto"/>
            <w:noWrap/>
            <w:vAlign w:val="center"/>
          </w:tcPr>
          <w:p w14:paraId="73E8AFC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1.1199</w:t>
            </w:r>
          </w:p>
        </w:tc>
        <w:tc>
          <w:tcPr>
            <w:tcW w:w="1179" w:type="dxa"/>
            <w:shd w:val="clear" w:color="auto" w:fill="auto"/>
            <w:vAlign w:val="center"/>
          </w:tcPr>
          <w:p w14:paraId="40ABD75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5.5 </w:t>
            </w:r>
          </w:p>
        </w:tc>
        <w:tc>
          <w:tcPr>
            <w:tcW w:w="979" w:type="dxa"/>
            <w:shd w:val="clear" w:color="auto" w:fill="auto"/>
            <w:noWrap/>
            <w:vAlign w:val="center"/>
          </w:tcPr>
          <w:p w14:paraId="1B71A04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0.8996</w:t>
            </w:r>
          </w:p>
        </w:tc>
        <w:tc>
          <w:tcPr>
            <w:tcW w:w="1179" w:type="dxa"/>
            <w:shd w:val="clear" w:color="auto" w:fill="auto"/>
            <w:noWrap/>
            <w:vAlign w:val="center"/>
          </w:tcPr>
          <w:p w14:paraId="711F15B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0.8381</w:t>
            </w:r>
          </w:p>
        </w:tc>
        <w:tc>
          <w:tcPr>
            <w:tcW w:w="1179" w:type="dxa"/>
            <w:shd w:val="clear" w:color="auto" w:fill="auto"/>
            <w:noWrap/>
            <w:vAlign w:val="center"/>
          </w:tcPr>
          <w:p w14:paraId="5091F23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0.6906</w:t>
            </w:r>
          </w:p>
        </w:tc>
      </w:tr>
      <w:tr w14:paraId="0F71C3A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24FF4A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1.1 </w:t>
            </w:r>
          </w:p>
        </w:tc>
        <w:tc>
          <w:tcPr>
            <w:tcW w:w="1098" w:type="dxa"/>
            <w:shd w:val="clear" w:color="auto" w:fill="auto"/>
            <w:noWrap/>
            <w:vAlign w:val="center"/>
          </w:tcPr>
          <w:p w14:paraId="706A2C5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1.1659</w:t>
            </w:r>
          </w:p>
        </w:tc>
        <w:tc>
          <w:tcPr>
            <w:tcW w:w="1253" w:type="dxa"/>
            <w:shd w:val="clear" w:color="auto" w:fill="auto"/>
            <w:noWrap/>
            <w:vAlign w:val="center"/>
          </w:tcPr>
          <w:p w14:paraId="34341F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1.1364</w:t>
            </w:r>
          </w:p>
        </w:tc>
        <w:tc>
          <w:tcPr>
            <w:tcW w:w="1253" w:type="dxa"/>
            <w:shd w:val="clear" w:color="auto" w:fill="auto"/>
            <w:noWrap/>
            <w:vAlign w:val="center"/>
          </w:tcPr>
          <w:p w14:paraId="4E9E1C2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1.0931</w:t>
            </w:r>
          </w:p>
        </w:tc>
        <w:tc>
          <w:tcPr>
            <w:tcW w:w="1179" w:type="dxa"/>
            <w:shd w:val="clear" w:color="auto" w:fill="auto"/>
            <w:vAlign w:val="center"/>
          </w:tcPr>
          <w:p w14:paraId="22ABE81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5.6 </w:t>
            </w:r>
          </w:p>
        </w:tc>
        <w:tc>
          <w:tcPr>
            <w:tcW w:w="979" w:type="dxa"/>
            <w:shd w:val="clear" w:color="auto" w:fill="auto"/>
            <w:noWrap/>
            <w:vAlign w:val="center"/>
          </w:tcPr>
          <w:p w14:paraId="37F3192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0.8978</w:t>
            </w:r>
          </w:p>
        </w:tc>
        <w:tc>
          <w:tcPr>
            <w:tcW w:w="1179" w:type="dxa"/>
            <w:shd w:val="clear" w:color="auto" w:fill="auto"/>
            <w:noWrap/>
            <w:vAlign w:val="center"/>
          </w:tcPr>
          <w:p w14:paraId="0419283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0.836</w:t>
            </w:r>
          </w:p>
        </w:tc>
        <w:tc>
          <w:tcPr>
            <w:tcW w:w="1179" w:type="dxa"/>
            <w:shd w:val="clear" w:color="auto" w:fill="auto"/>
            <w:noWrap/>
            <w:vAlign w:val="center"/>
          </w:tcPr>
          <w:p w14:paraId="5427A1A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0.6881</w:t>
            </w:r>
          </w:p>
        </w:tc>
      </w:tr>
      <w:tr w14:paraId="75245BA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A6B05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1.2 </w:t>
            </w:r>
          </w:p>
        </w:tc>
        <w:tc>
          <w:tcPr>
            <w:tcW w:w="1098" w:type="dxa"/>
            <w:shd w:val="clear" w:color="auto" w:fill="auto"/>
            <w:noWrap/>
            <w:vAlign w:val="center"/>
          </w:tcPr>
          <w:p w14:paraId="16C3BA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1.1489</w:t>
            </w:r>
          </w:p>
        </w:tc>
        <w:tc>
          <w:tcPr>
            <w:tcW w:w="1253" w:type="dxa"/>
            <w:shd w:val="clear" w:color="auto" w:fill="auto"/>
            <w:noWrap/>
            <w:vAlign w:val="center"/>
          </w:tcPr>
          <w:p w14:paraId="6DE6A38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1.1175</w:t>
            </w:r>
          </w:p>
        </w:tc>
        <w:tc>
          <w:tcPr>
            <w:tcW w:w="1253" w:type="dxa"/>
            <w:shd w:val="clear" w:color="auto" w:fill="auto"/>
            <w:noWrap/>
            <w:vAlign w:val="center"/>
          </w:tcPr>
          <w:p w14:paraId="441B9FC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1.0678</w:t>
            </w:r>
          </w:p>
        </w:tc>
        <w:tc>
          <w:tcPr>
            <w:tcW w:w="1179" w:type="dxa"/>
            <w:shd w:val="clear" w:color="auto" w:fill="auto"/>
            <w:vAlign w:val="center"/>
          </w:tcPr>
          <w:p w14:paraId="72CD37F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5.7 </w:t>
            </w:r>
          </w:p>
        </w:tc>
        <w:tc>
          <w:tcPr>
            <w:tcW w:w="979" w:type="dxa"/>
            <w:shd w:val="clear" w:color="auto" w:fill="auto"/>
            <w:noWrap/>
            <w:vAlign w:val="center"/>
          </w:tcPr>
          <w:p w14:paraId="45E99C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0.896</w:t>
            </w:r>
          </w:p>
        </w:tc>
        <w:tc>
          <w:tcPr>
            <w:tcW w:w="1179" w:type="dxa"/>
            <w:shd w:val="clear" w:color="auto" w:fill="auto"/>
            <w:noWrap/>
            <w:vAlign w:val="center"/>
          </w:tcPr>
          <w:p w14:paraId="2E1A793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0.8339</w:t>
            </w:r>
          </w:p>
        </w:tc>
        <w:tc>
          <w:tcPr>
            <w:tcW w:w="1179" w:type="dxa"/>
            <w:shd w:val="clear" w:color="auto" w:fill="auto"/>
            <w:noWrap/>
            <w:vAlign w:val="center"/>
          </w:tcPr>
          <w:p w14:paraId="48A821C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0.6857</w:t>
            </w:r>
          </w:p>
        </w:tc>
      </w:tr>
      <w:tr w14:paraId="06400E1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EDD14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1.3 </w:t>
            </w:r>
          </w:p>
        </w:tc>
        <w:tc>
          <w:tcPr>
            <w:tcW w:w="1098" w:type="dxa"/>
            <w:shd w:val="clear" w:color="auto" w:fill="auto"/>
            <w:noWrap/>
            <w:vAlign w:val="center"/>
          </w:tcPr>
          <w:p w14:paraId="5271BF9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1.1328</w:t>
            </w:r>
          </w:p>
        </w:tc>
        <w:tc>
          <w:tcPr>
            <w:tcW w:w="1253" w:type="dxa"/>
            <w:shd w:val="clear" w:color="auto" w:fill="auto"/>
            <w:noWrap/>
            <w:vAlign w:val="center"/>
          </w:tcPr>
          <w:p w14:paraId="70D1279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1.0996</w:t>
            </w:r>
          </w:p>
        </w:tc>
        <w:tc>
          <w:tcPr>
            <w:tcW w:w="1253" w:type="dxa"/>
            <w:shd w:val="clear" w:color="auto" w:fill="auto"/>
            <w:noWrap/>
            <w:vAlign w:val="center"/>
          </w:tcPr>
          <w:p w14:paraId="22E92DE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1.044</w:t>
            </w:r>
          </w:p>
        </w:tc>
        <w:tc>
          <w:tcPr>
            <w:tcW w:w="1179" w:type="dxa"/>
            <w:shd w:val="clear" w:color="auto" w:fill="auto"/>
            <w:vAlign w:val="center"/>
          </w:tcPr>
          <w:p w14:paraId="6693444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5.8 </w:t>
            </w:r>
          </w:p>
        </w:tc>
        <w:tc>
          <w:tcPr>
            <w:tcW w:w="979" w:type="dxa"/>
            <w:shd w:val="clear" w:color="auto" w:fill="auto"/>
            <w:noWrap/>
            <w:vAlign w:val="center"/>
          </w:tcPr>
          <w:p w14:paraId="3AAFECB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0.8942</w:t>
            </w:r>
          </w:p>
        </w:tc>
        <w:tc>
          <w:tcPr>
            <w:tcW w:w="1179" w:type="dxa"/>
            <w:shd w:val="clear" w:color="auto" w:fill="auto"/>
            <w:noWrap/>
            <w:vAlign w:val="center"/>
          </w:tcPr>
          <w:p w14:paraId="0A19829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0.8319</w:t>
            </w:r>
          </w:p>
        </w:tc>
        <w:tc>
          <w:tcPr>
            <w:tcW w:w="1179" w:type="dxa"/>
            <w:shd w:val="clear" w:color="auto" w:fill="auto"/>
            <w:noWrap/>
            <w:vAlign w:val="center"/>
          </w:tcPr>
          <w:p w14:paraId="0FB3F80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0.6832</w:t>
            </w:r>
          </w:p>
        </w:tc>
      </w:tr>
      <w:tr w14:paraId="12DEEE5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268B2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1.4 </w:t>
            </w:r>
          </w:p>
        </w:tc>
        <w:tc>
          <w:tcPr>
            <w:tcW w:w="1098" w:type="dxa"/>
            <w:shd w:val="clear" w:color="auto" w:fill="auto"/>
            <w:noWrap/>
            <w:vAlign w:val="center"/>
          </w:tcPr>
          <w:p w14:paraId="658E795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1.1176</w:t>
            </w:r>
          </w:p>
        </w:tc>
        <w:tc>
          <w:tcPr>
            <w:tcW w:w="1253" w:type="dxa"/>
            <w:shd w:val="clear" w:color="auto" w:fill="auto"/>
            <w:noWrap/>
            <w:vAlign w:val="center"/>
          </w:tcPr>
          <w:p w14:paraId="25D2C2B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1.0827</w:t>
            </w:r>
          </w:p>
        </w:tc>
        <w:tc>
          <w:tcPr>
            <w:tcW w:w="1253" w:type="dxa"/>
            <w:shd w:val="clear" w:color="auto" w:fill="auto"/>
            <w:noWrap/>
            <w:vAlign w:val="center"/>
          </w:tcPr>
          <w:p w14:paraId="2185EAB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1.0214</w:t>
            </w:r>
          </w:p>
        </w:tc>
        <w:tc>
          <w:tcPr>
            <w:tcW w:w="1179" w:type="dxa"/>
            <w:shd w:val="clear" w:color="auto" w:fill="auto"/>
            <w:vAlign w:val="center"/>
          </w:tcPr>
          <w:p w14:paraId="2989187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5.9 </w:t>
            </w:r>
          </w:p>
        </w:tc>
        <w:tc>
          <w:tcPr>
            <w:tcW w:w="979" w:type="dxa"/>
            <w:shd w:val="clear" w:color="auto" w:fill="auto"/>
            <w:noWrap/>
            <w:vAlign w:val="center"/>
          </w:tcPr>
          <w:p w14:paraId="0B7D2FE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0.8924</w:t>
            </w:r>
          </w:p>
        </w:tc>
        <w:tc>
          <w:tcPr>
            <w:tcW w:w="1179" w:type="dxa"/>
            <w:shd w:val="clear" w:color="auto" w:fill="auto"/>
            <w:noWrap/>
            <w:vAlign w:val="center"/>
          </w:tcPr>
          <w:p w14:paraId="5CA294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0.8299</w:t>
            </w:r>
          </w:p>
        </w:tc>
        <w:tc>
          <w:tcPr>
            <w:tcW w:w="1179" w:type="dxa"/>
            <w:shd w:val="clear" w:color="auto" w:fill="auto"/>
            <w:noWrap/>
            <w:vAlign w:val="center"/>
          </w:tcPr>
          <w:p w14:paraId="642C4EF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0.6807</w:t>
            </w:r>
          </w:p>
        </w:tc>
      </w:tr>
      <w:tr w14:paraId="6D78702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D6B574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1.5 </w:t>
            </w:r>
          </w:p>
        </w:tc>
        <w:tc>
          <w:tcPr>
            <w:tcW w:w="1098" w:type="dxa"/>
            <w:shd w:val="clear" w:color="auto" w:fill="auto"/>
            <w:noWrap/>
            <w:vAlign w:val="center"/>
          </w:tcPr>
          <w:p w14:paraId="6A0105E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1.1033</w:t>
            </w:r>
          </w:p>
        </w:tc>
        <w:tc>
          <w:tcPr>
            <w:tcW w:w="1253" w:type="dxa"/>
            <w:shd w:val="clear" w:color="auto" w:fill="auto"/>
            <w:noWrap/>
            <w:vAlign w:val="center"/>
          </w:tcPr>
          <w:p w14:paraId="444D56F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1.0668</w:t>
            </w:r>
          </w:p>
        </w:tc>
        <w:tc>
          <w:tcPr>
            <w:tcW w:w="1253" w:type="dxa"/>
            <w:shd w:val="clear" w:color="auto" w:fill="auto"/>
            <w:noWrap/>
            <w:vAlign w:val="center"/>
          </w:tcPr>
          <w:p w14:paraId="660D79C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1179" w:type="dxa"/>
            <w:shd w:val="clear" w:color="auto" w:fill="auto"/>
            <w:vAlign w:val="center"/>
          </w:tcPr>
          <w:p w14:paraId="2E0678E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6.0 </w:t>
            </w:r>
          </w:p>
        </w:tc>
        <w:tc>
          <w:tcPr>
            <w:tcW w:w="979" w:type="dxa"/>
            <w:shd w:val="clear" w:color="auto" w:fill="auto"/>
            <w:noWrap/>
            <w:vAlign w:val="center"/>
          </w:tcPr>
          <w:p w14:paraId="4959F29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0.8907</w:t>
            </w:r>
          </w:p>
        </w:tc>
        <w:tc>
          <w:tcPr>
            <w:tcW w:w="1179" w:type="dxa"/>
            <w:shd w:val="clear" w:color="auto" w:fill="auto"/>
            <w:noWrap/>
            <w:vAlign w:val="center"/>
          </w:tcPr>
          <w:p w14:paraId="1ABB6FA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0.8279</w:t>
            </w:r>
          </w:p>
        </w:tc>
        <w:tc>
          <w:tcPr>
            <w:tcW w:w="1179" w:type="dxa"/>
            <w:shd w:val="clear" w:color="auto" w:fill="auto"/>
            <w:noWrap/>
            <w:vAlign w:val="center"/>
          </w:tcPr>
          <w:p w14:paraId="23B8393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0.6784</w:t>
            </w:r>
          </w:p>
        </w:tc>
      </w:tr>
      <w:tr w14:paraId="61989D7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073CC0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1.6 </w:t>
            </w:r>
          </w:p>
        </w:tc>
        <w:tc>
          <w:tcPr>
            <w:tcW w:w="1098" w:type="dxa"/>
            <w:shd w:val="clear" w:color="auto" w:fill="auto"/>
            <w:noWrap/>
            <w:vAlign w:val="center"/>
          </w:tcPr>
          <w:p w14:paraId="3567218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1.0899</w:t>
            </w:r>
          </w:p>
        </w:tc>
        <w:tc>
          <w:tcPr>
            <w:tcW w:w="1253" w:type="dxa"/>
            <w:shd w:val="clear" w:color="auto" w:fill="auto"/>
            <w:noWrap/>
            <w:vAlign w:val="center"/>
          </w:tcPr>
          <w:p w14:paraId="507F057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1.0517</w:t>
            </w:r>
          </w:p>
        </w:tc>
        <w:tc>
          <w:tcPr>
            <w:tcW w:w="1253" w:type="dxa"/>
            <w:shd w:val="clear" w:color="auto" w:fill="auto"/>
            <w:noWrap/>
            <w:vAlign w:val="center"/>
          </w:tcPr>
          <w:p w14:paraId="3401D8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0.9799</w:t>
            </w:r>
          </w:p>
        </w:tc>
        <w:tc>
          <w:tcPr>
            <w:tcW w:w="1179" w:type="dxa"/>
            <w:shd w:val="clear" w:color="auto" w:fill="auto"/>
            <w:vAlign w:val="center"/>
          </w:tcPr>
          <w:p w14:paraId="45D52BD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6.1 </w:t>
            </w:r>
          </w:p>
        </w:tc>
        <w:tc>
          <w:tcPr>
            <w:tcW w:w="979" w:type="dxa"/>
            <w:shd w:val="clear" w:color="auto" w:fill="auto"/>
            <w:noWrap/>
            <w:vAlign w:val="center"/>
          </w:tcPr>
          <w:p w14:paraId="1E00A8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0.889</w:t>
            </w:r>
          </w:p>
        </w:tc>
        <w:tc>
          <w:tcPr>
            <w:tcW w:w="1179" w:type="dxa"/>
            <w:shd w:val="clear" w:color="auto" w:fill="auto"/>
            <w:noWrap/>
            <w:vAlign w:val="center"/>
          </w:tcPr>
          <w:p w14:paraId="1A41DAD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0.8259</w:t>
            </w:r>
          </w:p>
        </w:tc>
        <w:tc>
          <w:tcPr>
            <w:tcW w:w="1179" w:type="dxa"/>
            <w:shd w:val="clear" w:color="auto" w:fill="auto"/>
            <w:noWrap/>
            <w:vAlign w:val="center"/>
          </w:tcPr>
          <w:p w14:paraId="6B74241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0.676</w:t>
            </w:r>
          </w:p>
        </w:tc>
      </w:tr>
      <w:tr w14:paraId="444D158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6DD5FF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1.7 </w:t>
            </w:r>
          </w:p>
        </w:tc>
        <w:tc>
          <w:tcPr>
            <w:tcW w:w="1098" w:type="dxa"/>
            <w:shd w:val="clear" w:color="auto" w:fill="auto"/>
            <w:noWrap/>
            <w:vAlign w:val="center"/>
          </w:tcPr>
          <w:p w14:paraId="65B6F44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1.0772</w:t>
            </w:r>
          </w:p>
        </w:tc>
        <w:tc>
          <w:tcPr>
            <w:tcW w:w="1253" w:type="dxa"/>
            <w:shd w:val="clear" w:color="auto" w:fill="auto"/>
            <w:noWrap/>
            <w:vAlign w:val="center"/>
          </w:tcPr>
          <w:p w14:paraId="36C6ED9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1.0376</w:t>
            </w:r>
          </w:p>
        </w:tc>
        <w:tc>
          <w:tcPr>
            <w:tcW w:w="1253" w:type="dxa"/>
            <w:shd w:val="clear" w:color="auto" w:fill="auto"/>
            <w:noWrap/>
            <w:vAlign w:val="center"/>
          </w:tcPr>
          <w:p w14:paraId="0895758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0.9609</w:t>
            </w:r>
          </w:p>
        </w:tc>
        <w:tc>
          <w:tcPr>
            <w:tcW w:w="1179" w:type="dxa"/>
            <w:shd w:val="clear" w:color="auto" w:fill="auto"/>
            <w:vAlign w:val="center"/>
          </w:tcPr>
          <w:p w14:paraId="68C9797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6.2 </w:t>
            </w:r>
          </w:p>
        </w:tc>
        <w:tc>
          <w:tcPr>
            <w:tcW w:w="979" w:type="dxa"/>
            <w:shd w:val="clear" w:color="auto" w:fill="auto"/>
            <w:noWrap/>
            <w:vAlign w:val="center"/>
          </w:tcPr>
          <w:p w14:paraId="14453B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0.8873</w:t>
            </w:r>
          </w:p>
        </w:tc>
        <w:tc>
          <w:tcPr>
            <w:tcW w:w="1179" w:type="dxa"/>
            <w:shd w:val="clear" w:color="auto" w:fill="auto"/>
            <w:noWrap/>
            <w:vAlign w:val="center"/>
          </w:tcPr>
          <w:p w14:paraId="3F0FEC5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0.8239</w:t>
            </w:r>
          </w:p>
        </w:tc>
        <w:tc>
          <w:tcPr>
            <w:tcW w:w="1179" w:type="dxa"/>
            <w:shd w:val="clear" w:color="auto" w:fill="auto"/>
            <w:noWrap/>
            <w:vAlign w:val="center"/>
          </w:tcPr>
          <w:p w14:paraId="60EB775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0.6736</w:t>
            </w:r>
          </w:p>
        </w:tc>
      </w:tr>
      <w:tr w14:paraId="2B62F17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C3E966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1.8 </w:t>
            </w:r>
          </w:p>
        </w:tc>
        <w:tc>
          <w:tcPr>
            <w:tcW w:w="1098" w:type="dxa"/>
            <w:shd w:val="clear" w:color="auto" w:fill="auto"/>
            <w:noWrap/>
            <w:vAlign w:val="center"/>
          </w:tcPr>
          <w:p w14:paraId="681C00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1.0653</w:t>
            </w:r>
          </w:p>
        </w:tc>
        <w:tc>
          <w:tcPr>
            <w:tcW w:w="1253" w:type="dxa"/>
            <w:shd w:val="clear" w:color="auto" w:fill="auto"/>
            <w:noWrap/>
            <w:vAlign w:val="center"/>
          </w:tcPr>
          <w:p w14:paraId="155F16D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1.0243</w:t>
            </w:r>
          </w:p>
        </w:tc>
        <w:tc>
          <w:tcPr>
            <w:tcW w:w="1253" w:type="dxa"/>
            <w:shd w:val="clear" w:color="auto" w:fill="auto"/>
            <w:noWrap/>
            <w:vAlign w:val="center"/>
          </w:tcPr>
          <w:p w14:paraId="7BFC3E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0.943</w:t>
            </w:r>
          </w:p>
        </w:tc>
        <w:tc>
          <w:tcPr>
            <w:tcW w:w="1179" w:type="dxa"/>
            <w:shd w:val="clear" w:color="auto" w:fill="auto"/>
            <w:vAlign w:val="center"/>
          </w:tcPr>
          <w:p w14:paraId="1709B75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6.3 </w:t>
            </w:r>
          </w:p>
        </w:tc>
        <w:tc>
          <w:tcPr>
            <w:tcW w:w="979" w:type="dxa"/>
            <w:shd w:val="clear" w:color="auto" w:fill="auto"/>
            <w:noWrap/>
            <w:vAlign w:val="center"/>
          </w:tcPr>
          <w:p w14:paraId="6ACC7F5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0.8856</w:t>
            </w:r>
          </w:p>
        </w:tc>
        <w:tc>
          <w:tcPr>
            <w:tcW w:w="1179" w:type="dxa"/>
            <w:shd w:val="clear" w:color="auto" w:fill="auto"/>
            <w:noWrap/>
            <w:vAlign w:val="center"/>
          </w:tcPr>
          <w:p w14:paraId="423F1A6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0.8219</w:t>
            </w:r>
          </w:p>
        </w:tc>
        <w:tc>
          <w:tcPr>
            <w:tcW w:w="1179" w:type="dxa"/>
            <w:shd w:val="clear" w:color="auto" w:fill="auto"/>
            <w:noWrap/>
            <w:vAlign w:val="center"/>
          </w:tcPr>
          <w:p w14:paraId="09E4D8E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0.6713</w:t>
            </w:r>
          </w:p>
        </w:tc>
      </w:tr>
      <w:tr w14:paraId="09D16D7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DD51A6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1.9 </w:t>
            </w:r>
          </w:p>
        </w:tc>
        <w:tc>
          <w:tcPr>
            <w:tcW w:w="1098" w:type="dxa"/>
            <w:shd w:val="clear" w:color="auto" w:fill="auto"/>
            <w:noWrap/>
            <w:vAlign w:val="center"/>
          </w:tcPr>
          <w:p w14:paraId="4362842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1.054</w:t>
            </w:r>
          </w:p>
        </w:tc>
        <w:tc>
          <w:tcPr>
            <w:tcW w:w="1253" w:type="dxa"/>
            <w:shd w:val="clear" w:color="auto" w:fill="auto"/>
            <w:noWrap/>
            <w:vAlign w:val="center"/>
          </w:tcPr>
          <w:p w14:paraId="3575E3B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1.0118</w:t>
            </w:r>
          </w:p>
        </w:tc>
        <w:tc>
          <w:tcPr>
            <w:tcW w:w="1253" w:type="dxa"/>
            <w:shd w:val="clear" w:color="auto" w:fill="auto"/>
            <w:noWrap/>
            <w:vAlign w:val="center"/>
          </w:tcPr>
          <w:p w14:paraId="06AD481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0.9262</w:t>
            </w:r>
          </w:p>
        </w:tc>
        <w:tc>
          <w:tcPr>
            <w:tcW w:w="1179" w:type="dxa"/>
            <w:shd w:val="clear" w:color="auto" w:fill="auto"/>
            <w:vAlign w:val="center"/>
          </w:tcPr>
          <w:p w14:paraId="40B22ED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6.4 </w:t>
            </w:r>
          </w:p>
        </w:tc>
        <w:tc>
          <w:tcPr>
            <w:tcW w:w="979" w:type="dxa"/>
            <w:shd w:val="clear" w:color="auto" w:fill="auto"/>
            <w:noWrap/>
            <w:vAlign w:val="center"/>
          </w:tcPr>
          <w:p w14:paraId="0EBC655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0.8839</w:t>
            </w:r>
          </w:p>
        </w:tc>
        <w:tc>
          <w:tcPr>
            <w:tcW w:w="1179" w:type="dxa"/>
            <w:shd w:val="clear" w:color="auto" w:fill="auto"/>
            <w:noWrap/>
            <w:vAlign w:val="center"/>
          </w:tcPr>
          <w:p w14:paraId="6C89B0D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w:t>
            </w:r>
          </w:p>
        </w:tc>
        <w:tc>
          <w:tcPr>
            <w:tcW w:w="1179" w:type="dxa"/>
            <w:shd w:val="clear" w:color="auto" w:fill="auto"/>
            <w:noWrap/>
            <w:vAlign w:val="center"/>
          </w:tcPr>
          <w:p w14:paraId="7953402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0.6689</w:t>
            </w:r>
          </w:p>
        </w:tc>
      </w:tr>
      <w:tr w14:paraId="2E49B8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262335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2.0 </w:t>
            </w:r>
          </w:p>
        </w:tc>
        <w:tc>
          <w:tcPr>
            <w:tcW w:w="1098" w:type="dxa"/>
            <w:shd w:val="clear" w:color="auto" w:fill="auto"/>
            <w:noWrap/>
            <w:vAlign w:val="center"/>
          </w:tcPr>
          <w:p w14:paraId="4C58962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1.0435</w:t>
            </w:r>
          </w:p>
        </w:tc>
        <w:tc>
          <w:tcPr>
            <w:tcW w:w="1253" w:type="dxa"/>
            <w:shd w:val="clear" w:color="auto" w:fill="auto"/>
            <w:noWrap/>
            <w:vAlign w:val="center"/>
          </w:tcPr>
          <w:p w14:paraId="7D843DA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1253" w:type="dxa"/>
            <w:shd w:val="clear" w:color="auto" w:fill="auto"/>
            <w:noWrap/>
            <w:vAlign w:val="center"/>
          </w:tcPr>
          <w:p w14:paraId="553F70A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0.9103</w:t>
            </w:r>
          </w:p>
        </w:tc>
        <w:tc>
          <w:tcPr>
            <w:tcW w:w="1179" w:type="dxa"/>
            <w:shd w:val="clear" w:color="auto" w:fill="auto"/>
            <w:vAlign w:val="center"/>
          </w:tcPr>
          <w:p w14:paraId="7DD1060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6.5 </w:t>
            </w:r>
          </w:p>
        </w:tc>
        <w:tc>
          <w:tcPr>
            <w:tcW w:w="979" w:type="dxa"/>
            <w:shd w:val="clear" w:color="auto" w:fill="auto"/>
            <w:noWrap/>
            <w:vAlign w:val="center"/>
          </w:tcPr>
          <w:p w14:paraId="56E18BE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0.8823</w:t>
            </w:r>
          </w:p>
        </w:tc>
        <w:tc>
          <w:tcPr>
            <w:tcW w:w="1179" w:type="dxa"/>
            <w:shd w:val="clear" w:color="auto" w:fill="auto"/>
            <w:noWrap/>
            <w:vAlign w:val="center"/>
          </w:tcPr>
          <w:p w14:paraId="25C0972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0.8181</w:t>
            </w:r>
          </w:p>
        </w:tc>
        <w:tc>
          <w:tcPr>
            <w:tcW w:w="1179" w:type="dxa"/>
            <w:shd w:val="clear" w:color="auto" w:fill="auto"/>
            <w:noWrap/>
            <w:vAlign w:val="center"/>
          </w:tcPr>
          <w:p w14:paraId="6873672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0.6666</w:t>
            </w:r>
          </w:p>
        </w:tc>
      </w:tr>
      <w:tr w14:paraId="4D2B98C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D3FDA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2.1 </w:t>
            </w:r>
          </w:p>
        </w:tc>
        <w:tc>
          <w:tcPr>
            <w:tcW w:w="1098" w:type="dxa"/>
            <w:shd w:val="clear" w:color="auto" w:fill="auto"/>
            <w:noWrap/>
            <w:vAlign w:val="center"/>
          </w:tcPr>
          <w:p w14:paraId="75B4563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1.0336</w:t>
            </w:r>
          </w:p>
        </w:tc>
        <w:tc>
          <w:tcPr>
            <w:tcW w:w="1253" w:type="dxa"/>
            <w:shd w:val="clear" w:color="auto" w:fill="auto"/>
            <w:noWrap/>
            <w:vAlign w:val="center"/>
          </w:tcPr>
          <w:p w14:paraId="225D61F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0.989</w:t>
            </w:r>
          </w:p>
        </w:tc>
        <w:tc>
          <w:tcPr>
            <w:tcW w:w="1253" w:type="dxa"/>
            <w:shd w:val="clear" w:color="auto" w:fill="auto"/>
            <w:noWrap/>
            <w:vAlign w:val="center"/>
          </w:tcPr>
          <w:p w14:paraId="7384FC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0.8954</w:t>
            </w:r>
          </w:p>
        </w:tc>
        <w:tc>
          <w:tcPr>
            <w:tcW w:w="1179" w:type="dxa"/>
            <w:shd w:val="clear" w:color="auto" w:fill="auto"/>
            <w:vAlign w:val="center"/>
          </w:tcPr>
          <w:p w14:paraId="4FCE1F2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6.6 </w:t>
            </w:r>
          </w:p>
        </w:tc>
        <w:tc>
          <w:tcPr>
            <w:tcW w:w="979" w:type="dxa"/>
            <w:shd w:val="clear" w:color="auto" w:fill="auto"/>
            <w:noWrap/>
            <w:vAlign w:val="center"/>
          </w:tcPr>
          <w:p w14:paraId="318F12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0.8807</w:t>
            </w:r>
          </w:p>
        </w:tc>
        <w:tc>
          <w:tcPr>
            <w:tcW w:w="1179" w:type="dxa"/>
            <w:shd w:val="clear" w:color="auto" w:fill="auto"/>
            <w:noWrap/>
            <w:vAlign w:val="center"/>
          </w:tcPr>
          <w:p w14:paraId="58BF32E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0.8162</w:t>
            </w:r>
          </w:p>
        </w:tc>
        <w:tc>
          <w:tcPr>
            <w:tcW w:w="1179" w:type="dxa"/>
            <w:shd w:val="clear" w:color="auto" w:fill="auto"/>
            <w:noWrap/>
            <w:vAlign w:val="center"/>
          </w:tcPr>
          <w:p w14:paraId="3A11851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0.6644</w:t>
            </w:r>
          </w:p>
        </w:tc>
      </w:tr>
      <w:tr w14:paraId="0F23E90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C90C07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2.2 </w:t>
            </w:r>
          </w:p>
        </w:tc>
        <w:tc>
          <w:tcPr>
            <w:tcW w:w="1098" w:type="dxa"/>
            <w:shd w:val="clear" w:color="auto" w:fill="auto"/>
            <w:noWrap/>
            <w:vAlign w:val="center"/>
          </w:tcPr>
          <w:p w14:paraId="78347B9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1.0243</w:t>
            </w:r>
          </w:p>
        </w:tc>
        <w:tc>
          <w:tcPr>
            <w:tcW w:w="1253" w:type="dxa"/>
            <w:shd w:val="clear" w:color="auto" w:fill="auto"/>
            <w:noWrap/>
            <w:vAlign w:val="center"/>
          </w:tcPr>
          <w:p w14:paraId="1075E1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0.9786</w:t>
            </w:r>
          </w:p>
        </w:tc>
        <w:tc>
          <w:tcPr>
            <w:tcW w:w="1253" w:type="dxa"/>
            <w:shd w:val="clear" w:color="auto" w:fill="auto"/>
            <w:noWrap/>
            <w:vAlign w:val="center"/>
          </w:tcPr>
          <w:p w14:paraId="155D1FD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0.8814</w:t>
            </w:r>
          </w:p>
        </w:tc>
        <w:tc>
          <w:tcPr>
            <w:tcW w:w="1179" w:type="dxa"/>
            <w:shd w:val="clear" w:color="auto" w:fill="auto"/>
            <w:vAlign w:val="center"/>
          </w:tcPr>
          <w:p w14:paraId="309AA8B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6.7 </w:t>
            </w:r>
          </w:p>
        </w:tc>
        <w:tc>
          <w:tcPr>
            <w:tcW w:w="979" w:type="dxa"/>
            <w:shd w:val="clear" w:color="auto" w:fill="auto"/>
            <w:noWrap/>
            <w:vAlign w:val="center"/>
          </w:tcPr>
          <w:p w14:paraId="384622E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0.879</w:t>
            </w:r>
          </w:p>
        </w:tc>
        <w:tc>
          <w:tcPr>
            <w:tcW w:w="1179" w:type="dxa"/>
            <w:shd w:val="clear" w:color="auto" w:fill="auto"/>
            <w:noWrap/>
            <w:vAlign w:val="center"/>
          </w:tcPr>
          <w:p w14:paraId="75B5F6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0.8143</w:t>
            </w:r>
          </w:p>
        </w:tc>
        <w:tc>
          <w:tcPr>
            <w:tcW w:w="1179" w:type="dxa"/>
            <w:shd w:val="clear" w:color="auto" w:fill="auto"/>
            <w:noWrap/>
            <w:vAlign w:val="center"/>
          </w:tcPr>
          <w:p w14:paraId="60B4B22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0.6621</w:t>
            </w:r>
          </w:p>
        </w:tc>
      </w:tr>
      <w:tr w14:paraId="1ECD174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FAF570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2.3 </w:t>
            </w:r>
          </w:p>
        </w:tc>
        <w:tc>
          <w:tcPr>
            <w:tcW w:w="1098" w:type="dxa"/>
            <w:shd w:val="clear" w:color="auto" w:fill="auto"/>
            <w:noWrap/>
            <w:vAlign w:val="center"/>
          </w:tcPr>
          <w:p w14:paraId="34A9BAA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1.0157</w:t>
            </w:r>
          </w:p>
        </w:tc>
        <w:tc>
          <w:tcPr>
            <w:tcW w:w="1253" w:type="dxa"/>
            <w:shd w:val="clear" w:color="auto" w:fill="auto"/>
            <w:noWrap/>
            <w:vAlign w:val="center"/>
          </w:tcPr>
          <w:p w14:paraId="6E6B355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0.9689</w:t>
            </w:r>
          </w:p>
        </w:tc>
        <w:tc>
          <w:tcPr>
            <w:tcW w:w="1253" w:type="dxa"/>
            <w:shd w:val="clear" w:color="auto" w:fill="auto"/>
            <w:noWrap/>
            <w:vAlign w:val="center"/>
          </w:tcPr>
          <w:p w14:paraId="21E966A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0.8682</w:t>
            </w:r>
          </w:p>
        </w:tc>
        <w:tc>
          <w:tcPr>
            <w:tcW w:w="1179" w:type="dxa"/>
            <w:shd w:val="clear" w:color="auto" w:fill="auto"/>
            <w:vAlign w:val="center"/>
          </w:tcPr>
          <w:p w14:paraId="1213E2D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6.8 </w:t>
            </w:r>
          </w:p>
        </w:tc>
        <w:tc>
          <w:tcPr>
            <w:tcW w:w="979" w:type="dxa"/>
            <w:shd w:val="clear" w:color="auto" w:fill="auto"/>
            <w:noWrap/>
            <w:vAlign w:val="center"/>
          </w:tcPr>
          <w:p w14:paraId="1FF1571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0.8774</w:t>
            </w:r>
          </w:p>
        </w:tc>
        <w:tc>
          <w:tcPr>
            <w:tcW w:w="1179" w:type="dxa"/>
            <w:shd w:val="clear" w:color="auto" w:fill="auto"/>
            <w:noWrap/>
            <w:vAlign w:val="center"/>
          </w:tcPr>
          <w:p w14:paraId="08A6440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0.8124</w:t>
            </w:r>
          </w:p>
        </w:tc>
        <w:tc>
          <w:tcPr>
            <w:tcW w:w="1179" w:type="dxa"/>
            <w:shd w:val="clear" w:color="auto" w:fill="auto"/>
            <w:noWrap/>
            <w:vAlign w:val="center"/>
          </w:tcPr>
          <w:p w14:paraId="6D8B948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0.6598</w:t>
            </w:r>
          </w:p>
        </w:tc>
      </w:tr>
      <w:tr w14:paraId="67AEB49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D02760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2.4 </w:t>
            </w:r>
          </w:p>
        </w:tc>
        <w:tc>
          <w:tcPr>
            <w:tcW w:w="1098" w:type="dxa"/>
            <w:shd w:val="clear" w:color="auto" w:fill="auto"/>
            <w:noWrap/>
            <w:vAlign w:val="center"/>
          </w:tcPr>
          <w:p w14:paraId="2276BAB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1.0076</w:t>
            </w:r>
          </w:p>
        </w:tc>
        <w:tc>
          <w:tcPr>
            <w:tcW w:w="1253" w:type="dxa"/>
            <w:shd w:val="clear" w:color="auto" w:fill="auto"/>
            <w:noWrap/>
            <w:vAlign w:val="center"/>
          </w:tcPr>
          <w:p w14:paraId="3FE5E5F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0.9598</w:t>
            </w:r>
          </w:p>
        </w:tc>
        <w:tc>
          <w:tcPr>
            <w:tcW w:w="1253" w:type="dxa"/>
            <w:shd w:val="clear" w:color="auto" w:fill="auto"/>
            <w:noWrap/>
            <w:vAlign w:val="center"/>
          </w:tcPr>
          <w:p w14:paraId="71B3BB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0.8558</w:t>
            </w:r>
          </w:p>
        </w:tc>
        <w:tc>
          <w:tcPr>
            <w:tcW w:w="1179" w:type="dxa"/>
            <w:shd w:val="clear" w:color="auto" w:fill="auto"/>
            <w:vAlign w:val="center"/>
          </w:tcPr>
          <w:p w14:paraId="173D375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6.9 </w:t>
            </w:r>
          </w:p>
        </w:tc>
        <w:tc>
          <w:tcPr>
            <w:tcW w:w="979" w:type="dxa"/>
            <w:shd w:val="clear" w:color="auto" w:fill="auto"/>
            <w:noWrap/>
            <w:vAlign w:val="center"/>
          </w:tcPr>
          <w:p w14:paraId="22818A2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0.8758</w:t>
            </w:r>
          </w:p>
        </w:tc>
        <w:tc>
          <w:tcPr>
            <w:tcW w:w="1179" w:type="dxa"/>
            <w:shd w:val="clear" w:color="auto" w:fill="auto"/>
            <w:noWrap/>
            <w:vAlign w:val="center"/>
          </w:tcPr>
          <w:p w14:paraId="5E9EE4A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0.8105</w:t>
            </w:r>
          </w:p>
        </w:tc>
        <w:tc>
          <w:tcPr>
            <w:tcW w:w="1179" w:type="dxa"/>
            <w:shd w:val="clear" w:color="auto" w:fill="auto"/>
            <w:noWrap/>
            <w:vAlign w:val="center"/>
          </w:tcPr>
          <w:p w14:paraId="10B76B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0.6575</w:t>
            </w:r>
          </w:p>
        </w:tc>
      </w:tr>
      <w:tr w14:paraId="500377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452018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2.5 </w:t>
            </w:r>
          </w:p>
        </w:tc>
        <w:tc>
          <w:tcPr>
            <w:tcW w:w="1098" w:type="dxa"/>
            <w:shd w:val="clear" w:color="auto" w:fill="auto"/>
            <w:noWrap/>
            <w:vAlign w:val="center"/>
          </w:tcPr>
          <w:p w14:paraId="4910A21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1</w:t>
            </w:r>
          </w:p>
        </w:tc>
        <w:tc>
          <w:tcPr>
            <w:tcW w:w="1253" w:type="dxa"/>
            <w:shd w:val="clear" w:color="auto" w:fill="auto"/>
            <w:noWrap/>
            <w:vAlign w:val="center"/>
          </w:tcPr>
          <w:p w14:paraId="1E27C36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0.9512</w:t>
            </w:r>
          </w:p>
        </w:tc>
        <w:tc>
          <w:tcPr>
            <w:tcW w:w="1253" w:type="dxa"/>
            <w:shd w:val="clear" w:color="auto" w:fill="auto"/>
            <w:noWrap/>
            <w:vAlign w:val="center"/>
          </w:tcPr>
          <w:p w14:paraId="767FCE8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0.8442</w:t>
            </w:r>
          </w:p>
        </w:tc>
        <w:tc>
          <w:tcPr>
            <w:tcW w:w="1179" w:type="dxa"/>
            <w:shd w:val="clear" w:color="auto" w:fill="auto"/>
            <w:vAlign w:val="center"/>
          </w:tcPr>
          <w:p w14:paraId="202242B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7.0 </w:t>
            </w:r>
          </w:p>
        </w:tc>
        <w:tc>
          <w:tcPr>
            <w:tcW w:w="979" w:type="dxa"/>
            <w:shd w:val="clear" w:color="auto" w:fill="auto"/>
            <w:noWrap/>
            <w:vAlign w:val="center"/>
          </w:tcPr>
          <w:p w14:paraId="5D67540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0.8742</w:t>
            </w:r>
          </w:p>
        </w:tc>
        <w:tc>
          <w:tcPr>
            <w:tcW w:w="1179" w:type="dxa"/>
            <w:shd w:val="clear" w:color="auto" w:fill="auto"/>
            <w:noWrap/>
            <w:vAlign w:val="center"/>
          </w:tcPr>
          <w:p w14:paraId="60107F8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0.8087</w:t>
            </w:r>
          </w:p>
        </w:tc>
        <w:tc>
          <w:tcPr>
            <w:tcW w:w="1179" w:type="dxa"/>
            <w:shd w:val="clear" w:color="auto" w:fill="auto"/>
            <w:noWrap/>
            <w:vAlign w:val="center"/>
          </w:tcPr>
          <w:p w14:paraId="73F9C4E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0.6553</w:t>
            </w:r>
          </w:p>
        </w:tc>
      </w:tr>
      <w:tr w14:paraId="461FE5D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007BD8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2.6 </w:t>
            </w:r>
          </w:p>
        </w:tc>
        <w:tc>
          <w:tcPr>
            <w:tcW w:w="1098" w:type="dxa"/>
            <w:shd w:val="clear" w:color="auto" w:fill="auto"/>
            <w:noWrap/>
            <w:vAlign w:val="center"/>
          </w:tcPr>
          <w:p w14:paraId="33FF809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0.9929</w:t>
            </w:r>
          </w:p>
        </w:tc>
        <w:tc>
          <w:tcPr>
            <w:tcW w:w="1253" w:type="dxa"/>
            <w:shd w:val="clear" w:color="auto" w:fill="auto"/>
            <w:noWrap/>
            <w:vAlign w:val="center"/>
          </w:tcPr>
          <w:p w14:paraId="6BF628A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0.9432</w:t>
            </w:r>
          </w:p>
        </w:tc>
        <w:tc>
          <w:tcPr>
            <w:tcW w:w="1253" w:type="dxa"/>
            <w:shd w:val="clear" w:color="auto" w:fill="auto"/>
            <w:noWrap/>
            <w:vAlign w:val="center"/>
          </w:tcPr>
          <w:p w14:paraId="5D82872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0.8333</w:t>
            </w:r>
          </w:p>
        </w:tc>
        <w:tc>
          <w:tcPr>
            <w:tcW w:w="1179" w:type="dxa"/>
            <w:shd w:val="clear" w:color="auto" w:fill="auto"/>
            <w:vAlign w:val="center"/>
          </w:tcPr>
          <w:p w14:paraId="7387C00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7.1 </w:t>
            </w:r>
          </w:p>
        </w:tc>
        <w:tc>
          <w:tcPr>
            <w:tcW w:w="979" w:type="dxa"/>
            <w:shd w:val="clear" w:color="auto" w:fill="auto"/>
            <w:noWrap/>
            <w:vAlign w:val="center"/>
          </w:tcPr>
          <w:p w14:paraId="39DDC23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0.8727</w:t>
            </w:r>
          </w:p>
        </w:tc>
        <w:tc>
          <w:tcPr>
            <w:tcW w:w="1179" w:type="dxa"/>
            <w:shd w:val="clear" w:color="auto" w:fill="auto"/>
            <w:noWrap/>
            <w:vAlign w:val="center"/>
          </w:tcPr>
          <w:p w14:paraId="0B70F93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0.8069</w:t>
            </w:r>
          </w:p>
        </w:tc>
        <w:tc>
          <w:tcPr>
            <w:tcW w:w="1179" w:type="dxa"/>
            <w:shd w:val="clear" w:color="auto" w:fill="auto"/>
            <w:noWrap/>
            <w:vAlign w:val="center"/>
          </w:tcPr>
          <w:p w14:paraId="0815C47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0.6532</w:t>
            </w:r>
          </w:p>
        </w:tc>
      </w:tr>
      <w:tr w14:paraId="22DCB68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0C27C8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2.7 </w:t>
            </w:r>
          </w:p>
        </w:tc>
        <w:tc>
          <w:tcPr>
            <w:tcW w:w="1098" w:type="dxa"/>
            <w:shd w:val="clear" w:color="auto" w:fill="auto"/>
            <w:noWrap/>
            <w:vAlign w:val="center"/>
          </w:tcPr>
          <w:p w14:paraId="502FD25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0.9863</w:t>
            </w:r>
          </w:p>
        </w:tc>
        <w:tc>
          <w:tcPr>
            <w:tcW w:w="1253" w:type="dxa"/>
            <w:shd w:val="clear" w:color="auto" w:fill="auto"/>
            <w:noWrap/>
            <w:vAlign w:val="center"/>
          </w:tcPr>
          <w:p w14:paraId="55A5D74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0.9357</w:t>
            </w:r>
          </w:p>
        </w:tc>
        <w:tc>
          <w:tcPr>
            <w:tcW w:w="1253" w:type="dxa"/>
            <w:shd w:val="clear" w:color="auto" w:fill="auto"/>
            <w:noWrap/>
            <w:vAlign w:val="center"/>
          </w:tcPr>
          <w:p w14:paraId="5641BAE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0.8232</w:t>
            </w:r>
          </w:p>
        </w:tc>
        <w:tc>
          <w:tcPr>
            <w:tcW w:w="1179" w:type="dxa"/>
            <w:shd w:val="clear" w:color="auto" w:fill="auto"/>
            <w:vAlign w:val="center"/>
          </w:tcPr>
          <w:p w14:paraId="32AC1B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7.2 </w:t>
            </w:r>
          </w:p>
        </w:tc>
        <w:tc>
          <w:tcPr>
            <w:tcW w:w="979" w:type="dxa"/>
            <w:shd w:val="clear" w:color="auto" w:fill="auto"/>
            <w:noWrap/>
            <w:vAlign w:val="center"/>
          </w:tcPr>
          <w:p w14:paraId="0FA86A8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0.8712</w:t>
            </w:r>
          </w:p>
        </w:tc>
        <w:tc>
          <w:tcPr>
            <w:tcW w:w="1179" w:type="dxa"/>
            <w:shd w:val="clear" w:color="auto" w:fill="auto"/>
            <w:noWrap/>
            <w:vAlign w:val="center"/>
          </w:tcPr>
          <w:p w14:paraId="4B0A784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0.8051</w:t>
            </w:r>
          </w:p>
        </w:tc>
        <w:tc>
          <w:tcPr>
            <w:tcW w:w="1179" w:type="dxa"/>
            <w:shd w:val="clear" w:color="auto" w:fill="auto"/>
            <w:noWrap/>
            <w:vAlign w:val="center"/>
          </w:tcPr>
          <w:p w14:paraId="6BB53C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0.651</w:t>
            </w:r>
          </w:p>
        </w:tc>
      </w:tr>
      <w:tr w14:paraId="065996C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853667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2.8 </w:t>
            </w:r>
          </w:p>
        </w:tc>
        <w:tc>
          <w:tcPr>
            <w:tcW w:w="1098" w:type="dxa"/>
            <w:shd w:val="clear" w:color="auto" w:fill="auto"/>
            <w:noWrap/>
            <w:vAlign w:val="center"/>
          </w:tcPr>
          <w:p w14:paraId="028D80C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0.9801</w:t>
            </w:r>
          </w:p>
        </w:tc>
        <w:tc>
          <w:tcPr>
            <w:tcW w:w="1253" w:type="dxa"/>
            <w:shd w:val="clear" w:color="auto" w:fill="auto"/>
            <w:noWrap/>
            <w:vAlign w:val="center"/>
          </w:tcPr>
          <w:p w14:paraId="0992EF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0.9288</w:t>
            </w:r>
          </w:p>
        </w:tc>
        <w:tc>
          <w:tcPr>
            <w:tcW w:w="1253" w:type="dxa"/>
            <w:shd w:val="clear" w:color="auto" w:fill="auto"/>
            <w:noWrap/>
            <w:vAlign w:val="center"/>
          </w:tcPr>
          <w:p w14:paraId="64EB558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0.8136</w:t>
            </w:r>
          </w:p>
        </w:tc>
        <w:tc>
          <w:tcPr>
            <w:tcW w:w="1179" w:type="dxa"/>
            <w:shd w:val="clear" w:color="auto" w:fill="auto"/>
            <w:vAlign w:val="center"/>
          </w:tcPr>
          <w:p w14:paraId="333CAC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7.3 </w:t>
            </w:r>
          </w:p>
        </w:tc>
        <w:tc>
          <w:tcPr>
            <w:tcW w:w="979" w:type="dxa"/>
            <w:shd w:val="clear" w:color="auto" w:fill="auto"/>
            <w:noWrap/>
            <w:vAlign w:val="center"/>
          </w:tcPr>
          <w:p w14:paraId="39A1F42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0.8697</w:t>
            </w:r>
          </w:p>
        </w:tc>
        <w:tc>
          <w:tcPr>
            <w:tcW w:w="1179" w:type="dxa"/>
            <w:shd w:val="clear" w:color="auto" w:fill="auto"/>
            <w:noWrap/>
            <w:vAlign w:val="center"/>
          </w:tcPr>
          <w:p w14:paraId="152025D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0.8033</w:t>
            </w:r>
          </w:p>
        </w:tc>
        <w:tc>
          <w:tcPr>
            <w:tcW w:w="1179" w:type="dxa"/>
            <w:shd w:val="clear" w:color="auto" w:fill="auto"/>
            <w:noWrap/>
            <w:vAlign w:val="center"/>
          </w:tcPr>
          <w:p w14:paraId="0D580F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0.6488</w:t>
            </w:r>
          </w:p>
        </w:tc>
      </w:tr>
      <w:tr w14:paraId="470C288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5F9074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2.9 </w:t>
            </w:r>
          </w:p>
        </w:tc>
        <w:tc>
          <w:tcPr>
            <w:tcW w:w="1098" w:type="dxa"/>
            <w:shd w:val="clear" w:color="auto" w:fill="auto"/>
            <w:noWrap/>
            <w:vAlign w:val="center"/>
          </w:tcPr>
          <w:p w14:paraId="2D98621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0.9743</w:t>
            </w:r>
          </w:p>
        </w:tc>
        <w:tc>
          <w:tcPr>
            <w:tcW w:w="1253" w:type="dxa"/>
            <w:shd w:val="clear" w:color="auto" w:fill="auto"/>
            <w:noWrap/>
            <w:vAlign w:val="center"/>
          </w:tcPr>
          <w:p w14:paraId="49F7000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0.9222</w:t>
            </w:r>
          </w:p>
        </w:tc>
        <w:tc>
          <w:tcPr>
            <w:tcW w:w="1253" w:type="dxa"/>
            <w:shd w:val="clear" w:color="auto" w:fill="auto"/>
            <w:noWrap/>
            <w:vAlign w:val="center"/>
          </w:tcPr>
          <w:p w14:paraId="23C86B2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0.8046</w:t>
            </w:r>
          </w:p>
        </w:tc>
        <w:tc>
          <w:tcPr>
            <w:tcW w:w="1179" w:type="dxa"/>
            <w:shd w:val="clear" w:color="auto" w:fill="auto"/>
            <w:vAlign w:val="center"/>
          </w:tcPr>
          <w:p w14:paraId="5AC2840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7.4 </w:t>
            </w:r>
          </w:p>
        </w:tc>
        <w:tc>
          <w:tcPr>
            <w:tcW w:w="979" w:type="dxa"/>
            <w:shd w:val="clear" w:color="auto" w:fill="auto"/>
            <w:noWrap/>
            <w:vAlign w:val="center"/>
          </w:tcPr>
          <w:p w14:paraId="734F5BA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0.8682</w:t>
            </w:r>
          </w:p>
        </w:tc>
        <w:tc>
          <w:tcPr>
            <w:tcW w:w="1179" w:type="dxa"/>
            <w:shd w:val="clear" w:color="auto" w:fill="auto"/>
            <w:noWrap/>
            <w:vAlign w:val="center"/>
          </w:tcPr>
          <w:p w14:paraId="467CEDF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0.8015</w:t>
            </w:r>
          </w:p>
        </w:tc>
        <w:tc>
          <w:tcPr>
            <w:tcW w:w="1179" w:type="dxa"/>
            <w:shd w:val="clear" w:color="auto" w:fill="auto"/>
            <w:noWrap/>
            <w:vAlign w:val="center"/>
          </w:tcPr>
          <w:p w14:paraId="41C1E8C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0.6466</w:t>
            </w:r>
          </w:p>
        </w:tc>
      </w:tr>
      <w:tr w14:paraId="0A06099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87AD3A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3.0 </w:t>
            </w:r>
          </w:p>
        </w:tc>
        <w:tc>
          <w:tcPr>
            <w:tcW w:w="1098" w:type="dxa"/>
            <w:shd w:val="clear" w:color="auto" w:fill="auto"/>
            <w:noWrap/>
            <w:vAlign w:val="center"/>
          </w:tcPr>
          <w:p w14:paraId="5B15772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0.9689</w:t>
            </w:r>
          </w:p>
        </w:tc>
        <w:tc>
          <w:tcPr>
            <w:tcW w:w="1253" w:type="dxa"/>
            <w:shd w:val="clear" w:color="auto" w:fill="auto"/>
            <w:noWrap/>
            <w:vAlign w:val="center"/>
          </w:tcPr>
          <w:p w14:paraId="61888DF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0.9161</w:t>
            </w:r>
          </w:p>
        </w:tc>
        <w:tc>
          <w:tcPr>
            <w:tcW w:w="1253" w:type="dxa"/>
            <w:shd w:val="clear" w:color="auto" w:fill="auto"/>
            <w:noWrap/>
            <w:vAlign w:val="center"/>
          </w:tcPr>
          <w:p w14:paraId="4EBC5B6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0.7962</w:t>
            </w:r>
          </w:p>
        </w:tc>
        <w:tc>
          <w:tcPr>
            <w:tcW w:w="1179" w:type="dxa"/>
            <w:shd w:val="clear" w:color="auto" w:fill="auto"/>
            <w:vAlign w:val="center"/>
          </w:tcPr>
          <w:p w14:paraId="2B0AA01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7.5 </w:t>
            </w:r>
          </w:p>
        </w:tc>
        <w:tc>
          <w:tcPr>
            <w:tcW w:w="979" w:type="dxa"/>
            <w:shd w:val="clear" w:color="auto" w:fill="auto"/>
            <w:noWrap/>
            <w:vAlign w:val="center"/>
          </w:tcPr>
          <w:p w14:paraId="51AC2B8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0.8666</w:t>
            </w:r>
          </w:p>
        </w:tc>
        <w:tc>
          <w:tcPr>
            <w:tcW w:w="1179" w:type="dxa"/>
            <w:shd w:val="clear" w:color="auto" w:fill="auto"/>
            <w:noWrap/>
            <w:vAlign w:val="center"/>
          </w:tcPr>
          <w:p w14:paraId="550EDB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0.7997</w:t>
            </w:r>
          </w:p>
        </w:tc>
        <w:tc>
          <w:tcPr>
            <w:tcW w:w="1179" w:type="dxa"/>
            <w:shd w:val="clear" w:color="auto" w:fill="auto"/>
            <w:noWrap/>
            <w:vAlign w:val="center"/>
          </w:tcPr>
          <w:p w14:paraId="3605727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0.6445</w:t>
            </w:r>
          </w:p>
        </w:tc>
      </w:tr>
      <w:tr w14:paraId="1EDBF04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4AABA1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3.1 </w:t>
            </w:r>
          </w:p>
        </w:tc>
        <w:tc>
          <w:tcPr>
            <w:tcW w:w="1098" w:type="dxa"/>
            <w:shd w:val="clear" w:color="auto" w:fill="auto"/>
            <w:noWrap/>
            <w:vAlign w:val="center"/>
          </w:tcPr>
          <w:p w14:paraId="44B14B0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0.9639</w:t>
            </w:r>
          </w:p>
        </w:tc>
        <w:tc>
          <w:tcPr>
            <w:tcW w:w="1253" w:type="dxa"/>
            <w:shd w:val="clear" w:color="auto" w:fill="auto"/>
            <w:noWrap/>
            <w:vAlign w:val="center"/>
          </w:tcPr>
          <w:p w14:paraId="609873D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0.9104</w:t>
            </w:r>
          </w:p>
        </w:tc>
        <w:tc>
          <w:tcPr>
            <w:tcW w:w="1253" w:type="dxa"/>
            <w:shd w:val="clear" w:color="auto" w:fill="auto"/>
            <w:noWrap/>
            <w:vAlign w:val="center"/>
          </w:tcPr>
          <w:p w14:paraId="53A08AD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0.7883</w:t>
            </w:r>
          </w:p>
        </w:tc>
        <w:tc>
          <w:tcPr>
            <w:tcW w:w="1179" w:type="dxa"/>
            <w:shd w:val="clear" w:color="auto" w:fill="auto"/>
            <w:vAlign w:val="center"/>
          </w:tcPr>
          <w:p w14:paraId="50FC545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7.6</w:t>
            </w:r>
          </w:p>
        </w:tc>
        <w:tc>
          <w:tcPr>
            <w:tcW w:w="979" w:type="dxa"/>
            <w:shd w:val="clear" w:color="auto" w:fill="auto"/>
            <w:noWrap/>
            <w:vAlign w:val="center"/>
          </w:tcPr>
          <w:p w14:paraId="7B3C8A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0.8651</w:t>
            </w:r>
          </w:p>
        </w:tc>
        <w:tc>
          <w:tcPr>
            <w:tcW w:w="1179" w:type="dxa"/>
            <w:shd w:val="clear" w:color="auto" w:fill="auto"/>
            <w:noWrap/>
            <w:vAlign w:val="center"/>
          </w:tcPr>
          <w:p w14:paraId="5CA6150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0.798</w:t>
            </w:r>
          </w:p>
        </w:tc>
        <w:tc>
          <w:tcPr>
            <w:tcW w:w="1179" w:type="dxa"/>
            <w:shd w:val="clear" w:color="auto" w:fill="auto"/>
            <w:noWrap/>
            <w:vAlign w:val="center"/>
          </w:tcPr>
          <w:p w14:paraId="6A822B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0.6424</w:t>
            </w:r>
          </w:p>
        </w:tc>
      </w:tr>
      <w:tr w14:paraId="33ED598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69D8AB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3.2 </w:t>
            </w:r>
          </w:p>
        </w:tc>
        <w:tc>
          <w:tcPr>
            <w:tcW w:w="1098" w:type="dxa"/>
            <w:shd w:val="clear" w:color="auto" w:fill="auto"/>
            <w:noWrap/>
            <w:vAlign w:val="center"/>
          </w:tcPr>
          <w:p w14:paraId="14DF6DC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0.9593</w:t>
            </w:r>
          </w:p>
        </w:tc>
        <w:tc>
          <w:tcPr>
            <w:tcW w:w="1253" w:type="dxa"/>
            <w:shd w:val="clear" w:color="auto" w:fill="auto"/>
            <w:noWrap/>
            <w:vAlign w:val="center"/>
          </w:tcPr>
          <w:p w14:paraId="5A83BA0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0.9052</w:t>
            </w:r>
          </w:p>
        </w:tc>
        <w:tc>
          <w:tcPr>
            <w:tcW w:w="1253" w:type="dxa"/>
            <w:shd w:val="clear" w:color="auto" w:fill="auto"/>
            <w:noWrap/>
            <w:vAlign w:val="center"/>
          </w:tcPr>
          <w:p w14:paraId="0A84314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0.7809</w:t>
            </w:r>
          </w:p>
        </w:tc>
        <w:tc>
          <w:tcPr>
            <w:tcW w:w="1179" w:type="dxa"/>
            <w:shd w:val="clear" w:color="auto" w:fill="auto"/>
            <w:vAlign w:val="center"/>
          </w:tcPr>
          <w:p w14:paraId="0C63340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7.7 </w:t>
            </w:r>
          </w:p>
        </w:tc>
        <w:tc>
          <w:tcPr>
            <w:tcW w:w="979" w:type="dxa"/>
            <w:shd w:val="clear" w:color="auto" w:fill="auto"/>
            <w:noWrap/>
            <w:vAlign w:val="center"/>
          </w:tcPr>
          <w:p w14:paraId="54CEE19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0.8637</w:t>
            </w:r>
          </w:p>
        </w:tc>
        <w:tc>
          <w:tcPr>
            <w:tcW w:w="1179" w:type="dxa"/>
            <w:shd w:val="clear" w:color="auto" w:fill="auto"/>
            <w:noWrap/>
            <w:vAlign w:val="center"/>
          </w:tcPr>
          <w:p w14:paraId="1FB0D51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0.7963</w:t>
            </w:r>
          </w:p>
        </w:tc>
        <w:tc>
          <w:tcPr>
            <w:tcW w:w="1179" w:type="dxa"/>
            <w:shd w:val="clear" w:color="auto" w:fill="auto"/>
            <w:noWrap/>
            <w:vAlign w:val="center"/>
          </w:tcPr>
          <w:p w14:paraId="5DEBA38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0.6403</w:t>
            </w:r>
          </w:p>
        </w:tc>
      </w:tr>
      <w:tr w14:paraId="6A83F08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3390173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3.3 </w:t>
            </w:r>
          </w:p>
        </w:tc>
        <w:tc>
          <w:tcPr>
            <w:tcW w:w="1098" w:type="dxa"/>
            <w:shd w:val="clear" w:color="auto" w:fill="auto"/>
            <w:noWrap/>
            <w:vAlign w:val="center"/>
          </w:tcPr>
          <w:p w14:paraId="39D8436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0.9549</w:t>
            </w:r>
          </w:p>
        </w:tc>
        <w:tc>
          <w:tcPr>
            <w:tcW w:w="1253" w:type="dxa"/>
            <w:shd w:val="clear" w:color="auto" w:fill="auto"/>
            <w:noWrap/>
            <w:vAlign w:val="center"/>
          </w:tcPr>
          <w:p w14:paraId="389F4BE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0.9002</w:t>
            </w:r>
          </w:p>
        </w:tc>
        <w:tc>
          <w:tcPr>
            <w:tcW w:w="1253" w:type="dxa"/>
            <w:shd w:val="clear" w:color="auto" w:fill="auto"/>
            <w:noWrap/>
            <w:vAlign w:val="center"/>
          </w:tcPr>
          <w:p w14:paraId="52304D5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0.7741</w:t>
            </w:r>
          </w:p>
        </w:tc>
        <w:tc>
          <w:tcPr>
            <w:tcW w:w="1179" w:type="dxa"/>
            <w:shd w:val="clear" w:color="auto" w:fill="auto"/>
            <w:vAlign w:val="center"/>
          </w:tcPr>
          <w:p w14:paraId="2214BE3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7.8 </w:t>
            </w:r>
          </w:p>
        </w:tc>
        <w:tc>
          <w:tcPr>
            <w:tcW w:w="979" w:type="dxa"/>
            <w:shd w:val="clear" w:color="auto" w:fill="auto"/>
            <w:noWrap/>
            <w:vAlign w:val="center"/>
          </w:tcPr>
          <w:p w14:paraId="10D1AD6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0.8623</w:t>
            </w:r>
          </w:p>
        </w:tc>
        <w:tc>
          <w:tcPr>
            <w:tcW w:w="1179" w:type="dxa"/>
            <w:shd w:val="clear" w:color="auto" w:fill="auto"/>
            <w:noWrap/>
            <w:vAlign w:val="center"/>
          </w:tcPr>
          <w:p w14:paraId="56F714F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0.7945</w:t>
            </w:r>
          </w:p>
        </w:tc>
        <w:tc>
          <w:tcPr>
            <w:tcW w:w="1179" w:type="dxa"/>
            <w:shd w:val="clear" w:color="auto" w:fill="auto"/>
            <w:noWrap/>
            <w:vAlign w:val="center"/>
          </w:tcPr>
          <w:p w14:paraId="5FEB8CC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0.6382</w:t>
            </w:r>
          </w:p>
        </w:tc>
      </w:tr>
      <w:tr w14:paraId="08B5076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2B037A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3.4 </w:t>
            </w:r>
          </w:p>
        </w:tc>
        <w:tc>
          <w:tcPr>
            <w:tcW w:w="1098" w:type="dxa"/>
            <w:shd w:val="clear" w:color="auto" w:fill="auto"/>
            <w:noWrap/>
            <w:vAlign w:val="center"/>
          </w:tcPr>
          <w:p w14:paraId="1D53C0C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0.9509</w:t>
            </w:r>
          </w:p>
        </w:tc>
        <w:tc>
          <w:tcPr>
            <w:tcW w:w="1253" w:type="dxa"/>
            <w:shd w:val="clear" w:color="auto" w:fill="auto"/>
            <w:noWrap/>
            <w:vAlign w:val="center"/>
          </w:tcPr>
          <w:p w14:paraId="3116AA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0.8956</w:t>
            </w:r>
          </w:p>
        </w:tc>
        <w:tc>
          <w:tcPr>
            <w:tcW w:w="1253" w:type="dxa"/>
            <w:shd w:val="clear" w:color="auto" w:fill="auto"/>
            <w:noWrap/>
            <w:vAlign w:val="center"/>
          </w:tcPr>
          <w:p w14:paraId="4D8734F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0.7676</w:t>
            </w:r>
          </w:p>
        </w:tc>
        <w:tc>
          <w:tcPr>
            <w:tcW w:w="1179" w:type="dxa"/>
            <w:shd w:val="clear" w:color="auto" w:fill="auto"/>
            <w:vAlign w:val="center"/>
          </w:tcPr>
          <w:p w14:paraId="57083C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7.9 </w:t>
            </w:r>
          </w:p>
        </w:tc>
        <w:tc>
          <w:tcPr>
            <w:tcW w:w="979" w:type="dxa"/>
            <w:shd w:val="clear" w:color="auto" w:fill="auto"/>
            <w:noWrap/>
            <w:vAlign w:val="center"/>
          </w:tcPr>
          <w:p w14:paraId="720F7B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0.8609</w:t>
            </w:r>
          </w:p>
        </w:tc>
        <w:tc>
          <w:tcPr>
            <w:tcW w:w="1179" w:type="dxa"/>
            <w:shd w:val="clear" w:color="auto" w:fill="auto"/>
            <w:noWrap/>
            <w:vAlign w:val="center"/>
          </w:tcPr>
          <w:p w14:paraId="56F256C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0.7928</w:t>
            </w:r>
          </w:p>
        </w:tc>
        <w:tc>
          <w:tcPr>
            <w:tcW w:w="1179" w:type="dxa"/>
            <w:shd w:val="clear" w:color="auto" w:fill="auto"/>
            <w:noWrap/>
            <w:vAlign w:val="center"/>
          </w:tcPr>
          <w:p w14:paraId="29F720E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0.6361</w:t>
            </w:r>
          </w:p>
        </w:tc>
      </w:tr>
      <w:tr w14:paraId="6F4D0A7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3E9754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3.5 </w:t>
            </w:r>
          </w:p>
        </w:tc>
        <w:tc>
          <w:tcPr>
            <w:tcW w:w="1098" w:type="dxa"/>
            <w:shd w:val="clear" w:color="auto" w:fill="auto"/>
            <w:noWrap/>
            <w:vAlign w:val="center"/>
          </w:tcPr>
          <w:p w14:paraId="4E43DDA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0.9471</w:t>
            </w:r>
          </w:p>
        </w:tc>
        <w:tc>
          <w:tcPr>
            <w:tcW w:w="1253" w:type="dxa"/>
            <w:shd w:val="clear" w:color="auto" w:fill="auto"/>
            <w:noWrap/>
            <w:vAlign w:val="center"/>
          </w:tcPr>
          <w:p w14:paraId="1C9A71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0.8913</w:t>
            </w:r>
          </w:p>
        </w:tc>
        <w:tc>
          <w:tcPr>
            <w:tcW w:w="1253" w:type="dxa"/>
            <w:shd w:val="clear" w:color="auto" w:fill="auto"/>
            <w:noWrap/>
            <w:vAlign w:val="center"/>
          </w:tcPr>
          <w:p w14:paraId="6BFAAFC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0.7616</w:t>
            </w:r>
          </w:p>
        </w:tc>
        <w:tc>
          <w:tcPr>
            <w:tcW w:w="1179" w:type="dxa"/>
            <w:shd w:val="clear" w:color="auto" w:fill="auto"/>
            <w:vAlign w:val="center"/>
          </w:tcPr>
          <w:p w14:paraId="0B3666B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8.0 </w:t>
            </w:r>
          </w:p>
        </w:tc>
        <w:tc>
          <w:tcPr>
            <w:tcW w:w="979" w:type="dxa"/>
            <w:shd w:val="clear" w:color="auto" w:fill="auto"/>
            <w:noWrap/>
            <w:vAlign w:val="center"/>
          </w:tcPr>
          <w:p w14:paraId="410E88D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0.8594</w:t>
            </w:r>
          </w:p>
        </w:tc>
        <w:tc>
          <w:tcPr>
            <w:tcW w:w="1179" w:type="dxa"/>
            <w:shd w:val="clear" w:color="auto" w:fill="auto"/>
            <w:noWrap/>
            <w:vAlign w:val="center"/>
          </w:tcPr>
          <w:p w14:paraId="65A37EB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0.7911</w:t>
            </w:r>
          </w:p>
        </w:tc>
        <w:tc>
          <w:tcPr>
            <w:tcW w:w="1179" w:type="dxa"/>
            <w:shd w:val="clear" w:color="auto" w:fill="auto"/>
            <w:noWrap/>
            <w:vAlign w:val="center"/>
          </w:tcPr>
          <w:p w14:paraId="4C40DC3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0.6341</w:t>
            </w:r>
          </w:p>
        </w:tc>
      </w:tr>
      <w:tr w14:paraId="4812659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998357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3.6 </w:t>
            </w:r>
          </w:p>
        </w:tc>
        <w:tc>
          <w:tcPr>
            <w:tcW w:w="1098" w:type="dxa"/>
            <w:shd w:val="clear" w:color="auto" w:fill="auto"/>
            <w:noWrap/>
            <w:vAlign w:val="center"/>
          </w:tcPr>
          <w:p w14:paraId="5F47671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0.9436</w:t>
            </w:r>
          </w:p>
        </w:tc>
        <w:tc>
          <w:tcPr>
            <w:tcW w:w="1253" w:type="dxa"/>
            <w:shd w:val="clear" w:color="auto" w:fill="auto"/>
            <w:noWrap/>
            <w:vAlign w:val="center"/>
          </w:tcPr>
          <w:p w14:paraId="514B20B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0.8873</w:t>
            </w:r>
          </w:p>
        </w:tc>
        <w:tc>
          <w:tcPr>
            <w:tcW w:w="1253" w:type="dxa"/>
            <w:shd w:val="clear" w:color="auto" w:fill="auto"/>
            <w:noWrap/>
            <w:vAlign w:val="center"/>
          </w:tcPr>
          <w:p w14:paraId="4A3214B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0.7559</w:t>
            </w:r>
          </w:p>
        </w:tc>
        <w:tc>
          <w:tcPr>
            <w:tcW w:w="1179" w:type="dxa"/>
            <w:shd w:val="clear" w:color="auto" w:fill="auto"/>
            <w:vAlign w:val="center"/>
          </w:tcPr>
          <w:p w14:paraId="7E52B32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8.1 </w:t>
            </w:r>
          </w:p>
        </w:tc>
        <w:tc>
          <w:tcPr>
            <w:tcW w:w="979" w:type="dxa"/>
            <w:shd w:val="clear" w:color="auto" w:fill="auto"/>
            <w:noWrap/>
            <w:vAlign w:val="center"/>
          </w:tcPr>
          <w:p w14:paraId="45B0FD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0.858</w:t>
            </w:r>
          </w:p>
        </w:tc>
        <w:tc>
          <w:tcPr>
            <w:tcW w:w="1179" w:type="dxa"/>
            <w:shd w:val="clear" w:color="auto" w:fill="auto"/>
            <w:noWrap/>
            <w:vAlign w:val="center"/>
          </w:tcPr>
          <w:p w14:paraId="31E9841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0.7894</w:t>
            </w:r>
          </w:p>
        </w:tc>
        <w:tc>
          <w:tcPr>
            <w:tcW w:w="1179" w:type="dxa"/>
            <w:shd w:val="clear" w:color="auto" w:fill="auto"/>
            <w:noWrap/>
            <w:vAlign w:val="center"/>
          </w:tcPr>
          <w:p w14:paraId="667C42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0.6321</w:t>
            </w:r>
          </w:p>
        </w:tc>
      </w:tr>
      <w:tr w14:paraId="4FAE468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4D0B6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3.7 </w:t>
            </w:r>
          </w:p>
        </w:tc>
        <w:tc>
          <w:tcPr>
            <w:tcW w:w="1098" w:type="dxa"/>
            <w:shd w:val="clear" w:color="auto" w:fill="auto"/>
            <w:noWrap/>
            <w:vAlign w:val="center"/>
          </w:tcPr>
          <w:p w14:paraId="55EC0E3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0.9404</w:t>
            </w:r>
          </w:p>
        </w:tc>
        <w:tc>
          <w:tcPr>
            <w:tcW w:w="1253" w:type="dxa"/>
            <w:shd w:val="clear" w:color="auto" w:fill="auto"/>
            <w:noWrap/>
            <w:vAlign w:val="center"/>
          </w:tcPr>
          <w:p w14:paraId="5BEA157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0.8835</w:t>
            </w:r>
          </w:p>
        </w:tc>
        <w:tc>
          <w:tcPr>
            <w:tcW w:w="1253" w:type="dxa"/>
            <w:shd w:val="clear" w:color="auto" w:fill="auto"/>
            <w:noWrap/>
            <w:vAlign w:val="center"/>
          </w:tcPr>
          <w:p w14:paraId="3E466C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0.7507</w:t>
            </w:r>
          </w:p>
        </w:tc>
        <w:tc>
          <w:tcPr>
            <w:tcW w:w="1179" w:type="dxa"/>
            <w:shd w:val="clear" w:color="auto" w:fill="auto"/>
            <w:vAlign w:val="center"/>
          </w:tcPr>
          <w:p w14:paraId="2ED0224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8.2 </w:t>
            </w:r>
          </w:p>
        </w:tc>
        <w:tc>
          <w:tcPr>
            <w:tcW w:w="979" w:type="dxa"/>
            <w:shd w:val="clear" w:color="auto" w:fill="auto"/>
            <w:noWrap/>
            <w:vAlign w:val="center"/>
          </w:tcPr>
          <w:p w14:paraId="01C05E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0.8566</w:t>
            </w:r>
          </w:p>
        </w:tc>
        <w:tc>
          <w:tcPr>
            <w:tcW w:w="1179" w:type="dxa"/>
            <w:shd w:val="clear" w:color="auto" w:fill="auto"/>
            <w:noWrap/>
            <w:vAlign w:val="center"/>
          </w:tcPr>
          <w:p w14:paraId="4C01CA3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0.7878</w:t>
            </w:r>
          </w:p>
        </w:tc>
        <w:tc>
          <w:tcPr>
            <w:tcW w:w="1179" w:type="dxa"/>
            <w:shd w:val="clear" w:color="auto" w:fill="auto"/>
            <w:noWrap/>
            <w:vAlign w:val="center"/>
          </w:tcPr>
          <w:p w14:paraId="7BB7A7D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0.6301</w:t>
            </w:r>
          </w:p>
        </w:tc>
      </w:tr>
      <w:tr w14:paraId="12E0F0B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BD5ADF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3.8 </w:t>
            </w:r>
          </w:p>
        </w:tc>
        <w:tc>
          <w:tcPr>
            <w:tcW w:w="1098" w:type="dxa"/>
            <w:shd w:val="clear" w:color="auto" w:fill="auto"/>
            <w:noWrap/>
            <w:vAlign w:val="center"/>
          </w:tcPr>
          <w:p w14:paraId="7F80E58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0.9374</w:t>
            </w:r>
          </w:p>
        </w:tc>
        <w:tc>
          <w:tcPr>
            <w:tcW w:w="1253" w:type="dxa"/>
            <w:shd w:val="clear" w:color="auto" w:fill="auto"/>
            <w:noWrap/>
            <w:vAlign w:val="center"/>
          </w:tcPr>
          <w:p w14:paraId="0EF1660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0.8801</w:t>
            </w:r>
          </w:p>
        </w:tc>
        <w:tc>
          <w:tcPr>
            <w:tcW w:w="1253" w:type="dxa"/>
            <w:shd w:val="clear" w:color="auto" w:fill="auto"/>
            <w:noWrap/>
            <w:vAlign w:val="center"/>
          </w:tcPr>
          <w:p w14:paraId="5DE2C34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0.7457</w:t>
            </w:r>
          </w:p>
        </w:tc>
        <w:tc>
          <w:tcPr>
            <w:tcW w:w="1179" w:type="dxa"/>
            <w:shd w:val="clear" w:color="auto" w:fill="auto"/>
            <w:vAlign w:val="center"/>
          </w:tcPr>
          <w:p w14:paraId="5F6A33E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8.3 </w:t>
            </w:r>
          </w:p>
        </w:tc>
        <w:tc>
          <w:tcPr>
            <w:tcW w:w="979" w:type="dxa"/>
            <w:shd w:val="clear" w:color="auto" w:fill="auto"/>
            <w:noWrap/>
            <w:vAlign w:val="center"/>
          </w:tcPr>
          <w:p w14:paraId="0855750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0.8553</w:t>
            </w:r>
          </w:p>
        </w:tc>
        <w:tc>
          <w:tcPr>
            <w:tcW w:w="1179" w:type="dxa"/>
            <w:shd w:val="clear" w:color="auto" w:fill="auto"/>
            <w:noWrap/>
            <w:vAlign w:val="center"/>
          </w:tcPr>
          <w:p w14:paraId="5177D7D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0.7862</w:t>
            </w:r>
          </w:p>
        </w:tc>
        <w:tc>
          <w:tcPr>
            <w:tcW w:w="1179" w:type="dxa"/>
            <w:shd w:val="clear" w:color="auto" w:fill="auto"/>
            <w:noWrap/>
            <w:vAlign w:val="center"/>
          </w:tcPr>
          <w:p w14:paraId="7DA08A2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0.6281</w:t>
            </w:r>
          </w:p>
        </w:tc>
      </w:tr>
      <w:tr w14:paraId="267A93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A7F110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3.9 </w:t>
            </w:r>
          </w:p>
        </w:tc>
        <w:tc>
          <w:tcPr>
            <w:tcW w:w="1098" w:type="dxa"/>
            <w:shd w:val="clear" w:color="auto" w:fill="auto"/>
            <w:noWrap/>
            <w:vAlign w:val="center"/>
          </w:tcPr>
          <w:p w14:paraId="57BCA84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0.9346</w:t>
            </w:r>
          </w:p>
        </w:tc>
        <w:tc>
          <w:tcPr>
            <w:tcW w:w="1253" w:type="dxa"/>
            <w:shd w:val="clear" w:color="auto" w:fill="auto"/>
            <w:noWrap/>
            <w:vAlign w:val="center"/>
          </w:tcPr>
          <w:p w14:paraId="7B91C11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0.8768</w:t>
            </w:r>
          </w:p>
        </w:tc>
        <w:tc>
          <w:tcPr>
            <w:tcW w:w="1253" w:type="dxa"/>
            <w:shd w:val="clear" w:color="auto" w:fill="auto"/>
            <w:noWrap/>
            <w:vAlign w:val="center"/>
          </w:tcPr>
          <w:p w14:paraId="21A9091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0.7411</w:t>
            </w:r>
          </w:p>
        </w:tc>
        <w:tc>
          <w:tcPr>
            <w:tcW w:w="1179" w:type="dxa"/>
            <w:shd w:val="clear" w:color="auto" w:fill="auto"/>
            <w:vAlign w:val="center"/>
          </w:tcPr>
          <w:p w14:paraId="6CCD7AC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8.4 </w:t>
            </w:r>
          </w:p>
        </w:tc>
        <w:tc>
          <w:tcPr>
            <w:tcW w:w="979" w:type="dxa"/>
            <w:shd w:val="clear" w:color="auto" w:fill="auto"/>
            <w:noWrap/>
            <w:vAlign w:val="center"/>
          </w:tcPr>
          <w:p w14:paraId="21EB5D6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0.8539</w:t>
            </w:r>
          </w:p>
        </w:tc>
        <w:tc>
          <w:tcPr>
            <w:tcW w:w="1179" w:type="dxa"/>
            <w:shd w:val="clear" w:color="auto" w:fill="auto"/>
            <w:noWrap/>
            <w:vAlign w:val="center"/>
          </w:tcPr>
          <w:p w14:paraId="5D6B659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0.7846</w:t>
            </w:r>
          </w:p>
        </w:tc>
        <w:tc>
          <w:tcPr>
            <w:tcW w:w="1179" w:type="dxa"/>
            <w:shd w:val="clear" w:color="auto" w:fill="auto"/>
            <w:noWrap/>
            <w:vAlign w:val="center"/>
          </w:tcPr>
          <w:p w14:paraId="7C24AFD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0.6261</w:t>
            </w:r>
          </w:p>
        </w:tc>
      </w:tr>
      <w:tr w14:paraId="39DE3B5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76A88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4.0 </w:t>
            </w:r>
          </w:p>
        </w:tc>
        <w:tc>
          <w:tcPr>
            <w:tcW w:w="1098" w:type="dxa"/>
            <w:shd w:val="clear" w:color="auto" w:fill="auto"/>
            <w:noWrap/>
            <w:vAlign w:val="center"/>
          </w:tcPr>
          <w:p w14:paraId="5D0126C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0.9318</w:t>
            </w:r>
          </w:p>
        </w:tc>
        <w:tc>
          <w:tcPr>
            <w:tcW w:w="1253" w:type="dxa"/>
            <w:shd w:val="clear" w:color="auto" w:fill="auto"/>
            <w:noWrap/>
            <w:vAlign w:val="center"/>
          </w:tcPr>
          <w:p w14:paraId="10395DF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0.8738</w:t>
            </w:r>
          </w:p>
        </w:tc>
        <w:tc>
          <w:tcPr>
            <w:tcW w:w="1253" w:type="dxa"/>
            <w:shd w:val="clear" w:color="auto" w:fill="auto"/>
            <w:noWrap/>
            <w:vAlign w:val="center"/>
          </w:tcPr>
          <w:p w14:paraId="03D66CA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0.7368</w:t>
            </w:r>
          </w:p>
        </w:tc>
        <w:tc>
          <w:tcPr>
            <w:tcW w:w="1179" w:type="dxa"/>
            <w:shd w:val="clear" w:color="auto" w:fill="auto"/>
            <w:vAlign w:val="center"/>
          </w:tcPr>
          <w:p w14:paraId="541304A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8.5 </w:t>
            </w:r>
          </w:p>
        </w:tc>
        <w:tc>
          <w:tcPr>
            <w:tcW w:w="979" w:type="dxa"/>
            <w:shd w:val="clear" w:color="auto" w:fill="auto"/>
            <w:noWrap/>
            <w:vAlign w:val="center"/>
          </w:tcPr>
          <w:p w14:paraId="78A7620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0.8526</w:t>
            </w:r>
          </w:p>
        </w:tc>
        <w:tc>
          <w:tcPr>
            <w:tcW w:w="1179" w:type="dxa"/>
            <w:shd w:val="clear" w:color="auto" w:fill="auto"/>
            <w:noWrap/>
            <w:vAlign w:val="center"/>
          </w:tcPr>
          <w:p w14:paraId="48685FB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0.7829</w:t>
            </w:r>
          </w:p>
        </w:tc>
        <w:tc>
          <w:tcPr>
            <w:tcW w:w="1179" w:type="dxa"/>
            <w:shd w:val="clear" w:color="auto" w:fill="auto"/>
            <w:noWrap/>
            <w:vAlign w:val="center"/>
          </w:tcPr>
          <w:p w14:paraId="672CB9B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0.6242</w:t>
            </w:r>
          </w:p>
        </w:tc>
      </w:tr>
      <w:tr w14:paraId="00B94C4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D981F0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4.1 </w:t>
            </w:r>
          </w:p>
        </w:tc>
        <w:tc>
          <w:tcPr>
            <w:tcW w:w="1098" w:type="dxa"/>
            <w:shd w:val="clear" w:color="auto" w:fill="auto"/>
            <w:noWrap/>
            <w:vAlign w:val="center"/>
          </w:tcPr>
          <w:p w14:paraId="6FEA100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0.9292</w:t>
            </w:r>
          </w:p>
        </w:tc>
        <w:tc>
          <w:tcPr>
            <w:tcW w:w="1253" w:type="dxa"/>
            <w:shd w:val="clear" w:color="auto" w:fill="auto"/>
            <w:noWrap/>
            <w:vAlign w:val="center"/>
          </w:tcPr>
          <w:p w14:paraId="0175ABE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0.8709</w:t>
            </w:r>
          </w:p>
        </w:tc>
        <w:tc>
          <w:tcPr>
            <w:tcW w:w="1253" w:type="dxa"/>
            <w:shd w:val="clear" w:color="auto" w:fill="auto"/>
            <w:noWrap/>
            <w:vAlign w:val="center"/>
          </w:tcPr>
          <w:p w14:paraId="1A50317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0.7327</w:t>
            </w:r>
          </w:p>
        </w:tc>
        <w:tc>
          <w:tcPr>
            <w:tcW w:w="1179" w:type="dxa"/>
            <w:shd w:val="clear" w:color="auto" w:fill="auto"/>
            <w:vAlign w:val="center"/>
          </w:tcPr>
          <w:p w14:paraId="1186110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8.6 </w:t>
            </w:r>
          </w:p>
        </w:tc>
        <w:tc>
          <w:tcPr>
            <w:tcW w:w="979" w:type="dxa"/>
            <w:shd w:val="clear" w:color="auto" w:fill="auto"/>
            <w:noWrap/>
            <w:vAlign w:val="center"/>
          </w:tcPr>
          <w:p w14:paraId="5F46F4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0.8513</w:t>
            </w:r>
          </w:p>
        </w:tc>
        <w:tc>
          <w:tcPr>
            <w:tcW w:w="1179" w:type="dxa"/>
            <w:shd w:val="clear" w:color="auto" w:fill="auto"/>
            <w:noWrap/>
            <w:vAlign w:val="center"/>
          </w:tcPr>
          <w:p w14:paraId="401F676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0.7813</w:t>
            </w:r>
          </w:p>
        </w:tc>
        <w:tc>
          <w:tcPr>
            <w:tcW w:w="1179" w:type="dxa"/>
            <w:shd w:val="clear" w:color="auto" w:fill="auto"/>
            <w:noWrap/>
            <w:vAlign w:val="center"/>
          </w:tcPr>
          <w:p w14:paraId="0FCE846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0.6223</w:t>
            </w:r>
          </w:p>
        </w:tc>
      </w:tr>
      <w:tr w14:paraId="722DB3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FB07E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4.2 </w:t>
            </w:r>
          </w:p>
        </w:tc>
        <w:tc>
          <w:tcPr>
            <w:tcW w:w="1098" w:type="dxa"/>
            <w:shd w:val="clear" w:color="auto" w:fill="auto"/>
            <w:noWrap/>
            <w:vAlign w:val="center"/>
          </w:tcPr>
          <w:p w14:paraId="10F41F5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0.9266</w:t>
            </w:r>
          </w:p>
        </w:tc>
        <w:tc>
          <w:tcPr>
            <w:tcW w:w="1253" w:type="dxa"/>
            <w:shd w:val="clear" w:color="auto" w:fill="auto"/>
            <w:noWrap/>
            <w:vAlign w:val="center"/>
          </w:tcPr>
          <w:p w14:paraId="00627D4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0.8682</w:t>
            </w:r>
          </w:p>
        </w:tc>
        <w:tc>
          <w:tcPr>
            <w:tcW w:w="1253" w:type="dxa"/>
            <w:shd w:val="clear" w:color="auto" w:fill="auto"/>
            <w:noWrap/>
            <w:vAlign w:val="center"/>
          </w:tcPr>
          <w:p w14:paraId="5D6C191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0.7288</w:t>
            </w:r>
          </w:p>
        </w:tc>
        <w:tc>
          <w:tcPr>
            <w:tcW w:w="1179" w:type="dxa"/>
            <w:shd w:val="clear" w:color="auto" w:fill="auto"/>
            <w:vAlign w:val="center"/>
          </w:tcPr>
          <w:p w14:paraId="170BE94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8.7 </w:t>
            </w:r>
          </w:p>
        </w:tc>
        <w:tc>
          <w:tcPr>
            <w:tcW w:w="979" w:type="dxa"/>
            <w:shd w:val="clear" w:color="auto" w:fill="auto"/>
            <w:noWrap/>
            <w:vAlign w:val="center"/>
          </w:tcPr>
          <w:p w14:paraId="3F00B05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w:t>
            </w:r>
          </w:p>
        </w:tc>
        <w:tc>
          <w:tcPr>
            <w:tcW w:w="1179" w:type="dxa"/>
            <w:shd w:val="clear" w:color="auto" w:fill="auto"/>
            <w:noWrap/>
            <w:vAlign w:val="center"/>
          </w:tcPr>
          <w:p w14:paraId="187AD7C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0.7797</w:t>
            </w:r>
          </w:p>
        </w:tc>
        <w:tc>
          <w:tcPr>
            <w:tcW w:w="1179" w:type="dxa"/>
            <w:shd w:val="clear" w:color="auto" w:fill="auto"/>
            <w:noWrap/>
            <w:vAlign w:val="center"/>
          </w:tcPr>
          <w:p w14:paraId="3BB38C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0.6204</w:t>
            </w:r>
          </w:p>
        </w:tc>
      </w:tr>
      <w:tr w14:paraId="34B212D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5E4DCD3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4.3 </w:t>
            </w:r>
          </w:p>
        </w:tc>
        <w:tc>
          <w:tcPr>
            <w:tcW w:w="1098" w:type="dxa"/>
            <w:shd w:val="clear" w:color="auto" w:fill="auto"/>
            <w:noWrap/>
            <w:vAlign w:val="center"/>
          </w:tcPr>
          <w:p w14:paraId="69C76C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0.9241</w:t>
            </w:r>
          </w:p>
        </w:tc>
        <w:tc>
          <w:tcPr>
            <w:tcW w:w="1253" w:type="dxa"/>
            <w:shd w:val="clear" w:color="auto" w:fill="auto"/>
            <w:noWrap/>
            <w:vAlign w:val="center"/>
          </w:tcPr>
          <w:p w14:paraId="22A61E4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0.8655</w:t>
            </w:r>
          </w:p>
        </w:tc>
        <w:tc>
          <w:tcPr>
            <w:tcW w:w="1253" w:type="dxa"/>
            <w:shd w:val="clear" w:color="auto" w:fill="auto"/>
            <w:noWrap/>
            <w:vAlign w:val="center"/>
          </w:tcPr>
          <w:p w14:paraId="59E3BAB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0.7251</w:t>
            </w:r>
          </w:p>
        </w:tc>
        <w:tc>
          <w:tcPr>
            <w:tcW w:w="1179" w:type="dxa"/>
            <w:shd w:val="clear" w:color="auto" w:fill="auto"/>
            <w:vAlign w:val="center"/>
          </w:tcPr>
          <w:p w14:paraId="107FF30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8.8 </w:t>
            </w:r>
          </w:p>
        </w:tc>
        <w:tc>
          <w:tcPr>
            <w:tcW w:w="979" w:type="dxa"/>
            <w:shd w:val="clear" w:color="auto" w:fill="auto"/>
            <w:noWrap/>
            <w:vAlign w:val="center"/>
          </w:tcPr>
          <w:p w14:paraId="179B0B8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0.8486</w:t>
            </w:r>
          </w:p>
        </w:tc>
        <w:tc>
          <w:tcPr>
            <w:tcW w:w="1179" w:type="dxa"/>
            <w:shd w:val="clear" w:color="auto" w:fill="auto"/>
            <w:noWrap/>
            <w:vAlign w:val="center"/>
          </w:tcPr>
          <w:p w14:paraId="321594B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0.7782</w:t>
            </w:r>
          </w:p>
        </w:tc>
        <w:tc>
          <w:tcPr>
            <w:tcW w:w="1179" w:type="dxa"/>
            <w:shd w:val="clear" w:color="auto" w:fill="auto"/>
            <w:noWrap/>
            <w:vAlign w:val="center"/>
          </w:tcPr>
          <w:p w14:paraId="00F792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0.6185</w:t>
            </w:r>
          </w:p>
        </w:tc>
      </w:tr>
      <w:tr w14:paraId="0A81A8F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E8A86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4.4 </w:t>
            </w:r>
          </w:p>
        </w:tc>
        <w:tc>
          <w:tcPr>
            <w:tcW w:w="1098" w:type="dxa"/>
            <w:shd w:val="clear" w:color="auto" w:fill="auto"/>
            <w:noWrap/>
            <w:vAlign w:val="center"/>
          </w:tcPr>
          <w:p w14:paraId="1366DA8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0.9218</w:t>
            </w:r>
          </w:p>
        </w:tc>
        <w:tc>
          <w:tcPr>
            <w:tcW w:w="1253" w:type="dxa"/>
            <w:shd w:val="clear" w:color="auto" w:fill="auto"/>
            <w:noWrap/>
            <w:vAlign w:val="center"/>
          </w:tcPr>
          <w:p w14:paraId="6BDA0D2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0.8629</w:t>
            </w:r>
          </w:p>
        </w:tc>
        <w:tc>
          <w:tcPr>
            <w:tcW w:w="1253" w:type="dxa"/>
            <w:shd w:val="clear" w:color="auto" w:fill="auto"/>
            <w:noWrap/>
            <w:vAlign w:val="center"/>
          </w:tcPr>
          <w:p w14:paraId="2737516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0.7215</w:t>
            </w:r>
          </w:p>
        </w:tc>
        <w:tc>
          <w:tcPr>
            <w:tcW w:w="1179" w:type="dxa"/>
            <w:shd w:val="clear" w:color="auto" w:fill="auto"/>
            <w:vAlign w:val="center"/>
          </w:tcPr>
          <w:p w14:paraId="103B599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8.9 </w:t>
            </w:r>
          </w:p>
        </w:tc>
        <w:tc>
          <w:tcPr>
            <w:tcW w:w="979" w:type="dxa"/>
            <w:shd w:val="clear" w:color="auto" w:fill="auto"/>
            <w:noWrap/>
            <w:vAlign w:val="center"/>
          </w:tcPr>
          <w:p w14:paraId="4FE939B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0.8474</w:t>
            </w:r>
          </w:p>
        </w:tc>
        <w:tc>
          <w:tcPr>
            <w:tcW w:w="1179" w:type="dxa"/>
            <w:shd w:val="clear" w:color="auto" w:fill="auto"/>
            <w:noWrap/>
            <w:vAlign w:val="center"/>
          </w:tcPr>
          <w:p w14:paraId="41581A5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0.7767</w:t>
            </w:r>
          </w:p>
        </w:tc>
        <w:tc>
          <w:tcPr>
            <w:tcW w:w="1179" w:type="dxa"/>
            <w:shd w:val="clear" w:color="auto" w:fill="auto"/>
            <w:noWrap/>
            <w:vAlign w:val="center"/>
          </w:tcPr>
          <w:p w14:paraId="6BF754E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0.6167</w:t>
            </w:r>
          </w:p>
        </w:tc>
      </w:tr>
      <w:tr w14:paraId="6946FFC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2B3CE83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4.5 </w:t>
            </w:r>
          </w:p>
        </w:tc>
        <w:tc>
          <w:tcPr>
            <w:tcW w:w="1098" w:type="dxa"/>
            <w:shd w:val="clear" w:color="auto" w:fill="auto"/>
            <w:noWrap/>
            <w:vAlign w:val="center"/>
          </w:tcPr>
          <w:p w14:paraId="5AA5A54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0.9195</w:t>
            </w:r>
          </w:p>
        </w:tc>
        <w:tc>
          <w:tcPr>
            <w:tcW w:w="1253" w:type="dxa"/>
            <w:shd w:val="clear" w:color="auto" w:fill="auto"/>
            <w:noWrap/>
            <w:vAlign w:val="center"/>
          </w:tcPr>
          <w:p w14:paraId="1FC2751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0.8605</w:t>
            </w:r>
          </w:p>
        </w:tc>
        <w:tc>
          <w:tcPr>
            <w:tcW w:w="1253" w:type="dxa"/>
            <w:shd w:val="clear" w:color="auto" w:fill="auto"/>
            <w:noWrap/>
            <w:vAlign w:val="center"/>
          </w:tcPr>
          <w:p w14:paraId="0212436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0.7182</w:t>
            </w:r>
          </w:p>
        </w:tc>
        <w:tc>
          <w:tcPr>
            <w:tcW w:w="1179" w:type="dxa"/>
            <w:shd w:val="clear" w:color="auto" w:fill="auto"/>
            <w:vAlign w:val="center"/>
          </w:tcPr>
          <w:p w14:paraId="11B096A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9.0 </w:t>
            </w:r>
          </w:p>
        </w:tc>
        <w:tc>
          <w:tcPr>
            <w:tcW w:w="979" w:type="dxa"/>
            <w:shd w:val="clear" w:color="auto" w:fill="auto"/>
            <w:noWrap/>
            <w:vAlign w:val="center"/>
          </w:tcPr>
          <w:p w14:paraId="3E90E63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0.8462</w:t>
            </w:r>
          </w:p>
        </w:tc>
        <w:tc>
          <w:tcPr>
            <w:tcW w:w="1179" w:type="dxa"/>
            <w:shd w:val="clear" w:color="auto" w:fill="auto"/>
            <w:noWrap/>
            <w:vAlign w:val="center"/>
          </w:tcPr>
          <w:p w14:paraId="57DC3FB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0.7751</w:t>
            </w:r>
          </w:p>
        </w:tc>
        <w:tc>
          <w:tcPr>
            <w:tcW w:w="1179" w:type="dxa"/>
            <w:shd w:val="clear" w:color="auto" w:fill="auto"/>
            <w:noWrap/>
            <w:vAlign w:val="center"/>
          </w:tcPr>
          <w:p w14:paraId="37844B3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0.6148</w:t>
            </w:r>
          </w:p>
        </w:tc>
      </w:tr>
      <w:tr w14:paraId="50A78D6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3CF845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4.6 </w:t>
            </w:r>
          </w:p>
        </w:tc>
        <w:tc>
          <w:tcPr>
            <w:tcW w:w="1098" w:type="dxa"/>
            <w:shd w:val="clear" w:color="auto" w:fill="auto"/>
            <w:noWrap/>
            <w:vAlign w:val="center"/>
          </w:tcPr>
          <w:p w14:paraId="2B14813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0.9173</w:t>
            </w:r>
          </w:p>
        </w:tc>
        <w:tc>
          <w:tcPr>
            <w:tcW w:w="1253" w:type="dxa"/>
            <w:shd w:val="clear" w:color="auto" w:fill="auto"/>
            <w:noWrap/>
            <w:vAlign w:val="center"/>
          </w:tcPr>
          <w:p w14:paraId="4CAD76F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0.8581</w:t>
            </w:r>
          </w:p>
        </w:tc>
        <w:tc>
          <w:tcPr>
            <w:tcW w:w="1253" w:type="dxa"/>
            <w:shd w:val="clear" w:color="auto" w:fill="auto"/>
            <w:noWrap/>
            <w:vAlign w:val="center"/>
          </w:tcPr>
          <w:p w14:paraId="35B8C73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0.715</w:t>
            </w:r>
          </w:p>
        </w:tc>
        <w:tc>
          <w:tcPr>
            <w:tcW w:w="1179" w:type="dxa"/>
            <w:shd w:val="clear" w:color="auto" w:fill="auto"/>
            <w:vAlign w:val="center"/>
          </w:tcPr>
          <w:p w14:paraId="0CBFE77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9.1 </w:t>
            </w:r>
          </w:p>
        </w:tc>
        <w:tc>
          <w:tcPr>
            <w:tcW w:w="979" w:type="dxa"/>
            <w:shd w:val="clear" w:color="auto" w:fill="auto"/>
            <w:noWrap/>
            <w:vAlign w:val="center"/>
          </w:tcPr>
          <w:p w14:paraId="391EBF0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0.845</w:t>
            </w:r>
          </w:p>
        </w:tc>
        <w:tc>
          <w:tcPr>
            <w:tcW w:w="1179" w:type="dxa"/>
            <w:shd w:val="clear" w:color="auto" w:fill="auto"/>
            <w:noWrap/>
            <w:vAlign w:val="center"/>
          </w:tcPr>
          <w:p w14:paraId="6B94503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0.7736</w:t>
            </w:r>
          </w:p>
        </w:tc>
        <w:tc>
          <w:tcPr>
            <w:tcW w:w="1179" w:type="dxa"/>
            <w:shd w:val="clear" w:color="auto" w:fill="auto"/>
            <w:noWrap/>
            <w:vAlign w:val="center"/>
          </w:tcPr>
          <w:p w14:paraId="33D6C09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0.613</w:t>
            </w:r>
          </w:p>
        </w:tc>
      </w:tr>
      <w:tr w14:paraId="2443697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6E9018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4.7 </w:t>
            </w:r>
          </w:p>
        </w:tc>
        <w:tc>
          <w:tcPr>
            <w:tcW w:w="1098" w:type="dxa"/>
            <w:shd w:val="clear" w:color="auto" w:fill="auto"/>
            <w:noWrap/>
            <w:vAlign w:val="center"/>
          </w:tcPr>
          <w:p w14:paraId="73EDB3E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0.9152</w:t>
            </w:r>
          </w:p>
        </w:tc>
        <w:tc>
          <w:tcPr>
            <w:tcW w:w="1253" w:type="dxa"/>
            <w:shd w:val="clear" w:color="auto" w:fill="auto"/>
            <w:noWrap/>
            <w:vAlign w:val="center"/>
          </w:tcPr>
          <w:p w14:paraId="011C50E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0.8557</w:t>
            </w:r>
          </w:p>
        </w:tc>
        <w:tc>
          <w:tcPr>
            <w:tcW w:w="1253" w:type="dxa"/>
            <w:shd w:val="clear" w:color="auto" w:fill="auto"/>
            <w:noWrap/>
            <w:vAlign w:val="center"/>
          </w:tcPr>
          <w:p w14:paraId="36599F6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0.712</w:t>
            </w:r>
          </w:p>
        </w:tc>
        <w:tc>
          <w:tcPr>
            <w:tcW w:w="1179" w:type="dxa"/>
            <w:shd w:val="clear" w:color="auto" w:fill="auto"/>
            <w:vAlign w:val="center"/>
          </w:tcPr>
          <w:p w14:paraId="27448C8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9.2 </w:t>
            </w:r>
          </w:p>
        </w:tc>
        <w:tc>
          <w:tcPr>
            <w:tcW w:w="979" w:type="dxa"/>
            <w:shd w:val="clear" w:color="auto" w:fill="auto"/>
            <w:noWrap/>
            <w:vAlign w:val="center"/>
          </w:tcPr>
          <w:p w14:paraId="0BCF199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0.8437</w:t>
            </w:r>
          </w:p>
        </w:tc>
        <w:tc>
          <w:tcPr>
            <w:tcW w:w="1179" w:type="dxa"/>
            <w:shd w:val="clear" w:color="auto" w:fill="auto"/>
            <w:noWrap/>
            <w:vAlign w:val="center"/>
          </w:tcPr>
          <w:p w14:paraId="2316735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0.7721</w:t>
            </w:r>
          </w:p>
        </w:tc>
        <w:tc>
          <w:tcPr>
            <w:tcW w:w="1179" w:type="dxa"/>
            <w:shd w:val="clear" w:color="auto" w:fill="auto"/>
            <w:noWrap/>
            <w:vAlign w:val="center"/>
          </w:tcPr>
          <w:p w14:paraId="2F53287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0.6112</w:t>
            </w:r>
          </w:p>
        </w:tc>
      </w:tr>
      <w:tr w14:paraId="3725FC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931E21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4.8 </w:t>
            </w:r>
          </w:p>
        </w:tc>
        <w:tc>
          <w:tcPr>
            <w:tcW w:w="1098" w:type="dxa"/>
            <w:shd w:val="clear" w:color="auto" w:fill="auto"/>
            <w:noWrap/>
            <w:vAlign w:val="center"/>
          </w:tcPr>
          <w:p w14:paraId="19BB100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0.9131</w:t>
            </w:r>
          </w:p>
        </w:tc>
        <w:tc>
          <w:tcPr>
            <w:tcW w:w="1253" w:type="dxa"/>
            <w:shd w:val="clear" w:color="auto" w:fill="auto"/>
            <w:noWrap/>
            <w:vAlign w:val="center"/>
          </w:tcPr>
          <w:p w14:paraId="3862B29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0.8534</w:t>
            </w:r>
          </w:p>
        </w:tc>
        <w:tc>
          <w:tcPr>
            <w:tcW w:w="1253" w:type="dxa"/>
            <w:shd w:val="clear" w:color="auto" w:fill="auto"/>
            <w:noWrap/>
            <w:vAlign w:val="center"/>
          </w:tcPr>
          <w:p w14:paraId="3D6905D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0.7091</w:t>
            </w:r>
          </w:p>
        </w:tc>
        <w:tc>
          <w:tcPr>
            <w:tcW w:w="1179" w:type="dxa"/>
            <w:shd w:val="clear" w:color="auto" w:fill="auto"/>
            <w:vAlign w:val="center"/>
          </w:tcPr>
          <w:p w14:paraId="0113016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9.3 </w:t>
            </w:r>
          </w:p>
        </w:tc>
        <w:tc>
          <w:tcPr>
            <w:tcW w:w="979" w:type="dxa"/>
            <w:shd w:val="clear" w:color="auto" w:fill="auto"/>
            <w:noWrap/>
            <w:vAlign w:val="center"/>
          </w:tcPr>
          <w:p w14:paraId="5129612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0.8425</w:t>
            </w:r>
          </w:p>
        </w:tc>
        <w:tc>
          <w:tcPr>
            <w:tcW w:w="1179" w:type="dxa"/>
            <w:shd w:val="clear" w:color="auto" w:fill="auto"/>
            <w:noWrap/>
            <w:vAlign w:val="center"/>
          </w:tcPr>
          <w:p w14:paraId="3B81BAE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0.7706</w:t>
            </w:r>
          </w:p>
        </w:tc>
        <w:tc>
          <w:tcPr>
            <w:tcW w:w="1179" w:type="dxa"/>
            <w:shd w:val="clear" w:color="auto" w:fill="auto"/>
            <w:noWrap/>
            <w:vAlign w:val="center"/>
          </w:tcPr>
          <w:p w14:paraId="7AEB7CF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0.6094</w:t>
            </w:r>
          </w:p>
        </w:tc>
      </w:tr>
      <w:tr w14:paraId="1476560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474737B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4.9 </w:t>
            </w:r>
          </w:p>
        </w:tc>
        <w:tc>
          <w:tcPr>
            <w:tcW w:w="1098" w:type="dxa"/>
            <w:shd w:val="clear" w:color="auto" w:fill="auto"/>
            <w:noWrap/>
            <w:vAlign w:val="center"/>
          </w:tcPr>
          <w:p w14:paraId="12312F4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0.9112</w:t>
            </w:r>
          </w:p>
        </w:tc>
        <w:tc>
          <w:tcPr>
            <w:tcW w:w="1253" w:type="dxa"/>
            <w:shd w:val="clear" w:color="auto" w:fill="auto"/>
            <w:noWrap/>
            <w:vAlign w:val="center"/>
          </w:tcPr>
          <w:p w14:paraId="03EEF7A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0.8511</w:t>
            </w:r>
          </w:p>
        </w:tc>
        <w:tc>
          <w:tcPr>
            <w:tcW w:w="1253" w:type="dxa"/>
            <w:shd w:val="clear" w:color="auto" w:fill="auto"/>
            <w:noWrap/>
            <w:vAlign w:val="center"/>
          </w:tcPr>
          <w:p w14:paraId="019EB09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0.7062</w:t>
            </w:r>
          </w:p>
        </w:tc>
        <w:tc>
          <w:tcPr>
            <w:tcW w:w="1179" w:type="dxa"/>
            <w:shd w:val="clear" w:color="auto" w:fill="auto"/>
            <w:vAlign w:val="center"/>
          </w:tcPr>
          <w:p w14:paraId="3FEA115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9.4 </w:t>
            </w:r>
          </w:p>
        </w:tc>
        <w:tc>
          <w:tcPr>
            <w:tcW w:w="979" w:type="dxa"/>
            <w:shd w:val="clear" w:color="auto" w:fill="auto"/>
            <w:noWrap/>
            <w:vAlign w:val="center"/>
          </w:tcPr>
          <w:p w14:paraId="11A7E0B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0.8413</w:t>
            </w:r>
          </w:p>
        </w:tc>
        <w:tc>
          <w:tcPr>
            <w:tcW w:w="1179" w:type="dxa"/>
            <w:shd w:val="clear" w:color="auto" w:fill="auto"/>
            <w:noWrap/>
            <w:vAlign w:val="center"/>
          </w:tcPr>
          <w:p w14:paraId="7064B4E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0.769</w:t>
            </w:r>
          </w:p>
        </w:tc>
        <w:tc>
          <w:tcPr>
            <w:tcW w:w="1179" w:type="dxa"/>
            <w:shd w:val="clear" w:color="auto" w:fill="auto"/>
            <w:noWrap/>
            <w:vAlign w:val="center"/>
          </w:tcPr>
          <w:p w14:paraId="627DF03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0.6076</w:t>
            </w:r>
          </w:p>
        </w:tc>
      </w:tr>
      <w:tr w14:paraId="350476C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1ACE829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5.0</w:t>
            </w:r>
          </w:p>
        </w:tc>
        <w:tc>
          <w:tcPr>
            <w:tcW w:w="1098" w:type="dxa"/>
            <w:shd w:val="clear" w:color="auto" w:fill="auto"/>
            <w:noWrap/>
            <w:vAlign w:val="center"/>
          </w:tcPr>
          <w:p w14:paraId="7F758C7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0.9092</w:t>
            </w:r>
          </w:p>
        </w:tc>
        <w:tc>
          <w:tcPr>
            <w:tcW w:w="1253" w:type="dxa"/>
            <w:shd w:val="clear" w:color="auto" w:fill="auto"/>
            <w:noWrap/>
            <w:vAlign w:val="center"/>
          </w:tcPr>
          <w:p w14:paraId="5B9B6DE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0.8489</w:t>
            </w:r>
          </w:p>
        </w:tc>
        <w:tc>
          <w:tcPr>
            <w:tcW w:w="1253" w:type="dxa"/>
            <w:shd w:val="clear" w:color="auto" w:fill="auto"/>
            <w:noWrap/>
            <w:vAlign w:val="center"/>
          </w:tcPr>
          <w:p w14:paraId="74D31BE3">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0.7035</w:t>
            </w:r>
          </w:p>
        </w:tc>
        <w:tc>
          <w:tcPr>
            <w:tcW w:w="1179" w:type="dxa"/>
            <w:shd w:val="clear" w:color="auto" w:fill="auto"/>
            <w:vAlign w:val="center"/>
          </w:tcPr>
          <w:p w14:paraId="61E1DAC9">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9.5 </w:t>
            </w:r>
          </w:p>
        </w:tc>
        <w:tc>
          <w:tcPr>
            <w:tcW w:w="979" w:type="dxa"/>
            <w:shd w:val="clear" w:color="auto" w:fill="auto"/>
            <w:noWrap/>
            <w:vAlign w:val="center"/>
          </w:tcPr>
          <w:p w14:paraId="30932CA8">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0.8401</w:t>
            </w:r>
          </w:p>
        </w:tc>
        <w:tc>
          <w:tcPr>
            <w:tcW w:w="1179" w:type="dxa"/>
            <w:shd w:val="clear" w:color="auto" w:fill="auto"/>
            <w:noWrap/>
            <w:vAlign w:val="center"/>
          </w:tcPr>
          <w:p w14:paraId="1925087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0.7676</w:t>
            </w:r>
          </w:p>
        </w:tc>
        <w:tc>
          <w:tcPr>
            <w:tcW w:w="1179" w:type="dxa"/>
            <w:shd w:val="clear" w:color="auto" w:fill="auto"/>
            <w:noWrap/>
            <w:vAlign w:val="center"/>
          </w:tcPr>
          <w:p w14:paraId="3CC38CF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0.6058</w:t>
            </w:r>
          </w:p>
        </w:tc>
      </w:tr>
      <w:tr w14:paraId="1067277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074D012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5.1 </w:t>
            </w:r>
          </w:p>
        </w:tc>
        <w:tc>
          <w:tcPr>
            <w:tcW w:w="1098" w:type="dxa"/>
            <w:shd w:val="clear" w:color="auto" w:fill="auto"/>
            <w:noWrap/>
            <w:vAlign w:val="center"/>
          </w:tcPr>
          <w:p w14:paraId="3032786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0.9072</w:t>
            </w:r>
          </w:p>
        </w:tc>
        <w:tc>
          <w:tcPr>
            <w:tcW w:w="1253" w:type="dxa"/>
            <w:shd w:val="clear" w:color="auto" w:fill="auto"/>
            <w:noWrap/>
            <w:vAlign w:val="center"/>
          </w:tcPr>
          <w:p w14:paraId="1B42FB7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0.8467</w:t>
            </w:r>
          </w:p>
        </w:tc>
        <w:tc>
          <w:tcPr>
            <w:tcW w:w="1253" w:type="dxa"/>
            <w:shd w:val="clear" w:color="auto" w:fill="auto"/>
            <w:noWrap/>
            <w:vAlign w:val="center"/>
          </w:tcPr>
          <w:p w14:paraId="73B4CB9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0.7009</w:t>
            </w:r>
          </w:p>
        </w:tc>
        <w:tc>
          <w:tcPr>
            <w:tcW w:w="1179" w:type="dxa"/>
            <w:shd w:val="clear" w:color="auto" w:fill="auto"/>
            <w:vAlign w:val="center"/>
          </w:tcPr>
          <w:p w14:paraId="79F3E3EE">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9.6 </w:t>
            </w:r>
          </w:p>
        </w:tc>
        <w:tc>
          <w:tcPr>
            <w:tcW w:w="979" w:type="dxa"/>
            <w:shd w:val="clear" w:color="auto" w:fill="auto"/>
            <w:noWrap/>
            <w:vAlign w:val="center"/>
          </w:tcPr>
          <w:p w14:paraId="1C7C0D9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0.839</w:t>
            </w:r>
          </w:p>
        </w:tc>
        <w:tc>
          <w:tcPr>
            <w:tcW w:w="1179" w:type="dxa"/>
            <w:shd w:val="clear" w:color="auto" w:fill="auto"/>
            <w:noWrap/>
            <w:vAlign w:val="center"/>
          </w:tcPr>
          <w:p w14:paraId="5E21EB2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0.7662</w:t>
            </w:r>
          </w:p>
        </w:tc>
        <w:tc>
          <w:tcPr>
            <w:tcW w:w="1179" w:type="dxa"/>
            <w:shd w:val="clear" w:color="auto" w:fill="auto"/>
            <w:noWrap/>
            <w:vAlign w:val="center"/>
          </w:tcPr>
          <w:p w14:paraId="5647828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0.6041</w:t>
            </w:r>
          </w:p>
        </w:tc>
      </w:tr>
      <w:tr w14:paraId="38FDE70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606209C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5.2 </w:t>
            </w:r>
          </w:p>
        </w:tc>
        <w:tc>
          <w:tcPr>
            <w:tcW w:w="1098" w:type="dxa"/>
            <w:shd w:val="clear" w:color="auto" w:fill="auto"/>
            <w:noWrap/>
            <w:vAlign w:val="center"/>
          </w:tcPr>
          <w:p w14:paraId="2C1EC3D5">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0.9053</w:t>
            </w:r>
          </w:p>
        </w:tc>
        <w:tc>
          <w:tcPr>
            <w:tcW w:w="1253" w:type="dxa"/>
            <w:shd w:val="clear" w:color="auto" w:fill="auto"/>
            <w:noWrap/>
            <w:vAlign w:val="center"/>
          </w:tcPr>
          <w:p w14:paraId="334B8B5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0.8445</w:t>
            </w:r>
          </w:p>
        </w:tc>
        <w:tc>
          <w:tcPr>
            <w:tcW w:w="1253" w:type="dxa"/>
            <w:shd w:val="clear" w:color="auto" w:fill="auto"/>
            <w:noWrap/>
            <w:vAlign w:val="center"/>
          </w:tcPr>
          <w:p w14:paraId="742E1F1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0.6982</w:t>
            </w:r>
          </w:p>
        </w:tc>
        <w:tc>
          <w:tcPr>
            <w:tcW w:w="1179" w:type="dxa"/>
            <w:shd w:val="clear" w:color="auto" w:fill="auto"/>
            <w:vAlign w:val="center"/>
          </w:tcPr>
          <w:p w14:paraId="286C7B7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9.7 </w:t>
            </w:r>
          </w:p>
        </w:tc>
        <w:tc>
          <w:tcPr>
            <w:tcW w:w="979" w:type="dxa"/>
            <w:shd w:val="clear" w:color="auto" w:fill="auto"/>
            <w:noWrap/>
            <w:vAlign w:val="center"/>
          </w:tcPr>
          <w:p w14:paraId="64C88B1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0.8378</w:t>
            </w:r>
          </w:p>
        </w:tc>
        <w:tc>
          <w:tcPr>
            <w:tcW w:w="1179" w:type="dxa"/>
            <w:shd w:val="clear" w:color="auto" w:fill="auto"/>
            <w:noWrap/>
            <w:vAlign w:val="center"/>
          </w:tcPr>
          <w:p w14:paraId="7C8C166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0.7648</w:t>
            </w:r>
          </w:p>
        </w:tc>
        <w:tc>
          <w:tcPr>
            <w:tcW w:w="1179" w:type="dxa"/>
            <w:shd w:val="clear" w:color="auto" w:fill="auto"/>
            <w:noWrap/>
            <w:vAlign w:val="center"/>
          </w:tcPr>
          <w:p w14:paraId="2543E6E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0.6024</w:t>
            </w:r>
          </w:p>
        </w:tc>
      </w:tr>
      <w:tr w14:paraId="32B9486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noWrap/>
            <w:vAlign w:val="center"/>
          </w:tcPr>
          <w:p w14:paraId="7F952A2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5.3 </w:t>
            </w:r>
          </w:p>
        </w:tc>
        <w:tc>
          <w:tcPr>
            <w:tcW w:w="1098" w:type="dxa"/>
            <w:shd w:val="clear" w:color="auto" w:fill="auto"/>
            <w:noWrap/>
            <w:vAlign w:val="center"/>
          </w:tcPr>
          <w:p w14:paraId="187FB50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0.9034</w:t>
            </w:r>
          </w:p>
        </w:tc>
        <w:tc>
          <w:tcPr>
            <w:tcW w:w="1253" w:type="dxa"/>
            <w:shd w:val="clear" w:color="auto" w:fill="auto"/>
            <w:noWrap/>
            <w:vAlign w:val="center"/>
          </w:tcPr>
          <w:p w14:paraId="76507554">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0.8423</w:t>
            </w:r>
          </w:p>
        </w:tc>
        <w:tc>
          <w:tcPr>
            <w:tcW w:w="1253" w:type="dxa"/>
            <w:shd w:val="clear" w:color="auto" w:fill="auto"/>
            <w:noWrap/>
            <w:vAlign w:val="center"/>
          </w:tcPr>
          <w:p w14:paraId="07B202AB">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0.6957</w:t>
            </w:r>
          </w:p>
        </w:tc>
        <w:tc>
          <w:tcPr>
            <w:tcW w:w="1179" w:type="dxa"/>
            <w:shd w:val="clear" w:color="auto" w:fill="auto"/>
            <w:vAlign w:val="center"/>
          </w:tcPr>
          <w:p w14:paraId="531D040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9.8 </w:t>
            </w:r>
          </w:p>
        </w:tc>
        <w:tc>
          <w:tcPr>
            <w:tcW w:w="979" w:type="dxa"/>
            <w:shd w:val="clear" w:color="auto" w:fill="auto"/>
            <w:noWrap/>
            <w:vAlign w:val="center"/>
          </w:tcPr>
          <w:p w14:paraId="1B2F88CF">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0.8367</w:t>
            </w:r>
          </w:p>
        </w:tc>
        <w:tc>
          <w:tcPr>
            <w:tcW w:w="1179" w:type="dxa"/>
            <w:shd w:val="clear" w:color="auto" w:fill="auto"/>
            <w:noWrap/>
            <w:vAlign w:val="center"/>
          </w:tcPr>
          <w:p w14:paraId="09A03D00">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0.7633</w:t>
            </w:r>
          </w:p>
        </w:tc>
        <w:tc>
          <w:tcPr>
            <w:tcW w:w="1179" w:type="dxa"/>
            <w:shd w:val="clear" w:color="auto" w:fill="auto"/>
            <w:noWrap/>
            <w:vAlign w:val="center"/>
          </w:tcPr>
          <w:p w14:paraId="6350EDA2">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0.6006</w:t>
            </w:r>
          </w:p>
        </w:tc>
      </w:tr>
      <w:tr w14:paraId="77BA8F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1179" w:type="dxa"/>
            <w:shd w:val="clear" w:color="auto" w:fill="auto"/>
            <w:vAlign w:val="center"/>
          </w:tcPr>
          <w:p w14:paraId="091A73A1">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 xml:space="preserve">5.4 </w:t>
            </w:r>
          </w:p>
        </w:tc>
        <w:tc>
          <w:tcPr>
            <w:tcW w:w="1098" w:type="dxa"/>
            <w:shd w:val="clear" w:color="auto" w:fill="auto"/>
            <w:noWrap/>
            <w:vAlign w:val="center"/>
          </w:tcPr>
          <w:p w14:paraId="56D2986A">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0.9015</w:t>
            </w:r>
          </w:p>
        </w:tc>
        <w:tc>
          <w:tcPr>
            <w:tcW w:w="1253" w:type="dxa"/>
            <w:shd w:val="clear" w:color="auto" w:fill="auto"/>
            <w:noWrap/>
            <w:vAlign w:val="center"/>
          </w:tcPr>
          <w:p w14:paraId="682E0BC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0.8402</w:t>
            </w:r>
          </w:p>
        </w:tc>
        <w:tc>
          <w:tcPr>
            <w:tcW w:w="1253" w:type="dxa"/>
            <w:shd w:val="clear" w:color="auto" w:fill="auto"/>
            <w:noWrap/>
            <w:vAlign w:val="center"/>
          </w:tcPr>
          <w:p w14:paraId="49878386">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0.6931</w:t>
            </w:r>
          </w:p>
        </w:tc>
        <w:tc>
          <w:tcPr>
            <w:tcW w:w="1179" w:type="dxa"/>
            <w:shd w:val="clear" w:color="auto" w:fill="auto"/>
            <w:vAlign w:val="center"/>
          </w:tcPr>
          <w:p w14:paraId="6ECD9387">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9.9</w:t>
            </w:r>
          </w:p>
        </w:tc>
        <w:tc>
          <w:tcPr>
            <w:tcW w:w="979" w:type="dxa"/>
            <w:shd w:val="clear" w:color="auto" w:fill="auto"/>
            <w:noWrap/>
            <w:vAlign w:val="center"/>
          </w:tcPr>
          <w:p w14:paraId="5FA198C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0.8356</w:t>
            </w:r>
          </w:p>
        </w:tc>
        <w:tc>
          <w:tcPr>
            <w:tcW w:w="1179" w:type="dxa"/>
            <w:shd w:val="clear" w:color="auto" w:fill="auto"/>
            <w:noWrap/>
            <w:vAlign w:val="center"/>
          </w:tcPr>
          <w:p w14:paraId="556FECED">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0.7619</w:t>
            </w:r>
          </w:p>
        </w:tc>
        <w:tc>
          <w:tcPr>
            <w:tcW w:w="1179" w:type="dxa"/>
            <w:shd w:val="clear" w:color="auto" w:fill="auto"/>
            <w:noWrap/>
            <w:vAlign w:val="center"/>
          </w:tcPr>
          <w:p w14:paraId="41E134FC">
            <w:pPr>
              <w:widowControl/>
              <w:adjustRightInd/>
              <w:spacing w:line="200" w:lineRule="exact"/>
              <w:textAlignment w:val="auto"/>
              <w:rPr>
                <w:rFonts w:ascii="Arial" w:hAnsi="Arial" w:eastAsia="仿宋" w:cs="Arial"/>
                <w:sz w:val="20"/>
                <w:highlight w:val="none"/>
              </w:rPr>
            </w:pPr>
            <w:r>
              <w:rPr>
                <w:rFonts w:ascii="Arial" w:hAnsi="Arial" w:eastAsia="仿宋" w:cs="Arial"/>
                <w:sz w:val="20"/>
                <w:highlight w:val="none"/>
              </w:rPr>
              <w:t>0.5989</w:t>
            </w:r>
          </w:p>
        </w:tc>
      </w:tr>
      <w:tr w14:paraId="434356A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28" w:type="dxa"/>
            <w:left w:w="28" w:type="dxa"/>
            <w:bottom w:w="28" w:type="dxa"/>
            <w:right w:w="28" w:type="dxa"/>
          </w:tblCellMar>
        </w:tblPrEx>
        <w:trPr>
          <w:cantSplit/>
          <w:jc w:val="center"/>
        </w:trPr>
        <w:tc>
          <w:tcPr>
            <w:tcW w:w="9299" w:type="dxa"/>
            <w:gridSpan w:val="8"/>
            <w:shd w:val="clear" w:color="auto" w:fill="auto"/>
            <w:vAlign w:val="center"/>
          </w:tcPr>
          <w:p w14:paraId="4B136CD7">
            <w:pPr>
              <w:widowControl/>
              <w:adjustRightInd/>
              <w:spacing w:line="220" w:lineRule="exact"/>
              <w:textAlignment w:val="auto"/>
              <w:rPr>
                <w:rFonts w:ascii="Arial" w:hAnsi="Arial" w:eastAsia="仿宋" w:cs="Arial"/>
                <w:sz w:val="20"/>
                <w:highlight w:val="none"/>
              </w:rPr>
            </w:pPr>
            <w:r>
              <w:rPr>
                <w:rFonts w:ascii="Arial" w:hAnsi="Arial" w:eastAsia="仿宋" w:cs="Arial"/>
                <w:sz w:val="20"/>
                <w:highlight w:val="none"/>
              </w:rPr>
              <w:t>说明：容积率大于等于10时的容积率修正系数按照以下公式计算：1～2级：X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0.9404－0.0106R；3～7级：X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0.8955－0.0135R；8～12级：X</w:t>
            </w:r>
            <w:r>
              <w:rPr>
                <w:rFonts w:ascii="Arial" w:hAnsi="Arial" w:eastAsia="仿宋" w:cs="Arial"/>
                <w:sz w:val="20"/>
                <w:highlight w:val="none"/>
                <w:vertAlign w:val="subscript"/>
              </w:rPr>
              <w:t>R</w:t>
            </w:r>
            <w:r>
              <w:rPr>
                <w:rFonts w:hint="eastAsia" w:ascii="Arial" w:hAnsi="Arial" w:eastAsia="仿宋" w:cs="Arial"/>
                <w:sz w:val="20"/>
                <w:highlight w:val="none"/>
                <w:lang w:eastAsia="zh-CN"/>
              </w:rPr>
              <w:t>＝</w:t>
            </w:r>
            <w:r>
              <w:rPr>
                <w:rFonts w:ascii="Arial" w:hAnsi="Arial" w:eastAsia="仿宋" w:cs="Arial"/>
                <w:sz w:val="20"/>
                <w:highlight w:val="none"/>
              </w:rPr>
              <w:t>0.7632－0.0166R。</w:t>
            </w:r>
          </w:p>
        </w:tc>
      </w:tr>
    </w:tbl>
    <w:p w14:paraId="2FAE6533">
      <w:pPr>
        <w:keepNext w:val="0"/>
        <w:keepLines w:val="0"/>
        <w:pageBreakBefore w:val="0"/>
        <w:widowControl w:val="0"/>
        <w:kinsoku/>
        <w:wordWrap/>
        <w:overflowPunct/>
        <w:topLinePunct w:val="0"/>
        <w:autoSpaceDE/>
        <w:autoSpaceDN/>
        <w:bidi w:val="0"/>
        <w:adjustRightInd w:val="0"/>
        <w:snapToGrid/>
        <w:spacing w:before="313" w:beforeLines="100" w:line="300" w:lineRule="auto"/>
        <w:ind w:firstLine="560" w:firstLineChars="200"/>
        <w:jc w:val="both"/>
        <w:textAlignment w:val="baseline"/>
        <w:rPr>
          <w:rFonts w:ascii="Arial" w:hAnsi="Arial" w:eastAsia="仿宋" w:cs="Arial"/>
          <w:sz w:val="28"/>
          <w:szCs w:val="28"/>
          <w:highlight w:val="none"/>
        </w:rPr>
      </w:pPr>
      <w:r>
        <w:rPr>
          <w:rFonts w:ascii="Arial" w:hAnsi="Arial" w:eastAsia="仿宋" w:cs="Arial"/>
          <w:sz w:val="28"/>
          <w:szCs w:val="28"/>
          <w:highlight w:val="none"/>
        </w:rPr>
        <w:t>估价对象容积率R为1.20，根据上表可知，容积率修正系数为1.0678</w:t>
      </w:r>
    </w:p>
    <w:p w14:paraId="506D28D9">
      <w:pPr>
        <w:adjustRightInd/>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F.因素修正系数的确定</w:t>
      </w:r>
    </w:p>
    <w:p w14:paraId="06C4E613">
      <w:pPr>
        <w:adjustRightInd/>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因素修正系数是指除容积率（楼层）、期日、年期、用途之外的其它地价影响因素的综合修正系数。参照《北京市基准地价因素修正系数说明表》（详见下表），根据估价对象用途对应的宗地各种因素情况确定每种因素的修正系数，应用以下公式测算宗地因素修正系数：</w:t>
      </w:r>
    </w:p>
    <w:p w14:paraId="4ABB2731">
      <w:pPr>
        <w:adjustRightInd/>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因素修正系数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ascii="Arial" w:hAnsi="Arial" w:eastAsia="仿宋" w:cs="Arial"/>
          <w:sz w:val="28"/>
          <w:szCs w:val="28"/>
          <w:highlight w:val="none"/>
        </w:rPr>
        <w:fldChar w:fldCharType="begin"/>
      </w:r>
      <w:r>
        <w:rPr>
          <w:rFonts w:ascii="Arial" w:hAnsi="Arial" w:eastAsia="仿宋" w:cs="Arial"/>
          <w:sz w:val="28"/>
          <w:szCs w:val="28"/>
          <w:highlight w:val="none"/>
        </w:rPr>
        <w:instrText xml:space="preserve"> QUOTE </w:instrText>
      </w:r>
      <w:r>
        <w:rPr>
          <w:rFonts w:ascii="Arial" w:hAnsi="Arial" w:eastAsia="仿宋" w:cs="Arial"/>
          <w:sz w:val="28"/>
          <w:szCs w:val="28"/>
          <w:highlight w:val="none"/>
        </w:rPr>
        <w:pict>
          <v:shape id="_x0000_i1029"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a MatO/hO/&quot;O/ O/wO/:O/hO/-ansi=&quot;Cambria Math&quot; w:cs=&quot;仿宋_GB2312&quot;/&gt;&lt;wx:font wx:val=&quot;Cambria Math&quot;/&gt;&lt;w:i/&gt;&lt;w:sz w:val=&quot;21&quot;/&gt;&lt;w:sz-cs w:val=&quot;29&quot;/&gt;&lt;/w:rPr&gt;&lt;m:t&gt;i=1&lt;/m:t&gt;&lt;/m:r&gt;&lt;/m:sub&gt;&lt;m:sup&gt;&lt;m:r&gt;&lt;w:rPr&gt;&lt;w:rFonts w:ascii=&quot;Cambria Math&quot; w:h-ansi=&quot;Cambria Math&quot; w:cs=&quot;?O/滤蝨hO/_GBh&quot;O/231&quot; O/2&quot;/ wO/&gt;&lt;ww:O/x:f:hO/ont wx:val=&quot;Cambria Math&quot;/&gt;&lt;w:i/&gt;&lt;w:sz w:val=&quot;21&quot;/&gt;&lt;w:sz-cs w:val=&quot;29&quot;/&gt;&lt;/w:rPr&gt;&lt;m:t&gt;n&lt;/m:t&gt;&lt;/m:r&gt;&lt;/m:sup&gt;&lt;m:e&gt;&lt;m:r&gt;&lt;w:rPr&gt;&lt;w:rFonts w:ascii=&quot;Cambria Math&quot; w:h-ansi=&quot;Cambria Math&quot; w:cs=&quot;仿宋_GB2312&quot;/&gt;&lt;wx:font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sz w:val="28"/>
          <w:szCs w:val="28"/>
          <w:highlight w:val="none"/>
        </w:rPr>
        <w:instrText xml:space="preserve"> </w:instrText>
      </w:r>
      <w:r>
        <w:rPr>
          <w:rFonts w:ascii="Arial" w:hAnsi="Arial" w:eastAsia="仿宋" w:cs="Arial"/>
          <w:sz w:val="28"/>
          <w:szCs w:val="28"/>
          <w:highlight w:val="none"/>
        </w:rPr>
        <w:fldChar w:fldCharType="separate"/>
      </w:r>
      <w:r>
        <w:rPr>
          <w:rFonts w:ascii="Arial" w:hAnsi="Arial" w:eastAsia="仿宋" w:cs="Arial"/>
          <w:sz w:val="28"/>
          <w:szCs w:val="28"/>
          <w:highlight w:val="none"/>
        </w:rPr>
        <w:pict>
          <v:shape id="_x0000_i1030" o:spt="75" type="#_x0000_t75" style="height:18.75pt;width:30.75pt;" filled="f" o:preferrelative="t" stroked="f" coordsize="21600,21600" equationxml="&lt;?xml version=&quot;1.0&quot; encoding=&quot;UTF-8&quot; standalone=&quot;yes&quot;?&gt;&#10;&#10;&lt;?mso-application progid=&quot;Word.Document&quot;?&gt;&#10;&#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bordersDontSurroundHeader/&gt;&lt;w:bordersDontSurroundFooter/&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C06111&quot;/&gt;&lt;wsp:rsid wsp:val=&quot;000178EB&quot;/&gt;&lt;wsp:rsid wsp:val=&quot;00032366&quot;/&gt;&lt;wsp:rsid wsp:val=&quot;00032528&quot;/&gt;&lt;wsp:rsid wsp:val=&quot;0005644A&quot;/&gt;&lt;wsp:rsid wsp:val=&quot;000870BF&quot;/&gt;&lt;wsp:rsid wsp:val=&quot;000A2CE2&quot;/&gt;&lt;wsp:rsid wsp:val=&quot;000A35BB&quot;/&gt;&lt;wsp:rsid wsp:val=&quot;000C479B&quot;/&gt;&lt;wsp:rsid wsp:val=&quot;000F7E94&quot;/&gt;&lt;wsp:rsid wsp:val=&quot;00100E36&quot;/&gt;&lt;wsp:rsid wsp:val=&quot;0010754D&quot;/&gt;&lt;wsp:rsid wsp:val=&quot;0011058E&quot;/&gt;&lt;wsp:rsid wsp:val=&quot;00115E7E&quot;/&gt;&lt;wsp:rsid wsp:val=&quot;00115F67&quot;/&gt;&lt;wsp:rsid wsp:val=&quot;00136655&quot;/&gt;&lt;wsp:rsid wsp:val=&quot;001709EB&quot;/&gt;&lt;wsp:rsid wsp:val=&quot;00175821&quot;/&gt;&lt;wsp:rsid wsp:val=&quot;00180DC9&quot;/&gt;&lt;wsp:rsid wsp:val=&quot;001A4628&quot;/&gt;&lt;wsp:rsid wsp:val=&quot;001A66E5&quot;/&gt;&lt;wsp:rsid wsp:val=&quot;001C2E50&quot;/&gt;&lt;wsp:rsid wsp:val=&quot;001D78E4&quot;/&gt;&lt;wsp:rsid wsp:val=&quot;001E3E70&quot;/&gt;&lt;wsp:rsid wsp:val=&quot;001F4C0A&quot;/&gt;&lt;wsp:rsid wsp:val=&quot;00251D66&quot;/&gt;&lt;wsp:rsid wsp:val=&quot;0025382F&quot;/&gt;&lt;wsp:rsid wsp:val=&quot;00263EFC&quot;/&gt;&lt;wsp:rsid wsp:val=&quot;00283C27&quot;/&gt;&lt;wsp:rsid wsp:val=&quot;002A32A6&quot;/&gt;&lt;wsp:rsid wsp:val=&quot;002D1E84&quot;/&gt;&lt;wsp:rsid wsp:val=&quot;002E011B&quot;/&gt;&lt;wsp:rsid wsp:val=&quot;00315E7C&quot;/&gt;&lt;wsp:rsid wsp:val=&quot;003451F1&quot;/&gt;&lt;wsp:rsid wsp:val=&quot;00350A39&quot;/&gt;&lt;wsp:rsid wsp:val=&quot;00366E0F&quot;/&gt;&lt;wsp:rsid wsp:val=&quot;00374477&quot;/&gt;&lt;wsp:rsid wsp:val=&quot;003860EA&quot;/&gt;&lt;wsp:rsid wsp:val=&quot;00386735&quot;/&gt;&lt;wsp:rsid wsp:val=&quot;003972C2&quot;/&gt;&lt;wsp:rsid wsp:val=&quot;003B064A&quot;/&gt;&lt;wsp:rsid wsp:val=&quot;003F0E81&quot;/&gt;&lt;wsp:rsid wsp:val=&quot;003F732B&quot;/&gt;&lt;wsp:rsid wsp:val=&quot;003F7CA6&quot;/&gt;&lt;wsp:rsid wsp:val=&quot;0040135C&quot;/&gt;&lt;wsp:rsid wsp:val=&quot;00402AED&quot;/&gt;&lt;wsp:rsid wsp:val=&quot;00407162&quot;/&gt;&lt;wsp:rsid wsp:val=&quot;00415EB6&quot;/&gt;&lt;wsp:rsid wsp:val=&quot;0043011E&quot;/&gt;&lt;wsp:rsid wsp:val=&quot;004763B8&quot;/&gt;&lt;wsp:rsid wsp:val=&quot;00476BC3&quot;/&gt;&lt;wsp:rsid wsp:val=&quot;00484DC2&quot;/&gt;&lt;wsp:rsid wsp:val=&quot;00494499&quot;/&gt;&lt;wsp:rsid wsp:val=&quot;004B0921&quot;/&gt;&lt;wsp:rsid wsp:val=&quot;004C41B7&quot;/&gt;&lt;wsp:rsid wsp:val=&quot;004D09B2&quot;/&gt;&lt;wsp:rsid wsp:val=&quot;004D62F4&quot;/&gt;&lt;wsp:rsid wsp:val=&quot;004F047C&quot;/&gt;&lt;wsp:rsid wsp:val=&quot;004F7667&quot;/&gt;&lt;wsp:rsid wsp:val=&quot;00520321&quot;/&gt;&lt;wsp:rsid wsp:val=&quot;0052196E&quot;/&gt;&lt;wsp:rsid wsp:val=&quot;00527117&quot;/&gt;&lt;wsp:rsid wsp:val=&quot;00540322&quot;/&gt;&lt;wsp:rsid wsp:val=&quot;0054126B&quot;/&gt;&lt;wsp:rsid wsp:val=&quot;00544B04&quot;/&gt;&lt;wsp:rsid wsp:val=&quot;005461A4&quot;/&gt;&lt;wsp:rsid wsp:val=&quot;005463D8&quot;/&gt;&lt;wsp:rsid wsp:val=&quot;00555428&quot;/&gt;&lt;wsp:rsid wsp:val=&quot;005720BD&quot;/&gt;&lt;wsp:rsid wsp:val=&quot;00573ADF&quot;/&gt;&lt;wsp:rsid wsp:val=&quot;0059084C&quot;/&gt;&lt;wsp:rsid wsp:val=&quot;00595FD5&quot;/&gt;&lt;wsp:rsid wsp:val=&quot;005C4E0A&quot;/&gt;&lt;wsp:rsid wsp:val=&quot;005E4003&quot;/&gt;&lt;wsp:rsid wsp:val=&quot;005E6723&quot;/&gt;&lt;wsp:rsid wsp:val=&quot;005F50F1&quot;/&gt;&lt;wsp:rsid wsp:val=&quot;005F62DB&quot;/&gt;&lt;wsp:rsid wsp:val=&quot;00606EB6&quot;/&gt;&lt;wsp:rsid wsp:val=&quot;0066211E&quot;/&gt;&lt;wsp:rsid wsp:val=&quot;00674429&quot;/&gt;&lt;wsp:rsid wsp:val=&quot;00693C97&quot;/&gt;&lt;wsp:rsid wsp:val=&quot;006A2172&quot;/&gt;&lt;wsp:rsid wsp:val=&quot;006B115C&quot;/&gt;&lt;wsp:rsid wsp:val=&quot;006C10A9&quot;/&gt;&lt;wsp:rsid wsp:val=&quot;006C4B16&quot;/&gt;&lt;wsp:rsid wsp:val=&quot;006C6FD5&quot;/&gt;&lt;wsp:rsid wsp:val=&quot;006D6A01&quot;/&gt;&lt;wsp:rsid wsp:val=&quot;006E085F&quot;/&gt;&lt;wsp:rsid wsp:val=&quot;0070342C&quot;/&gt;&lt;wsp:rsid wsp:val=&quot;007110DA&quot;/&gt;&lt;wsp:rsid wsp:val=&quot;00717B83&quot;/&gt;&lt;wsp:rsid wsp:val=&quot;0072188B&quot;/&gt;&lt;wsp:rsid wsp:val=&quot;00737685&quot;/&gt;&lt;wsp:rsid wsp:val=&quot;00745264&quot;/&gt;&lt;wsp:rsid wsp:val=&quot;0075544E&quot;/&gt;&lt;wsp:rsid wsp:val=&quot;00770CC2&quot;/&gt;&lt;wsp:rsid wsp:val=&quot;007814F0&quot;/&gt;&lt;wsp:rsid wsp:val=&quot;007B0B09&quot;/&gt;&lt;wsp:rsid wsp:val=&quot;007D5727&quot;/&gt;&lt;wsp:rsid wsp:val=&quot;007E4BAE&quot;/&gt;&lt;wsp:rsid wsp:val=&quot;007F20BD&quot;/&gt;&lt;wsp:rsid wsp:val=&quot;007F50E3&quot;/&gt;&lt;wsp:rsid wsp:val=&quot;00801168&quot;/&gt;&lt;wsp:rsid wsp:val=&quot;0080787A&quot;/&gt;&lt;wsp:rsid wsp:val=&quot;0081738E&quot;/&gt;&lt;wsp:rsid wsp:val=&quot;00842756&quot;/&gt;&lt;wsp:rsid wsp:val=&quot;008460C7&quot;/&gt;&lt;wsp:rsid wsp:val=&quot;00853369&quot;/&gt;&lt;wsp:rsid wsp:val=&quot;0086014E&quot;/&gt;&lt;wsp:rsid wsp:val=&quot;008748FA&quot;/&gt;&lt;wsp:rsid wsp:val=&quot;00876DB8&quot;/&gt;&lt;wsp:rsid wsp:val=&quot;00885618&quot;/&gt;&lt;wsp:rsid wsp:val=&quot;008912CE&quot;/&gt;&lt;wsp:rsid wsp:val=&quot;00892CA1&quot;/&gt;&lt;wsp:rsid wsp:val=&quot;008964F9&quot;/&gt;&lt;wsp:rsid wsp:val=&quot;008C05F0&quot;/&gt;&lt;wsp:rsid wsp:val=&quot;008C5FB1&quot;/&gt;&lt;wsp:rsid wsp:val=&quot;00903EA0&quot;/&gt;&lt;wsp:rsid wsp:val=&quot;00904D7B&quot;/&gt;&lt;wsp:rsid wsp:val=&quot;009114BC&quot;/&gt;&lt;wsp:rsid wsp:val=&quot;00925B66&quot;/&gt;&lt;wsp:rsid wsp:val=&quot;00991AA7&quot;/&gt;&lt;wsp:rsid wsp:val=&quot;009B77EB&quot;/&gt;&lt;wsp:rsid wsp:val=&quot;009C0C04&quot;/&gt;&lt;wsp:rsid wsp:val=&quot;009D4318&quot;/&gt;&lt;wsp:rsid wsp:val=&quot;009E40CF&quot;/&gt;&lt;wsp:rsid wsp:val=&quot;009E7A21&quot;/&gt;&lt;wsp:rsid wsp:val=&quot;009F0002&quot;/&gt;&lt;wsp:rsid wsp:val=&quot;009F19B4&quot;/&gt;&lt;wsp:rsid wsp:val=&quot;009F3D1B&quot;/&gt;&lt;wsp:rsid wsp:val=&quot;009F5784&quot;/&gt;&lt;wsp:rsid wsp:val=&quot;00A000A5&quot;/&gt;&lt;wsp:rsid wsp:val=&quot;00A30125&quot;/&gt;&lt;wsp:rsid wsp:val=&quot;00A4446F&quot;/&gt;&lt;wsp:rsid wsp:val=&quot;00A9245E&quot;/&gt;&lt;wsp:rsid wsp:val=&quot;00AB2EB5&quot;/&gt;&lt;wsp:rsid wsp:val=&quot;00AB732E&quot;/&gt;&lt;wsp:rsid wsp:val=&quot;00B37A59&quot;/&gt;&lt;wsp:rsid wsp:val=&quot;00B4144C&quot;/&gt;&lt;wsp:rsid wsp:val=&quot;00B710BE&quot;/&gt;&lt;wsp:rsid wsp:val=&quot;00B71F8D&quot;/&gt;&lt;wsp:rsid wsp:val=&quot;00B77F8C&quot;/&gt;&lt;wsp:rsid wsp:val=&quot;00B80305&quot;/&gt;&lt;wsp:rsid wsp:val=&quot;00BB3E24&quot;/&gt;&lt;wsp:rsid wsp:val=&quot;00BD5A39&quot;/&gt;&lt;wsp:rsid wsp:val=&quot;00BE455C&quot;/&gt;&lt;wsp:rsid wsp:val=&quot;00C00443&quot;/&gt;&lt;wsp:rsid wsp:val=&quot;00C06111&quot;/&gt;&lt;wsp:rsid wsp:val=&quot;00C30BDE&quot;/&gt;&lt;wsp:rsid wsp:val=&quot;00C318EE&quot;/&gt;&lt;wsp:rsid wsp:val=&quot;00C34759&quot;/&gt;&lt;wsp:rsid wsp:val=&quot;00C63F54&quot;/&gt;&lt;wsp:rsid wsp:val=&quot;00C6608D&quot;/&gt;&lt;wsp:rsid wsp:val=&quot;00C67050&quot;/&gt;&lt;wsp:rsid wsp:val=&quot;00C67B4C&quot;/&gt;&lt;wsp:rsid wsp:val=&quot;00CB1FDF&quot;/&gt;&lt;wsp:rsid wsp:val=&quot;00CB2087&quot;/&gt;&lt;wsp:rsid wsp:val=&quot;00CB462D&quot;/&gt;&lt;wsp:rsid wsp:val=&quot;00CC0C2B&quot;/&gt;&lt;wsp:rsid wsp:val=&quot;00CF570A&quot;/&gt;&lt;wsp:rsid wsp:val=&quot;00D0526F&quot;/&gt;&lt;wsp:rsid wsp:val=&quot;00D05315&quot;/&gt;&lt;wsp:rsid wsp:val=&quot;00D12154&quot;/&gt;&lt;wsp:rsid wsp:val=&quot;00D3073A&quot;/&gt;&lt;wsp:rsid wsp:val=&quot;00D55D42&quot;/&gt;&lt;wsp:rsid wsp:val=&quot;00D57F54&quot;/&gt;&lt;wsp:rsid wsp:val=&quot;00D6621D&quot;/&gt;&lt;wsp:rsid wsp:val=&quot;00D67934&quot;/&gt;&lt;wsp:rsid wsp:val=&quot;00D72ABD&quot;/&gt;&lt;wsp:rsid wsp:val=&quot;00D85F94&quot;/&gt;&lt;wsp:rsid wsp:val=&quot;00D87ECA&quot;/&gt;&lt;wsp:rsid wsp:val=&quot;00D93266&quot;/&gt;&lt;wsp:rsid wsp:val=&quot;00DA647C&quot;/&gt;&lt;wsp:rsid wsp:val=&quot;00DC1B1F&quot;/&gt;&lt;wsp:rsid wsp:val=&quot;00DC4EEA&quot;/&gt;&lt;wsp:rsid wsp:val=&quot;00DD4129&quot;/&gt;&lt;wsp:rsid wsp:val=&quot;00E03316&quot;/&gt;&lt;wsp:rsid wsp:val=&quot;00E1325A&quot;/&gt;&lt;wsp:rsid wsp:val=&quot;00E153AD&quot;/&gt;&lt;wsp:rsid wsp:val=&quot;00E23EBA&quot;/&gt;&lt;wsp:rsid wsp:val=&quot;00E3382F&quot;/&gt;&lt;wsp:rsid wsp:val=&quot;00E465CC&quot;/&gt;&lt;wsp:rsid wsp:val=&quot;00E570A0&quot;/&gt;&lt;wsp:rsid wsp:val=&quot;00E673F4&quot;/&gt;&lt;wsp:rsid wsp:val=&quot;00E71617&quot;/&gt;&lt;wsp:rsid wsp:val=&quot;00E75437&quot;/&gt;&lt;wsp:rsid wsp:val=&quot;00E834C5&quot;/&gt;&lt;wsp:rsid wsp:val=&quot;00E84EDF&quot;/&gt;&lt;wsp:rsid wsp:val=&quot;00E851C3&quot;/&gt;&lt;wsp:rsid wsp:val=&quot;00E93297&quot;/&gt;&lt;wsp:rsid wsp:val=&quot;00EB0014&quot;/&gt;&lt;wsp:rsid wsp:val=&quot;00EB48BC&quot;/&gt;&lt;wsp:rsid wsp:val=&quot;00EC022A&quot;/&gt;&lt;wsp:rsid wsp:val=&quot;00EC3E5E&quot;/&gt;&lt;wsp:rsid wsp:val=&quot;00EE0575&quot;/&gt;&lt;wsp:rsid wsp:val=&quot;00EF2DBB&quot;/&gt;&lt;wsp:rsid wsp:val=&quot;00F257B5&quot;/&gt;&lt;wsp:rsid wsp:val=&quot;00F579DB&quot;/&gt;&lt;wsp:rsid wsp:val=&quot;00F710E8&quot;/&gt;&lt;wsp:rsid wsp:val=&quot;00F75CD4&quot;/&gt;&lt;wsp:rsid wsp:val=&quot;00F76DFB&quot;/&gt;&lt;wsp:rsid wsp:val=&quot;00FA00ED&quot;/&gt;&lt;wsp:rsid wsp:val=&quot;00FD146F&quot;/&gt;&lt;wsp:rsid wsp:val=&quot;00FD3BB6&quot;/&gt;&lt;wsp:rsid wsp:val=&quot;00FE695F&quot;/&gt;&lt;/wsp:rsids&gt;&lt;/w:docPr&gt;&lt;w:body&gt;&lt;wx:sect&gt;&lt;w:p wsp:rsidR=&quot;00000000&quot; wsp:rsidRDefault=&quot;00573ADF&quot; wsp:rsidP=&quot;00573ADF&quot;&gt;&lt;m:oMathPara&gt;&lt;m:oMath&gt;&lt;m:nary&gt;&lt;m:naryPr&gt;&lt;m:chr m:val=&quot;∑&quot;/&gt;&lt;m:limLoc m:val=&quot;undO///////vr&quot;/&gt;&lt;m:ctrlPr&gt;&lt;w:rPr&gt;&lt;w:rFonts w:ascii=&quot;Cambria Math&quot; w:h-ansi=&quot;Cambria Math&quot; w:cs=&quot;仿宋_GB2312&quot;/&gt;&lt;wx:font wx:val=&quot;Cambria Math&quot;/&gt;&lt;w:sz w:val=&quot;21&quot;/&gt;&lt;w:sz-cs w:val=&quot;29&quot;/&gt;&lt;/w:rPr&gt;&lt;/m:ctrlPr&gt;&lt;/m:naryPr&gt;&lt;m:sub&gt;&lt;m:r&gt;&lt;w:rPr&gt;&lt;w:rFonts w:ascii=&quot;Cambria MatO/hO/&quot;O/ O/wO/:O/hO/-ansi=&quot;Cambria Math&quot; w:cs=&quot;仿宋_GB2312&quot;/&gt;&lt;wx:font wx:val=&quot;Cambria Math&quot;/&gt;&lt;w:i/&gt;&lt;w:sz w:val=&quot;21&quot;/&gt;&lt;w:sz-cs w:val=&quot;29&quot;/&gt;&lt;/w:rPr&gt;&lt;m:t&gt;i=1&lt;/m:t&gt;&lt;/m:r&gt;&lt;/m:sub&gt;&lt;m:sup&gt;&lt;m:r&gt;&lt;w:rPr&gt;&lt;w:rFonts w:ascii=&quot;Cambria Math&quot; w:h-ansi=&quot;Cambria Math&quot; w:cs=&quot;?O/滤蝨hO/_GBh&quot;O/231&quot; O/2&quot;/ wO/&gt;&lt;ww:O/x:f:hO/ont wx:val=&quot;Cambria Math&quot;/&gt;&lt;w:i/&gt;&lt;w:sz w:val=&quot;21&quot;/&gt;&lt;w:sz-cs w:val=&quot;29&quot;/&gt;&lt;/w:rPr&gt;&lt;m:t&gt;n&lt;/m:t&gt;&lt;/m:r&gt;&lt;/m:sup&gt;&lt;m:e&gt;&lt;m:r&gt;&lt;w:rPr&gt;&lt;w:rFonts w:ascii=&quot;Cambria Math&quot; w:h-ansi=&quot;Cambria Math&quot; w:cs=&quot;仿宋_GB2312&quot;/&gt;&lt;wx:font wx:v&quot;?O/al=&quot;CamO/bria MaO/th&quot;/&gt;&lt;wO/:i/&gt;&lt;w:O/sz w:vaO/l=&quot;21&quot;/O/&gt;&lt;w:sz-cs w:val=&quot;29&quot;/&gt;&lt;/w:rPr&gt;&lt;m:t&gt;ki&lt;/m:t&gt;&lt;/m:r&gt;&lt;/m:e&gt;&lt;/m:nary&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64" chromakey="#FFFFFF" o:title=""/>
            <o:lock v:ext="edit" aspectratio="t"/>
            <w10:wrap type="none"/>
            <w10:anchorlock/>
          </v:shape>
        </w:pict>
      </w:r>
      <w:r>
        <w:rPr>
          <w:rFonts w:ascii="Arial" w:hAnsi="Arial" w:eastAsia="仿宋" w:cs="Arial"/>
          <w:sz w:val="28"/>
          <w:szCs w:val="28"/>
          <w:highlight w:val="none"/>
        </w:rPr>
        <w:fldChar w:fldCharType="end"/>
      </w:r>
    </w:p>
    <w:p w14:paraId="08DB56CD">
      <w:pPr>
        <w:adjustRightInd/>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其中ki：第i种因素的修正系数</w:t>
      </w:r>
    </w:p>
    <w:p w14:paraId="619D9B56">
      <w:pPr>
        <w:adjustRightInd/>
        <w:spacing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各因素的修正系数根据影响地价的因素权重和因素总修正幅度确定。</w:t>
      </w:r>
    </w:p>
    <w:p w14:paraId="62D09376">
      <w:pPr>
        <w:rPr>
          <w:rFonts w:ascii="Arial" w:hAnsi="Arial" w:eastAsia="仿宋" w:cs="Arial"/>
          <w:bCs/>
          <w:sz w:val="28"/>
          <w:szCs w:val="28"/>
          <w:highlight w:val="none"/>
        </w:rPr>
      </w:pPr>
      <w:r>
        <w:rPr>
          <w:rFonts w:ascii="Arial" w:hAnsi="Arial" w:eastAsia="仿宋" w:cs="Arial"/>
          <w:bCs/>
          <w:sz w:val="28"/>
          <w:szCs w:val="28"/>
          <w:highlight w:val="none"/>
        </w:rPr>
        <w:br w:type="page"/>
      </w:r>
    </w:p>
    <w:p w14:paraId="765D1A2A">
      <w:pPr>
        <w:spacing w:line="300" w:lineRule="auto"/>
        <w:jc w:val="center"/>
        <w:rPr>
          <w:rFonts w:ascii="Arial" w:hAnsi="Arial" w:eastAsia="仿宋" w:cs="Arial"/>
          <w:sz w:val="28"/>
          <w:szCs w:val="28"/>
          <w:highlight w:val="none"/>
        </w:rPr>
      </w:pPr>
      <w:r>
        <w:rPr>
          <w:rFonts w:ascii="Arial" w:hAnsi="Arial" w:eastAsia="仿宋" w:cs="Arial"/>
          <w:bCs/>
          <w:sz w:val="28"/>
          <w:szCs w:val="28"/>
          <w:highlight w:val="none"/>
        </w:rPr>
        <w:t>北京市基准地价因素权重表</w:t>
      </w:r>
    </w:p>
    <w:tbl>
      <w:tblPr>
        <w:tblStyle w:val="34"/>
        <w:tblW w:w="4998" w:type="pct"/>
        <w:jc w:val="center"/>
        <w:tblLayout w:type="autofit"/>
        <w:tblCellMar>
          <w:top w:w="57" w:type="dxa"/>
          <w:left w:w="28" w:type="dxa"/>
          <w:bottom w:w="57" w:type="dxa"/>
          <w:right w:w="28" w:type="dxa"/>
        </w:tblCellMar>
      </w:tblPr>
      <w:tblGrid>
        <w:gridCol w:w="1415"/>
        <w:gridCol w:w="504"/>
        <w:gridCol w:w="1398"/>
        <w:gridCol w:w="502"/>
        <w:gridCol w:w="1378"/>
        <w:gridCol w:w="504"/>
        <w:gridCol w:w="1359"/>
        <w:gridCol w:w="502"/>
        <w:gridCol w:w="1341"/>
        <w:gridCol w:w="503"/>
      </w:tblGrid>
      <w:tr w14:paraId="4B6E6259">
        <w:tblPrEx>
          <w:tblCellMar>
            <w:top w:w="57" w:type="dxa"/>
            <w:left w:w="28" w:type="dxa"/>
            <w:bottom w:w="57" w:type="dxa"/>
            <w:right w:w="28" w:type="dxa"/>
          </w:tblCellMar>
        </w:tblPrEx>
        <w:trPr>
          <w:cantSplit/>
          <w:jc w:val="center"/>
        </w:trPr>
        <w:tc>
          <w:tcPr>
            <w:tcW w:w="1020" w:type="pct"/>
            <w:gridSpan w:val="2"/>
            <w:tcBorders>
              <w:top w:val="single" w:color="404040" w:sz="8" w:space="0"/>
              <w:left w:val="single" w:color="404040" w:sz="8" w:space="0"/>
              <w:bottom w:val="single" w:color="404040" w:sz="8" w:space="0"/>
              <w:right w:val="single" w:color="404040" w:sz="8" w:space="0"/>
            </w:tcBorders>
            <w:shd w:val="clear" w:color="auto" w:fill="auto"/>
            <w:noWrap/>
            <w:vAlign w:val="center"/>
          </w:tcPr>
          <w:p w14:paraId="6CC1BAF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1010" w:type="pct"/>
            <w:gridSpan w:val="2"/>
            <w:tcBorders>
              <w:top w:val="single" w:color="404040" w:sz="8" w:space="0"/>
              <w:left w:val="nil"/>
              <w:bottom w:val="single" w:color="404040" w:sz="8" w:space="0"/>
              <w:right w:val="single" w:color="404040" w:sz="8" w:space="0"/>
            </w:tcBorders>
            <w:shd w:val="clear" w:color="auto" w:fill="auto"/>
            <w:noWrap/>
            <w:vAlign w:val="center"/>
          </w:tcPr>
          <w:p w14:paraId="5F2F4DF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1000" w:type="pct"/>
            <w:gridSpan w:val="2"/>
            <w:tcBorders>
              <w:top w:val="single" w:color="404040" w:sz="8" w:space="0"/>
              <w:left w:val="nil"/>
              <w:bottom w:val="single" w:color="404040" w:sz="8" w:space="0"/>
              <w:right w:val="single" w:color="404040" w:sz="8" w:space="0"/>
            </w:tcBorders>
            <w:shd w:val="clear" w:color="auto" w:fill="auto"/>
            <w:noWrap/>
            <w:vAlign w:val="center"/>
          </w:tcPr>
          <w:p w14:paraId="34CE85F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住宅类</w:t>
            </w:r>
          </w:p>
        </w:tc>
        <w:tc>
          <w:tcPr>
            <w:tcW w:w="989" w:type="pct"/>
            <w:gridSpan w:val="2"/>
            <w:tcBorders>
              <w:top w:val="single" w:color="404040" w:sz="8" w:space="0"/>
              <w:left w:val="nil"/>
              <w:bottom w:val="single" w:color="404040" w:sz="8" w:space="0"/>
              <w:right w:val="single" w:color="404040" w:sz="8" w:space="0"/>
            </w:tcBorders>
            <w:shd w:val="clear" w:color="auto" w:fill="auto"/>
            <w:noWrap/>
            <w:vAlign w:val="center"/>
          </w:tcPr>
          <w:p w14:paraId="71F57BD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979" w:type="pct"/>
            <w:gridSpan w:val="2"/>
            <w:tcBorders>
              <w:top w:val="single" w:color="404040" w:sz="8" w:space="0"/>
              <w:left w:val="nil"/>
              <w:bottom w:val="single" w:color="404040" w:sz="8" w:space="0"/>
              <w:right w:val="single" w:color="404040" w:sz="8" w:space="0"/>
            </w:tcBorders>
            <w:shd w:val="clear" w:color="auto" w:fill="auto"/>
            <w:noWrap/>
            <w:vAlign w:val="center"/>
          </w:tcPr>
          <w:p w14:paraId="719DBD2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r>
      <w:tr w14:paraId="7C3A0AC1">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noWrap/>
            <w:vAlign w:val="center"/>
          </w:tcPr>
          <w:p w14:paraId="64BFE0C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301FE49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43" w:type="pct"/>
            <w:tcBorders>
              <w:top w:val="nil"/>
              <w:left w:val="nil"/>
              <w:bottom w:val="single" w:color="404040" w:sz="8" w:space="0"/>
              <w:right w:val="single" w:color="404040" w:sz="8" w:space="0"/>
            </w:tcBorders>
            <w:shd w:val="clear" w:color="auto" w:fill="auto"/>
            <w:noWrap/>
            <w:vAlign w:val="center"/>
          </w:tcPr>
          <w:p w14:paraId="5291B06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3A292BB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32" w:type="pct"/>
            <w:tcBorders>
              <w:top w:val="nil"/>
              <w:left w:val="nil"/>
              <w:bottom w:val="single" w:color="404040" w:sz="8" w:space="0"/>
              <w:right w:val="single" w:color="404040" w:sz="8" w:space="0"/>
            </w:tcBorders>
            <w:shd w:val="clear" w:color="auto" w:fill="auto"/>
            <w:noWrap/>
            <w:vAlign w:val="center"/>
          </w:tcPr>
          <w:p w14:paraId="587E220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79ED5D7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22" w:type="pct"/>
            <w:tcBorders>
              <w:top w:val="nil"/>
              <w:left w:val="nil"/>
              <w:bottom w:val="single" w:color="404040" w:sz="8" w:space="0"/>
              <w:right w:val="single" w:color="404040" w:sz="8" w:space="0"/>
            </w:tcBorders>
            <w:shd w:val="clear" w:color="auto" w:fill="auto"/>
            <w:noWrap/>
            <w:vAlign w:val="center"/>
          </w:tcPr>
          <w:p w14:paraId="2228353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6" w:type="pct"/>
            <w:tcBorders>
              <w:top w:val="nil"/>
              <w:left w:val="nil"/>
              <w:bottom w:val="single" w:color="404040" w:sz="8" w:space="0"/>
              <w:right w:val="single" w:color="404040" w:sz="8" w:space="0"/>
            </w:tcBorders>
            <w:shd w:val="clear" w:color="auto" w:fill="auto"/>
            <w:noWrap/>
            <w:vAlign w:val="center"/>
          </w:tcPr>
          <w:p w14:paraId="7B8D55D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c>
          <w:tcPr>
            <w:tcW w:w="712" w:type="pct"/>
            <w:tcBorders>
              <w:top w:val="nil"/>
              <w:left w:val="nil"/>
              <w:bottom w:val="single" w:color="404040" w:sz="8" w:space="0"/>
              <w:right w:val="single" w:color="404040" w:sz="8" w:space="0"/>
            </w:tcBorders>
            <w:shd w:val="clear" w:color="auto" w:fill="auto"/>
            <w:noWrap/>
            <w:vAlign w:val="center"/>
          </w:tcPr>
          <w:p w14:paraId="782400E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267" w:type="pct"/>
            <w:tcBorders>
              <w:top w:val="nil"/>
              <w:left w:val="nil"/>
              <w:bottom w:val="single" w:color="404040" w:sz="8" w:space="0"/>
              <w:right w:val="single" w:color="404040" w:sz="8" w:space="0"/>
            </w:tcBorders>
            <w:shd w:val="clear" w:color="auto" w:fill="auto"/>
            <w:noWrap/>
            <w:vAlign w:val="center"/>
          </w:tcPr>
          <w:p w14:paraId="1843CDC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权重</w:t>
            </w:r>
          </w:p>
        </w:tc>
      </w:tr>
      <w:tr w14:paraId="1DA637E9">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9BB888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商业繁华程度</w:t>
            </w:r>
          </w:p>
        </w:tc>
        <w:tc>
          <w:tcPr>
            <w:tcW w:w="267" w:type="pct"/>
            <w:tcBorders>
              <w:top w:val="nil"/>
              <w:left w:val="nil"/>
              <w:bottom w:val="single" w:color="404040" w:sz="8" w:space="0"/>
              <w:right w:val="single" w:color="404040" w:sz="8" w:space="0"/>
            </w:tcBorders>
            <w:shd w:val="clear" w:color="auto" w:fill="auto"/>
            <w:vAlign w:val="center"/>
          </w:tcPr>
          <w:p w14:paraId="0A72353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30%</w:t>
            </w:r>
          </w:p>
        </w:tc>
        <w:tc>
          <w:tcPr>
            <w:tcW w:w="743" w:type="pct"/>
            <w:tcBorders>
              <w:top w:val="nil"/>
              <w:left w:val="nil"/>
              <w:bottom w:val="single" w:color="404040" w:sz="8" w:space="0"/>
              <w:right w:val="single" w:color="404040" w:sz="8" w:space="0"/>
            </w:tcBorders>
            <w:shd w:val="clear" w:color="auto" w:fill="auto"/>
            <w:vAlign w:val="center"/>
          </w:tcPr>
          <w:p w14:paraId="5A6FFDA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办公集聚程度</w:t>
            </w:r>
          </w:p>
        </w:tc>
        <w:tc>
          <w:tcPr>
            <w:tcW w:w="267" w:type="pct"/>
            <w:tcBorders>
              <w:top w:val="nil"/>
              <w:left w:val="nil"/>
              <w:bottom w:val="single" w:color="404040" w:sz="8" w:space="0"/>
              <w:right w:val="single" w:color="404040" w:sz="8" w:space="0"/>
            </w:tcBorders>
            <w:shd w:val="clear" w:color="auto" w:fill="auto"/>
            <w:vAlign w:val="center"/>
          </w:tcPr>
          <w:p w14:paraId="1561FF5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c>
          <w:tcPr>
            <w:tcW w:w="732" w:type="pct"/>
            <w:tcBorders>
              <w:top w:val="nil"/>
              <w:left w:val="nil"/>
              <w:bottom w:val="single" w:color="404040" w:sz="8" w:space="0"/>
              <w:right w:val="single" w:color="404040" w:sz="8" w:space="0"/>
            </w:tcBorders>
            <w:shd w:val="clear" w:color="auto" w:fill="auto"/>
            <w:vAlign w:val="center"/>
          </w:tcPr>
          <w:p w14:paraId="6B8DEED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住宅社区成熟度</w:t>
            </w:r>
          </w:p>
        </w:tc>
        <w:tc>
          <w:tcPr>
            <w:tcW w:w="267" w:type="pct"/>
            <w:tcBorders>
              <w:top w:val="nil"/>
              <w:left w:val="nil"/>
              <w:bottom w:val="single" w:color="404040" w:sz="8" w:space="0"/>
              <w:right w:val="single" w:color="404040" w:sz="8" w:space="0"/>
            </w:tcBorders>
            <w:shd w:val="clear" w:color="auto" w:fill="auto"/>
            <w:vAlign w:val="center"/>
          </w:tcPr>
          <w:p w14:paraId="3F0FC0E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20%</w:t>
            </w:r>
          </w:p>
        </w:tc>
        <w:tc>
          <w:tcPr>
            <w:tcW w:w="722" w:type="pct"/>
            <w:tcBorders>
              <w:top w:val="nil"/>
              <w:left w:val="nil"/>
              <w:bottom w:val="single" w:color="404040" w:sz="8" w:space="0"/>
              <w:right w:val="single" w:color="404040" w:sz="8" w:space="0"/>
            </w:tcBorders>
            <w:shd w:val="clear" w:color="auto" w:fill="auto"/>
            <w:vAlign w:val="center"/>
          </w:tcPr>
          <w:p w14:paraId="5A69782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产业集聚程度</w:t>
            </w:r>
          </w:p>
        </w:tc>
        <w:tc>
          <w:tcPr>
            <w:tcW w:w="266" w:type="pct"/>
            <w:tcBorders>
              <w:top w:val="nil"/>
              <w:left w:val="nil"/>
              <w:bottom w:val="single" w:color="404040" w:sz="8" w:space="0"/>
              <w:right w:val="single" w:color="404040" w:sz="8" w:space="0"/>
            </w:tcBorders>
            <w:shd w:val="clear" w:color="auto" w:fill="auto"/>
            <w:vAlign w:val="center"/>
          </w:tcPr>
          <w:p w14:paraId="1B33362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712" w:type="pct"/>
            <w:tcBorders>
              <w:top w:val="nil"/>
              <w:left w:val="nil"/>
              <w:bottom w:val="single" w:color="404040" w:sz="8" w:space="0"/>
              <w:right w:val="single" w:color="404040" w:sz="8" w:space="0"/>
            </w:tcBorders>
            <w:shd w:val="clear" w:color="auto" w:fill="auto"/>
            <w:vAlign w:val="center"/>
          </w:tcPr>
          <w:p w14:paraId="16B142A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物业集聚程度</w:t>
            </w:r>
          </w:p>
        </w:tc>
        <w:tc>
          <w:tcPr>
            <w:tcW w:w="267" w:type="pct"/>
            <w:tcBorders>
              <w:top w:val="nil"/>
              <w:left w:val="nil"/>
              <w:bottom w:val="single" w:color="404040" w:sz="8" w:space="0"/>
              <w:right w:val="single" w:color="404040" w:sz="8" w:space="0"/>
            </w:tcBorders>
            <w:shd w:val="clear" w:color="auto" w:fill="auto"/>
            <w:vAlign w:val="center"/>
          </w:tcPr>
          <w:p w14:paraId="2957856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25%</w:t>
            </w:r>
          </w:p>
        </w:tc>
      </w:tr>
      <w:tr w14:paraId="7265A24F">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CBB978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13B1AEA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22%</w:t>
            </w:r>
          </w:p>
        </w:tc>
        <w:tc>
          <w:tcPr>
            <w:tcW w:w="743" w:type="pct"/>
            <w:tcBorders>
              <w:top w:val="nil"/>
              <w:left w:val="nil"/>
              <w:bottom w:val="single" w:color="404040" w:sz="8" w:space="0"/>
              <w:right w:val="single" w:color="404040" w:sz="8" w:space="0"/>
            </w:tcBorders>
            <w:shd w:val="clear" w:color="auto" w:fill="auto"/>
            <w:vAlign w:val="center"/>
          </w:tcPr>
          <w:p w14:paraId="2285F98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08C1DCF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732" w:type="pct"/>
            <w:tcBorders>
              <w:top w:val="nil"/>
              <w:left w:val="nil"/>
              <w:bottom w:val="single" w:color="404040" w:sz="8" w:space="0"/>
              <w:right w:val="single" w:color="404040" w:sz="8" w:space="0"/>
            </w:tcBorders>
            <w:shd w:val="clear" w:color="auto" w:fill="auto"/>
            <w:vAlign w:val="center"/>
          </w:tcPr>
          <w:p w14:paraId="10461F4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6D29FDA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c>
          <w:tcPr>
            <w:tcW w:w="722" w:type="pct"/>
            <w:tcBorders>
              <w:top w:val="nil"/>
              <w:left w:val="nil"/>
              <w:bottom w:val="single" w:color="404040" w:sz="8" w:space="0"/>
              <w:right w:val="single" w:color="404040" w:sz="8" w:space="0"/>
            </w:tcBorders>
            <w:shd w:val="clear" w:color="auto" w:fill="auto"/>
            <w:vAlign w:val="center"/>
          </w:tcPr>
          <w:p w14:paraId="7EF5690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6" w:type="pct"/>
            <w:tcBorders>
              <w:top w:val="nil"/>
              <w:left w:val="nil"/>
              <w:bottom w:val="single" w:color="404040" w:sz="8" w:space="0"/>
              <w:right w:val="single" w:color="404040" w:sz="8" w:space="0"/>
            </w:tcBorders>
            <w:shd w:val="clear" w:color="auto" w:fill="auto"/>
            <w:vAlign w:val="center"/>
          </w:tcPr>
          <w:p w14:paraId="27CB1E9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30%</w:t>
            </w:r>
          </w:p>
        </w:tc>
        <w:tc>
          <w:tcPr>
            <w:tcW w:w="712" w:type="pct"/>
            <w:tcBorders>
              <w:top w:val="nil"/>
              <w:left w:val="nil"/>
              <w:bottom w:val="single" w:color="404040" w:sz="8" w:space="0"/>
              <w:right w:val="single" w:color="404040" w:sz="8" w:space="0"/>
            </w:tcBorders>
            <w:shd w:val="clear" w:color="auto" w:fill="auto"/>
            <w:vAlign w:val="center"/>
          </w:tcPr>
          <w:p w14:paraId="36605F3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交通便捷度</w:t>
            </w:r>
          </w:p>
        </w:tc>
        <w:tc>
          <w:tcPr>
            <w:tcW w:w="267" w:type="pct"/>
            <w:tcBorders>
              <w:top w:val="nil"/>
              <w:left w:val="nil"/>
              <w:bottom w:val="single" w:color="404040" w:sz="8" w:space="0"/>
              <w:right w:val="single" w:color="404040" w:sz="8" w:space="0"/>
            </w:tcBorders>
            <w:shd w:val="clear" w:color="auto" w:fill="auto"/>
            <w:vAlign w:val="center"/>
          </w:tcPr>
          <w:p w14:paraId="2A329AB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26%</w:t>
            </w:r>
          </w:p>
        </w:tc>
      </w:tr>
      <w:tr w14:paraId="59CC206F">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4010B65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5C31362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743" w:type="pct"/>
            <w:tcBorders>
              <w:top w:val="nil"/>
              <w:left w:val="nil"/>
              <w:bottom w:val="single" w:color="404040" w:sz="8" w:space="0"/>
              <w:right w:val="single" w:color="404040" w:sz="8" w:space="0"/>
            </w:tcBorders>
            <w:shd w:val="clear" w:color="auto" w:fill="auto"/>
            <w:vAlign w:val="center"/>
          </w:tcPr>
          <w:p w14:paraId="66F72F4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33DD06E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w:t>
            </w:r>
          </w:p>
        </w:tc>
        <w:tc>
          <w:tcPr>
            <w:tcW w:w="732" w:type="pct"/>
            <w:tcBorders>
              <w:top w:val="nil"/>
              <w:left w:val="nil"/>
              <w:bottom w:val="single" w:color="404040" w:sz="8" w:space="0"/>
              <w:right w:val="single" w:color="404040" w:sz="8" w:space="0"/>
            </w:tcBorders>
            <w:shd w:val="clear" w:color="auto" w:fill="auto"/>
            <w:vAlign w:val="center"/>
          </w:tcPr>
          <w:p w14:paraId="415F163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77E4730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w:t>
            </w:r>
          </w:p>
        </w:tc>
        <w:tc>
          <w:tcPr>
            <w:tcW w:w="722" w:type="pct"/>
            <w:tcBorders>
              <w:top w:val="nil"/>
              <w:left w:val="nil"/>
              <w:bottom w:val="single" w:color="404040" w:sz="8" w:space="0"/>
              <w:right w:val="single" w:color="404040" w:sz="8" w:space="0"/>
            </w:tcBorders>
            <w:shd w:val="clear" w:color="auto" w:fill="auto"/>
            <w:vAlign w:val="center"/>
          </w:tcPr>
          <w:p w14:paraId="121DCA1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6" w:type="pct"/>
            <w:tcBorders>
              <w:top w:val="nil"/>
              <w:left w:val="nil"/>
              <w:bottom w:val="single" w:color="404040" w:sz="8" w:space="0"/>
              <w:right w:val="single" w:color="404040" w:sz="8" w:space="0"/>
            </w:tcBorders>
            <w:shd w:val="clear" w:color="auto" w:fill="auto"/>
            <w:vAlign w:val="center"/>
          </w:tcPr>
          <w:p w14:paraId="1BDE48E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10%</w:t>
            </w:r>
          </w:p>
        </w:tc>
        <w:tc>
          <w:tcPr>
            <w:tcW w:w="712" w:type="pct"/>
            <w:tcBorders>
              <w:top w:val="nil"/>
              <w:left w:val="nil"/>
              <w:bottom w:val="single" w:color="404040" w:sz="8" w:space="0"/>
              <w:right w:val="single" w:color="404040" w:sz="8" w:space="0"/>
            </w:tcBorders>
            <w:shd w:val="clear" w:color="auto" w:fill="auto"/>
            <w:vAlign w:val="center"/>
          </w:tcPr>
          <w:p w14:paraId="399F34A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267" w:type="pct"/>
            <w:tcBorders>
              <w:top w:val="nil"/>
              <w:left w:val="nil"/>
              <w:bottom w:val="single" w:color="404040" w:sz="8" w:space="0"/>
              <w:right w:val="single" w:color="404040" w:sz="8" w:space="0"/>
            </w:tcBorders>
            <w:shd w:val="clear" w:color="auto" w:fill="auto"/>
            <w:vAlign w:val="center"/>
          </w:tcPr>
          <w:p w14:paraId="2BB4FFF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11%</w:t>
            </w:r>
          </w:p>
        </w:tc>
      </w:tr>
      <w:tr w14:paraId="51AF8165">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70538A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6E5A97C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247DDA4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0B2CA58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32" w:type="pct"/>
            <w:tcBorders>
              <w:top w:val="nil"/>
              <w:left w:val="nil"/>
              <w:bottom w:val="single" w:color="404040" w:sz="8" w:space="0"/>
              <w:right w:val="single" w:color="404040" w:sz="8" w:space="0"/>
            </w:tcBorders>
            <w:shd w:val="clear" w:color="auto" w:fill="auto"/>
            <w:vAlign w:val="center"/>
          </w:tcPr>
          <w:p w14:paraId="4AD7C31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临路状况</w:t>
            </w:r>
          </w:p>
        </w:tc>
        <w:tc>
          <w:tcPr>
            <w:tcW w:w="267" w:type="pct"/>
            <w:tcBorders>
              <w:top w:val="nil"/>
              <w:left w:val="nil"/>
              <w:bottom w:val="single" w:color="404040" w:sz="8" w:space="0"/>
              <w:right w:val="single" w:color="404040" w:sz="8" w:space="0"/>
            </w:tcBorders>
            <w:shd w:val="clear" w:color="auto" w:fill="auto"/>
            <w:vAlign w:val="center"/>
          </w:tcPr>
          <w:p w14:paraId="52639A3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22" w:type="pct"/>
            <w:tcBorders>
              <w:top w:val="nil"/>
              <w:left w:val="nil"/>
              <w:bottom w:val="single" w:color="404040" w:sz="8" w:space="0"/>
              <w:right w:val="single" w:color="404040" w:sz="8" w:space="0"/>
            </w:tcBorders>
            <w:shd w:val="clear" w:color="auto" w:fill="auto"/>
            <w:vAlign w:val="center"/>
          </w:tcPr>
          <w:p w14:paraId="5220733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临路状况</w:t>
            </w:r>
          </w:p>
        </w:tc>
        <w:tc>
          <w:tcPr>
            <w:tcW w:w="266" w:type="pct"/>
            <w:tcBorders>
              <w:top w:val="nil"/>
              <w:left w:val="nil"/>
              <w:bottom w:val="single" w:color="404040" w:sz="8" w:space="0"/>
              <w:right w:val="single" w:color="404040" w:sz="8" w:space="0"/>
            </w:tcBorders>
            <w:shd w:val="clear" w:color="auto" w:fill="auto"/>
            <w:vAlign w:val="center"/>
          </w:tcPr>
          <w:p w14:paraId="41F1F90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12" w:type="pct"/>
            <w:tcBorders>
              <w:top w:val="nil"/>
              <w:left w:val="nil"/>
              <w:bottom w:val="single" w:color="404040" w:sz="8" w:space="0"/>
              <w:right w:val="single" w:color="404040" w:sz="8" w:space="0"/>
            </w:tcBorders>
            <w:shd w:val="clear" w:color="auto" w:fill="auto"/>
            <w:vAlign w:val="center"/>
          </w:tcPr>
          <w:p w14:paraId="7AEA48E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67" w:type="pct"/>
            <w:tcBorders>
              <w:top w:val="nil"/>
              <w:left w:val="nil"/>
              <w:bottom w:val="single" w:color="404040" w:sz="8" w:space="0"/>
              <w:right w:val="single" w:color="404040" w:sz="8" w:space="0"/>
            </w:tcBorders>
            <w:shd w:val="clear" w:color="auto" w:fill="auto"/>
            <w:vAlign w:val="center"/>
          </w:tcPr>
          <w:p w14:paraId="08FC49F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r>
      <w:tr w14:paraId="1DC22500">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503DDA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105B20F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743" w:type="pct"/>
            <w:tcBorders>
              <w:top w:val="nil"/>
              <w:left w:val="nil"/>
              <w:bottom w:val="single" w:color="404040" w:sz="8" w:space="0"/>
              <w:right w:val="single" w:color="404040" w:sz="8" w:space="0"/>
            </w:tcBorders>
            <w:shd w:val="clear" w:color="auto" w:fill="auto"/>
            <w:vAlign w:val="center"/>
          </w:tcPr>
          <w:p w14:paraId="130C80A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61AFF66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32" w:type="pct"/>
            <w:tcBorders>
              <w:top w:val="nil"/>
              <w:left w:val="nil"/>
              <w:bottom w:val="single" w:color="404040" w:sz="8" w:space="0"/>
              <w:right w:val="single" w:color="404040" w:sz="8" w:space="0"/>
            </w:tcBorders>
            <w:shd w:val="clear" w:color="auto" w:fill="auto"/>
            <w:vAlign w:val="center"/>
          </w:tcPr>
          <w:p w14:paraId="368CE40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561497C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722" w:type="pct"/>
            <w:tcBorders>
              <w:top w:val="nil"/>
              <w:left w:val="nil"/>
              <w:bottom w:val="single" w:color="404040" w:sz="8" w:space="0"/>
              <w:right w:val="single" w:color="404040" w:sz="8" w:space="0"/>
            </w:tcBorders>
            <w:shd w:val="clear" w:color="auto" w:fill="auto"/>
            <w:vAlign w:val="center"/>
          </w:tcPr>
          <w:p w14:paraId="6F0F0F0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6" w:type="pct"/>
            <w:tcBorders>
              <w:top w:val="nil"/>
              <w:left w:val="nil"/>
              <w:bottom w:val="single" w:color="404040" w:sz="8" w:space="0"/>
              <w:right w:val="single" w:color="404040" w:sz="8" w:space="0"/>
            </w:tcBorders>
            <w:shd w:val="clear" w:color="auto" w:fill="auto"/>
            <w:vAlign w:val="center"/>
          </w:tcPr>
          <w:p w14:paraId="2FC0245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12" w:type="pct"/>
            <w:tcBorders>
              <w:top w:val="nil"/>
              <w:left w:val="nil"/>
              <w:bottom w:val="single" w:color="404040" w:sz="8" w:space="0"/>
              <w:right w:val="single" w:color="404040" w:sz="8" w:space="0"/>
            </w:tcBorders>
            <w:shd w:val="clear" w:color="auto" w:fill="auto"/>
            <w:vAlign w:val="center"/>
          </w:tcPr>
          <w:p w14:paraId="793EB1E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67" w:type="pct"/>
            <w:tcBorders>
              <w:top w:val="nil"/>
              <w:left w:val="nil"/>
              <w:bottom w:val="single" w:color="404040" w:sz="8" w:space="0"/>
              <w:right w:val="single" w:color="404040" w:sz="8" w:space="0"/>
            </w:tcBorders>
            <w:shd w:val="clear" w:color="auto" w:fill="auto"/>
            <w:vAlign w:val="center"/>
          </w:tcPr>
          <w:p w14:paraId="753C1A1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r>
      <w:tr w14:paraId="4DD0BBAC">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3C12247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1F0E2DF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7E0742A9">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779541F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32" w:type="pct"/>
            <w:tcBorders>
              <w:top w:val="nil"/>
              <w:left w:val="nil"/>
              <w:bottom w:val="single" w:color="404040" w:sz="8" w:space="0"/>
              <w:right w:val="single" w:color="404040" w:sz="8" w:space="0"/>
            </w:tcBorders>
            <w:shd w:val="clear" w:color="auto" w:fill="auto"/>
            <w:vAlign w:val="center"/>
          </w:tcPr>
          <w:p w14:paraId="34112C4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11DD520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22" w:type="pct"/>
            <w:tcBorders>
              <w:top w:val="nil"/>
              <w:left w:val="nil"/>
              <w:bottom w:val="single" w:color="404040" w:sz="8" w:space="0"/>
              <w:right w:val="single" w:color="404040" w:sz="8" w:space="0"/>
            </w:tcBorders>
            <w:shd w:val="clear" w:color="auto" w:fill="auto"/>
            <w:vAlign w:val="center"/>
          </w:tcPr>
          <w:p w14:paraId="72A0980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6" w:type="pct"/>
            <w:tcBorders>
              <w:top w:val="nil"/>
              <w:left w:val="nil"/>
              <w:bottom w:val="single" w:color="404040" w:sz="8" w:space="0"/>
              <w:right w:val="single" w:color="404040" w:sz="8" w:space="0"/>
            </w:tcBorders>
            <w:shd w:val="clear" w:color="auto" w:fill="auto"/>
            <w:vAlign w:val="center"/>
          </w:tcPr>
          <w:p w14:paraId="15F53B4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12" w:type="pct"/>
            <w:tcBorders>
              <w:top w:val="nil"/>
              <w:left w:val="nil"/>
              <w:bottom w:val="single" w:color="404040" w:sz="8" w:space="0"/>
              <w:right w:val="single" w:color="404040" w:sz="8" w:space="0"/>
            </w:tcBorders>
            <w:shd w:val="clear" w:color="auto" w:fill="auto"/>
            <w:vAlign w:val="center"/>
          </w:tcPr>
          <w:p w14:paraId="7BF0F56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67" w:type="pct"/>
            <w:tcBorders>
              <w:top w:val="nil"/>
              <w:left w:val="nil"/>
              <w:bottom w:val="single" w:color="404040" w:sz="8" w:space="0"/>
              <w:right w:val="single" w:color="404040" w:sz="8" w:space="0"/>
            </w:tcBorders>
            <w:shd w:val="clear" w:color="auto" w:fill="auto"/>
            <w:vAlign w:val="center"/>
          </w:tcPr>
          <w:p w14:paraId="66044B7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r>
      <w:tr w14:paraId="49C41089">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BBC975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6D06C6F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380C9E5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572365E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c>
          <w:tcPr>
            <w:tcW w:w="732" w:type="pct"/>
            <w:tcBorders>
              <w:top w:val="nil"/>
              <w:left w:val="nil"/>
              <w:bottom w:val="single" w:color="404040" w:sz="8" w:space="0"/>
              <w:right w:val="single" w:color="404040" w:sz="8" w:space="0"/>
            </w:tcBorders>
            <w:shd w:val="clear" w:color="auto" w:fill="auto"/>
            <w:vAlign w:val="center"/>
          </w:tcPr>
          <w:p w14:paraId="0409BAF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4558FD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c>
          <w:tcPr>
            <w:tcW w:w="722" w:type="pct"/>
            <w:tcBorders>
              <w:top w:val="nil"/>
              <w:left w:val="nil"/>
              <w:bottom w:val="single" w:color="404040" w:sz="8" w:space="0"/>
              <w:right w:val="single" w:color="404040" w:sz="8" w:space="0"/>
            </w:tcBorders>
            <w:shd w:val="clear" w:color="auto" w:fill="auto"/>
            <w:vAlign w:val="center"/>
          </w:tcPr>
          <w:p w14:paraId="617BC7E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6" w:type="pct"/>
            <w:tcBorders>
              <w:top w:val="nil"/>
              <w:left w:val="nil"/>
              <w:bottom w:val="single" w:color="404040" w:sz="8" w:space="0"/>
              <w:right w:val="single" w:color="404040" w:sz="8" w:space="0"/>
            </w:tcBorders>
            <w:shd w:val="clear" w:color="auto" w:fill="auto"/>
            <w:vAlign w:val="center"/>
          </w:tcPr>
          <w:p w14:paraId="64AFD2F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712" w:type="pct"/>
            <w:tcBorders>
              <w:top w:val="nil"/>
              <w:left w:val="nil"/>
              <w:bottom w:val="single" w:color="404040" w:sz="8" w:space="0"/>
              <w:right w:val="single" w:color="404040" w:sz="8" w:space="0"/>
            </w:tcBorders>
            <w:shd w:val="clear" w:color="auto" w:fill="auto"/>
            <w:vAlign w:val="center"/>
          </w:tcPr>
          <w:p w14:paraId="483DFBF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67" w:type="pct"/>
            <w:tcBorders>
              <w:top w:val="nil"/>
              <w:left w:val="nil"/>
              <w:bottom w:val="single" w:color="404040" w:sz="8" w:space="0"/>
              <w:right w:val="single" w:color="404040" w:sz="8" w:space="0"/>
            </w:tcBorders>
            <w:shd w:val="clear" w:color="auto" w:fill="auto"/>
            <w:vAlign w:val="center"/>
          </w:tcPr>
          <w:p w14:paraId="0CF90F1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6%</w:t>
            </w:r>
          </w:p>
        </w:tc>
      </w:tr>
      <w:tr w14:paraId="5AB47EBE">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01BB404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79E660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8%</w:t>
            </w:r>
          </w:p>
        </w:tc>
        <w:tc>
          <w:tcPr>
            <w:tcW w:w="743" w:type="pct"/>
            <w:tcBorders>
              <w:top w:val="nil"/>
              <w:left w:val="nil"/>
              <w:bottom w:val="single" w:color="404040" w:sz="8" w:space="0"/>
              <w:right w:val="single" w:color="404040" w:sz="8" w:space="0"/>
            </w:tcBorders>
            <w:shd w:val="clear" w:color="auto" w:fill="auto"/>
            <w:vAlign w:val="center"/>
          </w:tcPr>
          <w:p w14:paraId="62BBBEE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5798926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c>
          <w:tcPr>
            <w:tcW w:w="732" w:type="pct"/>
            <w:tcBorders>
              <w:top w:val="nil"/>
              <w:left w:val="nil"/>
              <w:bottom w:val="single" w:color="404040" w:sz="8" w:space="0"/>
              <w:right w:val="single" w:color="404040" w:sz="8" w:space="0"/>
            </w:tcBorders>
            <w:shd w:val="clear" w:color="auto" w:fill="auto"/>
            <w:vAlign w:val="center"/>
          </w:tcPr>
          <w:p w14:paraId="133493A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6311C75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12%</w:t>
            </w:r>
          </w:p>
        </w:tc>
        <w:tc>
          <w:tcPr>
            <w:tcW w:w="722" w:type="pct"/>
            <w:tcBorders>
              <w:top w:val="nil"/>
              <w:left w:val="nil"/>
              <w:bottom w:val="single" w:color="404040" w:sz="8" w:space="0"/>
              <w:right w:val="single" w:color="404040" w:sz="8" w:space="0"/>
            </w:tcBorders>
            <w:shd w:val="clear" w:color="auto" w:fill="auto"/>
            <w:vAlign w:val="center"/>
          </w:tcPr>
          <w:p w14:paraId="3C18FB4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环境状况</w:t>
            </w:r>
          </w:p>
        </w:tc>
        <w:tc>
          <w:tcPr>
            <w:tcW w:w="266" w:type="pct"/>
            <w:tcBorders>
              <w:top w:val="nil"/>
              <w:left w:val="nil"/>
              <w:bottom w:val="single" w:color="404040" w:sz="8" w:space="0"/>
              <w:right w:val="single" w:color="404040" w:sz="8" w:space="0"/>
            </w:tcBorders>
            <w:shd w:val="clear" w:color="auto" w:fill="auto"/>
            <w:vAlign w:val="center"/>
          </w:tcPr>
          <w:p w14:paraId="256C556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12" w:type="pct"/>
            <w:tcBorders>
              <w:top w:val="nil"/>
              <w:left w:val="nil"/>
              <w:bottom w:val="single" w:color="404040" w:sz="8" w:space="0"/>
              <w:right w:val="single" w:color="404040" w:sz="8" w:space="0"/>
            </w:tcBorders>
            <w:shd w:val="clear" w:color="auto" w:fill="auto"/>
            <w:vAlign w:val="center"/>
          </w:tcPr>
          <w:p w14:paraId="4815AB0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67" w:type="pct"/>
            <w:tcBorders>
              <w:top w:val="nil"/>
              <w:left w:val="nil"/>
              <w:bottom w:val="single" w:color="404040" w:sz="8" w:space="0"/>
              <w:right w:val="single" w:color="404040" w:sz="8" w:space="0"/>
            </w:tcBorders>
            <w:shd w:val="clear" w:color="auto" w:fill="auto"/>
            <w:vAlign w:val="center"/>
          </w:tcPr>
          <w:p w14:paraId="0250395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9%</w:t>
            </w:r>
          </w:p>
        </w:tc>
      </w:tr>
      <w:tr w14:paraId="3EFB8B53">
        <w:tblPrEx>
          <w:tblCellMar>
            <w:top w:w="57" w:type="dxa"/>
            <w:left w:w="28" w:type="dxa"/>
            <w:bottom w:w="57" w:type="dxa"/>
            <w:right w:w="28" w:type="dxa"/>
          </w:tblCellMar>
        </w:tblPrEx>
        <w:trPr>
          <w:cantSplit/>
          <w:jc w:val="center"/>
        </w:trPr>
        <w:tc>
          <w:tcPr>
            <w:tcW w:w="752" w:type="pct"/>
            <w:tcBorders>
              <w:top w:val="nil"/>
              <w:left w:val="single" w:color="404040" w:sz="8" w:space="0"/>
              <w:bottom w:val="single" w:color="404040" w:sz="8" w:space="0"/>
              <w:right w:val="single" w:color="404040" w:sz="8" w:space="0"/>
            </w:tcBorders>
            <w:shd w:val="clear" w:color="auto" w:fill="auto"/>
            <w:vAlign w:val="center"/>
          </w:tcPr>
          <w:p w14:paraId="596F2B72">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18E29EE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43" w:type="pct"/>
            <w:tcBorders>
              <w:top w:val="nil"/>
              <w:left w:val="nil"/>
              <w:bottom w:val="single" w:color="404040" w:sz="8" w:space="0"/>
              <w:right w:val="single" w:color="404040" w:sz="8" w:space="0"/>
            </w:tcBorders>
            <w:shd w:val="clear" w:color="auto" w:fill="auto"/>
            <w:vAlign w:val="center"/>
          </w:tcPr>
          <w:p w14:paraId="48F6489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2B4B0EA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7%</w:t>
            </w:r>
          </w:p>
        </w:tc>
        <w:tc>
          <w:tcPr>
            <w:tcW w:w="732" w:type="pct"/>
            <w:tcBorders>
              <w:top w:val="nil"/>
              <w:left w:val="nil"/>
              <w:bottom w:val="single" w:color="404040" w:sz="8" w:space="0"/>
              <w:right w:val="single" w:color="404040" w:sz="8" w:space="0"/>
            </w:tcBorders>
            <w:shd w:val="clear" w:color="auto" w:fill="auto"/>
            <w:vAlign w:val="center"/>
          </w:tcPr>
          <w:p w14:paraId="797D57E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与区域中心的接近程度</w:t>
            </w:r>
          </w:p>
        </w:tc>
        <w:tc>
          <w:tcPr>
            <w:tcW w:w="267" w:type="pct"/>
            <w:tcBorders>
              <w:top w:val="nil"/>
              <w:left w:val="nil"/>
              <w:bottom w:val="single" w:color="404040" w:sz="8" w:space="0"/>
              <w:right w:val="single" w:color="404040" w:sz="8" w:space="0"/>
            </w:tcBorders>
            <w:shd w:val="clear" w:color="auto" w:fill="auto"/>
            <w:vAlign w:val="center"/>
          </w:tcPr>
          <w:p w14:paraId="58A15CA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722" w:type="pct"/>
            <w:tcBorders>
              <w:top w:val="nil"/>
              <w:left w:val="nil"/>
              <w:bottom w:val="single" w:color="404040" w:sz="8" w:space="0"/>
              <w:right w:val="single" w:color="404040" w:sz="8" w:space="0"/>
            </w:tcBorders>
            <w:shd w:val="clear" w:color="auto" w:fill="auto"/>
            <w:vAlign w:val="center"/>
          </w:tcPr>
          <w:p w14:paraId="416D687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266" w:type="pct"/>
            <w:tcBorders>
              <w:top w:val="nil"/>
              <w:left w:val="nil"/>
              <w:bottom w:val="single" w:color="404040" w:sz="8" w:space="0"/>
              <w:right w:val="single" w:color="404040" w:sz="8" w:space="0"/>
            </w:tcBorders>
            <w:shd w:val="clear" w:color="auto" w:fill="auto"/>
            <w:vAlign w:val="center"/>
          </w:tcPr>
          <w:p w14:paraId="1D4E3EC1">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712" w:type="pct"/>
            <w:tcBorders>
              <w:top w:val="nil"/>
              <w:left w:val="nil"/>
              <w:bottom w:val="single" w:color="404040" w:sz="8" w:space="0"/>
              <w:right w:val="single" w:color="404040" w:sz="8" w:space="0"/>
            </w:tcBorders>
            <w:shd w:val="clear" w:color="auto" w:fill="auto"/>
            <w:vAlign w:val="center"/>
          </w:tcPr>
          <w:p w14:paraId="5DCA468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67" w:type="pct"/>
            <w:tcBorders>
              <w:top w:val="nil"/>
              <w:left w:val="nil"/>
              <w:bottom w:val="single" w:color="404040" w:sz="8" w:space="0"/>
              <w:right w:val="single" w:color="404040" w:sz="8" w:space="0"/>
            </w:tcBorders>
            <w:shd w:val="clear" w:color="auto" w:fill="auto"/>
            <w:vAlign w:val="center"/>
          </w:tcPr>
          <w:p w14:paraId="3401AAA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7%</w:t>
            </w:r>
          </w:p>
        </w:tc>
      </w:tr>
    </w:tbl>
    <w:p w14:paraId="531CC8C4">
      <w:pPr>
        <w:widowControl/>
        <w:adjustRightInd/>
        <w:spacing w:line="240" w:lineRule="exact"/>
        <w:textAlignment w:val="auto"/>
        <w:rPr>
          <w:rFonts w:ascii="Arial" w:hAnsi="Arial" w:eastAsia="华文细黑" w:cs="宋体"/>
          <w:sz w:val="18"/>
          <w:szCs w:val="24"/>
          <w:highlight w:val="none"/>
        </w:rPr>
      </w:pPr>
    </w:p>
    <w:p w14:paraId="124EEA56">
      <w:pPr>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估价对象位于公共服务类</w:t>
      </w:r>
      <w:r>
        <w:rPr>
          <w:rFonts w:hint="eastAsia" w:ascii="Arial" w:hAnsi="Arial" w:eastAsia="仿宋" w:cs="Arial"/>
          <w:sz w:val="28"/>
          <w:szCs w:val="28"/>
          <w:highlight w:val="none"/>
        </w:rPr>
        <w:t>九</w:t>
      </w:r>
      <w:r>
        <w:rPr>
          <w:rFonts w:ascii="Arial" w:hAnsi="Arial" w:eastAsia="仿宋" w:cs="Arial"/>
          <w:sz w:val="28"/>
          <w:szCs w:val="28"/>
          <w:highlight w:val="none"/>
        </w:rPr>
        <w:t>级地价区，该级别《区片基准地价因素总修正幅度表》如下：</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2021"/>
        <w:gridCol w:w="1290"/>
        <w:gridCol w:w="1290"/>
        <w:gridCol w:w="1290"/>
        <w:gridCol w:w="1139"/>
        <w:gridCol w:w="1439"/>
      </w:tblGrid>
      <w:tr w14:paraId="2D63D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blHeader/>
          <w:jc w:val="center"/>
        </w:trPr>
        <w:tc>
          <w:tcPr>
            <w:tcW w:w="572" w:type="pct"/>
            <w:shd w:val="clear" w:color="auto" w:fill="auto"/>
            <w:vAlign w:val="center"/>
          </w:tcPr>
          <w:p w14:paraId="7880A4A1">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级别</w:t>
            </w:r>
          </w:p>
        </w:tc>
        <w:tc>
          <w:tcPr>
            <w:tcW w:w="1056" w:type="pct"/>
            <w:shd w:val="clear" w:color="auto" w:fill="auto"/>
            <w:vAlign w:val="center"/>
          </w:tcPr>
          <w:p w14:paraId="7A38A7F3">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区片编号</w:t>
            </w:r>
          </w:p>
        </w:tc>
        <w:tc>
          <w:tcPr>
            <w:tcW w:w="674" w:type="pct"/>
            <w:shd w:val="clear" w:color="auto" w:fill="auto"/>
            <w:vAlign w:val="center"/>
          </w:tcPr>
          <w:p w14:paraId="6A901208">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商业类</w:t>
            </w:r>
          </w:p>
        </w:tc>
        <w:tc>
          <w:tcPr>
            <w:tcW w:w="674" w:type="pct"/>
            <w:shd w:val="clear" w:color="auto" w:fill="auto"/>
            <w:vAlign w:val="center"/>
          </w:tcPr>
          <w:p w14:paraId="3410A761">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办公类</w:t>
            </w:r>
          </w:p>
        </w:tc>
        <w:tc>
          <w:tcPr>
            <w:tcW w:w="674" w:type="pct"/>
            <w:shd w:val="clear" w:color="auto" w:fill="auto"/>
            <w:vAlign w:val="center"/>
          </w:tcPr>
          <w:p w14:paraId="7DF21258">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住宅类</w:t>
            </w:r>
          </w:p>
        </w:tc>
        <w:tc>
          <w:tcPr>
            <w:tcW w:w="595" w:type="pct"/>
            <w:shd w:val="clear" w:color="auto" w:fill="auto"/>
            <w:vAlign w:val="center"/>
          </w:tcPr>
          <w:p w14:paraId="4AB6BF91">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工业类</w:t>
            </w:r>
          </w:p>
        </w:tc>
        <w:tc>
          <w:tcPr>
            <w:tcW w:w="752" w:type="pct"/>
            <w:shd w:val="clear" w:color="auto" w:fill="auto"/>
            <w:vAlign w:val="center"/>
          </w:tcPr>
          <w:p w14:paraId="5FDFF26B">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公共服务类</w:t>
            </w:r>
          </w:p>
        </w:tc>
      </w:tr>
      <w:tr w14:paraId="15562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restart"/>
            <w:shd w:val="clear" w:color="auto" w:fill="auto"/>
            <w:vAlign w:val="center"/>
          </w:tcPr>
          <w:p w14:paraId="6B3236F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九级</w:t>
            </w:r>
          </w:p>
        </w:tc>
        <w:tc>
          <w:tcPr>
            <w:tcW w:w="1056" w:type="pct"/>
            <w:shd w:val="clear" w:color="auto" w:fill="auto"/>
            <w:vAlign w:val="center"/>
          </w:tcPr>
          <w:p w14:paraId="0072E36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01</w:t>
            </w:r>
          </w:p>
        </w:tc>
        <w:tc>
          <w:tcPr>
            <w:tcW w:w="674" w:type="pct"/>
            <w:shd w:val="clear" w:color="auto" w:fill="auto"/>
            <w:vAlign w:val="center"/>
          </w:tcPr>
          <w:p w14:paraId="528A485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E07449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7DE751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C3F14A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2B090D7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835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64F2F0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6CB88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02</w:t>
            </w:r>
          </w:p>
        </w:tc>
        <w:tc>
          <w:tcPr>
            <w:tcW w:w="674" w:type="pct"/>
            <w:shd w:val="clear" w:color="auto" w:fill="auto"/>
            <w:vAlign w:val="center"/>
          </w:tcPr>
          <w:p w14:paraId="0941F9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2FBC57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FD3D92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D3E5C0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2C5C33A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FE44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B699A40">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D4F6F8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门1</w:t>
            </w:r>
          </w:p>
        </w:tc>
        <w:tc>
          <w:tcPr>
            <w:tcW w:w="674" w:type="pct"/>
            <w:shd w:val="clear" w:color="auto" w:fill="auto"/>
            <w:vAlign w:val="center"/>
          </w:tcPr>
          <w:p w14:paraId="7B7665A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825DEA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FDB8E9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14FA6CE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6631CF2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CA61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2C648AF">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BDF2D4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门2</w:t>
            </w:r>
          </w:p>
        </w:tc>
        <w:tc>
          <w:tcPr>
            <w:tcW w:w="674" w:type="pct"/>
            <w:shd w:val="clear" w:color="auto" w:fill="auto"/>
            <w:vAlign w:val="center"/>
          </w:tcPr>
          <w:p w14:paraId="1BD7DBA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31147C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8FAFE5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1FFC758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333468D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7C22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B0318A3">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0D4EA6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门潭</w:t>
            </w:r>
          </w:p>
        </w:tc>
        <w:tc>
          <w:tcPr>
            <w:tcW w:w="674" w:type="pct"/>
            <w:shd w:val="clear" w:color="auto" w:fill="auto"/>
            <w:vAlign w:val="center"/>
          </w:tcPr>
          <w:p w14:paraId="5330317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AE5FB0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3DCAEE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42EF94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391E3AC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6162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E37FCC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4E93C0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房1</w:t>
            </w:r>
          </w:p>
        </w:tc>
        <w:tc>
          <w:tcPr>
            <w:tcW w:w="674" w:type="pct"/>
            <w:shd w:val="clear" w:color="auto" w:fill="auto"/>
            <w:vAlign w:val="center"/>
          </w:tcPr>
          <w:p w14:paraId="12B0BB4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10E3BE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A1C2EC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63C8FA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3C5F7B9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DC03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B936633">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0C46F4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房2</w:t>
            </w:r>
          </w:p>
        </w:tc>
        <w:tc>
          <w:tcPr>
            <w:tcW w:w="674" w:type="pct"/>
            <w:shd w:val="clear" w:color="auto" w:fill="auto"/>
            <w:vAlign w:val="center"/>
          </w:tcPr>
          <w:p w14:paraId="7AEE75F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931AB1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17DDAD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4412E2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5393F23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D0F0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13F7453">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A5E54F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房3</w:t>
            </w:r>
          </w:p>
        </w:tc>
        <w:tc>
          <w:tcPr>
            <w:tcW w:w="674" w:type="pct"/>
            <w:shd w:val="clear" w:color="auto" w:fill="auto"/>
            <w:vAlign w:val="center"/>
          </w:tcPr>
          <w:p w14:paraId="0FEE662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7D1535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477D9E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4F002F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46AF45A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1A37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3B1388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0D2087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房4</w:t>
            </w:r>
          </w:p>
        </w:tc>
        <w:tc>
          <w:tcPr>
            <w:tcW w:w="674" w:type="pct"/>
            <w:shd w:val="clear" w:color="auto" w:fill="auto"/>
            <w:vAlign w:val="center"/>
          </w:tcPr>
          <w:p w14:paraId="249C191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37A9ED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22C1C4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146CEC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2476839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431A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7BFB4F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08F157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房5</w:t>
            </w:r>
          </w:p>
        </w:tc>
        <w:tc>
          <w:tcPr>
            <w:tcW w:w="674" w:type="pct"/>
            <w:shd w:val="clear" w:color="auto" w:fill="auto"/>
            <w:vAlign w:val="center"/>
          </w:tcPr>
          <w:p w14:paraId="0C3761F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674" w:type="pct"/>
            <w:shd w:val="clear" w:color="auto" w:fill="auto"/>
            <w:vAlign w:val="center"/>
          </w:tcPr>
          <w:p w14:paraId="43B6954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674" w:type="pct"/>
            <w:shd w:val="clear" w:color="auto" w:fill="auto"/>
            <w:vAlign w:val="center"/>
          </w:tcPr>
          <w:p w14:paraId="4E8A9C6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69DF88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752" w:type="pct"/>
            <w:shd w:val="clear" w:color="auto" w:fill="auto"/>
            <w:vAlign w:val="center"/>
          </w:tcPr>
          <w:p w14:paraId="65540AD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r>
      <w:tr w14:paraId="628E3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FCCD9F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0D26FF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通1</w:t>
            </w:r>
          </w:p>
        </w:tc>
        <w:tc>
          <w:tcPr>
            <w:tcW w:w="674" w:type="pct"/>
            <w:shd w:val="clear" w:color="auto" w:fill="auto"/>
            <w:vAlign w:val="center"/>
          </w:tcPr>
          <w:p w14:paraId="341DEFA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11.00%</w:t>
            </w:r>
          </w:p>
        </w:tc>
        <w:tc>
          <w:tcPr>
            <w:tcW w:w="674" w:type="pct"/>
            <w:shd w:val="clear" w:color="auto" w:fill="auto"/>
            <w:vAlign w:val="center"/>
          </w:tcPr>
          <w:p w14:paraId="7B80D2B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11.10%</w:t>
            </w:r>
          </w:p>
        </w:tc>
        <w:tc>
          <w:tcPr>
            <w:tcW w:w="674" w:type="pct"/>
            <w:shd w:val="clear" w:color="auto" w:fill="auto"/>
            <w:vAlign w:val="center"/>
          </w:tcPr>
          <w:p w14:paraId="1820443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595" w:type="pct"/>
            <w:shd w:val="clear" w:color="auto" w:fill="auto"/>
            <w:vAlign w:val="center"/>
          </w:tcPr>
          <w:p w14:paraId="28E4EEE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11.00%</w:t>
            </w:r>
          </w:p>
        </w:tc>
        <w:tc>
          <w:tcPr>
            <w:tcW w:w="752" w:type="pct"/>
            <w:shd w:val="clear" w:color="auto" w:fill="auto"/>
            <w:vAlign w:val="center"/>
          </w:tcPr>
          <w:p w14:paraId="71AF063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12.00%</w:t>
            </w:r>
          </w:p>
        </w:tc>
      </w:tr>
      <w:tr w14:paraId="45CEF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530B10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803F73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通2</w:t>
            </w:r>
          </w:p>
        </w:tc>
        <w:tc>
          <w:tcPr>
            <w:tcW w:w="674" w:type="pct"/>
            <w:shd w:val="clear" w:color="auto" w:fill="auto"/>
            <w:vAlign w:val="center"/>
          </w:tcPr>
          <w:p w14:paraId="0B2FD02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674" w:type="pct"/>
            <w:shd w:val="clear" w:color="auto" w:fill="auto"/>
            <w:vAlign w:val="center"/>
          </w:tcPr>
          <w:p w14:paraId="4450189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4FCD39B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F2B226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04D3A0D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r>
      <w:tr w14:paraId="4C871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EF8393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3B6F56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顺1</w:t>
            </w:r>
          </w:p>
        </w:tc>
        <w:tc>
          <w:tcPr>
            <w:tcW w:w="674" w:type="pct"/>
            <w:shd w:val="clear" w:color="auto" w:fill="auto"/>
            <w:vAlign w:val="center"/>
          </w:tcPr>
          <w:p w14:paraId="1CF139C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6D42341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14.30%</w:t>
            </w:r>
          </w:p>
        </w:tc>
        <w:tc>
          <w:tcPr>
            <w:tcW w:w="674" w:type="pct"/>
            <w:shd w:val="clear" w:color="auto" w:fill="auto"/>
            <w:vAlign w:val="center"/>
          </w:tcPr>
          <w:p w14:paraId="1FD594C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595" w:type="pct"/>
            <w:shd w:val="clear" w:color="auto" w:fill="auto"/>
            <w:vAlign w:val="center"/>
          </w:tcPr>
          <w:p w14:paraId="5FB8525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3D3C474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r>
      <w:tr w14:paraId="48B8C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57A16E9">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7CDDF1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顺2</w:t>
            </w:r>
          </w:p>
        </w:tc>
        <w:tc>
          <w:tcPr>
            <w:tcW w:w="674" w:type="pct"/>
            <w:shd w:val="clear" w:color="auto" w:fill="auto"/>
            <w:vAlign w:val="center"/>
          </w:tcPr>
          <w:p w14:paraId="5FF4EF6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674" w:type="pct"/>
            <w:shd w:val="clear" w:color="auto" w:fill="auto"/>
            <w:vAlign w:val="center"/>
          </w:tcPr>
          <w:p w14:paraId="5290AE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674" w:type="pct"/>
            <w:shd w:val="clear" w:color="auto" w:fill="auto"/>
            <w:vAlign w:val="center"/>
          </w:tcPr>
          <w:p w14:paraId="137CFF5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D5DA91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12.70%</w:t>
            </w:r>
          </w:p>
        </w:tc>
        <w:tc>
          <w:tcPr>
            <w:tcW w:w="752" w:type="pct"/>
            <w:shd w:val="clear" w:color="auto" w:fill="auto"/>
            <w:vAlign w:val="center"/>
          </w:tcPr>
          <w:p w14:paraId="4D2CBF6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2D99D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34E2E5B">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955481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顺3</w:t>
            </w:r>
          </w:p>
        </w:tc>
        <w:tc>
          <w:tcPr>
            <w:tcW w:w="674" w:type="pct"/>
            <w:shd w:val="clear" w:color="auto" w:fill="auto"/>
            <w:vAlign w:val="center"/>
          </w:tcPr>
          <w:p w14:paraId="77BBEEC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FC4204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216676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089DC1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53CE54D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28468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2ADFCC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7C696E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顺4</w:t>
            </w:r>
          </w:p>
        </w:tc>
        <w:tc>
          <w:tcPr>
            <w:tcW w:w="674" w:type="pct"/>
            <w:shd w:val="clear" w:color="auto" w:fill="auto"/>
            <w:vAlign w:val="center"/>
          </w:tcPr>
          <w:p w14:paraId="489758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124ABD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6E2283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D2D5AE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600483F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5365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4C3302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F1B4BA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顺5</w:t>
            </w:r>
          </w:p>
        </w:tc>
        <w:tc>
          <w:tcPr>
            <w:tcW w:w="674" w:type="pct"/>
            <w:shd w:val="clear" w:color="auto" w:fill="auto"/>
            <w:vAlign w:val="center"/>
          </w:tcPr>
          <w:p w14:paraId="1532B07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4A9B5A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DAAA66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6BDA17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13E938D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32F0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FB426D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D41EF4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昌1</w:t>
            </w:r>
          </w:p>
        </w:tc>
        <w:tc>
          <w:tcPr>
            <w:tcW w:w="674" w:type="pct"/>
            <w:shd w:val="clear" w:color="auto" w:fill="auto"/>
            <w:vAlign w:val="center"/>
          </w:tcPr>
          <w:p w14:paraId="658537F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2C1733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26E1FC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25C61FD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3CC028F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0F5FA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6A71B10">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3C60D4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昌2</w:t>
            </w:r>
          </w:p>
        </w:tc>
        <w:tc>
          <w:tcPr>
            <w:tcW w:w="674" w:type="pct"/>
            <w:shd w:val="clear" w:color="auto" w:fill="auto"/>
            <w:vAlign w:val="center"/>
          </w:tcPr>
          <w:p w14:paraId="2FF930A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5CCE6F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0C5593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DFC516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14.80%</w:t>
            </w:r>
          </w:p>
        </w:tc>
        <w:tc>
          <w:tcPr>
            <w:tcW w:w="752" w:type="pct"/>
            <w:shd w:val="clear" w:color="auto" w:fill="auto"/>
            <w:vAlign w:val="center"/>
          </w:tcPr>
          <w:p w14:paraId="63CB754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23BE0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31AC17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47DBB1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昌3</w:t>
            </w:r>
          </w:p>
        </w:tc>
        <w:tc>
          <w:tcPr>
            <w:tcW w:w="674" w:type="pct"/>
            <w:shd w:val="clear" w:color="auto" w:fill="auto"/>
            <w:vAlign w:val="center"/>
          </w:tcPr>
          <w:p w14:paraId="367F43A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B53903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FD0AEC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3CDDA7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6B43D13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8858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B7B41A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292AAB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昌4</w:t>
            </w:r>
          </w:p>
        </w:tc>
        <w:tc>
          <w:tcPr>
            <w:tcW w:w="674" w:type="pct"/>
            <w:shd w:val="clear" w:color="auto" w:fill="auto"/>
            <w:vAlign w:val="center"/>
          </w:tcPr>
          <w:p w14:paraId="5FAB07E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F5B7E0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3FE296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8875F5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3C6136F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9A64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59BE7B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914AB5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昌5</w:t>
            </w:r>
          </w:p>
        </w:tc>
        <w:tc>
          <w:tcPr>
            <w:tcW w:w="674" w:type="pct"/>
            <w:shd w:val="clear" w:color="auto" w:fill="auto"/>
            <w:vAlign w:val="center"/>
          </w:tcPr>
          <w:p w14:paraId="68FE4FB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F443BB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7B517A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95958E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73B3894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26D1C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AB30E7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23E947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兴1</w:t>
            </w:r>
          </w:p>
        </w:tc>
        <w:tc>
          <w:tcPr>
            <w:tcW w:w="674" w:type="pct"/>
            <w:shd w:val="clear" w:color="auto" w:fill="auto"/>
            <w:vAlign w:val="center"/>
          </w:tcPr>
          <w:p w14:paraId="05D1892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2871EF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4BBD15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45B71E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532E006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6F3A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82982CA">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B8B51F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兴2</w:t>
            </w:r>
          </w:p>
        </w:tc>
        <w:tc>
          <w:tcPr>
            <w:tcW w:w="674" w:type="pct"/>
            <w:shd w:val="clear" w:color="auto" w:fill="auto"/>
            <w:vAlign w:val="center"/>
          </w:tcPr>
          <w:p w14:paraId="3AD3DDE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CF5903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3AB1E0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6AC7A8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14.60%</w:t>
            </w:r>
          </w:p>
        </w:tc>
        <w:tc>
          <w:tcPr>
            <w:tcW w:w="752" w:type="pct"/>
            <w:shd w:val="clear" w:color="auto" w:fill="auto"/>
            <w:vAlign w:val="center"/>
          </w:tcPr>
          <w:p w14:paraId="51E4F0B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167B0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CC8A07C">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17C1920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兴3</w:t>
            </w:r>
          </w:p>
        </w:tc>
        <w:tc>
          <w:tcPr>
            <w:tcW w:w="674" w:type="pct"/>
            <w:shd w:val="clear" w:color="auto" w:fill="auto"/>
            <w:vAlign w:val="center"/>
          </w:tcPr>
          <w:p w14:paraId="780C26B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12.60%</w:t>
            </w:r>
          </w:p>
        </w:tc>
        <w:tc>
          <w:tcPr>
            <w:tcW w:w="674" w:type="pct"/>
            <w:shd w:val="clear" w:color="auto" w:fill="auto"/>
            <w:vAlign w:val="center"/>
          </w:tcPr>
          <w:p w14:paraId="0535B38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12.40%</w:t>
            </w:r>
          </w:p>
        </w:tc>
        <w:tc>
          <w:tcPr>
            <w:tcW w:w="674" w:type="pct"/>
            <w:shd w:val="clear" w:color="auto" w:fill="auto"/>
            <w:vAlign w:val="center"/>
          </w:tcPr>
          <w:p w14:paraId="7834869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595" w:type="pct"/>
            <w:shd w:val="clear" w:color="auto" w:fill="auto"/>
            <w:vAlign w:val="center"/>
          </w:tcPr>
          <w:p w14:paraId="121D806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752" w:type="pct"/>
            <w:shd w:val="clear" w:color="auto" w:fill="auto"/>
            <w:vAlign w:val="center"/>
          </w:tcPr>
          <w:p w14:paraId="10D3554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13.00%</w:t>
            </w:r>
          </w:p>
        </w:tc>
      </w:tr>
      <w:tr w14:paraId="1FDCF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828FCF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77CC00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怀1</w:t>
            </w:r>
          </w:p>
        </w:tc>
        <w:tc>
          <w:tcPr>
            <w:tcW w:w="674" w:type="pct"/>
            <w:shd w:val="clear" w:color="auto" w:fill="auto"/>
            <w:vAlign w:val="center"/>
          </w:tcPr>
          <w:p w14:paraId="77DEDC5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BB92BF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9D760B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66A7289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14.70%</w:t>
            </w:r>
          </w:p>
        </w:tc>
        <w:tc>
          <w:tcPr>
            <w:tcW w:w="752" w:type="pct"/>
            <w:shd w:val="clear" w:color="auto" w:fill="auto"/>
            <w:vAlign w:val="center"/>
          </w:tcPr>
          <w:p w14:paraId="35CD4BA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108D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7DF62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A587E9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怀2</w:t>
            </w:r>
          </w:p>
        </w:tc>
        <w:tc>
          <w:tcPr>
            <w:tcW w:w="674" w:type="pct"/>
            <w:shd w:val="clear" w:color="auto" w:fill="auto"/>
            <w:vAlign w:val="center"/>
          </w:tcPr>
          <w:p w14:paraId="1FFC899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6367A6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6302D5D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ED2DF8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7AD5A43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A4A8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A816014">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04FD3C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怀3</w:t>
            </w:r>
          </w:p>
        </w:tc>
        <w:tc>
          <w:tcPr>
            <w:tcW w:w="674" w:type="pct"/>
            <w:shd w:val="clear" w:color="auto" w:fill="auto"/>
            <w:vAlign w:val="center"/>
          </w:tcPr>
          <w:p w14:paraId="217C648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C28F30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9FFE33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8BC1A4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752" w:type="pct"/>
            <w:shd w:val="clear" w:color="auto" w:fill="auto"/>
            <w:vAlign w:val="center"/>
          </w:tcPr>
          <w:p w14:paraId="234A091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542B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7FAEA66">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FFF335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怀4</w:t>
            </w:r>
          </w:p>
        </w:tc>
        <w:tc>
          <w:tcPr>
            <w:tcW w:w="674" w:type="pct"/>
            <w:shd w:val="clear" w:color="auto" w:fill="auto"/>
            <w:vAlign w:val="center"/>
          </w:tcPr>
          <w:p w14:paraId="7C61FDE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6566AA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C46332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C2538A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11.10%</w:t>
            </w:r>
          </w:p>
        </w:tc>
        <w:tc>
          <w:tcPr>
            <w:tcW w:w="752" w:type="pct"/>
            <w:shd w:val="clear" w:color="auto" w:fill="auto"/>
            <w:vAlign w:val="center"/>
          </w:tcPr>
          <w:p w14:paraId="7AFA74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B489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1B9957A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4C3728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平1</w:t>
            </w:r>
          </w:p>
        </w:tc>
        <w:tc>
          <w:tcPr>
            <w:tcW w:w="674" w:type="pct"/>
            <w:shd w:val="clear" w:color="auto" w:fill="auto"/>
            <w:vAlign w:val="center"/>
          </w:tcPr>
          <w:p w14:paraId="390EC53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6AFE29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2493682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460FA91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12.60%</w:t>
            </w:r>
          </w:p>
        </w:tc>
        <w:tc>
          <w:tcPr>
            <w:tcW w:w="752" w:type="pct"/>
            <w:shd w:val="clear" w:color="auto" w:fill="auto"/>
            <w:vAlign w:val="center"/>
          </w:tcPr>
          <w:p w14:paraId="61D59F2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51A7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AA6ECFB">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0DE0C0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平2</w:t>
            </w:r>
          </w:p>
        </w:tc>
        <w:tc>
          <w:tcPr>
            <w:tcW w:w="674" w:type="pct"/>
            <w:shd w:val="clear" w:color="auto" w:fill="auto"/>
            <w:vAlign w:val="center"/>
          </w:tcPr>
          <w:p w14:paraId="2181821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068F37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5550014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794DE8B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12.00%</w:t>
            </w:r>
          </w:p>
        </w:tc>
        <w:tc>
          <w:tcPr>
            <w:tcW w:w="752" w:type="pct"/>
            <w:shd w:val="clear" w:color="auto" w:fill="auto"/>
            <w:vAlign w:val="center"/>
          </w:tcPr>
          <w:p w14:paraId="3CE5C09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49F88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3E721A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5021F0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密1</w:t>
            </w:r>
          </w:p>
        </w:tc>
        <w:tc>
          <w:tcPr>
            <w:tcW w:w="674" w:type="pct"/>
            <w:shd w:val="clear" w:color="auto" w:fill="auto"/>
            <w:vAlign w:val="center"/>
          </w:tcPr>
          <w:p w14:paraId="3D6D9EB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316EDBC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04F1259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323C380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13.00%</w:t>
            </w:r>
          </w:p>
        </w:tc>
        <w:tc>
          <w:tcPr>
            <w:tcW w:w="752" w:type="pct"/>
            <w:shd w:val="clear" w:color="auto" w:fill="auto"/>
            <w:vAlign w:val="center"/>
          </w:tcPr>
          <w:p w14:paraId="4B3EF98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7F4A9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DF524B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08D9E0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延1</w:t>
            </w:r>
          </w:p>
        </w:tc>
        <w:tc>
          <w:tcPr>
            <w:tcW w:w="674" w:type="pct"/>
            <w:shd w:val="clear" w:color="auto" w:fill="auto"/>
            <w:vAlign w:val="center"/>
          </w:tcPr>
          <w:p w14:paraId="73F4327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A408A0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18FBC1A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0D40E36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14.10%</w:t>
            </w:r>
          </w:p>
        </w:tc>
        <w:tc>
          <w:tcPr>
            <w:tcW w:w="752" w:type="pct"/>
            <w:shd w:val="clear" w:color="auto" w:fill="auto"/>
            <w:vAlign w:val="center"/>
          </w:tcPr>
          <w:p w14:paraId="0D61E2E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6EB6E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CE8B893">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6FDCF6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延2</w:t>
            </w:r>
          </w:p>
        </w:tc>
        <w:tc>
          <w:tcPr>
            <w:tcW w:w="674" w:type="pct"/>
            <w:shd w:val="clear" w:color="auto" w:fill="auto"/>
            <w:vAlign w:val="center"/>
          </w:tcPr>
          <w:p w14:paraId="420B2AF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417D141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674" w:type="pct"/>
            <w:shd w:val="clear" w:color="auto" w:fill="auto"/>
            <w:vAlign w:val="center"/>
          </w:tcPr>
          <w:p w14:paraId="76776FB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595" w:type="pct"/>
            <w:shd w:val="clear" w:color="auto" w:fill="auto"/>
            <w:vAlign w:val="center"/>
          </w:tcPr>
          <w:p w14:paraId="5F05D1B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c>
          <w:tcPr>
            <w:tcW w:w="752" w:type="pct"/>
            <w:shd w:val="clear" w:color="auto" w:fill="auto"/>
            <w:vAlign w:val="center"/>
          </w:tcPr>
          <w:p w14:paraId="7D4C2F1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15.00%</w:t>
            </w:r>
          </w:p>
        </w:tc>
      </w:tr>
      <w:tr w14:paraId="57FBB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B1F330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6F5B54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亦1</w:t>
            </w:r>
          </w:p>
        </w:tc>
        <w:tc>
          <w:tcPr>
            <w:tcW w:w="674" w:type="pct"/>
            <w:shd w:val="clear" w:color="auto" w:fill="auto"/>
            <w:vAlign w:val="center"/>
          </w:tcPr>
          <w:p w14:paraId="4B399E3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13.20%</w:t>
            </w:r>
          </w:p>
        </w:tc>
        <w:tc>
          <w:tcPr>
            <w:tcW w:w="674" w:type="pct"/>
            <w:shd w:val="clear" w:color="auto" w:fill="auto"/>
            <w:vAlign w:val="center"/>
          </w:tcPr>
          <w:p w14:paraId="7C76BFC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13.30%</w:t>
            </w:r>
          </w:p>
        </w:tc>
        <w:tc>
          <w:tcPr>
            <w:tcW w:w="674" w:type="pct"/>
            <w:shd w:val="clear" w:color="auto" w:fill="auto"/>
            <w:vAlign w:val="center"/>
          </w:tcPr>
          <w:p w14:paraId="72A8FAE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14.50%</w:t>
            </w:r>
          </w:p>
        </w:tc>
        <w:tc>
          <w:tcPr>
            <w:tcW w:w="595" w:type="pct"/>
            <w:shd w:val="clear" w:color="auto" w:fill="auto"/>
            <w:vAlign w:val="center"/>
          </w:tcPr>
          <w:p w14:paraId="57AF662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c>
          <w:tcPr>
            <w:tcW w:w="752" w:type="pct"/>
            <w:shd w:val="clear" w:color="auto" w:fill="auto"/>
            <w:vAlign w:val="center"/>
          </w:tcPr>
          <w:p w14:paraId="7EEFFE4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14.00%</w:t>
            </w:r>
          </w:p>
        </w:tc>
      </w:tr>
      <w:tr w14:paraId="531F0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EF5E82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AD728B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亦2</w:t>
            </w:r>
          </w:p>
        </w:tc>
        <w:tc>
          <w:tcPr>
            <w:tcW w:w="674" w:type="pct"/>
            <w:shd w:val="clear" w:color="auto" w:fill="auto"/>
            <w:vAlign w:val="center"/>
          </w:tcPr>
          <w:p w14:paraId="5B4279C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13.80%</w:t>
            </w:r>
          </w:p>
        </w:tc>
        <w:tc>
          <w:tcPr>
            <w:tcW w:w="674" w:type="pct"/>
            <w:shd w:val="clear" w:color="auto" w:fill="auto"/>
            <w:vAlign w:val="center"/>
          </w:tcPr>
          <w:p w14:paraId="2045C9A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14.00%</w:t>
            </w:r>
          </w:p>
        </w:tc>
        <w:tc>
          <w:tcPr>
            <w:tcW w:w="674" w:type="pct"/>
            <w:shd w:val="clear" w:color="auto" w:fill="auto"/>
            <w:vAlign w:val="center"/>
          </w:tcPr>
          <w:p w14:paraId="30555AF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14.60%</w:t>
            </w:r>
          </w:p>
        </w:tc>
        <w:tc>
          <w:tcPr>
            <w:tcW w:w="595" w:type="pct"/>
            <w:shd w:val="clear" w:color="auto" w:fill="auto"/>
            <w:vAlign w:val="center"/>
          </w:tcPr>
          <w:p w14:paraId="558F8D0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14.90%</w:t>
            </w:r>
          </w:p>
        </w:tc>
        <w:tc>
          <w:tcPr>
            <w:tcW w:w="752" w:type="pct"/>
            <w:shd w:val="clear" w:color="auto" w:fill="auto"/>
            <w:vAlign w:val="center"/>
          </w:tcPr>
          <w:p w14:paraId="7F21EA1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14.20%</w:t>
            </w:r>
          </w:p>
        </w:tc>
      </w:tr>
      <w:tr w14:paraId="6CBA9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75872A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732883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亦3</w:t>
            </w:r>
          </w:p>
        </w:tc>
        <w:tc>
          <w:tcPr>
            <w:tcW w:w="674" w:type="pct"/>
            <w:shd w:val="clear" w:color="auto" w:fill="auto"/>
            <w:vAlign w:val="center"/>
          </w:tcPr>
          <w:p w14:paraId="78A09E3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12.50%</w:t>
            </w:r>
          </w:p>
        </w:tc>
        <w:tc>
          <w:tcPr>
            <w:tcW w:w="674" w:type="pct"/>
            <w:shd w:val="clear" w:color="auto" w:fill="auto"/>
            <w:vAlign w:val="center"/>
          </w:tcPr>
          <w:p w14:paraId="44E3787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12.70%</w:t>
            </w:r>
          </w:p>
        </w:tc>
        <w:tc>
          <w:tcPr>
            <w:tcW w:w="674" w:type="pct"/>
            <w:shd w:val="clear" w:color="auto" w:fill="auto"/>
            <w:vAlign w:val="center"/>
          </w:tcPr>
          <w:p w14:paraId="6590E25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14.40%</w:t>
            </w:r>
          </w:p>
        </w:tc>
        <w:tc>
          <w:tcPr>
            <w:tcW w:w="595" w:type="pct"/>
            <w:shd w:val="clear" w:color="auto" w:fill="auto"/>
            <w:vAlign w:val="center"/>
          </w:tcPr>
          <w:p w14:paraId="0248FD0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11.50%</w:t>
            </w:r>
          </w:p>
        </w:tc>
        <w:tc>
          <w:tcPr>
            <w:tcW w:w="752" w:type="pct"/>
            <w:shd w:val="clear" w:color="auto" w:fill="auto"/>
            <w:vAlign w:val="center"/>
          </w:tcPr>
          <w:p w14:paraId="451FB6F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13.60%</w:t>
            </w:r>
          </w:p>
        </w:tc>
      </w:tr>
      <w:tr w14:paraId="69DA9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4E5CF97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FDB2ED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房山工业园西</w:t>
            </w:r>
          </w:p>
        </w:tc>
        <w:tc>
          <w:tcPr>
            <w:tcW w:w="674" w:type="pct"/>
            <w:shd w:val="clear" w:color="auto" w:fill="auto"/>
            <w:vAlign w:val="center"/>
          </w:tcPr>
          <w:p w14:paraId="76A1859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2D8EB943">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57661D39">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595" w:type="pct"/>
            <w:shd w:val="clear" w:color="auto" w:fill="auto"/>
            <w:vAlign w:val="center"/>
          </w:tcPr>
          <w:p w14:paraId="037C046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7C19E1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36617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17DCD2F">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23529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房山工业园东</w:t>
            </w:r>
          </w:p>
        </w:tc>
        <w:tc>
          <w:tcPr>
            <w:tcW w:w="674" w:type="pct"/>
            <w:shd w:val="clear" w:color="auto" w:fill="auto"/>
            <w:vAlign w:val="center"/>
          </w:tcPr>
          <w:p w14:paraId="5C876614">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5163F57D">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674" w:type="pct"/>
            <w:shd w:val="clear" w:color="auto" w:fill="auto"/>
            <w:vAlign w:val="center"/>
          </w:tcPr>
          <w:p w14:paraId="02CDAFA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c>
          <w:tcPr>
            <w:tcW w:w="595" w:type="pct"/>
            <w:shd w:val="clear" w:color="auto" w:fill="auto"/>
            <w:vAlign w:val="center"/>
          </w:tcPr>
          <w:p w14:paraId="27D85B1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22AFE10">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3307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40F6355">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D62A3F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永乐开发区</w:t>
            </w:r>
          </w:p>
        </w:tc>
        <w:tc>
          <w:tcPr>
            <w:tcW w:w="674" w:type="pct"/>
            <w:shd w:val="clear" w:color="auto" w:fill="auto"/>
            <w:noWrap/>
            <w:vAlign w:val="center"/>
          </w:tcPr>
          <w:p w14:paraId="7C39571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ECF83F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A05AC5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06B2304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7CF2A1A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85AD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4F84DEF">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4D2C22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采育开发区</w:t>
            </w:r>
          </w:p>
        </w:tc>
        <w:tc>
          <w:tcPr>
            <w:tcW w:w="674" w:type="pct"/>
            <w:shd w:val="clear" w:color="auto" w:fill="auto"/>
            <w:noWrap/>
            <w:vAlign w:val="center"/>
          </w:tcPr>
          <w:p w14:paraId="546F84D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5549411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765306A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6A32A20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37E1E3D">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56F5F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048D86D">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5A396B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雁栖开发区A</w:t>
            </w:r>
          </w:p>
        </w:tc>
        <w:tc>
          <w:tcPr>
            <w:tcW w:w="674" w:type="pct"/>
            <w:shd w:val="clear" w:color="auto" w:fill="auto"/>
            <w:noWrap/>
            <w:vAlign w:val="center"/>
          </w:tcPr>
          <w:p w14:paraId="0FDA423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32A763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F05239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133275D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11DFEF8F">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1EEC8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660D7BE">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C4164F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雁栖开发区B</w:t>
            </w:r>
          </w:p>
        </w:tc>
        <w:tc>
          <w:tcPr>
            <w:tcW w:w="674" w:type="pct"/>
            <w:shd w:val="clear" w:color="auto" w:fill="auto"/>
            <w:noWrap/>
            <w:vAlign w:val="center"/>
          </w:tcPr>
          <w:p w14:paraId="33CA785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7977BF6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1F6C0CB">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724ECE4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544CBC9C">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628E1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722DAA0E">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5CE1C02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雁栖开发区C</w:t>
            </w:r>
          </w:p>
        </w:tc>
        <w:tc>
          <w:tcPr>
            <w:tcW w:w="674" w:type="pct"/>
            <w:shd w:val="clear" w:color="auto" w:fill="auto"/>
            <w:noWrap/>
            <w:vAlign w:val="center"/>
          </w:tcPr>
          <w:p w14:paraId="5B95E672">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20B67F6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1443548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760EE0B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3D08BC0">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5FC68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01101A58">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61CF41F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兴谷开发区A</w:t>
            </w:r>
          </w:p>
        </w:tc>
        <w:tc>
          <w:tcPr>
            <w:tcW w:w="674" w:type="pct"/>
            <w:shd w:val="clear" w:color="auto" w:fill="auto"/>
            <w:noWrap/>
            <w:vAlign w:val="center"/>
          </w:tcPr>
          <w:p w14:paraId="672269B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2E3E4D4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27274E5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29F47C1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2349C2E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7D939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5F82BA6F">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3537255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兴谷开发区B</w:t>
            </w:r>
          </w:p>
        </w:tc>
        <w:tc>
          <w:tcPr>
            <w:tcW w:w="674" w:type="pct"/>
            <w:shd w:val="clear" w:color="auto" w:fill="auto"/>
            <w:noWrap/>
            <w:vAlign w:val="center"/>
          </w:tcPr>
          <w:p w14:paraId="1F9F6AF8">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1D77E11">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30C211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035DBA03">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3DB5ABFB">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6A42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21312261">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7500979C">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马坊工业园</w:t>
            </w:r>
          </w:p>
        </w:tc>
        <w:tc>
          <w:tcPr>
            <w:tcW w:w="674" w:type="pct"/>
            <w:shd w:val="clear" w:color="auto" w:fill="auto"/>
            <w:noWrap/>
            <w:vAlign w:val="center"/>
          </w:tcPr>
          <w:p w14:paraId="32C53A9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5365F46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095DA75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68E9E74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705BA3B4">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0F46F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6187A462">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2BBA1B45">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密云开发区</w:t>
            </w:r>
          </w:p>
        </w:tc>
        <w:tc>
          <w:tcPr>
            <w:tcW w:w="674" w:type="pct"/>
            <w:shd w:val="clear" w:color="auto" w:fill="auto"/>
            <w:noWrap/>
            <w:vAlign w:val="center"/>
          </w:tcPr>
          <w:p w14:paraId="1DB4ED7A">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10718C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84E00E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7386693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06809E56">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5B5D5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572" w:type="pct"/>
            <w:vMerge w:val="continue"/>
            <w:shd w:val="clear" w:color="auto" w:fill="auto"/>
            <w:vAlign w:val="center"/>
          </w:tcPr>
          <w:p w14:paraId="3006BFC7">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0DF8023F">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延庆开发区</w:t>
            </w:r>
          </w:p>
        </w:tc>
        <w:tc>
          <w:tcPr>
            <w:tcW w:w="674" w:type="pct"/>
            <w:shd w:val="clear" w:color="auto" w:fill="auto"/>
            <w:noWrap/>
            <w:vAlign w:val="center"/>
          </w:tcPr>
          <w:p w14:paraId="7E7AF344">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DD36360">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1983477">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072183D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2BCC6577">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r w14:paraId="42FB1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572" w:type="pct"/>
            <w:vMerge w:val="continue"/>
            <w:shd w:val="clear" w:color="auto" w:fill="auto"/>
            <w:vAlign w:val="center"/>
          </w:tcPr>
          <w:p w14:paraId="270D91CB">
            <w:pPr>
              <w:widowControl/>
              <w:adjustRightInd/>
              <w:spacing w:line="276" w:lineRule="auto"/>
              <w:textAlignment w:val="auto"/>
              <w:rPr>
                <w:rFonts w:ascii="Arial" w:hAnsi="Arial" w:eastAsia="仿宋" w:cs="Arial"/>
                <w:sz w:val="21"/>
                <w:szCs w:val="21"/>
                <w:highlight w:val="none"/>
              </w:rPr>
            </w:pPr>
          </w:p>
        </w:tc>
        <w:tc>
          <w:tcPr>
            <w:tcW w:w="1056" w:type="pct"/>
            <w:shd w:val="clear" w:color="auto" w:fill="auto"/>
            <w:vAlign w:val="center"/>
          </w:tcPr>
          <w:p w14:paraId="4E9ED67D">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Ⅸ</w:t>
            </w:r>
            <w:r>
              <w:rPr>
                <w:rFonts w:hint="eastAsia" w:ascii="Arial" w:hAnsi="Arial" w:eastAsia="仿宋" w:cs="Arial"/>
                <w:sz w:val="21"/>
                <w:szCs w:val="21"/>
                <w:highlight w:val="none"/>
                <w:lang w:eastAsia="zh-CN"/>
              </w:rPr>
              <w:t>－</w:t>
            </w:r>
            <w:r>
              <w:rPr>
                <w:rFonts w:hint="eastAsia" w:ascii="Arial" w:hAnsi="Arial" w:eastAsia="仿宋" w:cs="Arial"/>
                <w:sz w:val="21"/>
                <w:szCs w:val="21"/>
                <w:highlight w:val="none"/>
              </w:rPr>
              <w:t>八达岭开发区</w:t>
            </w:r>
          </w:p>
        </w:tc>
        <w:tc>
          <w:tcPr>
            <w:tcW w:w="674" w:type="pct"/>
            <w:shd w:val="clear" w:color="auto" w:fill="auto"/>
            <w:noWrap/>
            <w:vAlign w:val="center"/>
          </w:tcPr>
          <w:p w14:paraId="3E9746A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4C7EA5A6">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674" w:type="pct"/>
            <w:shd w:val="clear" w:color="auto" w:fill="auto"/>
            <w:noWrap/>
            <w:vAlign w:val="center"/>
          </w:tcPr>
          <w:p w14:paraId="31A5AC7E">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　</w:t>
            </w:r>
          </w:p>
        </w:tc>
        <w:tc>
          <w:tcPr>
            <w:tcW w:w="595" w:type="pct"/>
            <w:shd w:val="clear" w:color="auto" w:fill="auto"/>
            <w:vAlign w:val="center"/>
          </w:tcPr>
          <w:p w14:paraId="3BD739C9">
            <w:pPr>
              <w:widowControl/>
              <w:adjustRightInd/>
              <w:spacing w:line="276" w:lineRule="auto"/>
              <w:textAlignment w:val="auto"/>
              <w:rPr>
                <w:rFonts w:ascii="Arial" w:hAnsi="Arial" w:eastAsia="仿宋" w:cs="Arial"/>
                <w:sz w:val="21"/>
                <w:szCs w:val="21"/>
                <w:highlight w:val="none"/>
              </w:rPr>
            </w:pPr>
            <w:r>
              <w:rPr>
                <w:rFonts w:hint="eastAsia" w:ascii="Arial" w:hAnsi="Arial" w:eastAsia="仿宋" w:cs="Arial"/>
                <w:sz w:val="21"/>
                <w:szCs w:val="21"/>
                <w:highlight w:val="none"/>
              </w:rPr>
              <w:t>5.00%</w:t>
            </w:r>
          </w:p>
        </w:tc>
        <w:tc>
          <w:tcPr>
            <w:tcW w:w="752" w:type="pct"/>
            <w:shd w:val="clear" w:color="auto" w:fill="auto"/>
            <w:vAlign w:val="center"/>
          </w:tcPr>
          <w:p w14:paraId="4AD0AFF5">
            <w:pPr>
              <w:widowControl/>
              <w:adjustRightInd/>
              <w:spacing w:line="276" w:lineRule="auto"/>
              <w:textAlignment w:val="auto"/>
              <w:rPr>
                <w:rFonts w:ascii="Arial" w:hAnsi="Arial" w:eastAsia="仿宋" w:cs="Arial"/>
                <w:sz w:val="21"/>
                <w:szCs w:val="21"/>
                <w:highlight w:val="none"/>
              </w:rPr>
            </w:pPr>
            <w:r>
              <w:rPr>
                <w:rFonts w:ascii="Arial" w:hAnsi="Arial" w:eastAsia="仿宋" w:cs="Arial"/>
                <w:sz w:val="21"/>
                <w:szCs w:val="21"/>
                <w:highlight w:val="none"/>
              </w:rPr>
              <w:t>　</w:t>
            </w:r>
          </w:p>
        </w:tc>
      </w:tr>
    </w:tbl>
    <w:p w14:paraId="4CC14693">
      <w:pPr>
        <w:keepNext w:val="0"/>
        <w:keepLines w:val="0"/>
        <w:pageBreakBefore w:val="0"/>
        <w:widowControl w:val="0"/>
        <w:kinsoku/>
        <w:wordWrap/>
        <w:overflowPunct/>
        <w:topLinePunct w:val="0"/>
        <w:autoSpaceDE/>
        <w:autoSpaceDN/>
        <w:bidi w:val="0"/>
        <w:adjustRightInd w:val="0"/>
        <w:snapToGrid/>
        <w:spacing w:before="157" w:beforeLines="50" w:line="360" w:lineRule="auto"/>
        <w:jc w:val="center"/>
        <w:textAlignment w:val="baseline"/>
        <w:rPr>
          <w:rFonts w:ascii="Arial" w:hAnsi="Arial" w:eastAsia="仿宋" w:cs="Arial"/>
          <w:bCs/>
          <w:sz w:val="28"/>
          <w:szCs w:val="28"/>
          <w:highlight w:val="none"/>
        </w:rPr>
      </w:pPr>
      <w:r>
        <w:rPr>
          <w:rFonts w:ascii="Arial" w:hAnsi="Arial" w:eastAsia="仿宋" w:cs="Arial"/>
          <w:bCs/>
          <w:sz w:val="28"/>
          <w:szCs w:val="28"/>
          <w:highlight w:val="none"/>
        </w:rPr>
        <w:t>因素等级说明表</w:t>
      </w:r>
    </w:p>
    <w:tbl>
      <w:tblPr>
        <w:tblStyle w:val="34"/>
        <w:tblW w:w="4999"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234"/>
        <w:gridCol w:w="1434"/>
        <w:gridCol w:w="1435"/>
        <w:gridCol w:w="1435"/>
        <w:gridCol w:w="1435"/>
        <w:gridCol w:w="1435"/>
      </w:tblGrid>
      <w:tr w14:paraId="74E16D0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29" w:hRule="atLeast"/>
          <w:tblHeader/>
          <w:jc w:val="center"/>
        </w:trPr>
        <w:tc>
          <w:tcPr>
            <w:tcW w:w="1187" w:type="pct"/>
            <w:tcBorders>
              <w:top w:val="single" w:color="404040" w:sz="2" w:space="0"/>
              <w:left w:val="single" w:color="404040" w:sz="2" w:space="0"/>
              <w:bottom w:val="single" w:color="404040" w:sz="2" w:space="0"/>
              <w:right w:val="single" w:color="404040" w:sz="2" w:space="0"/>
              <w:tl2br w:val="single" w:color="auto" w:sz="4" w:space="0"/>
            </w:tcBorders>
            <w:vAlign w:val="center"/>
          </w:tcPr>
          <w:p w14:paraId="2DBD51A4">
            <w:pPr>
              <w:widowControl/>
              <w:adjustRightInd/>
              <w:spacing w:line="240" w:lineRule="exact"/>
              <w:ind w:firstLine="1365" w:firstLineChars="650"/>
              <w:jc w:val="right"/>
              <w:rPr>
                <w:rFonts w:ascii="Arial" w:hAnsi="Arial" w:eastAsia="仿宋" w:cs="Arial"/>
                <w:sz w:val="21"/>
                <w:szCs w:val="21"/>
                <w:highlight w:val="none"/>
              </w:rPr>
            </w:pPr>
            <w:r>
              <w:rPr>
                <w:rFonts w:ascii="Arial" w:hAnsi="Arial" w:eastAsia="仿宋" w:cs="Arial"/>
                <w:sz w:val="21"/>
                <w:szCs w:val="21"/>
                <w:highlight w:val="none"/>
              </w:rPr>
              <w:t>等级</w:t>
            </w:r>
          </w:p>
          <w:p w14:paraId="52F1CB0E">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影响因素</w:t>
            </w:r>
          </w:p>
        </w:tc>
        <w:tc>
          <w:tcPr>
            <w:tcW w:w="762" w:type="pct"/>
            <w:tcBorders>
              <w:top w:val="single" w:color="404040" w:sz="2" w:space="0"/>
              <w:left w:val="single" w:color="404040" w:sz="2" w:space="0"/>
              <w:bottom w:val="single" w:color="404040" w:sz="2" w:space="0"/>
              <w:right w:val="single" w:color="404040" w:sz="2" w:space="0"/>
            </w:tcBorders>
            <w:vAlign w:val="center"/>
          </w:tcPr>
          <w:p w14:paraId="2107C70F">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好</w:t>
            </w:r>
          </w:p>
        </w:tc>
        <w:tc>
          <w:tcPr>
            <w:tcW w:w="762" w:type="pct"/>
            <w:tcBorders>
              <w:top w:val="single" w:color="404040" w:sz="2" w:space="0"/>
              <w:left w:val="single" w:color="404040" w:sz="2" w:space="0"/>
              <w:bottom w:val="single" w:color="404040" w:sz="2" w:space="0"/>
              <w:right w:val="single" w:color="404040" w:sz="2" w:space="0"/>
            </w:tcBorders>
            <w:vAlign w:val="center"/>
          </w:tcPr>
          <w:p w14:paraId="426C3E4D">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4D9EDE1F">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62BC3668">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69802A3E">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差</w:t>
            </w:r>
          </w:p>
        </w:tc>
      </w:tr>
      <w:tr w14:paraId="735DA7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0720A3F3">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物业聚集程度</w:t>
            </w:r>
          </w:p>
        </w:tc>
        <w:tc>
          <w:tcPr>
            <w:tcW w:w="762" w:type="pct"/>
            <w:tcBorders>
              <w:top w:val="single" w:color="404040" w:sz="2" w:space="0"/>
              <w:left w:val="single" w:color="404040" w:sz="2" w:space="0"/>
              <w:bottom w:val="single" w:color="404040" w:sz="2" w:space="0"/>
              <w:right w:val="single" w:color="404040" w:sz="2" w:space="0"/>
            </w:tcBorders>
            <w:vAlign w:val="center"/>
          </w:tcPr>
          <w:p w14:paraId="0A3E653E">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周边公共服务物业分布密集，物业聚集程度好</w:t>
            </w:r>
          </w:p>
        </w:tc>
        <w:tc>
          <w:tcPr>
            <w:tcW w:w="762" w:type="pct"/>
            <w:tcBorders>
              <w:top w:val="single" w:color="404040" w:sz="2" w:space="0"/>
              <w:left w:val="single" w:color="404040" w:sz="2" w:space="0"/>
              <w:bottom w:val="single" w:color="404040" w:sz="2" w:space="0"/>
              <w:right w:val="single" w:color="404040" w:sz="2" w:space="0"/>
            </w:tcBorders>
            <w:vAlign w:val="center"/>
          </w:tcPr>
          <w:p w14:paraId="16BEA556">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周边公共服务物业分布较密集，物业聚集程度较好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2AD9955B">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周边有一定数量的公共服务物业，物业聚集程度一般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784397FA">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周边公共服务物业分布较分散，物业聚集程度较差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542A3C71">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周边暂无公共服务物业分布，物业聚集程度差</w:t>
            </w:r>
          </w:p>
        </w:tc>
      </w:tr>
      <w:tr w14:paraId="49EDEE8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6AE320F1">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交通便捷度</w:t>
            </w:r>
          </w:p>
        </w:tc>
        <w:tc>
          <w:tcPr>
            <w:tcW w:w="762" w:type="pct"/>
            <w:tcBorders>
              <w:top w:val="single" w:color="404040" w:sz="2" w:space="0"/>
              <w:left w:val="single" w:color="404040" w:sz="2" w:space="0"/>
              <w:bottom w:val="single" w:color="404040" w:sz="2" w:space="0"/>
              <w:right w:val="single" w:color="404040" w:sz="2" w:space="0"/>
            </w:tcBorders>
            <w:vAlign w:val="center"/>
          </w:tcPr>
          <w:p w14:paraId="2673B55D">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40017558">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较便捷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12FF9287">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71A50B8C">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较不便捷</w:t>
            </w:r>
          </w:p>
        </w:tc>
        <w:tc>
          <w:tcPr>
            <w:tcW w:w="762" w:type="pct"/>
            <w:tcBorders>
              <w:top w:val="single" w:color="404040" w:sz="2" w:space="0"/>
              <w:left w:val="single" w:color="404040" w:sz="2" w:space="0"/>
              <w:bottom w:val="single" w:color="404040" w:sz="2" w:space="0"/>
              <w:right w:val="single" w:color="404040" w:sz="2" w:space="0"/>
            </w:tcBorders>
            <w:vAlign w:val="center"/>
          </w:tcPr>
          <w:p w14:paraId="63B8F723">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不便捷</w:t>
            </w:r>
          </w:p>
        </w:tc>
      </w:tr>
      <w:tr w14:paraId="61C6865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47E491B3">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城市规划及区域土地利用方向</w:t>
            </w:r>
          </w:p>
        </w:tc>
        <w:tc>
          <w:tcPr>
            <w:tcW w:w="762" w:type="pct"/>
            <w:tcBorders>
              <w:top w:val="single" w:color="404040" w:sz="2" w:space="0"/>
              <w:left w:val="single" w:color="404040" w:sz="2" w:space="0"/>
              <w:bottom w:val="single" w:color="404040" w:sz="2" w:space="0"/>
              <w:right w:val="single" w:color="404040" w:sz="2" w:space="0"/>
            </w:tcBorders>
            <w:vAlign w:val="center"/>
          </w:tcPr>
          <w:p w14:paraId="26B66602">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估价对象用途与周边土地利用方向一致</w:t>
            </w:r>
          </w:p>
        </w:tc>
        <w:tc>
          <w:tcPr>
            <w:tcW w:w="762" w:type="pct"/>
            <w:tcBorders>
              <w:top w:val="single" w:color="404040" w:sz="2" w:space="0"/>
              <w:left w:val="single" w:color="404040" w:sz="2" w:space="0"/>
              <w:bottom w:val="single" w:color="404040" w:sz="2" w:space="0"/>
              <w:right w:val="single" w:color="404040" w:sz="2" w:space="0"/>
            </w:tcBorders>
            <w:vAlign w:val="center"/>
          </w:tcPr>
          <w:p w14:paraId="3E74165F">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零星有其他用地，基本不影响本宗地</w:t>
            </w:r>
          </w:p>
        </w:tc>
        <w:tc>
          <w:tcPr>
            <w:tcW w:w="762" w:type="pct"/>
            <w:tcBorders>
              <w:top w:val="single" w:color="404040" w:sz="2" w:space="0"/>
              <w:left w:val="single" w:color="404040" w:sz="2" w:space="0"/>
              <w:bottom w:val="single" w:color="404040" w:sz="2" w:space="0"/>
              <w:right w:val="single" w:color="404040" w:sz="2" w:space="0"/>
            </w:tcBorders>
            <w:vAlign w:val="center"/>
          </w:tcPr>
          <w:p w14:paraId="068B0478">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有部分有其他用地，对本宗地略有影响</w:t>
            </w:r>
          </w:p>
        </w:tc>
        <w:tc>
          <w:tcPr>
            <w:tcW w:w="762" w:type="pct"/>
            <w:tcBorders>
              <w:top w:val="single" w:color="404040" w:sz="2" w:space="0"/>
              <w:left w:val="single" w:color="404040" w:sz="2" w:space="0"/>
              <w:bottom w:val="single" w:color="404040" w:sz="2" w:space="0"/>
              <w:right w:val="single" w:color="404040" w:sz="2" w:space="0"/>
            </w:tcBorders>
            <w:vAlign w:val="center"/>
          </w:tcPr>
          <w:p w14:paraId="1E372DC9">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其他用地较多，对本宗地影响较大</w:t>
            </w:r>
          </w:p>
        </w:tc>
        <w:tc>
          <w:tcPr>
            <w:tcW w:w="762" w:type="pct"/>
            <w:tcBorders>
              <w:top w:val="single" w:color="404040" w:sz="2" w:space="0"/>
              <w:left w:val="single" w:color="404040" w:sz="2" w:space="0"/>
              <w:bottom w:val="single" w:color="404040" w:sz="2" w:space="0"/>
              <w:right w:val="single" w:color="404040" w:sz="2" w:space="0"/>
            </w:tcBorders>
            <w:vAlign w:val="center"/>
          </w:tcPr>
          <w:p w14:paraId="45E448B8">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全部为不同用地，对本宗地有大的影响</w:t>
            </w:r>
          </w:p>
        </w:tc>
      </w:tr>
      <w:tr w14:paraId="04EA5C7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181DC7F3">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762" w:type="pct"/>
            <w:tcBorders>
              <w:top w:val="single" w:color="404040" w:sz="2" w:space="0"/>
              <w:left w:val="single" w:color="404040" w:sz="2" w:space="0"/>
              <w:bottom w:val="single" w:color="404040" w:sz="2" w:space="0"/>
              <w:right w:val="single" w:color="404040" w:sz="2" w:space="0"/>
            </w:tcBorders>
            <w:vAlign w:val="center"/>
          </w:tcPr>
          <w:p w14:paraId="498C7C29">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比例适宜</w:t>
            </w:r>
          </w:p>
        </w:tc>
        <w:tc>
          <w:tcPr>
            <w:tcW w:w="762" w:type="pct"/>
            <w:tcBorders>
              <w:top w:val="single" w:color="404040" w:sz="2" w:space="0"/>
              <w:left w:val="single" w:color="404040" w:sz="2" w:space="0"/>
              <w:bottom w:val="single" w:color="404040" w:sz="2" w:space="0"/>
              <w:right w:val="single" w:color="404040" w:sz="2" w:space="0"/>
            </w:tcBorders>
            <w:vAlign w:val="center"/>
          </w:tcPr>
          <w:p w14:paraId="2D84044B">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比例较适宜</w:t>
            </w:r>
          </w:p>
        </w:tc>
        <w:tc>
          <w:tcPr>
            <w:tcW w:w="762" w:type="pct"/>
            <w:tcBorders>
              <w:top w:val="single" w:color="404040" w:sz="2" w:space="0"/>
              <w:left w:val="single" w:color="404040" w:sz="2" w:space="0"/>
              <w:bottom w:val="single" w:color="404040" w:sz="2" w:space="0"/>
              <w:right w:val="single" w:color="404040" w:sz="2" w:space="0"/>
            </w:tcBorders>
            <w:vAlign w:val="center"/>
          </w:tcPr>
          <w:p w14:paraId="3CA56B17">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310A33E3">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6F755FD5">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差</w:t>
            </w:r>
          </w:p>
        </w:tc>
      </w:tr>
      <w:tr w14:paraId="4A5AD39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2DE97B2D">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71272731">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临高速公路</w:t>
            </w:r>
          </w:p>
        </w:tc>
        <w:tc>
          <w:tcPr>
            <w:tcW w:w="762" w:type="pct"/>
            <w:tcBorders>
              <w:top w:val="single" w:color="404040" w:sz="2" w:space="0"/>
              <w:left w:val="single" w:color="404040" w:sz="2" w:space="0"/>
              <w:bottom w:val="single" w:color="404040" w:sz="2" w:space="0"/>
              <w:right w:val="single" w:color="404040" w:sz="2" w:space="0"/>
            </w:tcBorders>
            <w:vAlign w:val="center"/>
          </w:tcPr>
          <w:p w14:paraId="06176556">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临城市快速路</w:t>
            </w:r>
          </w:p>
        </w:tc>
        <w:tc>
          <w:tcPr>
            <w:tcW w:w="762" w:type="pct"/>
            <w:tcBorders>
              <w:top w:val="single" w:color="404040" w:sz="2" w:space="0"/>
              <w:left w:val="single" w:color="404040" w:sz="2" w:space="0"/>
              <w:bottom w:val="single" w:color="404040" w:sz="2" w:space="0"/>
              <w:right w:val="single" w:color="404040" w:sz="2" w:space="0"/>
            </w:tcBorders>
            <w:vAlign w:val="center"/>
          </w:tcPr>
          <w:p w14:paraId="4A974253">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临城市主干道</w:t>
            </w:r>
          </w:p>
        </w:tc>
        <w:tc>
          <w:tcPr>
            <w:tcW w:w="762" w:type="pct"/>
            <w:tcBorders>
              <w:top w:val="single" w:color="404040" w:sz="2" w:space="0"/>
              <w:left w:val="single" w:color="404040" w:sz="2" w:space="0"/>
              <w:bottom w:val="single" w:color="404040" w:sz="2" w:space="0"/>
              <w:right w:val="single" w:color="404040" w:sz="2" w:space="0"/>
            </w:tcBorders>
            <w:vAlign w:val="center"/>
          </w:tcPr>
          <w:p w14:paraId="27D838D4">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临城市次干道</w:t>
            </w:r>
          </w:p>
        </w:tc>
        <w:tc>
          <w:tcPr>
            <w:tcW w:w="762" w:type="pct"/>
            <w:tcBorders>
              <w:top w:val="single" w:color="404040" w:sz="2" w:space="0"/>
              <w:left w:val="single" w:color="404040" w:sz="2" w:space="0"/>
              <w:bottom w:val="single" w:color="404040" w:sz="2" w:space="0"/>
              <w:right w:val="single" w:color="404040" w:sz="2" w:space="0"/>
            </w:tcBorders>
            <w:vAlign w:val="center"/>
          </w:tcPr>
          <w:p w14:paraId="2D08EC37">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临城市支路</w:t>
            </w:r>
          </w:p>
        </w:tc>
      </w:tr>
      <w:tr w14:paraId="249254D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076"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1974515A">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762" w:type="pct"/>
            <w:tcBorders>
              <w:top w:val="single" w:color="404040" w:sz="2" w:space="0"/>
              <w:left w:val="single" w:color="404040" w:sz="2" w:space="0"/>
              <w:bottom w:val="single" w:color="404040" w:sz="2" w:space="0"/>
              <w:right w:val="single" w:color="404040" w:sz="2" w:space="0"/>
            </w:tcBorders>
            <w:vAlign w:val="center"/>
          </w:tcPr>
          <w:p w14:paraId="1E61A916">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宗地形状规则，可利用程度好</w:t>
            </w:r>
          </w:p>
        </w:tc>
        <w:tc>
          <w:tcPr>
            <w:tcW w:w="762" w:type="pct"/>
            <w:tcBorders>
              <w:top w:val="single" w:color="404040" w:sz="2" w:space="0"/>
              <w:left w:val="single" w:color="404040" w:sz="2" w:space="0"/>
              <w:bottom w:val="single" w:color="404040" w:sz="2" w:space="0"/>
              <w:right w:val="single" w:color="404040" w:sz="2" w:space="0"/>
            </w:tcBorders>
            <w:vAlign w:val="center"/>
          </w:tcPr>
          <w:p w14:paraId="23A07E18">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宗地形状较规则，可利用程度较好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5F123509">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宗地形状不规则，但对宗地利用影响较小</w:t>
            </w:r>
          </w:p>
        </w:tc>
        <w:tc>
          <w:tcPr>
            <w:tcW w:w="762" w:type="pct"/>
            <w:tcBorders>
              <w:top w:val="single" w:color="404040" w:sz="2" w:space="0"/>
              <w:left w:val="single" w:color="404040" w:sz="2" w:space="0"/>
              <w:bottom w:val="single" w:color="404040" w:sz="2" w:space="0"/>
              <w:right w:val="single" w:color="404040" w:sz="2" w:space="0"/>
            </w:tcBorders>
            <w:vAlign w:val="center"/>
          </w:tcPr>
          <w:p w14:paraId="58897DB3">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宗地形状不规则，对宗地利用有影响</w:t>
            </w:r>
          </w:p>
        </w:tc>
        <w:tc>
          <w:tcPr>
            <w:tcW w:w="762" w:type="pct"/>
            <w:tcBorders>
              <w:top w:val="single" w:color="404040" w:sz="2" w:space="0"/>
              <w:left w:val="single" w:color="404040" w:sz="2" w:space="0"/>
              <w:bottom w:val="single" w:color="404040" w:sz="2" w:space="0"/>
              <w:right w:val="single" w:color="404040" w:sz="2" w:space="0"/>
            </w:tcBorders>
            <w:vAlign w:val="center"/>
          </w:tcPr>
          <w:p w14:paraId="2DA8174B">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宗地形状极其不规则，对宗地利用影响很大</w:t>
            </w:r>
          </w:p>
        </w:tc>
      </w:tr>
      <w:tr w14:paraId="44520BA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28"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1CCE7A1B">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382F0CCA">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配套完善</w:t>
            </w:r>
          </w:p>
        </w:tc>
        <w:tc>
          <w:tcPr>
            <w:tcW w:w="762" w:type="pct"/>
            <w:tcBorders>
              <w:top w:val="single" w:color="404040" w:sz="2" w:space="0"/>
              <w:left w:val="single" w:color="404040" w:sz="2" w:space="0"/>
              <w:bottom w:val="single" w:color="404040" w:sz="2" w:space="0"/>
              <w:right w:val="single" w:color="404040" w:sz="2" w:space="0"/>
            </w:tcBorders>
            <w:vAlign w:val="center"/>
          </w:tcPr>
          <w:p w14:paraId="000A76F5">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配套较完善</w:t>
            </w:r>
          </w:p>
        </w:tc>
        <w:tc>
          <w:tcPr>
            <w:tcW w:w="762" w:type="pct"/>
            <w:tcBorders>
              <w:top w:val="single" w:color="404040" w:sz="2" w:space="0"/>
              <w:left w:val="single" w:color="404040" w:sz="2" w:space="0"/>
              <w:bottom w:val="single" w:color="404040" w:sz="2" w:space="0"/>
              <w:right w:val="single" w:color="404040" w:sz="2" w:space="0"/>
            </w:tcBorders>
            <w:vAlign w:val="center"/>
          </w:tcPr>
          <w:p w14:paraId="2C8232C1">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配套基本满足需要</w:t>
            </w:r>
          </w:p>
        </w:tc>
        <w:tc>
          <w:tcPr>
            <w:tcW w:w="762" w:type="pct"/>
            <w:tcBorders>
              <w:top w:val="single" w:color="404040" w:sz="2" w:space="0"/>
              <w:left w:val="single" w:color="404040" w:sz="2" w:space="0"/>
              <w:bottom w:val="single" w:color="404040" w:sz="2" w:space="0"/>
              <w:right w:val="single" w:color="404040" w:sz="2" w:space="0"/>
            </w:tcBorders>
            <w:vAlign w:val="center"/>
          </w:tcPr>
          <w:p w14:paraId="19E1CDDD">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配套少</w:t>
            </w:r>
          </w:p>
        </w:tc>
        <w:tc>
          <w:tcPr>
            <w:tcW w:w="762" w:type="pct"/>
            <w:tcBorders>
              <w:top w:val="single" w:color="404040" w:sz="2" w:space="0"/>
              <w:left w:val="single" w:color="404040" w:sz="2" w:space="0"/>
              <w:bottom w:val="single" w:color="404040" w:sz="2" w:space="0"/>
              <w:right w:val="single" w:color="404040" w:sz="2" w:space="0"/>
            </w:tcBorders>
            <w:vAlign w:val="center"/>
          </w:tcPr>
          <w:p w14:paraId="06A35DCC">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配套极少</w:t>
            </w:r>
          </w:p>
        </w:tc>
      </w:tr>
      <w:tr w14:paraId="28C851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47"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1A964736">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12369CEA">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七通</w:t>
            </w:r>
          </w:p>
        </w:tc>
        <w:tc>
          <w:tcPr>
            <w:tcW w:w="762" w:type="pct"/>
            <w:tcBorders>
              <w:top w:val="single" w:color="404040" w:sz="2" w:space="0"/>
              <w:left w:val="single" w:color="404040" w:sz="2" w:space="0"/>
              <w:bottom w:val="single" w:color="404040" w:sz="2" w:space="0"/>
              <w:right w:val="single" w:color="404040" w:sz="2" w:space="0"/>
            </w:tcBorders>
            <w:vAlign w:val="center"/>
          </w:tcPr>
          <w:p w14:paraId="542E7C9F">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六通</w:t>
            </w:r>
          </w:p>
        </w:tc>
        <w:tc>
          <w:tcPr>
            <w:tcW w:w="762" w:type="pct"/>
            <w:tcBorders>
              <w:top w:val="single" w:color="404040" w:sz="2" w:space="0"/>
              <w:left w:val="single" w:color="404040" w:sz="2" w:space="0"/>
              <w:bottom w:val="single" w:color="404040" w:sz="2" w:space="0"/>
              <w:right w:val="single" w:color="404040" w:sz="2" w:space="0"/>
            </w:tcBorders>
            <w:vAlign w:val="center"/>
          </w:tcPr>
          <w:p w14:paraId="166FC1C5">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五通</w:t>
            </w:r>
          </w:p>
        </w:tc>
        <w:tc>
          <w:tcPr>
            <w:tcW w:w="762" w:type="pct"/>
            <w:tcBorders>
              <w:top w:val="single" w:color="404040" w:sz="2" w:space="0"/>
              <w:left w:val="single" w:color="404040" w:sz="2" w:space="0"/>
              <w:bottom w:val="single" w:color="404040" w:sz="2" w:space="0"/>
              <w:right w:val="single" w:color="404040" w:sz="2" w:space="0"/>
            </w:tcBorders>
            <w:vAlign w:val="center"/>
          </w:tcPr>
          <w:p w14:paraId="58696C85">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四通</w:t>
            </w:r>
          </w:p>
        </w:tc>
        <w:tc>
          <w:tcPr>
            <w:tcW w:w="762" w:type="pct"/>
            <w:tcBorders>
              <w:top w:val="single" w:color="404040" w:sz="2" w:space="0"/>
              <w:left w:val="single" w:color="404040" w:sz="2" w:space="0"/>
              <w:bottom w:val="single" w:color="404040" w:sz="2" w:space="0"/>
              <w:right w:val="single" w:color="404040" w:sz="2" w:space="0"/>
            </w:tcBorders>
            <w:vAlign w:val="center"/>
          </w:tcPr>
          <w:p w14:paraId="5F750EDE">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三通</w:t>
            </w:r>
          </w:p>
        </w:tc>
      </w:tr>
      <w:tr w14:paraId="17F07EA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3" w:hRule="atLeast"/>
          <w:jc w:val="center"/>
        </w:trPr>
        <w:tc>
          <w:tcPr>
            <w:tcW w:w="1187" w:type="pct"/>
            <w:tcBorders>
              <w:top w:val="single" w:color="404040" w:sz="2" w:space="0"/>
              <w:left w:val="single" w:color="404040" w:sz="2" w:space="0"/>
              <w:bottom w:val="single" w:color="404040" w:sz="2" w:space="0"/>
              <w:right w:val="single" w:color="404040" w:sz="2" w:space="0"/>
            </w:tcBorders>
            <w:vAlign w:val="center"/>
          </w:tcPr>
          <w:p w14:paraId="27F37EA6">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762" w:type="pct"/>
            <w:tcBorders>
              <w:top w:val="single" w:color="404040" w:sz="2" w:space="0"/>
              <w:left w:val="single" w:color="404040" w:sz="2" w:space="0"/>
              <w:bottom w:val="single" w:color="404040" w:sz="2" w:space="0"/>
              <w:right w:val="single" w:color="404040" w:sz="2" w:space="0"/>
            </w:tcBorders>
            <w:vAlign w:val="center"/>
          </w:tcPr>
          <w:p w14:paraId="434E5D61">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好</w:t>
            </w:r>
          </w:p>
        </w:tc>
        <w:tc>
          <w:tcPr>
            <w:tcW w:w="762" w:type="pct"/>
            <w:tcBorders>
              <w:top w:val="single" w:color="404040" w:sz="2" w:space="0"/>
              <w:left w:val="single" w:color="404040" w:sz="2" w:space="0"/>
              <w:bottom w:val="single" w:color="404040" w:sz="2" w:space="0"/>
              <w:right w:val="single" w:color="404040" w:sz="2" w:space="0"/>
            </w:tcBorders>
            <w:vAlign w:val="center"/>
          </w:tcPr>
          <w:p w14:paraId="3061191F">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较好</w:t>
            </w:r>
          </w:p>
        </w:tc>
        <w:tc>
          <w:tcPr>
            <w:tcW w:w="762" w:type="pct"/>
            <w:tcBorders>
              <w:top w:val="single" w:color="404040" w:sz="2" w:space="0"/>
              <w:left w:val="single" w:color="404040" w:sz="2" w:space="0"/>
              <w:bottom w:val="single" w:color="404040" w:sz="2" w:space="0"/>
              <w:right w:val="single" w:color="404040" w:sz="2" w:space="0"/>
            </w:tcBorders>
            <w:vAlign w:val="center"/>
          </w:tcPr>
          <w:p w14:paraId="180D8DA9">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一般</w:t>
            </w:r>
          </w:p>
        </w:tc>
        <w:tc>
          <w:tcPr>
            <w:tcW w:w="762" w:type="pct"/>
            <w:tcBorders>
              <w:top w:val="single" w:color="404040" w:sz="2" w:space="0"/>
              <w:left w:val="single" w:color="404040" w:sz="2" w:space="0"/>
              <w:bottom w:val="single" w:color="404040" w:sz="2" w:space="0"/>
              <w:right w:val="single" w:color="404040" w:sz="2" w:space="0"/>
            </w:tcBorders>
            <w:vAlign w:val="center"/>
          </w:tcPr>
          <w:p w14:paraId="5B00463D">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较差</w:t>
            </w:r>
          </w:p>
        </w:tc>
        <w:tc>
          <w:tcPr>
            <w:tcW w:w="762" w:type="pct"/>
            <w:tcBorders>
              <w:top w:val="single" w:color="404040" w:sz="2" w:space="0"/>
              <w:left w:val="single" w:color="404040" w:sz="2" w:space="0"/>
              <w:bottom w:val="single" w:color="404040" w:sz="2" w:space="0"/>
              <w:right w:val="single" w:color="404040" w:sz="2" w:space="0"/>
            </w:tcBorders>
            <w:vAlign w:val="center"/>
          </w:tcPr>
          <w:p w14:paraId="349374B1">
            <w:pPr>
              <w:widowControl/>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差</w:t>
            </w:r>
          </w:p>
        </w:tc>
      </w:tr>
    </w:tbl>
    <w:p w14:paraId="00385432">
      <w:pPr>
        <w:keepNext w:val="0"/>
        <w:keepLines w:val="0"/>
        <w:pageBreakBefore w:val="0"/>
        <w:widowControl w:val="0"/>
        <w:kinsoku/>
        <w:wordWrap/>
        <w:overflowPunct/>
        <w:topLinePunct w:val="0"/>
        <w:autoSpaceDE/>
        <w:autoSpaceDN/>
        <w:bidi w:val="0"/>
        <w:adjustRightInd/>
        <w:snapToGrid/>
        <w:spacing w:before="313" w:beforeLines="100" w:line="300" w:lineRule="auto"/>
        <w:ind w:firstLine="560" w:firstLineChars="200"/>
        <w:textAlignment w:val="baseline"/>
        <w:rPr>
          <w:rFonts w:ascii="Arial" w:hAnsi="Arial" w:eastAsia="仿宋" w:cs="Arial"/>
          <w:sz w:val="28"/>
          <w:szCs w:val="28"/>
          <w:highlight w:val="none"/>
        </w:rPr>
      </w:pPr>
      <w:r>
        <w:rPr>
          <w:rFonts w:ascii="Arial" w:hAnsi="Arial" w:eastAsia="仿宋" w:cs="Arial"/>
          <w:sz w:val="28"/>
          <w:szCs w:val="28"/>
          <w:highlight w:val="none"/>
        </w:rPr>
        <w:t>估价对象地处公共服务类</w:t>
      </w:r>
      <w:r>
        <w:rPr>
          <w:rFonts w:hint="eastAsia" w:ascii="Arial" w:hAnsi="Arial" w:eastAsia="仿宋_GB2312" w:cs="Arial"/>
          <w:sz w:val="28"/>
          <w:highlight w:val="none"/>
        </w:rPr>
        <w:t>九级</w:t>
      </w:r>
      <w:r>
        <w:rPr>
          <w:rFonts w:ascii="Arial" w:hAnsi="Arial" w:eastAsia="仿宋_GB2312" w:cs="Arial"/>
          <w:sz w:val="28"/>
          <w:highlight w:val="none"/>
        </w:rPr>
        <w:t>IX</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顺5</w:t>
      </w:r>
      <w:r>
        <w:rPr>
          <w:rFonts w:ascii="Arial" w:hAnsi="Arial" w:eastAsia="仿宋" w:cs="Arial"/>
          <w:sz w:val="28"/>
          <w:szCs w:val="28"/>
          <w:highlight w:val="none"/>
        </w:rPr>
        <w:t>区片，依据前述《北京市基准地价因素权重表》、《区片基准地价因素总修正幅度表》及《因素等级说明表》，整理《等级系数表》如下：</w:t>
      </w:r>
    </w:p>
    <w:p w14:paraId="0C02AF20">
      <w:pPr>
        <w:adjustRightInd/>
        <w:spacing w:line="300" w:lineRule="auto"/>
        <w:jc w:val="center"/>
        <w:rPr>
          <w:rFonts w:ascii="Arial" w:hAnsi="Arial" w:eastAsia="仿宋_GB2312" w:cs="Arial"/>
          <w:szCs w:val="24"/>
          <w:highlight w:val="none"/>
        </w:rPr>
      </w:pPr>
      <w:r>
        <w:rPr>
          <w:rFonts w:ascii="Arial" w:hAnsi="Arial" w:eastAsia="仿宋" w:cs="Arial"/>
          <w:sz w:val="28"/>
          <w:szCs w:val="28"/>
          <w:highlight w:val="none"/>
        </w:rPr>
        <w:t xml:space="preserve">等级系数表     </w:t>
      </w:r>
      <w:r>
        <w:rPr>
          <w:rFonts w:ascii="Arial" w:hAnsi="Arial" w:eastAsia="仿宋_GB2312" w:cs="Arial"/>
          <w:szCs w:val="24"/>
          <w:highlight w:val="none"/>
        </w:rPr>
        <w:t xml:space="preserve">                 </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2410"/>
        <w:gridCol w:w="1290"/>
        <w:gridCol w:w="1371"/>
        <w:gridCol w:w="1472"/>
        <w:gridCol w:w="1406"/>
        <w:gridCol w:w="1457"/>
      </w:tblGrid>
      <w:tr w14:paraId="456B8F9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tblHeader/>
          <w:jc w:val="center"/>
        </w:trPr>
        <w:tc>
          <w:tcPr>
            <w:tcW w:w="1280" w:type="pct"/>
            <w:tcBorders>
              <w:tl2br w:val="single" w:color="404040" w:sz="2" w:space="0"/>
            </w:tcBorders>
            <w:vAlign w:val="center"/>
          </w:tcPr>
          <w:p w14:paraId="5E051180">
            <w:pPr>
              <w:widowControl/>
              <w:adjustRightInd/>
              <w:spacing w:line="240" w:lineRule="atLeast"/>
              <w:jc w:val="right"/>
              <w:textAlignment w:val="auto"/>
              <w:rPr>
                <w:rFonts w:ascii="Arial" w:hAnsi="Arial" w:eastAsia="仿宋" w:cs="Arial"/>
                <w:sz w:val="21"/>
                <w:szCs w:val="21"/>
                <w:highlight w:val="none"/>
              </w:rPr>
            </w:pPr>
            <w:r>
              <w:rPr>
                <w:rFonts w:ascii="Arial" w:hAnsi="Arial" w:eastAsia="仿宋" w:cs="Arial"/>
                <w:sz w:val="21"/>
                <w:szCs w:val="21"/>
                <w:highlight w:val="none"/>
              </w:rPr>
              <w:t>等级</w:t>
            </w:r>
          </w:p>
          <w:p w14:paraId="037D5088">
            <w:pPr>
              <w:widowControl/>
              <w:adjustRightInd/>
              <w:spacing w:line="240" w:lineRule="atLeast"/>
              <w:jc w:val="right"/>
              <w:textAlignment w:val="auto"/>
              <w:rPr>
                <w:rFonts w:ascii="Arial" w:hAnsi="Arial" w:eastAsia="仿宋" w:cs="Arial"/>
                <w:sz w:val="21"/>
                <w:szCs w:val="21"/>
                <w:highlight w:val="none"/>
              </w:rPr>
            </w:pPr>
            <w:r>
              <w:rPr>
                <w:rFonts w:ascii="Arial" w:hAnsi="Arial" w:eastAsia="仿宋" w:cs="Arial"/>
                <w:sz w:val="21"/>
                <w:szCs w:val="21"/>
                <w:highlight w:val="none"/>
              </w:rPr>
              <w:t xml:space="preserve">     </w:t>
            </w:r>
          </w:p>
          <w:p w14:paraId="79873151">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影响因素</w:t>
            </w:r>
          </w:p>
        </w:tc>
        <w:tc>
          <w:tcPr>
            <w:tcW w:w="685" w:type="pct"/>
            <w:vAlign w:val="center"/>
          </w:tcPr>
          <w:p w14:paraId="527BEE4E">
            <w:pPr>
              <w:widowControl/>
              <w:adjustRightInd/>
              <w:spacing w:line="240" w:lineRule="atLeast"/>
              <w:textAlignment w:val="auto"/>
              <w:rPr>
                <w:rFonts w:ascii="Arial" w:hAnsi="Arial" w:eastAsia="仿宋" w:cs="Arial"/>
                <w:sz w:val="21"/>
                <w:szCs w:val="21"/>
                <w:highlight w:val="none"/>
              </w:rPr>
            </w:pPr>
            <w:r>
              <w:rPr>
                <w:rFonts w:ascii="Arial" w:hAnsi="Arial" w:eastAsia="仿宋" w:cs="Arial"/>
                <w:sz w:val="21"/>
                <w:szCs w:val="21"/>
                <w:highlight w:val="none"/>
              </w:rPr>
              <w:t>好</w:t>
            </w:r>
          </w:p>
        </w:tc>
        <w:tc>
          <w:tcPr>
            <w:tcW w:w="728" w:type="pct"/>
            <w:vAlign w:val="center"/>
          </w:tcPr>
          <w:p w14:paraId="7772062B">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较好</w:t>
            </w:r>
          </w:p>
        </w:tc>
        <w:tc>
          <w:tcPr>
            <w:tcW w:w="782" w:type="pct"/>
            <w:vAlign w:val="center"/>
          </w:tcPr>
          <w:p w14:paraId="6C6385AC">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一般</w:t>
            </w:r>
          </w:p>
        </w:tc>
        <w:tc>
          <w:tcPr>
            <w:tcW w:w="747" w:type="pct"/>
            <w:vAlign w:val="center"/>
          </w:tcPr>
          <w:p w14:paraId="410C009C">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较差</w:t>
            </w:r>
          </w:p>
        </w:tc>
        <w:tc>
          <w:tcPr>
            <w:tcW w:w="774" w:type="pct"/>
            <w:vAlign w:val="center"/>
          </w:tcPr>
          <w:p w14:paraId="04803485">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差</w:t>
            </w:r>
          </w:p>
        </w:tc>
      </w:tr>
      <w:tr w14:paraId="0EDD993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A711D7A">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物业聚集程度</w:t>
            </w:r>
          </w:p>
        </w:tc>
        <w:tc>
          <w:tcPr>
            <w:tcW w:w="685" w:type="pct"/>
            <w:vAlign w:val="center"/>
          </w:tcPr>
          <w:p w14:paraId="7084A7EF">
            <w:pPr>
              <w:widowControl/>
              <w:adjustRightInd/>
              <w:spacing w:line="240" w:lineRule="atLeast"/>
              <w:textAlignment w:val="auto"/>
              <w:rPr>
                <w:rFonts w:ascii="Arial" w:hAnsi="Arial" w:cs="Arial"/>
                <w:sz w:val="22"/>
                <w:szCs w:val="22"/>
                <w:highlight w:val="none"/>
              </w:rPr>
            </w:pPr>
            <w:r>
              <w:rPr>
                <w:rFonts w:ascii="Arial" w:hAnsi="Arial" w:cs="Arial"/>
                <w:sz w:val="22"/>
                <w:szCs w:val="22"/>
                <w:highlight w:val="none"/>
              </w:rPr>
              <w:t>3.74</w:t>
            </w:r>
          </w:p>
        </w:tc>
        <w:tc>
          <w:tcPr>
            <w:tcW w:w="728" w:type="pct"/>
            <w:vAlign w:val="center"/>
          </w:tcPr>
          <w:p w14:paraId="2C2B7B21">
            <w:pPr>
              <w:spacing w:line="240" w:lineRule="atLeast"/>
              <w:rPr>
                <w:rFonts w:ascii="Arial" w:hAnsi="Arial" w:cs="Arial"/>
                <w:sz w:val="22"/>
                <w:szCs w:val="22"/>
                <w:highlight w:val="none"/>
              </w:rPr>
            </w:pPr>
            <w:r>
              <w:rPr>
                <w:rFonts w:ascii="Arial" w:hAnsi="Arial" w:cs="Arial"/>
                <w:sz w:val="22"/>
                <w:szCs w:val="22"/>
                <w:highlight w:val="none"/>
              </w:rPr>
              <w:t>1.87</w:t>
            </w:r>
          </w:p>
        </w:tc>
        <w:tc>
          <w:tcPr>
            <w:tcW w:w="782" w:type="pct"/>
            <w:vAlign w:val="center"/>
          </w:tcPr>
          <w:p w14:paraId="1B1F6BD8">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1F79028E">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1.87</w:t>
            </w:r>
          </w:p>
        </w:tc>
        <w:tc>
          <w:tcPr>
            <w:tcW w:w="774" w:type="pct"/>
            <w:vAlign w:val="center"/>
          </w:tcPr>
          <w:p w14:paraId="0063C733">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3.74</w:t>
            </w:r>
          </w:p>
        </w:tc>
      </w:tr>
      <w:tr w14:paraId="626D9B9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664A9FFA">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交通便捷度</w:t>
            </w:r>
          </w:p>
        </w:tc>
        <w:tc>
          <w:tcPr>
            <w:tcW w:w="685" w:type="pct"/>
            <w:vAlign w:val="center"/>
          </w:tcPr>
          <w:p w14:paraId="57E82459">
            <w:pPr>
              <w:spacing w:line="240" w:lineRule="atLeast"/>
              <w:rPr>
                <w:rFonts w:ascii="Arial" w:hAnsi="Arial" w:cs="Arial"/>
                <w:sz w:val="22"/>
                <w:szCs w:val="22"/>
                <w:highlight w:val="none"/>
              </w:rPr>
            </w:pPr>
            <w:r>
              <w:rPr>
                <w:rFonts w:ascii="Arial" w:hAnsi="Arial" w:cs="Arial"/>
                <w:sz w:val="22"/>
                <w:szCs w:val="22"/>
                <w:highlight w:val="none"/>
              </w:rPr>
              <w:t>3.90</w:t>
            </w:r>
          </w:p>
        </w:tc>
        <w:tc>
          <w:tcPr>
            <w:tcW w:w="728" w:type="pct"/>
            <w:vAlign w:val="center"/>
          </w:tcPr>
          <w:p w14:paraId="7FC75746">
            <w:pPr>
              <w:spacing w:line="240" w:lineRule="atLeast"/>
              <w:rPr>
                <w:rFonts w:ascii="Arial" w:hAnsi="Arial" w:cs="Arial"/>
                <w:sz w:val="22"/>
                <w:szCs w:val="22"/>
                <w:highlight w:val="none"/>
              </w:rPr>
            </w:pPr>
            <w:r>
              <w:rPr>
                <w:rFonts w:ascii="Arial" w:hAnsi="Arial" w:cs="Arial"/>
                <w:sz w:val="22"/>
                <w:szCs w:val="22"/>
                <w:highlight w:val="none"/>
              </w:rPr>
              <w:t>1.95</w:t>
            </w:r>
          </w:p>
        </w:tc>
        <w:tc>
          <w:tcPr>
            <w:tcW w:w="782" w:type="pct"/>
            <w:vAlign w:val="center"/>
          </w:tcPr>
          <w:p w14:paraId="1D6C1CAE">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5795099D">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1.95</w:t>
            </w:r>
          </w:p>
        </w:tc>
        <w:tc>
          <w:tcPr>
            <w:tcW w:w="774" w:type="pct"/>
            <w:vAlign w:val="center"/>
          </w:tcPr>
          <w:p w14:paraId="0B9EB40A">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3.90</w:t>
            </w:r>
          </w:p>
        </w:tc>
      </w:tr>
      <w:tr w14:paraId="63AE36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1F75716">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区域土地利用方向</w:t>
            </w:r>
          </w:p>
        </w:tc>
        <w:tc>
          <w:tcPr>
            <w:tcW w:w="685" w:type="pct"/>
            <w:vAlign w:val="center"/>
          </w:tcPr>
          <w:p w14:paraId="28D4AF4D">
            <w:pPr>
              <w:spacing w:line="240" w:lineRule="atLeast"/>
              <w:rPr>
                <w:rFonts w:ascii="Arial" w:hAnsi="Arial" w:cs="Arial"/>
                <w:sz w:val="22"/>
                <w:szCs w:val="22"/>
                <w:highlight w:val="none"/>
              </w:rPr>
            </w:pPr>
            <w:r>
              <w:rPr>
                <w:rFonts w:ascii="Arial" w:hAnsi="Arial" w:cs="Arial"/>
                <w:sz w:val="22"/>
                <w:szCs w:val="22"/>
                <w:highlight w:val="none"/>
              </w:rPr>
              <w:t>1.64</w:t>
            </w:r>
          </w:p>
        </w:tc>
        <w:tc>
          <w:tcPr>
            <w:tcW w:w="728" w:type="pct"/>
            <w:vAlign w:val="center"/>
          </w:tcPr>
          <w:p w14:paraId="0255DB51">
            <w:pPr>
              <w:spacing w:line="240" w:lineRule="atLeast"/>
              <w:rPr>
                <w:rFonts w:ascii="Arial" w:hAnsi="Arial" w:cs="Arial"/>
                <w:sz w:val="22"/>
                <w:szCs w:val="22"/>
                <w:highlight w:val="none"/>
              </w:rPr>
            </w:pPr>
            <w:r>
              <w:rPr>
                <w:rFonts w:ascii="Arial" w:hAnsi="Arial" w:cs="Arial"/>
                <w:sz w:val="22"/>
                <w:szCs w:val="22"/>
                <w:highlight w:val="none"/>
              </w:rPr>
              <w:t>0.82</w:t>
            </w:r>
          </w:p>
        </w:tc>
        <w:tc>
          <w:tcPr>
            <w:tcW w:w="782" w:type="pct"/>
            <w:vAlign w:val="center"/>
          </w:tcPr>
          <w:p w14:paraId="32CB6AB3">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40C91851">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0.82</w:t>
            </w:r>
          </w:p>
        </w:tc>
        <w:tc>
          <w:tcPr>
            <w:tcW w:w="774" w:type="pct"/>
            <w:vAlign w:val="center"/>
          </w:tcPr>
          <w:p w14:paraId="7DB6AA3F">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1.64</w:t>
            </w:r>
          </w:p>
        </w:tc>
      </w:tr>
      <w:tr w14:paraId="6544F01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D69456A">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685" w:type="pct"/>
            <w:vAlign w:val="center"/>
          </w:tcPr>
          <w:p w14:paraId="3A98B7FE">
            <w:pPr>
              <w:spacing w:line="240" w:lineRule="atLeast"/>
              <w:rPr>
                <w:rFonts w:ascii="Arial" w:hAnsi="Arial" w:cs="Arial"/>
                <w:sz w:val="22"/>
                <w:szCs w:val="22"/>
                <w:highlight w:val="none"/>
              </w:rPr>
            </w:pPr>
            <w:r>
              <w:rPr>
                <w:rFonts w:ascii="Arial" w:hAnsi="Arial" w:cs="Arial"/>
                <w:sz w:val="22"/>
                <w:szCs w:val="22"/>
                <w:highlight w:val="none"/>
              </w:rPr>
              <w:t>0.74</w:t>
            </w:r>
          </w:p>
        </w:tc>
        <w:tc>
          <w:tcPr>
            <w:tcW w:w="728" w:type="pct"/>
            <w:vAlign w:val="center"/>
          </w:tcPr>
          <w:p w14:paraId="0FD765DD">
            <w:pPr>
              <w:spacing w:line="240" w:lineRule="atLeast"/>
              <w:rPr>
                <w:rFonts w:ascii="Arial" w:hAnsi="Arial" w:cs="Arial"/>
                <w:sz w:val="22"/>
                <w:szCs w:val="22"/>
                <w:highlight w:val="none"/>
              </w:rPr>
            </w:pPr>
            <w:r>
              <w:rPr>
                <w:rFonts w:ascii="Arial" w:hAnsi="Arial" w:cs="Arial"/>
                <w:sz w:val="22"/>
                <w:szCs w:val="22"/>
                <w:highlight w:val="none"/>
              </w:rPr>
              <w:t>0.37</w:t>
            </w:r>
          </w:p>
        </w:tc>
        <w:tc>
          <w:tcPr>
            <w:tcW w:w="782" w:type="pct"/>
            <w:vAlign w:val="center"/>
          </w:tcPr>
          <w:p w14:paraId="556B99EA">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1BFC7C8D">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774" w:type="pct"/>
            <w:vAlign w:val="center"/>
          </w:tcPr>
          <w:p w14:paraId="4042FF32">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r w14:paraId="4C9D74B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20BA79EB">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685" w:type="pct"/>
            <w:vAlign w:val="center"/>
          </w:tcPr>
          <w:p w14:paraId="2CE3F9A0">
            <w:pPr>
              <w:spacing w:line="240" w:lineRule="atLeast"/>
              <w:rPr>
                <w:rFonts w:ascii="Arial" w:hAnsi="Arial" w:cs="Arial"/>
                <w:sz w:val="22"/>
                <w:szCs w:val="22"/>
                <w:highlight w:val="none"/>
              </w:rPr>
            </w:pPr>
            <w:r>
              <w:rPr>
                <w:rFonts w:ascii="Arial" w:hAnsi="Arial" w:cs="Arial"/>
                <w:sz w:val="22"/>
                <w:szCs w:val="22"/>
                <w:highlight w:val="none"/>
              </w:rPr>
              <w:t>0.74</w:t>
            </w:r>
          </w:p>
        </w:tc>
        <w:tc>
          <w:tcPr>
            <w:tcW w:w="728" w:type="pct"/>
            <w:vAlign w:val="center"/>
          </w:tcPr>
          <w:p w14:paraId="40EC2D04">
            <w:pPr>
              <w:spacing w:line="240" w:lineRule="atLeast"/>
              <w:rPr>
                <w:rFonts w:ascii="Arial" w:hAnsi="Arial" w:cs="Arial"/>
                <w:sz w:val="22"/>
                <w:szCs w:val="22"/>
                <w:highlight w:val="none"/>
              </w:rPr>
            </w:pPr>
            <w:r>
              <w:rPr>
                <w:rFonts w:ascii="Arial" w:hAnsi="Arial" w:cs="Arial"/>
                <w:sz w:val="22"/>
                <w:szCs w:val="22"/>
                <w:highlight w:val="none"/>
              </w:rPr>
              <w:t>0.37</w:t>
            </w:r>
          </w:p>
        </w:tc>
        <w:tc>
          <w:tcPr>
            <w:tcW w:w="782" w:type="pct"/>
            <w:vAlign w:val="center"/>
          </w:tcPr>
          <w:p w14:paraId="3F87CDA4">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57E8E897">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0.37</w:t>
            </w:r>
          </w:p>
        </w:tc>
        <w:tc>
          <w:tcPr>
            <w:tcW w:w="774" w:type="pct"/>
            <w:vAlign w:val="center"/>
          </w:tcPr>
          <w:p w14:paraId="1D2FC4CC">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0.74</w:t>
            </w:r>
          </w:p>
        </w:tc>
      </w:tr>
      <w:tr w14:paraId="7D6588B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F936992">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685" w:type="pct"/>
            <w:vAlign w:val="center"/>
          </w:tcPr>
          <w:p w14:paraId="6545DEC1">
            <w:pPr>
              <w:spacing w:line="240" w:lineRule="atLeast"/>
              <w:rPr>
                <w:rFonts w:ascii="Arial" w:hAnsi="Arial" w:cs="Arial"/>
                <w:sz w:val="22"/>
                <w:szCs w:val="22"/>
                <w:highlight w:val="none"/>
              </w:rPr>
            </w:pPr>
            <w:r>
              <w:rPr>
                <w:rFonts w:ascii="Arial" w:hAnsi="Arial" w:cs="Arial"/>
                <w:sz w:val="22"/>
                <w:szCs w:val="22"/>
                <w:highlight w:val="none"/>
              </w:rPr>
              <w:t>0.90</w:t>
            </w:r>
          </w:p>
        </w:tc>
        <w:tc>
          <w:tcPr>
            <w:tcW w:w="728" w:type="pct"/>
            <w:vAlign w:val="center"/>
          </w:tcPr>
          <w:p w14:paraId="447F6E5A">
            <w:pPr>
              <w:spacing w:line="240" w:lineRule="atLeast"/>
              <w:rPr>
                <w:rFonts w:ascii="Arial" w:hAnsi="Arial" w:cs="Arial"/>
                <w:sz w:val="22"/>
                <w:szCs w:val="22"/>
                <w:highlight w:val="none"/>
              </w:rPr>
            </w:pPr>
            <w:r>
              <w:rPr>
                <w:rFonts w:ascii="Arial" w:hAnsi="Arial" w:cs="Arial"/>
                <w:sz w:val="22"/>
                <w:szCs w:val="22"/>
                <w:highlight w:val="none"/>
              </w:rPr>
              <w:t>0.45</w:t>
            </w:r>
          </w:p>
        </w:tc>
        <w:tc>
          <w:tcPr>
            <w:tcW w:w="782" w:type="pct"/>
            <w:vAlign w:val="center"/>
          </w:tcPr>
          <w:p w14:paraId="67B93D2C">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486CAFF4">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0.45</w:t>
            </w:r>
          </w:p>
        </w:tc>
        <w:tc>
          <w:tcPr>
            <w:tcW w:w="774" w:type="pct"/>
            <w:vAlign w:val="center"/>
          </w:tcPr>
          <w:p w14:paraId="0CA6FDDC">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0.90</w:t>
            </w:r>
          </w:p>
        </w:tc>
      </w:tr>
      <w:tr w14:paraId="5850050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3B3A72E7">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685" w:type="pct"/>
            <w:vAlign w:val="center"/>
          </w:tcPr>
          <w:p w14:paraId="4C56D82A">
            <w:pPr>
              <w:spacing w:line="240" w:lineRule="atLeast"/>
              <w:rPr>
                <w:rFonts w:ascii="Arial" w:hAnsi="Arial" w:cs="Arial"/>
                <w:sz w:val="22"/>
                <w:szCs w:val="22"/>
                <w:highlight w:val="none"/>
              </w:rPr>
            </w:pPr>
            <w:r>
              <w:rPr>
                <w:rFonts w:ascii="Arial" w:hAnsi="Arial" w:cs="Arial"/>
                <w:sz w:val="22"/>
                <w:szCs w:val="22"/>
                <w:highlight w:val="none"/>
              </w:rPr>
              <w:t>0.90</w:t>
            </w:r>
          </w:p>
        </w:tc>
        <w:tc>
          <w:tcPr>
            <w:tcW w:w="728" w:type="pct"/>
            <w:vAlign w:val="center"/>
          </w:tcPr>
          <w:p w14:paraId="3AAFB1B4">
            <w:pPr>
              <w:spacing w:line="240" w:lineRule="atLeast"/>
              <w:rPr>
                <w:rFonts w:ascii="Arial" w:hAnsi="Arial" w:cs="Arial"/>
                <w:sz w:val="22"/>
                <w:szCs w:val="22"/>
                <w:highlight w:val="none"/>
              </w:rPr>
            </w:pPr>
            <w:r>
              <w:rPr>
                <w:rFonts w:ascii="Arial" w:hAnsi="Arial" w:cs="Arial"/>
                <w:sz w:val="22"/>
                <w:szCs w:val="22"/>
                <w:highlight w:val="none"/>
              </w:rPr>
              <w:t>0.45</w:t>
            </w:r>
          </w:p>
        </w:tc>
        <w:tc>
          <w:tcPr>
            <w:tcW w:w="782" w:type="pct"/>
            <w:vAlign w:val="center"/>
          </w:tcPr>
          <w:p w14:paraId="01411632">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38FD1A70">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0.45</w:t>
            </w:r>
          </w:p>
        </w:tc>
        <w:tc>
          <w:tcPr>
            <w:tcW w:w="774" w:type="pct"/>
            <w:vAlign w:val="center"/>
          </w:tcPr>
          <w:p w14:paraId="60EBFCD9">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0.90</w:t>
            </w:r>
          </w:p>
        </w:tc>
      </w:tr>
      <w:tr w14:paraId="5977467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10DE6CA3">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685" w:type="pct"/>
            <w:vAlign w:val="center"/>
          </w:tcPr>
          <w:p w14:paraId="3FFA636F">
            <w:pPr>
              <w:spacing w:line="240" w:lineRule="atLeast"/>
              <w:rPr>
                <w:rFonts w:ascii="Arial" w:hAnsi="Arial" w:cs="Arial"/>
                <w:sz w:val="22"/>
                <w:szCs w:val="22"/>
                <w:highlight w:val="none"/>
              </w:rPr>
            </w:pPr>
            <w:r>
              <w:rPr>
                <w:rFonts w:ascii="Arial" w:hAnsi="Arial" w:cs="Arial"/>
                <w:sz w:val="22"/>
                <w:szCs w:val="22"/>
                <w:highlight w:val="none"/>
              </w:rPr>
              <w:t>1.34</w:t>
            </w:r>
          </w:p>
        </w:tc>
        <w:tc>
          <w:tcPr>
            <w:tcW w:w="728" w:type="pct"/>
            <w:vAlign w:val="center"/>
          </w:tcPr>
          <w:p w14:paraId="03C57856">
            <w:pPr>
              <w:spacing w:line="240" w:lineRule="atLeast"/>
              <w:rPr>
                <w:rFonts w:ascii="Arial" w:hAnsi="Arial" w:cs="Arial"/>
                <w:sz w:val="22"/>
                <w:szCs w:val="22"/>
                <w:highlight w:val="none"/>
              </w:rPr>
            </w:pPr>
            <w:r>
              <w:rPr>
                <w:rFonts w:ascii="Arial" w:hAnsi="Arial" w:cs="Arial"/>
                <w:sz w:val="22"/>
                <w:szCs w:val="22"/>
                <w:highlight w:val="none"/>
              </w:rPr>
              <w:t>0.67</w:t>
            </w:r>
          </w:p>
        </w:tc>
        <w:tc>
          <w:tcPr>
            <w:tcW w:w="782" w:type="pct"/>
            <w:vAlign w:val="center"/>
          </w:tcPr>
          <w:p w14:paraId="49A63B02">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0932854F">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0.67</w:t>
            </w:r>
          </w:p>
        </w:tc>
        <w:tc>
          <w:tcPr>
            <w:tcW w:w="774" w:type="pct"/>
            <w:vAlign w:val="center"/>
          </w:tcPr>
          <w:p w14:paraId="7230E969">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1.34</w:t>
            </w:r>
          </w:p>
        </w:tc>
      </w:tr>
      <w:tr w14:paraId="3596718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90" w:hRule="atLeast"/>
          <w:jc w:val="center"/>
        </w:trPr>
        <w:tc>
          <w:tcPr>
            <w:tcW w:w="1280" w:type="pct"/>
            <w:vAlign w:val="center"/>
          </w:tcPr>
          <w:p w14:paraId="4FD6736E">
            <w:pPr>
              <w:adjustRightInd/>
              <w:spacing w:line="240" w:lineRule="atLeast"/>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685" w:type="pct"/>
            <w:vAlign w:val="center"/>
          </w:tcPr>
          <w:p w14:paraId="71173201">
            <w:pPr>
              <w:spacing w:line="240" w:lineRule="atLeast"/>
              <w:rPr>
                <w:rFonts w:ascii="Arial" w:hAnsi="Arial" w:cs="Arial"/>
                <w:sz w:val="22"/>
                <w:szCs w:val="22"/>
                <w:highlight w:val="none"/>
              </w:rPr>
            </w:pPr>
            <w:r>
              <w:rPr>
                <w:rFonts w:ascii="Arial" w:hAnsi="Arial" w:cs="Arial"/>
                <w:sz w:val="22"/>
                <w:szCs w:val="22"/>
                <w:highlight w:val="none"/>
              </w:rPr>
              <w:t>1.04</w:t>
            </w:r>
          </w:p>
        </w:tc>
        <w:tc>
          <w:tcPr>
            <w:tcW w:w="728" w:type="pct"/>
            <w:vAlign w:val="center"/>
          </w:tcPr>
          <w:p w14:paraId="21E6318C">
            <w:pPr>
              <w:spacing w:line="240" w:lineRule="atLeast"/>
              <w:rPr>
                <w:rFonts w:ascii="Arial" w:hAnsi="Arial" w:cs="Arial"/>
                <w:sz w:val="22"/>
                <w:szCs w:val="22"/>
                <w:highlight w:val="none"/>
              </w:rPr>
            </w:pPr>
            <w:r>
              <w:rPr>
                <w:rFonts w:ascii="Arial" w:hAnsi="Arial" w:cs="Arial"/>
                <w:sz w:val="22"/>
                <w:szCs w:val="22"/>
                <w:highlight w:val="none"/>
              </w:rPr>
              <w:t>0.52</w:t>
            </w:r>
          </w:p>
        </w:tc>
        <w:tc>
          <w:tcPr>
            <w:tcW w:w="782" w:type="pct"/>
            <w:vAlign w:val="center"/>
          </w:tcPr>
          <w:p w14:paraId="170791F7">
            <w:pPr>
              <w:spacing w:line="240" w:lineRule="atLeast"/>
              <w:rPr>
                <w:rFonts w:ascii="Arial" w:hAnsi="Arial" w:cs="Arial"/>
                <w:sz w:val="22"/>
                <w:szCs w:val="22"/>
                <w:highlight w:val="none"/>
              </w:rPr>
            </w:pPr>
            <w:r>
              <w:rPr>
                <w:rFonts w:ascii="Arial" w:hAnsi="Arial" w:cs="Arial"/>
                <w:sz w:val="22"/>
                <w:szCs w:val="22"/>
                <w:highlight w:val="none"/>
              </w:rPr>
              <w:t>0.00</w:t>
            </w:r>
          </w:p>
        </w:tc>
        <w:tc>
          <w:tcPr>
            <w:tcW w:w="747" w:type="pct"/>
            <w:vAlign w:val="center"/>
          </w:tcPr>
          <w:p w14:paraId="18777CDC">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0.52</w:t>
            </w:r>
          </w:p>
        </w:tc>
        <w:tc>
          <w:tcPr>
            <w:tcW w:w="774" w:type="pct"/>
            <w:vAlign w:val="center"/>
          </w:tcPr>
          <w:p w14:paraId="3AFDCC61">
            <w:pPr>
              <w:spacing w:line="240" w:lineRule="atLeast"/>
              <w:rPr>
                <w:rFonts w:ascii="Arial" w:hAnsi="Arial" w:cs="Arial"/>
                <w:sz w:val="22"/>
                <w:szCs w:val="22"/>
                <w:highlight w:val="none"/>
              </w:rPr>
            </w:pPr>
            <w:r>
              <w:rPr>
                <w:rFonts w:hint="eastAsia" w:ascii="Arial" w:hAnsi="Arial" w:cs="Arial"/>
                <w:sz w:val="22"/>
                <w:szCs w:val="22"/>
                <w:highlight w:val="none"/>
                <w:lang w:eastAsia="zh-CN"/>
              </w:rPr>
              <w:t>－</w:t>
            </w:r>
            <w:r>
              <w:rPr>
                <w:rFonts w:ascii="Arial" w:hAnsi="Arial" w:cs="Arial"/>
                <w:sz w:val="22"/>
                <w:szCs w:val="22"/>
                <w:highlight w:val="none"/>
              </w:rPr>
              <w:t>1.04</w:t>
            </w:r>
          </w:p>
        </w:tc>
      </w:tr>
    </w:tbl>
    <w:p w14:paraId="678DAB58">
      <w:pPr>
        <w:autoSpaceDE w:val="0"/>
        <w:autoSpaceDN w:val="0"/>
        <w:spacing w:line="240" w:lineRule="exact"/>
        <w:rPr>
          <w:rFonts w:ascii="Arial" w:hAnsi="Arial" w:eastAsia="华文细黑" w:cs="宋体"/>
          <w:sz w:val="18"/>
          <w:szCs w:val="24"/>
          <w:highlight w:val="none"/>
        </w:rPr>
      </w:pPr>
      <w:r>
        <w:rPr>
          <w:rFonts w:hint="eastAsia" w:ascii="Arial" w:hAnsi="Arial" w:eastAsia="华文细黑" w:cs="宋体"/>
          <w:sz w:val="18"/>
          <w:szCs w:val="24"/>
          <w:highlight w:val="none"/>
        </w:rPr>
        <w:t>单位：%</w:t>
      </w:r>
    </w:p>
    <w:p w14:paraId="10B32BB6">
      <w:pPr>
        <w:adjustRightInd/>
        <w:spacing w:line="300" w:lineRule="auto"/>
        <w:ind w:firstLine="560" w:firstLineChars="200"/>
        <w:jc w:val="both"/>
        <w:rPr>
          <w:rFonts w:hint="eastAsia" w:ascii="仿宋" w:hAnsi="仿宋" w:eastAsia="仿宋" w:cs="Arial"/>
          <w:sz w:val="28"/>
          <w:highlight w:val="none"/>
          <w:lang w:eastAsia="zh-CN"/>
        </w:rPr>
      </w:pPr>
      <w:r>
        <w:rPr>
          <w:rFonts w:ascii="仿宋" w:hAnsi="仿宋" w:eastAsia="仿宋" w:cs="Arial"/>
          <w:sz w:val="28"/>
          <w:highlight w:val="none"/>
        </w:rPr>
        <w:t>按照因素等级情况说明表、等级系数表以及估价对象的区域因素和个别因素条件，编制估价对象因素修正系数表如下：</w:t>
      </w:r>
      <w:r>
        <w:rPr>
          <w:rFonts w:hint="eastAsia" w:ascii="仿宋" w:hAnsi="仿宋" w:eastAsia="仿宋" w:cs="Arial"/>
          <w:sz w:val="28"/>
          <w:highlight w:val="none"/>
          <w:lang w:eastAsia="zh-CN"/>
        </w:rPr>
        <w:tab/>
      </w:r>
    </w:p>
    <w:p w14:paraId="184AE443">
      <w:pPr>
        <w:rPr>
          <w:rFonts w:hint="eastAsia" w:ascii="仿宋" w:hAnsi="仿宋" w:eastAsia="仿宋" w:cs="Arial"/>
          <w:sz w:val="28"/>
          <w:highlight w:val="none"/>
          <w:lang w:eastAsia="zh-CN"/>
        </w:rPr>
      </w:pPr>
      <w:r>
        <w:rPr>
          <w:rFonts w:hint="eastAsia" w:ascii="仿宋" w:hAnsi="仿宋" w:eastAsia="仿宋" w:cs="Arial"/>
          <w:sz w:val="28"/>
          <w:highlight w:val="none"/>
          <w:lang w:eastAsia="zh-CN"/>
        </w:rPr>
        <w:br w:type="page"/>
      </w:r>
    </w:p>
    <w:p w14:paraId="0A1AD43E">
      <w:pPr>
        <w:tabs>
          <w:tab w:val="left" w:pos="2894"/>
          <w:tab w:val="center" w:pos="4595"/>
        </w:tabs>
        <w:spacing w:line="300" w:lineRule="auto"/>
        <w:jc w:val="left"/>
        <w:rPr>
          <w:rFonts w:ascii="仿宋" w:hAnsi="仿宋" w:eastAsia="仿宋" w:cs="Arial"/>
          <w:sz w:val="28"/>
          <w:highlight w:val="none"/>
        </w:rPr>
      </w:pPr>
      <w:r>
        <w:rPr>
          <w:rFonts w:hint="eastAsia" w:ascii="仿宋" w:hAnsi="仿宋" w:eastAsia="仿宋" w:cs="Arial"/>
          <w:sz w:val="28"/>
          <w:highlight w:val="none"/>
          <w:lang w:eastAsia="zh-CN"/>
        </w:rPr>
        <w:tab/>
      </w:r>
      <w:r>
        <w:rPr>
          <w:rFonts w:ascii="仿宋" w:hAnsi="仿宋" w:eastAsia="仿宋" w:cs="Arial"/>
          <w:sz w:val="28"/>
          <w:highlight w:val="none"/>
        </w:rPr>
        <w:t>估价对象因素修正系数表</w:t>
      </w:r>
    </w:p>
    <w:tbl>
      <w:tblPr>
        <w:tblStyle w:val="34"/>
        <w:tblW w:w="4998"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autofit"/>
        <w:tblCellMar>
          <w:top w:w="57" w:type="dxa"/>
          <w:left w:w="28" w:type="dxa"/>
          <w:bottom w:w="57" w:type="dxa"/>
          <w:right w:w="28" w:type="dxa"/>
        </w:tblCellMar>
      </w:tblPr>
      <w:tblGrid>
        <w:gridCol w:w="432"/>
        <w:gridCol w:w="2292"/>
        <w:gridCol w:w="5210"/>
        <w:gridCol w:w="717"/>
        <w:gridCol w:w="755"/>
      </w:tblGrid>
      <w:tr w14:paraId="3A8F780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230" w:type="pct"/>
            <w:vAlign w:val="center"/>
          </w:tcPr>
          <w:p w14:paraId="424CFC7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序号</w:t>
            </w:r>
          </w:p>
        </w:tc>
        <w:tc>
          <w:tcPr>
            <w:tcW w:w="1218" w:type="pct"/>
            <w:vAlign w:val="center"/>
          </w:tcPr>
          <w:p w14:paraId="1E7DD53F">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影响因素</w:t>
            </w:r>
          </w:p>
        </w:tc>
        <w:tc>
          <w:tcPr>
            <w:tcW w:w="2769" w:type="pct"/>
            <w:vAlign w:val="center"/>
          </w:tcPr>
          <w:p w14:paraId="5C6A82F7">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估价对象情况</w:t>
            </w:r>
          </w:p>
        </w:tc>
        <w:tc>
          <w:tcPr>
            <w:tcW w:w="381" w:type="pct"/>
            <w:vAlign w:val="center"/>
          </w:tcPr>
          <w:p w14:paraId="7D2F1698">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等级</w:t>
            </w:r>
          </w:p>
        </w:tc>
        <w:tc>
          <w:tcPr>
            <w:tcW w:w="401" w:type="pct"/>
            <w:vAlign w:val="center"/>
          </w:tcPr>
          <w:p w14:paraId="1282AF65">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修正系数</w:t>
            </w:r>
          </w:p>
        </w:tc>
      </w:tr>
      <w:tr w14:paraId="02AADC0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2CFB8EB0">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1）</w:t>
            </w:r>
          </w:p>
        </w:tc>
        <w:tc>
          <w:tcPr>
            <w:tcW w:w="1218" w:type="pct"/>
            <w:vAlign w:val="center"/>
          </w:tcPr>
          <w:p w14:paraId="499DC4FD">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物业聚集程度</w:t>
            </w:r>
          </w:p>
        </w:tc>
        <w:tc>
          <w:tcPr>
            <w:tcW w:w="2769" w:type="pct"/>
            <w:vAlign w:val="center"/>
          </w:tcPr>
          <w:p w14:paraId="449AE996">
            <w:pPr>
              <w:adjustRightInd/>
              <w:spacing w:line="240" w:lineRule="exact"/>
              <w:rPr>
                <w:rFonts w:ascii="Arial" w:hAnsi="Arial" w:eastAsia="仿宋" w:cs="Arial"/>
                <w:sz w:val="21"/>
                <w:szCs w:val="21"/>
                <w:highlight w:val="none"/>
              </w:rPr>
            </w:pPr>
            <w:r>
              <w:rPr>
                <w:rFonts w:hint="eastAsia" w:ascii="Arial" w:hAnsi="Arial" w:eastAsia="仿宋" w:cs="Arial"/>
                <w:sz w:val="21"/>
                <w:szCs w:val="21"/>
                <w:highlight w:val="none"/>
              </w:rPr>
              <w:t>估价对象位于北京市顺义区高丽营镇夏县营村，周边2公里范围内有双悦大楼、智慧谷商务中心等办公项目，周边公共服务物业数量较少，物业集聚程度较差。</w:t>
            </w:r>
          </w:p>
        </w:tc>
        <w:tc>
          <w:tcPr>
            <w:tcW w:w="381" w:type="pct"/>
            <w:vAlign w:val="center"/>
          </w:tcPr>
          <w:p w14:paraId="06000ADE">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bidi="ar"/>
              </w:rPr>
              <w:t>较差</w:t>
            </w:r>
          </w:p>
        </w:tc>
        <w:tc>
          <w:tcPr>
            <w:tcW w:w="401" w:type="pct"/>
            <w:vAlign w:val="center"/>
          </w:tcPr>
          <w:p w14:paraId="4AADA54A">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1.87%</w:t>
            </w:r>
          </w:p>
        </w:tc>
      </w:tr>
      <w:tr w14:paraId="616185D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6FC7D1B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2）</w:t>
            </w:r>
          </w:p>
        </w:tc>
        <w:tc>
          <w:tcPr>
            <w:tcW w:w="1218" w:type="pct"/>
            <w:vAlign w:val="center"/>
          </w:tcPr>
          <w:p w14:paraId="5FC4EC70">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交通便捷度</w:t>
            </w:r>
          </w:p>
        </w:tc>
        <w:tc>
          <w:tcPr>
            <w:tcW w:w="2769" w:type="pct"/>
            <w:vAlign w:val="center"/>
          </w:tcPr>
          <w:p w14:paraId="20AF73CF">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lang w:bidi="ar"/>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381" w:type="pct"/>
            <w:vAlign w:val="center"/>
          </w:tcPr>
          <w:p w14:paraId="05FA8DFD">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bidi="ar"/>
              </w:rPr>
              <w:t>较差</w:t>
            </w:r>
          </w:p>
        </w:tc>
        <w:tc>
          <w:tcPr>
            <w:tcW w:w="401" w:type="pct"/>
            <w:vAlign w:val="center"/>
          </w:tcPr>
          <w:p w14:paraId="7825E8D1">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1.95%</w:t>
            </w:r>
          </w:p>
        </w:tc>
      </w:tr>
      <w:tr w14:paraId="165C1C0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7557B8B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3）</w:t>
            </w:r>
          </w:p>
        </w:tc>
        <w:tc>
          <w:tcPr>
            <w:tcW w:w="1218" w:type="pct"/>
            <w:vAlign w:val="center"/>
          </w:tcPr>
          <w:p w14:paraId="4155D56A">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区域土地利用方向</w:t>
            </w:r>
          </w:p>
        </w:tc>
        <w:tc>
          <w:tcPr>
            <w:tcW w:w="2769" w:type="pct"/>
            <w:vAlign w:val="center"/>
          </w:tcPr>
          <w:p w14:paraId="14E91F7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lang w:bidi="ar"/>
              </w:rPr>
              <w:t>估价对象周边有部分其他用途用地，基本不影响本宗地。</w:t>
            </w:r>
          </w:p>
        </w:tc>
        <w:tc>
          <w:tcPr>
            <w:tcW w:w="381" w:type="pct"/>
            <w:vAlign w:val="center"/>
          </w:tcPr>
          <w:p w14:paraId="4E682D62">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较好</w:t>
            </w:r>
          </w:p>
        </w:tc>
        <w:tc>
          <w:tcPr>
            <w:tcW w:w="401" w:type="pct"/>
            <w:vAlign w:val="center"/>
          </w:tcPr>
          <w:p w14:paraId="0DA1E1B2">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0.82%</w:t>
            </w:r>
          </w:p>
        </w:tc>
      </w:tr>
      <w:tr w14:paraId="4FFBDE7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66ABA1B0">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4）</w:t>
            </w:r>
          </w:p>
        </w:tc>
        <w:tc>
          <w:tcPr>
            <w:tcW w:w="1218" w:type="pct"/>
            <w:vAlign w:val="center"/>
          </w:tcPr>
          <w:p w14:paraId="6166CDC7">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临街宽度和深度</w:t>
            </w:r>
          </w:p>
        </w:tc>
        <w:tc>
          <w:tcPr>
            <w:tcW w:w="2769" w:type="pct"/>
            <w:vAlign w:val="center"/>
          </w:tcPr>
          <w:p w14:paraId="3FF13A43">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临街宽度及深度比例一般。</w:t>
            </w:r>
          </w:p>
        </w:tc>
        <w:tc>
          <w:tcPr>
            <w:tcW w:w="381" w:type="pct"/>
            <w:vAlign w:val="center"/>
          </w:tcPr>
          <w:p w14:paraId="2454F68E">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bidi="ar"/>
              </w:rPr>
              <w:t>一般</w:t>
            </w:r>
          </w:p>
        </w:tc>
        <w:tc>
          <w:tcPr>
            <w:tcW w:w="401" w:type="pct"/>
            <w:vAlign w:val="center"/>
          </w:tcPr>
          <w:p w14:paraId="6A8373BC">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18FEE45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C918B84">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5）</w:t>
            </w:r>
          </w:p>
        </w:tc>
        <w:tc>
          <w:tcPr>
            <w:tcW w:w="1218" w:type="pct"/>
            <w:vAlign w:val="center"/>
          </w:tcPr>
          <w:p w14:paraId="46A20119">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临街道路状况</w:t>
            </w:r>
          </w:p>
        </w:tc>
        <w:tc>
          <w:tcPr>
            <w:tcW w:w="2769" w:type="pct"/>
            <w:vAlign w:val="center"/>
          </w:tcPr>
          <w:p w14:paraId="5010F41F">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lang w:bidi="ar"/>
              </w:rPr>
              <w:t>估价对象毗邻</w:t>
            </w:r>
            <w:r>
              <w:rPr>
                <w:rFonts w:hint="eastAsia" w:ascii="Arial" w:hAnsi="Arial" w:eastAsia="仿宋" w:cs="Arial"/>
                <w:sz w:val="21"/>
                <w:szCs w:val="21"/>
                <w:highlight w:val="none"/>
                <w:lang w:bidi="ar"/>
              </w:rPr>
              <w:t>城市主干道——火寺路</w:t>
            </w:r>
          </w:p>
        </w:tc>
        <w:tc>
          <w:tcPr>
            <w:tcW w:w="381" w:type="pct"/>
            <w:vAlign w:val="center"/>
          </w:tcPr>
          <w:p w14:paraId="35723383">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较好</w:t>
            </w:r>
          </w:p>
        </w:tc>
        <w:tc>
          <w:tcPr>
            <w:tcW w:w="401" w:type="pct"/>
            <w:vAlign w:val="center"/>
          </w:tcPr>
          <w:p w14:paraId="792EF1CB">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0.37%</w:t>
            </w:r>
          </w:p>
        </w:tc>
      </w:tr>
      <w:tr w14:paraId="09F35D8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058AD785">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6）</w:t>
            </w:r>
          </w:p>
        </w:tc>
        <w:tc>
          <w:tcPr>
            <w:tcW w:w="1218" w:type="pct"/>
            <w:vAlign w:val="center"/>
          </w:tcPr>
          <w:p w14:paraId="3A7AAABC">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宗地形状及可利用程度</w:t>
            </w:r>
          </w:p>
        </w:tc>
        <w:tc>
          <w:tcPr>
            <w:tcW w:w="2769" w:type="pct"/>
            <w:vAlign w:val="center"/>
          </w:tcPr>
          <w:p w14:paraId="0EF4C897">
            <w:pPr>
              <w:widowControl/>
              <w:adjustRightInd/>
              <w:spacing w:line="240" w:lineRule="exact"/>
              <w:textAlignment w:val="center"/>
              <w:rPr>
                <w:rFonts w:ascii="Arial" w:hAnsi="Arial" w:eastAsia="仿宋" w:cs="Arial"/>
                <w:sz w:val="21"/>
                <w:szCs w:val="21"/>
                <w:highlight w:val="none"/>
                <w:lang w:bidi="ar"/>
              </w:rPr>
            </w:pPr>
            <w:r>
              <w:rPr>
                <w:rFonts w:ascii="Arial" w:hAnsi="Arial" w:eastAsia="仿宋" w:cs="Arial"/>
                <w:sz w:val="21"/>
                <w:szCs w:val="21"/>
                <w:highlight w:val="none"/>
              </w:rPr>
              <w:t>宗地形状规则，可利用程度好</w:t>
            </w:r>
            <w:r>
              <w:rPr>
                <w:rFonts w:ascii="Arial" w:hAnsi="Arial" w:eastAsia="仿宋" w:cs="Arial"/>
                <w:sz w:val="21"/>
                <w:szCs w:val="21"/>
                <w:highlight w:val="none"/>
                <w:lang w:bidi="ar"/>
              </w:rPr>
              <w:t>。</w:t>
            </w:r>
          </w:p>
        </w:tc>
        <w:tc>
          <w:tcPr>
            <w:tcW w:w="381" w:type="pct"/>
            <w:vAlign w:val="center"/>
          </w:tcPr>
          <w:p w14:paraId="5FBFF79C">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较好</w:t>
            </w:r>
          </w:p>
        </w:tc>
        <w:tc>
          <w:tcPr>
            <w:tcW w:w="401" w:type="pct"/>
            <w:vAlign w:val="center"/>
          </w:tcPr>
          <w:p w14:paraId="628B02B2">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w:t>
            </w:r>
            <w:r>
              <w:rPr>
                <w:rFonts w:hint="eastAsia" w:ascii="Arial" w:hAnsi="Arial" w:eastAsia="仿宋" w:cs="Arial"/>
                <w:sz w:val="21"/>
                <w:szCs w:val="21"/>
                <w:highlight w:val="none"/>
                <w:lang w:val="en-US" w:eastAsia="zh-CN" w:bidi="ar"/>
              </w:rPr>
              <w:t>45</w:t>
            </w:r>
            <w:r>
              <w:rPr>
                <w:rFonts w:ascii="Arial" w:hAnsi="Arial" w:eastAsia="仿宋" w:cs="Arial"/>
                <w:sz w:val="21"/>
                <w:szCs w:val="21"/>
                <w:highlight w:val="none"/>
                <w:lang w:bidi="ar"/>
              </w:rPr>
              <w:t>%</w:t>
            </w:r>
          </w:p>
        </w:tc>
      </w:tr>
      <w:tr w14:paraId="2860A09F">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5856D47C">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7）</w:t>
            </w:r>
          </w:p>
        </w:tc>
        <w:tc>
          <w:tcPr>
            <w:tcW w:w="1218" w:type="pct"/>
            <w:vAlign w:val="center"/>
          </w:tcPr>
          <w:p w14:paraId="162282D9">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公共服务设施状况</w:t>
            </w:r>
          </w:p>
        </w:tc>
        <w:tc>
          <w:tcPr>
            <w:tcW w:w="2769" w:type="pct"/>
            <w:vAlign w:val="center"/>
          </w:tcPr>
          <w:p w14:paraId="45028497">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rPr>
              <w:t>估价对象周边2公里范围内</w:t>
            </w:r>
            <w:r>
              <w:rPr>
                <w:rFonts w:hint="eastAsia" w:ascii="Arial" w:hAnsi="Arial" w:eastAsia="仿宋" w:cs="Arial"/>
                <w:sz w:val="21"/>
                <w:szCs w:val="21"/>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 w:cs="Arial"/>
                <w:sz w:val="21"/>
                <w:szCs w:val="21"/>
                <w:highlight w:val="none"/>
              </w:rPr>
              <w:t>，公共配套设施齐备情况一般。</w:t>
            </w:r>
          </w:p>
        </w:tc>
        <w:tc>
          <w:tcPr>
            <w:tcW w:w="381" w:type="pct"/>
            <w:vAlign w:val="center"/>
          </w:tcPr>
          <w:p w14:paraId="0CA572D2">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一般</w:t>
            </w:r>
          </w:p>
        </w:tc>
        <w:tc>
          <w:tcPr>
            <w:tcW w:w="401" w:type="pct"/>
            <w:vAlign w:val="center"/>
          </w:tcPr>
          <w:p w14:paraId="42328D39">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3D52F14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1DFEB03B">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8）</w:t>
            </w:r>
          </w:p>
        </w:tc>
        <w:tc>
          <w:tcPr>
            <w:tcW w:w="1218" w:type="pct"/>
            <w:vAlign w:val="center"/>
          </w:tcPr>
          <w:p w14:paraId="4EBB9150">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基础设施完备状况</w:t>
            </w:r>
          </w:p>
        </w:tc>
        <w:tc>
          <w:tcPr>
            <w:tcW w:w="2769" w:type="pct"/>
            <w:vAlign w:val="center"/>
          </w:tcPr>
          <w:p w14:paraId="0CC287A7">
            <w:pPr>
              <w:adjustRightInd/>
              <w:spacing w:line="240" w:lineRule="exact"/>
              <w:rPr>
                <w:rFonts w:hint="eastAsia" w:ascii="Arial" w:hAnsi="Arial" w:eastAsia="仿宋" w:cs="Arial"/>
                <w:sz w:val="21"/>
                <w:szCs w:val="21"/>
                <w:highlight w:val="none"/>
                <w:lang w:eastAsia="zh-CN"/>
              </w:rPr>
            </w:pPr>
            <w:r>
              <w:rPr>
                <w:rFonts w:ascii="Arial" w:hAnsi="Arial" w:eastAsia="仿宋" w:cs="Arial"/>
                <w:sz w:val="21"/>
                <w:szCs w:val="21"/>
                <w:highlight w:val="none"/>
              </w:rPr>
              <w:t>估价对象所在区域内基础设施配套条件达到</w:t>
            </w:r>
            <w:r>
              <w:rPr>
                <w:rFonts w:hint="eastAsia" w:ascii="Arial" w:hAnsi="Arial" w:eastAsia="仿宋" w:cs="Arial"/>
                <w:sz w:val="21"/>
                <w:szCs w:val="21"/>
                <w:highlight w:val="none"/>
                <w:lang w:eastAsia="zh-CN"/>
              </w:rPr>
              <w:t>“七通”</w:t>
            </w:r>
          </w:p>
        </w:tc>
        <w:tc>
          <w:tcPr>
            <w:tcW w:w="381" w:type="pct"/>
            <w:vAlign w:val="center"/>
          </w:tcPr>
          <w:p w14:paraId="1DDAC020">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好</w:t>
            </w:r>
          </w:p>
        </w:tc>
        <w:tc>
          <w:tcPr>
            <w:tcW w:w="401" w:type="pct"/>
            <w:vAlign w:val="center"/>
          </w:tcPr>
          <w:p w14:paraId="6C0956C7">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1.34%</w:t>
            </w:r>
          </w:p>
        </w:tc>
      </w:tr>
      <w:tr w14:paraId="6E9AA3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230" w:type="pct"/>
            <w:vAlign w:val="center"/>
          </w:tcPr>
          <w:p w14:paraId="31FDFFE3">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9）</w:t>
            </w:r>
          </w:p>
        </w:tc>
        <w:tc>
          <w:tcPr>
            <w:tcW w:w="1218" w:type="pct"/>
            <w:vAlign w:val="center"/>
          </w:tcPr>
          <w:p w14:paraId="784E86EC">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自然和人文环境状况</w:t>
            </w:r>
          </w:p>
        </w:tc>
        <w:tc>
          <w:tcPr>
            <w:tcW w:w="2769" w:type="pct"/>
            <w:vAlign w:val="center"/>
          </w:tcPr>
          <w:p w14:paraId="779AF54E">
            <w:pPr>
              <w:widowControl/>
              <w:adjustRightInd/>
              <w:spacing w:line="240" w:lineRule="exact"/>
              <w:textAlignment w:val="center"/>
              <w:rPr>
                <w:rFonts w:ascii="Arial" w:hAnsi="Arial" w:eastAsia="仿宋" w:cs="Arial"/>
                <w:sz w:val="21"/>
                <w:szCs w:val="21"/>
                <w:highlight w:val="none"/>
                <w:lang w:bidi="ar"/>
              </w:rPr>
            </w:pPr>
            <w:r>
              <w:rPr>
                <w:rFonts w:hint="eastAsia" w:ascii="Arial" w:hAnsi="Arial" w:eastAsia="仿宋" w:cs="Arial"/>
                <w:sz w:val="21"/>
                <w:szCs w:val="21"/>
                <w:highlight w:val="none"/>
              </w:rPr>
              <w:t>估价对位于北京市顺义区高丽营镇夏县营村，周边2公里南郎中休闲公园、口袋公园、方氏渠等自然环境；无人文环境；综合评价环境状况一般。</w:t>
            </w:r>
          </w:p>
        </w:tc>
        <w:tc>
          <w:tcPr>
            <w:tcW w:w="381" w:type="pct"/>
            <w:vAlign w:val="center"/>
          </w:tcPr>
          <w:p w14:paraId="0EC1AEFE">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bidi="ar"/>
              </w:rPr>
              <w:t>一般</w:t>
            </w:r>
          </w:p>
        </w:tc>
        <w:tc>
          <w:tcPr>
            <w:tcW w:w="401" w:type="pct"/>
            <w:vAlign w:val="center"/>
          </w:tcPr>
          <w:p w14:paraId="37631147">
            <w:pPr>
              <w:adjustRightInd/>
              <w:spacing w:line="240" w:lineRule="exact"/>
              <w:rPr>
                <w:rFonts w:ascii="Arial" w:hAnsi="Arial" w:eastAsia="仿宋" w:cs="Arial"/>
                <w:sz w:val="21"/>
                <w:szCs w:val="21"/>
                <w:highlight w:val="none"/>
                <w:lang w:bidi="ar"/>
              </w:rPr>
            </w:pPr>
            <w:r>
              <w:rPr>
                <w:rFonts w:ascii="Arial" w:hAnsi="Arial" w:eastAsia="仿宋" w:cs="Arial"/>
                <w:sz w:val="21"/>
                <w:szCs w:val="21"/>
                <w:highlight w:val="none"/>
                <w:lang w:bidi="ar"/>
              </w:rPr>
              <w:t>0.00%</w:t>
            </w:r>
          </w:p>
        </w:tc>
      </w:tr>
      <w:tr w14:paraId="63E97E2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598" w:type="pct"/>
            <w:gridSpan w:val="4"/>
            <w:vAlign w:val="center"/>
          </w:tcPr>
          <w:p w14:paraId="3D8B464B">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合计（∑K</w:t>
            </w:r>
            <w:r>
              <w:rPr>
                <w:rFonts w:ascii="Arial" w:hAnsi="Arial" w:eastAsia="仿宋" w:cs="Arial"/>
                <w:sz w:val="21"/>
                <w:szCs w:val="21"/>
                <w:highlight w:val="none"/>
                <w:vertAlign w:val="subscript"/>
              </w:rPr>
              <w:t>i</w:t>
            </w:r>
            <w:r>
              <w:rPr>
                <w:rFonts w:ascii="Arial" w:hAnsi="Arial" w:eastAsia="仿宋" w:cs="Arial"/>
                <w:sz w:val="21"/>
                <w:szCs w:val="21"/>
                <w:highlight w:val="none"/>
              </w:rPr>
              <w:t>）</w:t>
            </w:r>
          </w:p>
        </w:tc>
        <w:tc>
          <w:tcPr>
            <w:tcW w:w="401" w:type="pct"/>
          </w:tcPr>
          <w:p w14:paraId="23147C19">
            <w:pPr>
              <w:adjustRightInd/>
              <w:spacing w:line="240" w:lineRule="exact"/>
              <w:rPr>
                <w:rFonts w:ascii="Arial" w:hAnsi="Arial" w:eastAsia="仿宋" w:cs="Arial"/>
                <w:sz w:val="21"/>
                <w:szCs w:val="21"/>
                <w:highlight w:val="none"/>
                <w:lang w:bidi="ar"/>
              </w:rPr>
            </w:pPr>
            <w:r>
              <w:rPr>
                <w:rFonts w:hint="eastAsia" w:ascii="Arial" w:hAnsi="Arial" w:eastAsia="仿宋" w:cs="Arial"/>
                <w:sz w:val="21"/>
                <w:szCs w:val="21"/>
                <w:highlight w:val="none"/>
                <w:lang w:eastAsia="zh-CN" w:bidi="ar"/>
              </w:rPr>
              <w:t>－</w:t>
            </w:r>
            <w:r>
              <w:rPr>
                <w:rFonts w:ascii="Arial" w:hAnsi="Arial" w:eastAsia="仿宋" w:cs="Arial"/>
                <w:sz w:val="21"/>
                <w:szCs w:val="21"/>
                <w:highlight w:val="none"/>
                <w:lang w:bidi="ar"/>
              </w:rPr>
              <w:t>0.</w:t>
            </w:r>
            <w:r>
              <w:rPr>
                <w:rFonts w:hint="eastAsia" w:ascii="Arial" w:hAnsi="Arial" w:eastAsia="仿宋" w:cs="Arial"/>
                <w:sz w:val="21"/>
                <w:szCs w:val="21"/>
                <w:highlight w:val="none"/>
                <w:lang w:val="en-US" w:eastAsia="zh-CN" w:bidi="ar"/>
              </w:rPr>
              <w:t>84</w:t>
            </w:r>
            <w:r>
              <w:rPr>
                <w:rFonts w:ascii="Arial" w:hAnsi="Arial" w:eastAsia="仿宋" w:cs="Arial"/>
                <w:sz w:val="21"/>
                <w:szCs w:val="21"/>
                <w:highlight w:val="none"/>
                <w:lang w:bidi="ar"/>
              </w:rPr>
              <w:t>%</w:t>
            </w:r>
          </w:p>
        </w:tc>
      </w:tr>
      <w:tr w14:paraId="27FBDB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4598" w:type="pct"/>
            <w:gridSpan w:val="4"/>
            <w:vAlign w:val="center"/>
          </w:tcPr>
          <w:p w14:paraId="0F9AA645">
            <w:pPr>
              <w:adjustRightInd/>
              <w:spacing w:line="240" w:lineRule="exact"/>
              <w:rPr>
                <w:rFonts w:ascii="Arial" w:hAnsi="Arial" w:eastAsia="仿宋" w:cs="Arial"/>
                <w:sz w:val="21"/>
                <w:szCs w:val="21"/>
                <w:highlight w:val="none"/>
              </w:rPr>
            </w:pPr>
            <w:r>
              <w:rPr>
                <w:rFonts w:ascii="Arial" w:hAnsi="Arial" w:eastAsia="仿宋" w:cs="Arial"/>
                <w:sz w:val="21"/>
                <w:szCs w:val="21"/>
                <w:highlight w:val="none"/>
              </w:rPr>
              <w:t>因素修正系数（1</w:t>
            </w:r>
            <w:r>
              <w:rPr>
                <w:rFonts w:hint="eastAsia" w:ascii="Arial" w:hAnsi="Arial" w:eastAsia="仿宋" w:cs="Arial"/>
                <w:sz w:val="21"/>
                <w:szCs w:val="21"/>
                <w:highlight w:val="none"/>
                <w:lang w:eastAsia="zh-CN"/>
              </w:rPr>
              <w:t>＋</w:t>
            </w:r>
            <w:r>
              <w:rPr>
                <w:rFonts w:ascii="Arial" w:hAnsi="Arial" w:eastAsia="仿宋" w:cs="Arial"/>
                <w:sz w:val="21"/>
                <w:szCs w:val="21"/>
                <w:highlight w:val="none"/>
              </w:rPr>
              <w:t>∑K</w:t>
            </w:r>
            <w:r>
              <w:rPr>
                <w:rFonts w:ascii="Arial" w:hAnsi="Arial" w:eastAsia="仿宋" w:cs="Arial"/>
                <w:sz w:val="21"/>
                <w:szCs w:val="21"/>
                <w:highlight w:val="none"/>
                <w:vertAlign w:val="subscript"/>
              </w:rPr>
              <w:t>i</w:t>
            </w:r>
            <w:r>
              <w:rPr>
                <w:rFonts w:ascii="Arial" w:hAnsi="Arial" w:eastAsia="仿宋" w:cs="Arial"/>
                <w:sz w:val="21"/>
                <w:szCs w:val="21"/>
                <w:highlight w:val="none"/>
              </w:rPr>
              <w:t>）</w:t>
            </w:r>
          </w:p>
        </w:tc>
        <w:tc>
          <w:tcPr>
            <w:tcW w:w="401" w:type="pct"/>
          </w:tcPr>
          <w:p w14:paraId="3AE96CB3">
            <w:pPr>
              <w:adjustRightInd/>
              <w:spacing w:line="240" w:lineRule="exact"/>
              <w:rPr>
                <w:rFonts w:hint="default" w:ascii="Arial" w:hAnsi="Arial" w:eastAsia="仿宋" w:cs="Arial"/>
                <w:sz w:val="21"/>
                <w:szCs w:val="21"/>
                <w:highlight w:val="none"/>
                <w:lang w:val="en-US" w:eastAsia="zh-CN" w:bidi="ar"/>
              </w:rPr>
            </w:pPr>
            <w:r>
              <w:rPr>
                <w:rFonts w:hint="eastAsia" w:ascii="Arial" w:hAnsi="Arial" w:eastAsia="仿宋" w:cs="Arial"/>
                <w:sz w:val="21"/>
                <w:szCs w:val="21"/>
                <w:highlight w:val="none"/>
                <w:lang w:bidi="ar"/>
              </w:rPr>
              <w:t>0.99</w:t>
            </w:r>
            <w:r>
              <w:rPr>
                <w:rFonts w:hint="eastAsia" w:ascii="Arial" w:hAnsi="Arial" w:eastAsia="仿宋" w:cs="Arial"/>
                <w:sz w:val="21"/>
                <w:szCs w:val="21"/>
                <w:highlight w:val="none"/>
                <w:lang w:val="en-US" w:eastAsia="zh-CN" w:bidi="ar"/>
              </w:rPr>
              <w:t>16</w:t>
            </w:r>
          </w:p>
        </w:tc>
      </w:tr>
    </w:tbl>
    <w:p w14:paraId="041BF59A">
      <w:pPr>
        <w:keepNext w:val="0"/>
        <w:keepLines w:val="0"/>
        <w:pageBreakBefore w:val="0"/>
        <w:widowControl w:val="0"/>
        <w:kinsoku/>
        <w:wordWrap/>
        <w:overflowPunct/>
        <w:topLinePunct w:val="0"/>
        <w:autoSpaceDE/>
        <w:autoSpaceDN/>
        <w:bidi w:val="0"/>
        <w:adjustRightInd/>
        <w:snapToGrid/>
        <w:spacing w:before="469" w:beforeLines="150" w:line="300" w:lineRule="auto"/>
        <w:ind w:firstLine="560" w:firstLineChars="200"/>
        <w:textAlignment w:val="baseline"/>
        <w:rPr>
          <w:rFonts w:hint="eastAsia" w:ascii="Arial" w:hAnsi="Arial" w:eastAsia="仿宋" w:cs="Arial"/>
          <w:sz w:val="28"/>
          <w:szCs w:val="28"/>
          <w:highlight w:val="none"/>
          <w:lang w:eastAsia="zh-CN"/>
        </w:rPr>
      </w:pPr>
      <w:r>
        <w:rPr>
          <w:rFonts w:ascii="Arial" w:hAnsi="Arial" w:eastAsia="仿宋" w:cs="Arial"/>
          <w:sz w:val="28"/>
          <w:szCs w:val="28"/>
          <w:highlight w:val="none"/>
        </w:rPr>
        <w:t>G.估价对象</w:t>
      </w:r>
      <w:r>
        <w:rPr>
          <w:rFonts w:hint="eastAsia" w:ascii="Arial" w:hAnsi="Arial" w:eastAsia="仿宋" w:cs="Arial"/>
          <w:sz w:val="28"/>
          <w:szCs w:val="28"/>
          <w:highlight w:val="none"/>
          <w:lang w:eastAsia="zh-CN"/>
        </w:rPr>
        <w:t>楼面地价</w:t>
      </w:r>
    </w:p>
    <w:p w14:paraId="3FA9D4DC">
      <w:pPr>
        <w:adjustRightInd/>
        <w:spacing w:line="300" w:lineRule="auto"/>
        <w:ind w:firstLine="560" w:firstLineChars="200"/>
        <w:rPr>
          <w:rFonts w:hint="eastAsia" w:ascii="Arial" w:hAnsi="Arial" w:eastAsia="仿宋" w:cs="Arial"/>
          <w:sz w:val="28"/>
          <w:szCs w:val="28"/>
          <w:highlight w:val="none"/>
          <w:lang w:eastAsia="zh-CN"/>
        </w:rPr>
      </w:pPr>
      <w:r>
        <w:rPr>
          <w:rFonts w:ascii="Arial" w:hAnsi="Arial" w:eastAsia="仿宋" w:cs="Arial"/>
          <w:sz w:val="28"/>
          <w:szCs w:val="28"/>
          <w:highlight w:val="none"/>
        </w:rPr>
        <w:t>公共服务用途</w:t>
      </w:r>
      <w:r>
        <w:rPr>
          <w:rFonts w:hint="eastAsia" w:ascii="Arial" w:hAnsi="Arial" w:eastAsia="仿宋" w:cs="Arial"/>
          <w:sz w:val="28"/>
          <w:szCs w:val="28"/>
          <w:highlight w:val="none"/>
          <w:lang w:eastAsia="zh-CN"/>
        </w:rPr>
        <w:t>楼面地价</w:t>
      </w:r>
    </w:p>
    <w:p w14:paraId="7157D36F">
      <w:pPr>
        <w:adjustRightInd/>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ascii="Arial" w:hAnsi="Arial" w:eastAsia="仿宋" w:cs="Arial"/>
          <w:sz w:val="28"/>
          <w:szCs w:val="28"/>
          <w:highlight w:val="none"/>
        </w:rPr>
        <w:t>适用的基准地价</w:t>
      </w:r>
      <w:r>
        <w:rPr>
          <w:rFonts w:hint="eastAsia" w:ascii="Arial" w:hAnsi="Arial" w:eastAsia="仿宋" w:cs="Arial"/>
          <w:sz w:val="28"/>
          <w:szCs w:val="28"/>
          <w:highlight w:val="none"/>
          <w:lang w:eastAsia="zh-CN"/>
        </w:rPr>
        <w:t>×</w:t>
      </w:r>
      <w:r>
        <w:rPr>
          <w:rFonts w:ascii="Arial" w:hAnsi="Arial" w:eastAsia="仿宋" w:cs="Arial"/>
          <w:sz w:val="28"/>
          <w:szCs w:val="28"/>
          <w:highlight w:val="none"/>
        </w:rPr>
        <w:t>用途修正系数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期日修正系数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年期修正系数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容积率修正系数</w:t>
      </w:r>
      <w:r>
        <w:rPr>
          <w:rFonts w:hint="eastAsia" w:ascii="Arial" w:hAnsi="Arial" w:eastAsia="仿宋" w:cs="Arial"/>
          <w:sz w:val="28"/>
          <w:szCs w:val="28"/>
          <w:highlight w:val="none"/>
          <w:lang w:eastAsia="zh-CN"/>
        </w:rPr>
        <w:t>×</w:t>
      </w:r>
      <w:r>
        <w:rPr>
          <w:rFonts w:ascii="Arial" w:hAnsi="Arial" w:eastAsia="仿宋" w:cs="Arial"/>
          <w:sz w:val="28"/>
          <w:szCs w:val="28"/>
          <w:highlight w:val="none"/>
        </w:rPr>
        <w:t>因素修正系数</w:t>
      </w:r>
    </w:p>
    <w:p w14:paraId="51574F85">
      <w:pPr>
        <w:adjustRightInd/>
        <w:spacing w:line="300" w:lineRule="auto"/>
        <w:ind w:firstLine="560" w:firstLineChars="200"/>
        <w:jc w:val="both"/>
        <w:rPr>
          <w:rFonts w:hint="default" w:ascii="Arial" w:hAnsi="Arial" w:eastAsia="仿宋" w:cs="Arial"/>
          <w:sz w:val="28"/>
          <w:szCs w:val="28"/>
          <w:highlight w:val="none"/>
          <w:lang w:val="en-US" w:eastAsia="zh-CN"/>
        </w:rPr>
      </w:pPr>
      <w:r>
        <w:rPr>
          <w:rFonts w:hint="eastAsia" w:ascii="Arial" w:hAnsi="Arial" w:eastAsia="仿宋" w:cs="Arial"/>
          <w:sz w:val="28"/>
          <w:szCs w:val="28"/>
          <w:highlight w:val="none"/>
          <w:lang w:eastAsia="zh-CN"/>
        </w:rPr>
        <w:t>＝</w:t>
      </w:r>
      <w:r>
        <w:rPr>
          <w:rFonts w:ascii="Arial" w:hAnsi="Arial" w:eastAsia="仿宋" w:cs="Arial"/>
          <w:sz w:val="28"/>
          <w:szCs w:val="28"/>
          <w:highlight w:val="none"/>
        </w:rPr>
        <w:t>（3170</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46.67</w:t>
      </w:r>
      <w:r>
        <w:rPr>
          <w:rFonts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0.9388</w:t>
      </w:r>
      <w:r>
        <w:rPr>
          <w:rFonts w:hint="eastAsia" w:ascii="Arial" w:hAnsi="Arial" w:eastAsia="仿宋" w:cs="Arial"/>
          <w:sz w:val="28"/>
          <w:szCs w:val="28"/>
          <w:highlight w:val="none"/>
          <w:lang w:eastAsia="zh-CN"/>
        </w:rPr>
        <w:t>×</w:t>
      </w:r>
      <w:r>
        <w:rPr>
          <w:rFonts w:ascii="Arial" w:hAnsi="Arial" w:eastAsia="仿宋" w:cs="Arial"/>
          <w:sz w:val="28"/>
          <w:szCs w:val="28"/>
          <w:highlight w:val="none"/>
        </w:rPr>
        <w:t>1</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1.0678</w:t>
      </w:r>
      <w:r>
        <w:rPr>
          <w:rFonts w:hint="eastAsia" w:ascii="Arial" w:hAnsi="Arial" w:eastAsia="仿宋" w:cs="Arial"/>
          <w:sz w:val="28"/>
          <w:szCs w:val="28"/>
          <w:highlight w:val="none"/>
          <w:lang w:eastAsia="zh-CN"/>
        </w:rPr>
        <w:t>×</w:t>
      </w:r>
      <w:r>
        <w:rPr>
          <w:rFonts w:ascii="Arial" w:hAnsi="Arial" w:eastAsia="仿宋" w:cs="Arial"/>
          <w:sz w:val="28"/>
          <w:szCs w:val="28"/>
          <w:highlight w:val="none"/>
        </w:rPr>
        <w:t>0.99</w:t>
      </w:r>
      <w:r>
        <w:rPr>
          <w:rFonts w:hint="eastAsia" w:ascii="Arial" w:hAnsi="Arial" w:eastAsia="仿宋" w:cs="Arial"/>
          <w:sz w:val="28"/>
          <w:szCs w:val="28"/>
          <w:highlight w:val="none"/>
          <w:lang w:val="en-US" w:eastAsia="zh-CN"/>
        </w:rPr>
        <w:t>16</w:t>
      </w:r>
    </w:p>
    <w:p w14:paraId="1D928772">
      <w:pPr>
        <w:spacing w:line="300" w:lineRule="auto"/>
        <w:ind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3197</w:t>
      </w:r>
      <w:r>
        <w:rPr>
          <w:rFonts w:ascii="Arial" w:hAnsi="Arial" w:eastAsia="仿宋" w:cs="Arial"/>
          <w:sz w:val="28"/>
          <w:szCs w:val="28"/>
          <w:highlight w:val="none"/>
        </w:rPr>
        <w:t>（元/平方米）</w:t>
      </w:r>
    </w:p>
    <w:p w14:paraId="1962E9FF">
      <w:pPr>
        <w:spacing w:line="300" w:lineRule="auto"/>
        <w:ind w:firstLine="560" w:firstLineChars="200"/>
        <w:jc w:val="both"/>
        <w:rPr>
          <w:rFonts w:ascii="Arial" w:hAnsi="Arial" w:eastAsia="仿宋" w:cs="Arial"/>
          <w:sz w:val="28"/>
          <w:szCs w:val="28"/>
          <w:highlight w:val="none"/>
        </w:rPr>
      </w:pPr>
    </w:p>
    <w:p w14:paraId="4F523D50">
      <w:pPr>
        <w:rPr>
          <w:rFonts w:hint="eastAsia" w:ascii="Arial" w:hAnsi="Arial" w:eastAsia="仿宋_GB2312" w:cs="Arial"/>
          <w:b/>
          <w:sz w:val="28"/>
          <w:highlight w:val="none"/>
        </w:rPr>
      </w:pPr>
      <w:r>
        <w:rPr>
          <w:rFonts w:hint="eastAsia" w:ascii="Arial" w:hAnsi="Arial" w:eastAsia="仿宋_GB2312" w:cs="Arial"/>
          <w:b/>
          <w:sz w:val="28"/>
          <w:highlight w:val="none"/>
        </w:rPr>
        <w:br w:type="page"/>
      </w:r>
    </w:p>
    <w:p w14:paraId="02B79D5A">
      <w:pPr>
        <w:adjustRightInd/>
        <w:snapToGrid w:val="0"/>
        <w:spacing w:line="300" w:lineRule="auto"/>
        <w:ind w:firstLine="562" w:firstLineChars="200"/>
        <w:textAlignment w:val="auto"/>
        <w:rPr>
          <w:rFonts w:ascii="Arial" w:hAnsi="Arial" w:eastAsia="仿宋_GB2312" w:cs="Arial"/>
          <w:b/>
          <w:sz w:val="28"/>
          <w:highlight w:val="none"/>
        </w:rPr>
      </w:pPr>
      <w:r>
        <w:rPr>
          <w:rFonts w:hint="eastAsia" w:ascii="Arial" w:hAnsi="Arial" w:eastAsia="仿宋_GB2312" w:cs="Arial"/>
          <w:b/>
          <w:sz w:val="28"/>
          <w:highlight w:val="none"/>
        </w:rPr>
        <w:t>2.</w:t>
      </w:r>
      <w:r>
        <w:rPr>
          <w:rFonts w:ascii="Arial" w:hAnsi="Arial" w:eastAsia="仿宋_GB2312" w:cs="Arial"/>
          <w:b/>
          <w:sz w:val="28"/>
          <w:highlight w:val="none"/>
        </w:rPr>
        <w:t>剩余法</w:t>
      </w:r>
    </w:p>
    <w:p w14:paraId="591C44A2">
      <w:pPr>
        <w:spacing w:before="50" w:after="50" w:line="300" w:lineRule="auto"/>
        <w:ind w:firstLine="560" w:firstLineChars="200"/>
        <w:rPr>
          <w:rFonts w:hint="eastAsia" w:ascii="Arial" w:hAnsi="Arial" w:eastAsia="仿宋_GB2312" w:cs="Arial"/>
          <w:b/>
          <w:sz w:val="28"/>
          <w:highlight w:val="none"/>
          <w:lang w:eastAsia="zh-CN"/>
        </w:rPr>
      </w:pPr>
      <w:r>
        <w:rPr>
          <w:rFonts w:hint="eastAsia" w:ascii="Arial" w:hAnsi="Arial" w:eastAsia="仿宋_GB2312" w:cs="Arial"/>
          <w:bCs/>
          <w:sz w:val="28"/>
          <w:highlight w:val="none"/>
        </w:rPr>
        <w:t>（1）</w:t>
      </w:r>
      <w:r>
        <w:rPr>
          <w:rFonts w:ascii="Arial" w:hAnsi="Arial" w:eastAsia="仿宋_GB2312" w:cs="Arial"/>
          <w:b/>
          <w:sz w:val="28"/>
          <w:highlight w:val="none"/>
        </w:rPr>
        <w:t>求取估价对象住宅</w:t>
      </w:r>
      <w:r>
        <w:rPr>
          <w:rFonts w:ascii="Arial" w:hAnsi="Arial" w:eastAsia="仿宋_GB2312" w:cs="Arial"/>
          <w:b/>
          <w:sz w:val="28"/>
          <w:szCs w:val="28"/>
          <w:highlight w:val="none"/>
        </w:rPr>
        <w:t>用途</w:t>
      </w:r>
      <w:r>
        <w:rPr>
          <w:rFonts w:hint="eastAsia" w:ascii="Arial" w:hAnsi="Arial" w:eastAsia="仿宋_GB2312" w:cs="Arial"/>
          <w:b/>
          <w:sz w:val="28"/>
          <w:szCs w:val="28"/>
          <w:highlight w:val="none"/>
          <w:lang w:eastAsia="zh-CN"/>
        </w:rPr>
        <w:t>楼面地价</w:t>
      </w:r>
    </w:p>
    <w:p w14:paraId="2C81EAE0">
      <w:pPr>
        <w:spacing w:line="300" w:lineRule="auto"/>
        <w:ind w:firstLine="562" w:firstLineChars="200"/>
        <w:rPr>
          <w:rFonts w:ascii="Arial" w:hAnsi="Arial" w:eastAsia="仿宋_GB2312" w:cs="Arial"/>
          <w:b/>
          <w:bCs w:val="0"/>
          <w:sz w:val="28"/>
          <w:highlight w:val="none"/>
        </w:rPr>
      </w:pPr>
      <w:r>
        <w:rPr>
          <w:rFonts w:hint="eastAsia" w:ascii="Arial" w:hAnsi="Arial" w:eastAsia="仿宋_GB2312" w:cs="Arial"/>
          <w:b/>
          <w:bCs w:val="0"/>
          <w:sz w:val="28"/>
          <w:highlight w:val="none"/>
        </w:rPr>
        <w:t>A.</w:t>
      </w:r>
      <w:r>
        <w:rPr>
          <w:rFonts w:ascii="Arial" w:hAnsi="Arial" w:eastAsia="仿宋_GB2312" w:cs="Arial"/>
          <w:b/>
          <w:bCs w:val="0"/>
          <w:sz w:val="28"/>
          <w:highlight w:val="none"/>
        </w:rPr>
        <w:t>土地最有效利用方式</w:t>
      </w:r>
    </w:p>
    <w:p w14:paraId="0F1C4CB3">
      <w:pPr>
        <w:snapToGrid w:val="0"/>
        <w:spacing w:line="300" w:lineRule="auto"/>
        <w:ind w:firstLine="560" w:firstLineChars="200"/>
        <w:jc w:val="both"/>
        <w:rPr>
          <w:rFonts w:ascii="Arial" w:hAnsi="Arial" w:eastAsia="仿宋_GB2312" w:cs="Arial"/>
          <w:sz w:val="28"/>
          <w:szCs w:val="28"/>
          <w:highlight w:val="none"/>
        </w:rPr>
      </w:pPr>
      <w:r>
        <w:rPr>
          <w:rFonts w:ascii="Arial" w:hAnsi="Arial" w:eastAsia="仿宋_GB2312" w:cs="Arial"/>
          <w:sz w:val="28"/>
          <w:szCs w:val="28"/>
          <w:highlight w:val="none"/>
        </w:rPr>
        <w:t>根据</w:t>
      </w:r>
      <w:r>
        <w:rPr>
          <w:rFonts w:hint="eastAsia" w:ascii="Arial" w:hAnsi="Arial" w:eastAsia="仿宋" w:cs="Arial"/>
          <w:sz w:val="28"/>
          <w:szCs w:val="28"/>
          <w:highlight w:val="none"/>
          <w:lang w:eastAsia="zh-CN"/>
        </w:rPr>
        <w:t>北京市规划和自然资源委员会顺义分局</w:t>
      </w:r>
      <w:r>
        <w:rPr>
          <w:rFonts w:ascii="Arial" w:hAnsi="Arial" w:eastAsia="仿宋_GB2312" w:cs="Arial"/>
          <w:sz w:val="28"/>
          <w:szCs w:val="28"/>
          <w:highlight w:val="none"/>
        </w:rPr>
        <w:t>出具的</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_GB2312" w:cs="Arial"/>
          <w:sz w:val="28"/>
          <w:highlight w:val="none"/>
        </w:rPr>
        <w:t>复印件及本次评估目的</w:t>
      </w:r>
      <w:r>
        <w:rPr>
          <w:rFonts w:ascii="Arial" w:hAnsi="Arial" w:eastAsia="仿宋_GB2312" w:cs="Arial"/>
          <w:sz w:val="28"/>
          <w:szCs w:val="28"/>
          <w:highlight w:val="none"/>
        </w:rPr>
        <w:t>，本次评估设定如下：</w:t>
      </w:r>
    </w:p>
    <w:p w14:paraId="4BB720C8">
      <w:pPr>
        <w:spacing w:line="300" w:lineRule="auto"/>
        <w:ind w:firstLine="560" w:firstLineChars="200"/>
        <w:rPr>
          <w:rFonts w:ascii="Arial" w:hAnsi="Arial" w:eastAsia="仿宋_GB2312" w:cs="Arial"/>
          <w:snapToGrid w:val="0"/>
          <w:sz w:val="28"/>
          <w:highlight w:val="none"/>
        </w:rPr>
      </w:pPr>
      <w:r>
        <w:rPr>
          <w:rFonts w:hint="eastAsia" w:ascii="Arial" w:hAnsi="Arial" w:eastAsia="仿宋_GB2312" w:cs="Arial"/>
          <w:snapToGrid w:val="0"/>
          <w:sz w:val="28"/>
          <w:highlight w:val="none"/>
        </w:rPr>
        <w:t>a.</w:t>
      </w:r>
      <w:r>
        <w:rPr>
          <w:rFonts w:ascii="Arial" w:hAnsi="Arial" w:eastAsia="仿宋_GB2312" w:cs="Arial"/>
          <w:snapToGrid w:val="0"/>
          <w:sz w:val="28"/>
          <w:highlight w:val="none"/>
        </w:rPr>
        <w:t>设定估价对象能够顺利完成预期的开发建设目标；</w:t>
      </w:r>
    </w:p>
    <w:p w14:paraId="4B716382">
      <w:pPr>
        <w:spacing w:line="300" w:lineRule="auto"/>
        <w:ind w:firstLine="560" w:firstLineChars="200"/>
        <w:rPr>
          <w:rFonts w:ascii="Arial" w:hAnsi="Arial" w:eastAsia="仿宋_GB2312" w:cs="Arial"/>
          <w:snapToGrid w:val="0"/>
          <w:sz w:val="28"/>
          <w:highlight w:val="none"/>
        </w:rPr>
      </w:pPr>
      <w:r>
        <w:rPr>
          <w:rFonts w:hint="eastAsia" w:ascii="Arial" w:hAnsi="Arial" w:eastAsia="仿宋_GB2312" w:cs="Arial"/>
          <w:snapToGrid w:val="0"/>
          <w:sz w:val="28"/>
          <w:highlight w:val="none"/>
        </w:rPr>
        <w:t>b.</w:t>
      </w:r>
      <w:r>
        <w:rPr>
          <w:rFonts w:ascii="Arial" w:hAnsi="Arial" w:eastAsia="仿宋_GB2312" w:cs="Arial"/>
          <w:snapToGrid w:val="0"/>
          <w:sz w:val="28"/>
          <w:highlight w:val="none"/>
        </w:rPr>
        <w:t>本项目建筑物建设周期为</w:t>
      </w:r>
      <w:r>
        <w:rPr>
          <w:rFonts w:hint="eastAsia" w:ascii="Arial" w:hAnsi="Arial" w:eastAsia="仿宋_GB2312" w:cs="Arial"/>
          <w:snapToGrid w:val="0"/>
          <w:sz w:val="28"/>
          <w:highlight w:val="none"/>
          <w:lang w:val="en-US" w:eastAsia="zh-CN"/>
        </w:rPr>
        <w:t>3</w:t>
      </w:r>
      <w:r>
        <w:rPr>
          <w:rFonts w:ascii="Arial" w:hAnsi="Arial" w:eastAsia="仿宋_GB2312" w:cs="Arial"/>
          <w:snapToGrid w:val="0"/>
          <w:sz w:val="28"/>
          <w:highlight w:val="none"/>
        </w:rPr>
        <w:t>年；</w:t>
      </w:r>
    </w:p>
    <w:p w14:paraId="7D7C62FF">
      <w:pPr>
        <w:spacing w:line="300" w:lineRule="auto"/>
        <w:ind w:firstLine="560" w:firstLineChars="200"/>
        <w:rPr>
          <w:rFonts w:hint="eastAsia" w:ascii="Arial" w:hAnsi="Arial" w:eastAsia="仿宋_GB2312" w:cs="Arial"/>
          <w:snapToGrid w:val="0"/>
          <w:sz w:val="28"/>
          <w:highlight w:val="none"/>
          <w:lang w:eastAsia="zh-CN"/>
        </w:rPr>
      </w:pPr>
      <w:r>
        <w:rPr>
          <w:rFonts w:hint="eastAsia" w:ascii="Arial" w:hAnsi="Arial" w:eastAsia="仿宋_GB2312" w:cs="Arial"/>
          <w:snapToGrid w:val="0"/>
          <w:sz w:val="28"/>
          <w:highlight w:val="none"/>
        </w:rPr>
        <w:t>c.估价人员通过调查土地开发项目自签订土地出让合同至项目竣工的时间，经统计分析一般开发项目建设周期约1</w:t>
      </w:r>
      <w:r>
        <w:rPr>
          <w:rFonts w:hint="eastAsia" w:ascii="Arial" w:hAnsi="Arial" w:eastAsia="仿宋_GB2312" w:cs="Arial"/>
          <w:snapToGrid w:val="0"/>
          <w:sz w:val="28"/>
          <w:highlight w:val="none"/>
          <w:lang w:eastAsia="zh-CN"/>
        </w:rPr>
        <w:t>－</w:t>
      </w:r>
      <w:r>
        <w:rPr>
          <w:rFonts w:hint="eastAsia" w:ascii="Arial" w:hAnsi="Arial" w:eastAsia="仿宋_GB2312" w:cs="Arial"/>
          <w:snapToGrid w:val="0"/>
          <w:sz w:val="28"/>
          <w:highlight w:val="none"/>
        </w:rPr>
        <w:t>3年。本次评估综合考虑项目拟建设规模、主体结构高度以及装修状况，参考同类物业的开发周期，设定估价对象建设周期为</w:t>
      </w:r>
      <w:r>
        <w:rPr>
          <w:rFonts w:hint="eastAsia" w:ascii="Arial" w:hAnsi="Arial" w:eastAsia="仿宋_GB2312" w:cs="Arial"/>
          <w:snapToGrid w:val="0"/>
          <w:sz w:val="28"/>
          <w:highlight w:val="none"/>
          <w:lang w:val="en-US" w:eastAsia="zh-CN"/>
        </w:rPr>
        <w:t>3</w:t>
      </w:r>
      <w:r>
        <w:rPr>
          <w:rFonts w:hint="eastAsia" w:ascii="Arial" w:hAnsi="Arial" w:eastAsia="仿宋_GB2312" w:cs="Arial"/>
          <w:snapToGrid w:val="0"/>
          <w:sz w:val="28"/>
          <w:highlight w:val="none"/>
        </w:rPr>
        <w:t>年，地价款和购地税费全周期计息</w:t>
      </w:r>
      <w:r>
        <w:rPr>
          <w:rFonts w:hint="eastAsia" w:ascii="Arial" w:hAnsi="Arial" w:eastAsia="仿宋_GB2312" w:cs="Arial"/>
          <w:snapToGrid w:val="0"/>
          <w:sz w:val="28"/>
          <w:highlight w:val="none"/>
          <w:lang w:eastAsia="zh-CN"/>
        </w:rPr>
        <w:t>；</w:t>
      </w:r>
      <w:r>
        <w:rPr>
          <w:rFonts w:hint="eastAsia" w:ascii="Arial" w:hAnsi="Arial" w:eastAsia="仿宋_GB2312" w:cs="Arial"/>
          <w:snapToGrid w:val="0"/>
          <w:sz w:val="28"/>
          <w:highlight w:val="none"/>
        </w:rPr>
        <w:t>土地开发费用及房屋建设成本、管理费用、销售费用等根据开发周期均匀投入计息</w:t>
      </w:r>
      <w:r>
        <w:rPr>
          <w:rFonts w:hint="eastAsia" w:ascii="Arial" w:hAnsi="Arial" w:eastAsia="仿宋_GB2312" w:cs="Arial"/>
          <w:snapToGrid w:val="0"/>
          <w:sz w:val="28"/>
          <w:highlight w:val="none"/>
          <w:lang w:eastAsia="zh-CN"/>
        </w:rPr>
        <w:t>；</w:t>
      </w:r>
    </w:p>
    <w:p w14:paraId="142D7B76">
      <w:pPr>
        <w:spacing w:line="300" w:lineRule="auto"/>
        <w:ind w:right="14" w:firstLine="560" w:firstLineChars="200"/>
        <w:rPr>
          <w:rFonts w:ascii="Arial" w:hAnsi="Arial" w:eastAsia="仿宋_GB2312" w:cs="Arial"/>
          <w:snapToGrid w:val="0"/>
          <w:sz w:val="28"/>
          <w:highlight w:val="none"/>
        </w:rPr>
      </w:pPr>
      <w:r>
        <w:rPr>
          <w:rFonts w:hint="eastAsia" w:ascii="Arial" w:hAnsi="Arial" w:eastAsia="仿宋_GB2312" w:cs="Arial"/>
          <w:snapToGrid w:val="0"/>
          <w:sz w:val="28"/>
          <w:highlight w:val="none"/>
        </w:rPr>
        <w:t>d.</w:t>
      </w:r>
      <w:r>
        <w:rPr>
          <w:rFonts w:ascii="Arial" w:hAnsi="Arial" w:eastAsia="仿宋_GB2312" w:cs="Arial"/>
          <w:snapToGrid w:val="0"/>
          <w:sz w:val="28"/>
          <w:highlight w:val="none"/>
        </w:rPr>
        <w:t>在开发建设期间，房地产市场不会发生大的变化；</w:t>
      </w:r>
    </w:p>
    <w:p w14:paraId="2FE60787">
      <w:pPr>
        <w:spacing w:line="300" w:lineRule="auto"/>
        <w:ind w:firstLine="560" w:firstLineChars="200"/>
        <w:rPr>
          <w:rFonts w:ascii="Arial" w:hAnsi="Arial" w:eastAsia="仿宋_GB2312" w:cs="Arial"/>
          <w:snapToGrid w:val="0"/>
          <w:sz w:val="28"/>
          <w:highlight w:val="none"/>
        </w:rPr>
      </w:pPr>
      <w:r>
        <w:rPr>
          <w:rFonts w:hint="eastAsia" w:ascii="Arial" w:hAnsi="Arial" w:eastAsia="仿宋_GB2312" w:cs="Arial"/>
          <w:snapToGrid w:val="0"/>
          <w:sz w:val="28"/>
          <w:highlight w:val="none"/>
        </w:rPr>
        <w:t>e.</w:t>
      </w:r>
      <w:r>
        <w:rPr>
          <w:rFonts w:ascii="Arial" w:hAnsi="Arial" w:eastAsia="仿宋_GB2312" w:cs="Arial"/>
          <w:snapToGrid w:val="0"/>
          <w:sz w:val="28"/>
          <w:highlight w:val="none"/>
        </w:rPr>
        <w:t>本项目最佳用途为住宅；</w:t>
      </w:r>
    </w:p>
    <w:p w14:paraId="709F394F">
      <w:pPr>
        <w:spacing w:line="300" w:lineRule="auto"/>
        <w:ind w:firstLine="560" w:firstLineChars="200"/>
        <w:rPr>
          <w:rFonts w:hint="eastAsia" w:ascii="Arial" w:hAnsi="Arial" w:eastAsia="仿宋_GB2312" w:cs="Arial"/>
          <w:snapToGrid w:val="0"/>
          <w:sz w:val="28"/>
          <w:highlight w:val="none"/>
          <w:lang w:eastAsia="zh-CN"/>
        </w:rPr>
      </w:pPr>
      <w:r>
        <w:rPr>
          <w:rFonts w:hint="eastAsia" w:ascii="Arial" w:hAnsi="Arial" w:eastAsia="仿宋_GB2312" w:cs="Arial"/>
          <w:snapToGrid w:val="0"/>
          <w:sz w:val="28"/>
          <w:highlight w:val="none"/>
        </w:rPr>
        <w:t>f. 根据土地估价专业评估师现场勘查，估价对象周边</w:t>
      </w:r>
      <w:r>
        <w:rPr>
          <w:rFonts w:hint="eastAsia" w:ascii="Arial" w:hAnsi="Arial" w:eastAsia="仿宋_GB2312" w:cs="Arial"/>
          <w:snapToGrid w:val="0"/>
          <w:sz w:val="28"/>
          <w:highlight w:val="none"/>
          <w:lang w:val="en-US" w:eastAsia="zh-CN"/>
        </w:rPr>
        <w:t>4</w:t>
      </w:r>
      <w:r>
        <w:rPr>
          <w:rFonts w:hint="eastAsia" w:ascii="Arial" w:hAnsi="Arial" w:eastAsia="仿宋_GB2312" w:cs="Arial"/>
          <w:snapToGrid w:val="0"/>
          <w:sz w:val="28"/>
          <w:highlight w:val="none"/>
        </w:rPr>
        <w:t>公里范围内有富力首开·金禧璞瑅等类似物业，交房装修标准以精装修为主。因此，本次估价设定设定估价对象为钢混结构装配式建筑结构，出售时房屋外装修:高级涂料、局部贴石材或高级墙砖</w:t>
      </w:r>
      <w:r>
        <w:rPr>
          <w:rFonts w:hint="eastAsia" w:ascii="Arial" w:hAnsi="Arial" w:eastAsia="仿宋_GB2312" w:cs="Arial"/>
          <w:snapToGrid w:val="0"/>
          <w:sz w:val="28"/>
          <w:highlight w:val="none"/>
          <w:lang w:eastAsia="zh-CN"/>
        </w:rPr>
        <w:t>；</w:t>
      </w:r>
      <w:r>
        <w:rPr>
          <w:rFonts w:hint="eastAsia" w:ascii="Arial" w:hAnsi="Arial" w:eastAsia="仿宋_GB2312" w:cs="Arial"/>
          <w:snapToGrid w:val="0"/>
          <w:sz w:val="28"/>
          <w:highlight w:val="none"/>
        </w:rPr>
        <w:t>内装修</w:t>
      </w:r>
      <w:r>
        <w:rPr>
          <w:rFonts w:hint="eastAsia" w:ascii="Arial" w:hAnsi="Arial" w:eastAsia="仿宋_GB2312" w:cs="Arial"/>
          <w:snapToGrid w:val="0"/>
          <w:sz w:val="28"/>
          <w:highlight w:val="none"/>
          <w:lang w:eastAsia="zh-CN"/>
        </w:rPr>
        <w:t>：</w:t>
      </w:r>
      <w:r>
        <w:rPr>
          <w:rFonts w:hint="eastAsia" w:ascii="Arial" w:hAnsi="Arial" w:eastAsia="仿宋_GB2312" w:cs="Arial"/>
          <w:snapToGrid w:val="0"/>
          <w:sz w:val="28"/>
          <w:highlight w:val="none"/>
        </w:rPr>
        <w:t>根据《绿色建筑评价标准》</w:t>
      </w:r>
      <w:r>
        <w:rPr>
          <w:rFonts w:hint="eastAsia" w:ascii="Arial" w:hAnsi="Arial" w:eastAsia="仿宋_GB2312" w:cs="Arial"/>
          <w:snapToGrid w:val="0"/>
          <w:sz w:val="28"/>
          <w:highlight w:val="none"/>
          <w:lang w:eastAsia="zh-CN"/>
        </w:rPr>
        <w:t>（</w:t>
      </w:r>
      <w:r>
        <w:rPr>
          <w:rFonts w:hint="eastAsia" w:ascii="Arial" w:hAnsi="Arial" w:eastAsia="仿宋_GB2312" w:cs="Arial"/>
          <w:snapToGrid w:val="0"/>
          <w:sz w:val="28"/>
          <w:highlight w:val="none"/>
        </w:rPr>
        <w:t>GB/T50378</w:t>
      </w:r>
      <w:r>
        <w:rPr>
          <w:rFonts w:hint="eastAsia" w:ascii="Arial" w:hAnsi="Arial" w:eastAsia="仿宋_GB2312" w:cs="Arial"/>
          <w:snapToGrid w:val="0"/>
          <w:sz w:val="28"/>
          <w:highlight w:val="none"/>
          <w:lang w:eastAsia="zh-CN"/>
        </w:rPr>
        <w:t>－</w:t>
      </w:r>
      <w:r>
        <w:rPr>
          <w:rFonts w:hint="eastAsia" w:ascii="Arial" w:hAnsi="Arial" w:eastAsia="仿宋_GB2312" w:cs="Arial"/>
          <w:snapToGrid w:val="0"/>
          <w:sz w:val="28"/>
          <w:highlight w:val="none"/>
        </w:rPr>
        <w:t>2019</w:t>
      </w:r>
      <w:r>
        <w:rPr>
          <w:rFonts w:hint="eastAsia" w:ascii="Arial" w:hAnsi="Arial" w:eastAsia="仿宋_GB2312" w:cs="Arial"/>
          <w:snapToGrid w:val="0"/>
          <w:sz w:val="28"/>
          <w:highlight w:val="none"/>
          <w:lang w:eastAsia="zh-CN"/>
        </w:rPr>
        <w:t>）</w:t>
      </w:r>
      <w:r>
        <w:rPr>
          <w:rFonts w:hint="eastAsia" w:ascii="Arial" w:hAnsi="Arial" w:eastAsia="仿宋_GB2312" w:cs="Arial"/>
          <w:snapToGrid w:val="0"/>
          <w:sz w:val="28"/>
          <w:highlight w:val="none"/>
        </w:rPr>
        <w:t>，</w:t>
      </w:r>
      <w:r>
        <w:rPr>
          <w:rFonts w:hint="eastAsia" w:ascii="Arial" w:hAnsi="Arial" w:eastAsia="仿宋_GB2312" w:cs="Arial"/>
          <w:snapToGrid w:val="0"/>
          <w:sz w:val="28"/>
          <w:highlight w:val="none"/>
          <w:lang w:eastAsia="zh-CN"/>
        </w:rPr>
        <w:t>公共建筑全装修为公共区域的固定面全部铺贴、粉刷完成，水、暖、电、通风等基本设备全部安装到位，故设定公共部分精装修，室内为精装修，包括绿色、节能、环保、适老、交通、人防等；</w:t>
      </w:r>
    </w:p>
    <w:p w14:paraId="06E5F34B">
      <w:pPr>
        <w:spacing w:line="300" w:lineRule="auto"/>
        <w:ind w:firstLine="560" w:firstLineChars="200"/>
        <w:rPr>
          <w:rFonts w:ascii="Arial" w:hAnsi="Arial" w:eastAsia="仿宋_GB2312" w:cs="Arial"/>
          <w:snapToGrid w:val="0"/>
          <w:sz w:val="28"/>
          <w:highlight w:val="none"/>
        </w:rPr>
      </w:pPr>
      <w:r>
        <w:rPr>
          <w:rFonts w:hint="eastAsia" w:ascii="Arial" w:hAnsi="Arial" w:eastAsia="仿宋_GB2312" w:cs="Arial"/>
          <w:snapToGrid w:val="0"/>
          <w:sz w:val="28"/>
          <w:highlight w:val="none"/>
        </w:rPr>
        <w:t>g.</w:t>
      </w:r>
      <w:r>
        <w:rPr>
          <w:rFonts w:ascii="Arial" w:hAnsi="Arial" w:eastAsia="仿宋_GB2312" w:cs="Arial"/>
          <w:snapToGrid w:val="0"/>
          <w:sz w:val="28"/>
          <w:highlight w:val="none"/>
        </w:rPr>
        <w:t>该项目在建成后即销售完毕</w:t>
      </w:r>
      <w:r>
        <w:rPr>
          <w:rFonts w:hint="eastAsia" w:ascii="Arial" w:hAnsi="Arial" w:eastAsia="仿宋_GB2312" w:cs="Arial"/>
          <w:snapToGrid w:val="0"/>
          <w:sz w:val="28"/>
          <w:highlight w:val="none"/>
        </w:rPr>
        <w:t>，设定</w:t>
      </w:r>
      <w:r>
        <w:rPr>
          <w:rFonts w:ascii="Arial" w:hAnsi="Arial" w:eastAsia="仿宋_GB2312" w:cs="Arial"/>
          <w:snapToGrid w:val="0"/>
          <w:sz w:val="28"/>
          <w:highlight w:val="none"/>
        </w:rPr>
        <w:t>开发完成后的房地产价值</w:t>
      </w:r>
      <w:r>
        <w:rPr>
          <w:rFonts w:hint="eastAsia" w:ascii="Arial" w:hAnsi="Arial" w:eastAsia="仿宋_GB2312" w:cs="Arial"/>
          <w:snapToGrid w:val="0"/>
          <w:sz w:val="28"/>
          <w:highlight w:val="none"/>
        </w:rPr>
        <w:t>含销售税费；</w:t>
      </w:r>
    </w:p>
    <w:p w14:paraId="3EB347C2">
      <w:pPr>
        <w:spacing w:line="300" w:lineRule="auto"/>
        <w:ind w:right="14" w:firstLine="565" w:firstLineChars="202"/>
        <w:rPr>
          <w:rFonts w:ascii="Arial" w:hAnsi="Arial" w:eastAsia="仿宋_GB2312" w:cs="Arial"/>
          <w:snapToGrid w:val="0"/>
          <w:sz w:val="28"/>
          <w:highlight w:val="none"/>
        </w:rPr>
      </w:pPr>
      <w:r>
        <w:rPr>
          <w:rFonts w:hint="eastAsia" w:ascii="Arial" w:hAnsi="Arial" w:eastAsia="仿宋_GB2312" w:cs="Arial"/>
          <w:snapToGrid w:val="0"/>
          <w:sz w:val="28"/>
          <w:highlight w:val="none"/>
        </w:rPr>
        <w:t>h.</w:t>
      </w:r>
      <w:r>
        <w:rPr>
          <w:rFonts w:ascii="Arial" w:hAnsi="Arial" w:eastAsia="仿宋_GB2312" w:cs="Arial"/>
          <w:snapToGrid w:val="0"/>
          <w:sz w:val="28"/>
          <w:highlight w:val="none"/>
        </w:rPr>
        <w:t>在开发过程中或有调整规划用途情况建议参照本估价结果价值水平。</w:t>
      </w:r>
    </w:p>
    <w:p w14:paraId="7ED4AA33">
      <w:pPr>
        <w:spacing w:after="26" w:line="300" w:lineRule="auto"/>
        <w:ind w:firstLine="560" w:firstLineChars="200"/>
        <w:rPr>
          <w:rFonts w:ascii="Arial" w:hAnsi="Arial" w:eastAsia="仿宋_GB2312" w:cs="Arial"/>
          <w:snapToGrid w:val="0"/>
          <w:sz w:val="28"/>
          <w:highlight w:val="none"/>
        </w:rPr>
      </w:pPr>
      <w:r>
        <w:rPr>
          <w:rFonts w:ascii="Arial" w:hAnsi="Arial" w:eastAsia="仿宋_GB2312" w:cs="Arial"/>
          <w:snapToGrid w:val="0"/>
          <w:sz w:val="28"/>
          <w:highlight w:val="none"/>
        </w:rPr>
        <w:t>剩余法是在预计开发完成后不动产正常交易价格的基础上，扣除预计的正常开发成本及有关专业费用、利息、利润和税收等，以价格余额来估算估价对象价格的一种方法。</w:t>
      </w:r>
    </w:p>
    <w:p w14:paraId="3F9266BB">
      <w:pPr>
        <w:spacing w:after="51" w:line="300" w:lineRule="auto"/>
        <w:ind w:firstLine="560" w:firstLineChars="200"/>
        <w:rPr>
          <w:rFonts w:ascii="Arial" w:hAnsi="Arial" w:eastAsia="仿宋_GB2312" w:cs="Arial"/>
          <w:snapToGrid w:val="0"/>
          <w:sz w:val="28"/>
          <w:highlight w:val="none"/>
        </w:rPr>
      </w:pPr>
      <w:r>
        <w:rPr>
          <w:rFonts w:ascii="Arial" w:hAnsi="Arial" w:eastAsia="仿宋_GB2312" w:cs="Arial"/>
          <w:snapToGrid w:val="0"/>
          <w:sz w:val="28"/>
          <w:highlight w:val="none"/>
        </w:rPr>
        <w:t>剩余法基本公式如下：</w:t>
      </w:r>
    </w:p>
    <w:p w14:paraId="6E7BE5AE">
      <w:pPr>
        <w:spacing w:before="50" w:after="50" w:line="300" w:lineRule="auto"/>
        <w:ind w:firstLine="560" w:firstLineChars="200"/>
        <w:rPr>
          <w:rFonts w:ascii="Arial" w:hAnsi="Arial" w:eastAsia="仿宋_GB2312" w:cs="Arial"/>
          <w:b/>
          <w:sz w:val="28"/>
          <w:highlight w:val="none"/>
        </w:rPr>
      </w:pPr>
      <w:r>
        <w:rPr>
          <w:rFonts w:ascii="Arial" w:hAnsi="Arial" w:eastAsia="仿宋_GB2312" w:cs="Arial"/>
          <w:snapToGrid w:val="0"/>
          <w:sz w:val="28"/>
          <w:highlight w:val="none"/>
        </w:rPr>
        <w:t>熟地价值：</w:t>
      </w:r>
      <w:r>
        <w:rPr>
          <w:rFonts w:ascii="Arial" w:hAnsi="Arial" w:eastAsia="仿宋_GB2312" w:cs="Arial"/>
          <w:sz w:val="28"/>
          <w:highlight w:val="none"/>
        </w:rPr>
        <w:t>待估宗地价格</w:t>
      </w:r>
      <w:r>
        <w:rPr>
          <w:rFonts w:hint="eastAsia" w:ascii="Arial" w:hAnsi="Arial" w:eastAsia="仿宋_GB2312" w:cs="Arial"/>
          <w:sz w:val="28"/>
          <w:highlight w:val="none"/>
          <w:lang w:eastAsia="zh-CN"/>
        </w:rPr>
        <w:t>＝</w:t>
      </w:r>
      <w:r>
        <w:rPr>
          <w:rFonts w:ascii="Arial" w:hAnsi="Arial" w:eastAsia="仿宋_GB2312" w:cs="Arial"/>
          <w:sz w:val="28"/>
          <w:highlight w:val="none"/>
        </w:rPr>
        <w:t>不动产总价</w:t>
      </w:r>
      <w:r>
        <w:rPr>
          <w:rFonts w:hint="eastAsia" w:ascii="Arial" w:hAnsi="Arial" w:eastAsia="仿宋_GB2312" w:cs="Arial"/>
          <w:sz w:val="28"/>
          <w:highlight w:val="none"/>
          <w:lang w:eastAsia="zh-CN"/>
        </w:rPr>
        <w:t>－</w:t>
      </w:r>
      <w:r>
        <w:rPr>
          <w:rFonts w:ascii="Arial" w:hAnsi="Arial" w:eastAsia="仿宋_GB2312" w:cs="Arial"/>
          <w:sz w:val="28"/>
          <w:highlight w:val="none"/>
        </w:rPr>
        <w:t>开发项目整体的开发成本</w:t>
      </w:r>
      <w:r>
        <w:rPr>
          <w:rFonts w:hint="eastAsia" w:ascii="Arial" w:hAnsi="Arial" w:eastAsia="仿宋_GB2312" w:cs="Arial"/>
          <w:sz w:val="28"/>
          <w:highlight w:val="none"/>
          <w:lang w:eastAsia="zh-CN"/>
        </w:rPr>
        <w:t>－</w:t>
      </w:r>
      <w:r>
        <w:rPr>
          <w:rFonts w:ascii="Arial" w:hAnsi="Arial" w:eastAsia="仿宋_GB2312" w:cs="Arial"/>
          <w:sz w:val="28"/>
          <w:highlight w:val="none"/>
        </w:rPr>
        <w:t>客观开发利润</w:t>
      </w:r>
    </w:p>
    <w:p w14:paraId="22272492">
      <w:pPr>
        <w:widowControl/>
        <w:adjustRightInd/>
        <w:spacing w:after="5" w:line="300" w:lineRule="auto"/>
        <w:ind w:right="14" w:firstLine="562" w:firstLineChars="200"/>
        <w:jc w:val="both"/>
        <w:textAlignment w:val="auto"/>
        <w:rPr>
          <w:rFonts w:ascii="Arial" w:hAnsi="Arial" w:eastAsia="仿宋_GB2312" w:cs="Arial"/>
          <w:b/>
          <w:bCs w:val="0"/>
          <w:snapToGrid w:val="0"/>
          <w:sz w:val="28"/>
          <w:highlight w:val="none"/>
        </w:rPr>
      </w:pPr>
      <w:r>
        <w:rPr>
          <w:rFonts w:hint="eastAsia" w:ascii="Arial" w:hAnsi="Arial" w:eastAsia="仿宋_GB2312" w:cs="Arial"/>
          <w:b/>
          <w:bCs w:val="0"/>
          <w:sz w:val="28"/>
          <w:highlight w:val="none"/>
        </w:rPr>
        <w:t>B.</w:t>
      </w:r>
      <w:r>
        <w:rPr>
          <w:rFonts w:hint="eastAsia" w:ascii="Arial" w:hAnsi="Arial" w:eastAsia="仿宋_GB2312" w:cs="Arial"/>
          <w:b/>
          <w:bCs w:val="0"/>
          <w:sz w:val="28"/>
          <w:highlight w:val="none"/>
          <w:lang w:val="en-US" w:eastAsia="zh-CN"/>
        </w:rPr>
        <w:t>项目</w:t>
      </w:r>
      <w:r>
        <w:rPr>
          <w:rFonts w:ascii="Arial" w:hAnsi="Arial" w:eastAsia="仿宋_GB2312" w:cs="Arial"/>
          <w:b/>
          <w:bCs w:val="0"/>
          <w:snapToGrid w:val="0"/>
          <w:sz w:val="28"/>
          <w:highlight w:val="none"/>
        </w:rPr>
        <w:t>开发完成后</w:t>
      </w:r>
      <w:r>
        <w:rPr>
          <w:rFonts w:hint="eastAsia" w:ascii="Arial" w:hAnsi="Arial" w:eastAsia="仿宋_GB2312" w:cs="Arial"/>
          <w:b/>
          <w:bCs w:val="0"/>
          <w:snapToGrid w:val="0"/>
          <w:sz w:val="28"/>
          <w:highlight w:val="none"/>
          <w:lang w:val="en-US" w:eastAsia="zh-CN"/>
        </w:rPr>
        <w:t>不动产总价</w:t>
      </w:r>
      <w:r>
        <w:rPr>
          <w:rFonts w:ascii="Arial" w:hAnsi="Arial" w:eastAsia="仿宋_GB2312" w:cs="Arial"/>
          <w:b/>
          <w:bCs w:val="0"/>
          <w:snapToGrid w:val="0"/>
          <w:sz w:val="28"/>
          <w:highlight w:val="none"/>
        </w:rPr>
        <w:t>的确定</w:t>
      </w:r>
    </w:p>
    <w:p w14:paraId="52B2BF4B">
      <w:pPr>
        <w:spacing w:after="26" w:line="300" w:lineRule="auto"/>
        <w:ind w:firstLine="560" w:firstLineChars="200"/>
        <w:jc w:val="both"/>
        <w:rPr>
          <w:rFonts w:ascii="Arial" w:hAnsi="Arial" w:eastAsia="仿宋_GB2312" w:cs="Arial"/>
          <w:snapToGrid w:val="0"/>
          <w:sz w:val="28"/>
          <w:highlight w:val="none"/>
        </w:rPr>
      </w:pPr>
      <w:r>
        <w:rPr>
          <w:rFonts w:ascii="Arial" w:hAnsi="Arial" w:eastAsia="仿宋_GB2312" w:cs="Arial"/>
          <w:snapToGrid w:val="0"/>
          <w:sz w:val="28"/>
          <w:highlight w:val="none"/>
        </w:rPr>
        <w:t>假设建造</w:t>
      </w:r>
      <w:r>
        <w:rPr>
          <w:rFonts w:hint="eastAsia" w:ascii="Arial" w:hAnsi="Arial" w:eastAsia="仿宋_GB2312" w:cs="Arial"/>
          <w:snapToGrid w:val="0"/>
          <w:sz w:val="28"/>
          <w:highlight w:val="none"/>
        </w:rPr>
        <w:t>住宅</w:t>
      </w:r>
      <w:r>
        <w:rPr>
          <w:rFonts w:ascii="Arial" w:hAnsi="Arial" w:eastAsia="仿宋_GB2312" w:cs="Arial"/>
          <w:snapToGrid w:val="0"/>
          <w:sz w:val="28"/>
          <w:highlight w:val="none"/>
        </w:rPr>
        <w:t>用房，预计施工进度、施工计划及预计装修标准、设备设施情况等事项以周边类似房地产项目为参考。</w:t>
      </w:r>
    </w:p>
    <w:p w14:paraId="2E617A50">
      <w:pPr>
        <w:spacing w:after="26" w:line="300" w:lineRule="auto"/>
        <w:ind w:firstLine="560" w:firstLineChars="200"/>
        <w:jc w:val="both"/>
        <w:rPr>
          <w:rFonts w:ascii="Arial" w:hAnsi="Arial" w:eastAsia="仿宋_GB2312" w:cs="Arial"/>
          <w:snapToGrid w:val="0"/>
          <w:sz w:val="28"/>
          <w:highlight w:val="none"/>
        </w:rPr>
      </w:pPr>
      <w:r>
        <w:rPr>
          <w:rFonts w:ascii="Arial" w:hAnsi="Arial" w:eastAsia="仿宋_GB2312" w:cs="Arial"/>
          <w:snapToGrid w:val="0"/>
          <w:sz w:val="28"/>
          <w:highlight w:val="none"/>
        </w:rPr>
        <w:t>综合分析估价对象的规划利用和管理限制条件，结合估价对象周边的业态、基础设施及公共配套设施状况，确定</w:t>
      </w:r>
      <w:r>
        <w:rPr>
          <w:rFonts w:hint="eastAsia" w:ascii="Arial" w:hAnsi="Arial" w:eastAsia="仿宋_GB2312" w:cs="Arial"/>
          <w:snapToGrid w:val="0"/>
          <w:sz w:val="28"/>
          <w:highlight w:val="none"/>
        </w:rPr>
        <w:t>住宅</w:t>
      </w:r>
      <w:r>
        <w:rPr>
          <w:rFonts w:ascii="Arial" w:hAnsi="Arial" w:eastAsia="仿宋_GB2312" w:cs="Arial"/>
          <w:snapToGrid w:val="0"/>
          <w:sz w:val="28"/>
          <w:highlight w:val="none"/>
        </w:rPr>
        <w:t>为最佳利用方式。</w:t>
      </w:r>
    </w:p>
    <w:p w14:paraId="6C9E0F46">
      <w:pPr>
        <w:spacing w:after="26" w:line="300" w:lineRule="auto"/>
        <w:ind w:firstLine="560" w:firstLineChars="200"/>
        <w:jc w:val="both"/>
        <w:rPr>
          <w:rFonts w:ascii="Arial" w:hAnsi="Arial" w:eastAsia="仿宋_GB2312" w:cs="Arial"/>
          <w:snapToGrid w:val="0"/>
          <w:sz w:val="28"/>
          <w:highlight w:val="none"/>
        </w:rPr>
      </w:pPr>
      <w:r>
        <w:rPr>
          <w:rFonts w:ascii="Arial" w:hAnsi="Arial" w:eastAsia="仿宋_GB2312" w:cs="Arial"/>
          <w:snapToGrid w:val="0"/>
          <w:sz w:val="28"/>
          <w:highlight w:val="none"/>
        </w:rPr>
        <w:t>根据项目的整体建筑规模和预期设备、装修标准，预计本项目建筑物建设周期为</w:t>
      </w:r>
      <w:r>
        <w:rPr>
          <w:rFonts w:hint="eastAsia" w:ascii="Arial" w:hAnsi="Arial" w:eastAsia="仿宋_GB2312" w:cs="Arial"/>
          <w:snapToGrid w:val="0"/>
          <w:sz w:val="28"/>
          <w:highlight w:val="none"/>
          <w:lang w:val="en-US" w:eastAsia="zh-CN"/>
        </w:rPr>
        <w:t>3</w:t>
      </w:r>
      <w:r>
        <w:rPr>
          <w:rFonts w:ascii="Arial" w:hAnsi="Arial" w:eastAsia="仿宋_GB2312" w:cs="Arial"/>
          <w:snapToGrid w:val="0"/>
          <w:sz w:val="28"/>
          <w:highlight w:val="none"/>
        </w:rPr>
        <w:t>年。</w:t>
      </w:r>
    </w:p>
    <w:p w14:paraId="5D2BBFF1">
      <w:pPr>
        <w:spacing w:after="26" w:line="300" w:lineRule="auto"/>
        <w:ind w:firstLine="560" w:firstLineChars="200"/>
        <w:jc w:val="both"/>
        <w:rPr>
          <w:rFonts w:hint="eastAsia" w:ascii="Arial" w:hAnsi="Arial" w:eastAsia="仿宋_GB2312" w:cs="Arial"/>
          <w:sz w:val="28"/>
          <w:highlight w:val="none"/>
          <w:lang w:eastAsia="zh-CN"/>
        </w:rPr>
      </w:pPr>
      <w:r>
        <w:rPr>
          <w:rFonts w:ascii="Arial" w:hAnsi="Arial" w:eastAsia="仿宋_GB2312" w:cs="Arial"/>
          <w:snapToGrid w:val="0"/>
          <w:sz w:val="28"/>
          <w:highlight w:val="none"/>
        </w:rPr>
        <w:t>开发完成后的房地产价值的确定根据土地估价专业评估师的市场调查及</w:t>
      </w:r>
      <w:r>
        <w:rPr>
          <w:rFonts w:ascii="Arial" w:hAnsi="Arial" w:eastAsia="仿宋_GB2312" w:cs="Arial"/>
          <w:sz w:val="28"/>
          <w:szCs w:val="28"/>
          <w:highlight w:val="none"/>
        </w:rPr>
        <w:t>查询中指数据、建委网站等网上发布信息，</w:t>
      </w:r>
      <w:r>
        <w:rPr>
          <w:rFonts w:ascii="Arial" w:hAnsi="Arial" w:eastAsia="仿宋_GB2312" w:cs="Arial"/>
          <w:sz w:val="28"/>
          <w:highlight w:val="none"/>
        </w:rPr>
        <w:t>采用房地产交易中的替代原则，选取与估价对象类似</w:t>
      </w:r>
      <w:r>
        <w:rPr>
          <w:rFonts w:ascii="Arial" w:hAnsi="Arial" w:eastAsia="仿宋_GB2312" w:cs="Arial"/>
          <w:sz w:val="28"/>
          <w:szCs w:val="28"/>
          <w:highlight w:val="none"/>
        </w:rPr>
        <w:t>用途</w:t>
      </w:r>
      <w:r>
        <w:rPr>
          <w:rFonts w:ascii="Arial" w:hAnsi="Arial" w:eastAsia="仿宋_GB2312" w:cs="Arial"/>
          <w:sz w:val="28"/>
          <w:highlight w:val="none"/>
        </w:rPr>
        <w:t>的案例，并分别进行交易情况、交易时间、用途、容积率、土地使用年限、区域因素、个别因素的修正。详见下表</w:t>
      </w:r>
      <w:r>
        <w:rPr>
          <w:rFonts w:hint="eastAsia" w:ascii="Arial" w:hAnsi="Arial" w:eastAsia="仿宋_GB2312" w:cs="Arial"/>
          <w:sz w:val="28"/>
          <w:highlight w:val="none"/>
          <w:lang w:eastAsia="zh-CN"/>
        </w:rPr>
        <w:t>：</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7149D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90" w:hRule="atLeast"/>
        </w:trPr>
        <w:tc>
          <w:tcPr>
            <w:tcW w:w="2325" w:type="dxa"/>
            <w:shd w:val="clear" w:color="auto" w:fill="auto"/>
            <w:noWrap w:val="0"/>
            <w:vAlign w:val="top"/>
          </w:tcPr>
          <w:p w14:paraId="7F5667FA">
            <w:pPr>
              <w:widowControl/>
              <w:adjustRightInd/>
              <w:spacing w:line="240" w:lineRule="auto"/>
              <w:jc w:val="center"/>
              <w:textAlignment w:val="auto"/>
              <w:rPr>
                <w:rFonts w:hint="eastAsia" w:ascii="Arial" w:hAnsi="Arial" w:eastAsia="仿宋_GB2312" w:cs="Arial"/>
                <w:sz w:val="18"/>
                <w:szCs w:val="18"/>
                <w:highlight w:val="none"/>
              </w:rPr>
            </w:pPr>
          </w:p>
        </w:tc>
        <w:tc>
          <w:tcPr>
            <w:tcW w:w="2324" w:type="dxa"/>
            <w:shd w:val="clear" w:color="auto" w:fill="auto"/>
            <w:noWrap w:val="0"/>
            <w:vAlign w:val="top"/>
          </w:tcPr>
          <w:p w14:paraId="23220DCC">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案例A</w:t>
            </w:r>
          </w:p>
        </w:tc>
        <w:tc>
          <w:tcPr>
            <w:tcW w:w="2325" w:type="dxa"/>
            <w:shd w:val="clear" w:color="auto" w:fill="auto"/>
            <w:noWrap w:val="0"/>
            <w:vAlign w:val="top"/>
          </w:tcPr>
          <w:p w14:paraId="0DEA7590">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案例B</w:t>
            </w:r>
          </w:p>
        </w:tc>
        <w:tc>
          <w:tcPr>
            <w:tcW w:w="2325" w:type="dxa"/>
            <w:shd w:val="clear" w:color="auto" w:fill="auto"/>
            <w:noWrap w:val="0"/>
            <w:vAlign w:val="top"/>
          </w:tcPr>
          <w:p w14:paraId="4B79ACD3">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案例C</w:t>
            </w:r>
          </w:p>
        </w:tc>
      </w:tr>
      <w:tr w14:paraId="5C25B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7658CEE3">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项目名称</w:t>
            </w:r>
          </w:p>
        </w:tc>
        <w:tc>
          <w:tcPr>
            <w:tcW w:w="2324" w:type="dxa"/>
            <w:shd w:val="clear" w:color="auto" w:fill="auto"/>
            <w:noWrap w:val="0"/>
            <w:vAlign w:val="top"/>
          </w:tcPr>
          <w:p w14:paraId="55618A1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璞瑅润府</w:t>
            </w:r>
          </w:p>
        </w:tc>
        <w:tc>
          <w:tcPr>
            <w:tcW w:w="2325" w:type="dxa"/>
            <w:shd w:val="clear" w:color="auto" w:fill="auto"/>
            <w:noWrap w:val="0"/>
            <w:vAlign w:val="top"/>
          </w:tcPr>
          <w:p w14:paraId="07AF98C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富力首开·金禧璞瑅</w:t>
            </w:r>
          </w:p>
        </w:tc>
        <w:tc>
          <w:tcPr>
            <w:tcW w:w="2325" w:type="dxa"/>
            <w:shd w:val="clear" w:color="auto" w:fill="auto"/>
            <w:noWrap w:val="0"/>
            <w:vAlign w:val="top"/>
          </w:tcPr>
          <w:p w14:paraId="4984ACA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招商中建·顺义臻珑府</w:t>
            </w:r>
          </w:p>
        </w:tc>
      </w:tr>
      <w:tr w14:paraId="28BD5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16465AE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数据来源</w:t>
            </w:r>
          </w:p>
        </w:tc>
        <w:tc>
          <w:tcPr>
            <w:tcW w:w="2324" w:type="dxa"/>
            <w:shd w:val="clear" w:color="auto" w:fill="auto"/>
            <w:noWrap w:val="0"/>
            <w:vAlign w:val="top"/>
          </w:tcPr>
          <w:p w14:paraId="7CE7843B">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rPr>
              <w:t>中指</w:t>
            </w:r>
            <w:r>
              <w:rPr>
                <w:rFonts w:hint="eastAsia" w:ascii="Arial" w:hAnsi="Arial" w:eastAsia="仿宋_GB2312" w:cs="Arial"/>
                <w:sz w:val="18"/>
                <w:szCs w:val="18"/>
                <w:highlight w:val="none"/>
                <w:lang w:val="en-US" w:eastAsia="zh-CN"/>
              </w:rPr>
              <w:t>成交</w:t>
            </w:r>
            <w:r>
              <w:rPr>
                <w:rFonts w:hint="eastAsia" w:ascii="Arial" w:hAnsi="Arial" w:eastAsia="仿宋_GB2312" w:cs="Arial"/>
                <w:sz w:val="18"/>
                <w:szCs w:val="18"/>
                <w:highlight w:val="none"/>
              </w:rPr>
              <w:t>数据</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lang w:val="en-US" w:eastAsia="zh-CN"/>
              </w:rPr>
              <w:t>税费买卖双方各自负担</w:t>
            </w:r>
          </w:p>
        </w:tc>
        <w:tc>
          <w:tcPr>
            <w:tcW w:w="2325" w:type="dxa"/>
            <w:shd w:val="clear" w:color="auto" w:fill="auto"/>
            <w:noWrap w:val="0"/>
            <w:vAlign w:val="top"/>
          </w:tcPr>
          <w:p w14:paraId="1E421C2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中指</w:t>
            </w:r>
            <w:r>
              <w:rPr>
                <w:rFonts w:hint="eastAsia" w:ascii="Arial" w:hAnsi="Arial" w:eastAsia="仿宋_GB2312" w:cs="Arial"/>
                <w:sz w:val="18"/>
                <w:szCs w:val="18"/>
                <w:highlight w:val="none"/>
                <w:lang w:val="en-US" w:eastAsia="zh-CN"/>
              </w:rPr>
              <w:t>成交</w:t>
            </w:r>
            <w:r>
              <w:rPr>
                <w:rFonts w:hint="eastAsia" w:ascii="Arial" w:hAnsi="Arial" w:eastAsia="仿宋_GB2312" w:cs="Arial"/>
                <w:sz w:val="18"/>
                <w:szCs w:val="18"/>
                <w:highlight w:val="none"/>
              </w:rPr>
              <w:t>数据</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lang w:val="en-US" w:eastAsia="zh-CN"/>
              </w:rPr>
              <w:t>税费买卖双方各自负担</w:t>
            </w:r>
          </w:p>
        </w:tc>
        <w:tc>
          <w:tcPr>
            <w:tcW w:w="2325" w:type="dxa"/>
            <w:shd w:val="clear" w:color="auto" w:fill="auto"/>
            <w:noWrap w:val="0"/>
            <w:vAlign w:val="top"/>
          </w:tcPr>
          <w:p w14:paraId="316B8E1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中指</w:t>
            </w:r>
            <w:r>
              <w:rPr>
                <w:rFonts w:hint="eastAsia" w:ascii="Arial" w:hAnsi="Arial" w:eastAsia="仿宋_GB2312" w:cs="Arial"/>
                <w:sz w:val="18"/>
                <w:szCs w:val="18"/>
                <w:highlight w:val="none"/>
                <w:lang w:val="en-US" w:eastAsia="zh-CN"/>
              </w:rPr>
              <w:t>成交</w:t>
            </w:r>
            <w:r>
              <w:rPr>
                <w:rFonts w:hint="eastAsia" w:ascii="Arial" w:hAnsi="Arial" w:eastAsia="仿宋_GB2312" w:cs="Arial"/>
                <w:sz w:val="18"/>
                <w:szCs w:val="18"/>
                <w:highlight w:val="none"/>
              </w:rPr>
              <w:t>数据</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lang w:val="en-US" w:eastAsia="zh-CN"/>
              </w:rPr>
              <w:t>税费买卖双方各自负担</w:t>
            </w:r>
          </w:p>
        </w:tc>
      </w:tr>
      <w:tr w14:paraId="29215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4CA0265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交易价格（元/㎡）</w:t>
            </w:r>
          </w:p>
        </w:tc>
        <w:tc>
          <w:tcPr>
            <w:tcW w:w="2324" w:type="dxa"/>
            <w:shd w:val="clear" w:color="auto" w:fill="auto"/>
            <w:noWrap w:val="0"/>
            <w:vAlign w:val="top"/>
          </w:tcPr>
          <w:p w14:paraId="628C5076">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35135</w:t>
            </w:r>
          </w:p>
        </w:tc>
        <w:tc>
          <w:tcPr>
            <w:tcW w:w="2325" w:type="dxa"/>
            <w:shd w:val="clear" w:color="auto" w:fill="auto"/>
            <w:noWrap w:val="0"/>
            <w:vAlign w:val="top"/>
          </w:tcPr>
          <w:p w14:paraId="29FAB886">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31102</w:t>
            </w:r>
          </w:p>
        </w:tc>
        <w:tc>
          <w:tcPr>
            <w:tcW w:w="2325" w:type="dxa"/>
            <w:shd w:val="clear" w:color="auto" w:fill="auto"/>
            <w:noWrap w:val="0"/>
            <w:vAlign w:val="top"/>
          </w:tcPr>
          <w:p w14:paraId="0249DFAA">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31801</w:t>
            </w:r>
          </w:p>
        </w:tc>
      </w:tr>
      <w:tr w14:paraId="713F0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059AE385">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成交日期</w:t>
            </w:r>
          </w:p>
        </w:tc>
        <w:tc>
          <w:tcPr>
            <w:tcW w:w="2324" w:type="dxa"/>
            <w:shd w:val="clear" w:color="auto" w:fill="auto"/>
            <w:noWrap w:val="0"/>
            <w:vAlign w:val="top"/>
          </w:tcPr>
          <w:p w14:paraId="703C2B44">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2026年1月</w:t>
            </w:r>
          </w:p>
        </w:tc>
        <w:tc>
          <w:tcPr>
            <w:tcW w:w="2325" w:type="dxa"/>
            <w:shd w:val="clear" w:color="auto" w:fill="auto"/>
            <w:noWrap w:val="0"/>
            <w:vAlign w:val="top"/>
          </w:tcPr>
          <w:p w14:paraId="37805EE9">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2026年1月</w:t>
            </w:r>
          </w:p>
        </w:tc>
        <w:tc>
          <w:tcPr>
            <w:tcW w:w="2325" w:type="dxa"/>
            <w:shd w:val="clear" w:color="auto" w:fill="auto"/>
            <w:noWrap w:val="0"/>
            <w:vAlign w:val="top"/>
          </w:tcPr>
          <w:p w14:paraId="5340D19B">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2026年1月</w:t>
            </w:r>
          </w:p>
        </w:tc>
      </w:tr>
      <w:tr w14:paraId="1A37A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1AB81A1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用途</w:t>
            </w:r>
          </w:p>
        </w:tc>
        <w:tc>
          <w:tcPr>
            <w:tcW w:w="2324" w:type="dxa"/>
            <w:shd w:val="clear" w:color="auto" w:fill="auto"/>
            <w:noWrap w:val="0"/>
            <w:vAlign w:val="top"/>
          </w:tcPr>
          <w:p w14:paraId="0D030036">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住宅</w:t>
            </w:r>
          </w:p>
        </w:tc>
        <w:tc>
          <w:tcPr>
            <w:tcW w:w="2325" w:type="dxa"/>
            <w:shd w:val="clear" w:color="auto" w:fill="auto"/>
            <w:noWrap w:val="0"/>
            <w:vAlign w:val="top"/>
          </w:tcPr>
          <w:p w14:paraId="164716C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住宅</w:t>
            </w:r>
          </w:p>
        </w:tc>
        <w:tc>
          <w:tcPr>
            <w:tcW w:w="2325" w:type="dxa"/>
            <w:shd w:val="clear" w:color="auto" w:fill="auto"/>
            <w:noWrap w:val="0"/>
            <w:vAlign w:val="top"/>
          </w:tcPr>
          <w:p w14:paraId="0FBED5A5">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住宅</w:t>
            </w:r>
          </w:p>
        </w:tc>
      </w:tr>
      <w:tr w14:paraId="61627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23B17383">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交易情况</w:t>
            </w:r>
          </w:p>
        </w:tc>
        <w:tc>
          <w:tcPr>
            <w:tcW w:w="2324" w:type="dxa"/>
            <w:shd w:val="clear" w:color="auto" w:fill="auto"/>
            <w:noWrap w:val="0"/>
            <w:vAlign w:val="top"/>
          </w:tcPr>
          <w:p w14:paraId="701D404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c>
          <w:tcPr>
            <w:tcW w:w="2325" w:type="dxa"/>
            <w:shd w:val="clear" w:color="auto" w:fill="auto"/>
            <w:noWrap w:val="0"/>
            <w:vAlign w:val="top"/>
          </w:tcPr>
          <w:p w14:paraId="1CEF8BD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c>
          <w:tcPr>
            <w:tcW w:w="2325" w:type="dxa"/>
            <w:shd w:val="clear" w:color="auto" w:fill="auto"/>
            <w:noWrap w:val="0"/>
            <w:vAlign w:val="top"/>
          </w:tcPr>
          <w:p w14:paraId="34B3F04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r>
      <w:tr w14:paraId="34A15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6EF0EFE6">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权利性质</w:t>
            </w:r>
          </w:p>
        </w:tc>
        <w:tc>
          <w:tcPr>
            <w:tcW w:w="2324" w:type="dxa"/>
            <w:shd w:val="clear" w:color="auto" w:fill="auto"/>
            <w:noWrap w:val="0"/>
            <w:vAlign w:val="top"/>
          </w:tcPr>
          <w:p w14:paraId="3A275916">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国有出让/商品房（完全产权）</w:t>
            </w:r>
          </w:p>
        </w:tc>
        <w:tc>
          <w:tcPr>
            <w:tcW w:w="2325" w:type="dxa"/>
            <w:shd w:val="clear" w:color="auto" w:fill="auto"/>
            <w:noWrap w:val="0"/>
            <w:vAlign w:val="top"/>
          </w:tcPr>
          <w:p w14:paraId="691BF262">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国有出让/商品房（完全产权）</w:t>
            </w:r>
          </w:p>
        </w:tc>
        <w:tc>
          <w:tcPr>
            <w:tcW w:w="2325" w:type="dxa"/>
            <w:shd w:val="clear" w:color="auto" w:fill="auto"/>
            <w:noWrap w:val="0"/>
            <w:vAlign w:val="top"/>
          </w:tcPr>
          <w:p w14:paraId="12C7BEB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国有出让/商品房（完全产权）</w:t>
            </w:r>
          </w:p>
        </w:tc>
      </w:tr>
      <w:tr w14:paraId="0B061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5E110CBC">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建筑结构</w:t>
            </w:r>
          </w:p>
        </w:tc>
        <w:tc>
          <w:tcPr>
            <w:tcW w:w="2324" w:type="dxa"/>
            <w:shd w:val="clear" w:color="auto" w:fill="auto"/>
            <w:noWrap w:val="0"/>
            <w:vAlign w:val="top"/>
          </w:tcPr>
          <w:p w14:paraId="70D12AE4">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钢混</w:t>
            </w:r>
          </w:p>
        </w:tc>
        <w:tc>
          <w:tcPr>
            <w:tcW w:w="2325" w:type="dxa"/>
            <w:shd w:val="clear" w:color="auto" w:fill="auto"/>
            <w:noWrap w:val="0"/>
            <w:vAlign w:val="top"/>
          </w:tcPr>
          <w:p w14:paraId="2C6D56E6">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钢混</w:t>
            </w:r>
          </w:p>
        </w:tc>
        <w:tc>
          <w:tcPr>
            <w:tcW w:w="2325" w:type="dxa"/>
            <w:shd w:val="clear" w:color="auto" w:fill="auto"/>
            <w:noWrap w:val="0"/>
            <w:vAlign w:val="top"/>
          </w:tcPr>
          <w:p w14:paraId="5B65EE49">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钢混</w:t>
            </w:r>
          </w:p>
        </w:tc>
      </w:tr>
      <w:tr w14:paraId="6A597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036F4DE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装修</w:t>
            </w:r>
          </w:p>
        </w:tc>
        <w:tc>
          <w:tcPr>
            <w:tcW w:w="2324" w:type="dxa"/>
            <w:shd w:val="clear" w:color="auto" w:fill="auto"/>
            <w:noWrap w:val="0"/>
            <w:vAlign w:val="top"/>
          </w:tcPr>
          <w:p w14:paraId="587C7D16">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精装修</w:t>
            </w:r>
          </w:p>
        </w:tc>
        <w:tc>
          <w:tcPr>
            <w:tcW w:w="2325" w:type="dxa"/>
            <w:shd w:val="clear" w:color="auto" w:fill="auto"/>
            <w:noWrap w:val="0"/>
            <w:vAlign w:val="top"/>
          </w:tcPr>
          <w:p w14:paraId="38DAB74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精装修</w:t>
            </w:r>
          </w:p>
        </w:tc>
        <w:tc>
          <w:tcPr>
            <w:tcW w:w="2325" w:type="dxa"/>
            <w:shd w:val="clear" w:color="auto" w:fill="auto"/>
            <w:noWrap w:val="0"/>
            <w:vAlign w:val="top"/>
          </w:tcPr>
          <w:p w14:paraId="2AC6D886">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精装修</w:t>
            </w:r>
          </w:p>
        </w:tc>
      </w:tr>
      <w:tr w14:paraId="35E9F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42ADD952">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市政设施条件</w:t>
            </w:r>
          </w:p>
        </w:tc>
        <w:tc>
          <w:tcPr>
            <w:tcW w:w="2324" w:type="dxa"/>
            <w:shd w:val="clear" w:color="auto" w:fill="auto"/>
            <w:noWrap w:val="0"/>
            <w:vAlign w:val="top"/>
          </w:tcPr>
          <w:p w14:paraId="014991C2">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七通</w:t>
            </w:r>
          </w:p>
        </w:tc>
        <w:tc>
          <w:tcPr>
            <w:tcW w:w="2325" w:type="dxa"/>
            <w:shd w:val="clear" w:color="auto" w:fill="auto"/>
            <w:noWrap w:val="0"/>
            <w:vAlign w:val="top"/>
          </w:tcPr>
          <w:p w14:paraId="153F29D2">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七通</w:t>
            </w:r>
          </w:p>
        </w:tc>
        <w:tc>
          <w:tcPr>
            <w:tcW w:w="2325" w:type="dxa"/>
            <w:shd w:val="clear" w:color="auto" w:fill="auto"/>
            <w:noWrap w:val="0"/>
            <w:vAlign w:val="top"/>
          </w:tcPr>
          <w:p w14:paraId="3443D91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七通</w:t>
            </w:r>
          </w:p>
        </w:tc>
      </w:tr>
      <w:tr w14:paraId="2CD18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55F12A4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物业管理</w:t>
            </w:r>
          </w:p>
        </w:tc>
        <w:tc>
          <w:tcPr>
            <w:tcW w:w="2324" w:type="dxa"/>
            <w:shd w:val="clear" w:color="auto" w:fill="auto"/>
            <w:noWrap w:val="0"/>
            <w:vAlign w:val="top"/>
          </w:tcPr>
          <w:p w14:paraId="5F4DF070">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专业物业公司管理</w:t>
            </w:r>
          </w:p>
        </w:tc>
        <w:tc>
          <w:tcPr>
            <w:tcW w:w="2325" w:type="dxa"/>
            <w:shd w:val="clear" w:color="auto" w:fill="auto"/>
            <w:noWrap w:val="0"/>
            <w:vAlign w:val="top"/>
          </w:tcPr>
          <w:p w14:paraId="66A4B7B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专业物业公司管理</w:t>
            </w:r>
          </w:p>
        </w:tc>
        <w:tc>
          <w:tcPr>
            <w:tcW w:w="2325" w:type="dxa"/>
            <w:shd w:val="clear" w:color="auto" w:fill="auto"/>
            <w:noWrap w:val="0"/>
            <w:vAlign w:val="top"/>
          </w:tcPr>
          <w:p w14:paraId="420BB1C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专业物业公司管理</w:t>
            </w:r>
          </w:p>
        </w:tc>
      </w:tr>
    </w:tbl>
    <w:p w14:paraId="3E67399F">
      <w:pPr>
        <w:rPr>
          <w:rFonts w:hint="eastAsia" w:ascii="Arial" w:hAnsi="Arial" w:eastAsia="仿宋_GB2312" w:cs="Arial"/>
          <w:sz w:val="28"/>
          <w:highlight w:val="none"/>
          <w:lang w:val="en-US" w:eastAsia="zh-CN"/>
        </w:rPr>
      </w:pPr>
      <w:r>
        <w:rPr>
          <w:rFonts w:hint="eastAsia" w:ascii="Arial" w:hAnsi="Arial" w:eastAsia="仿宋_GB2312" w:cs="Arial"/>
          <w:sz w:val="20"/>
          <w:szCs w:val="13"/>
          <w:highlight w:val="none"/>
          <w:lang w:val="en-US" w:eastAsia="zh-CN"/>
        </w:rPr>
        <w:t>备注：案例交易价格为上一年度平均交易价格。</w:t>
      </w:r>
      <w:r>
        <w:rPr>
          <w:rFonts w:ascii="Arial" w:hAnsi="Arial" w:eastAsia="仿宋_GB2312" w:cs="Arial"/>
          <w:sz w:val="28"/>
          <w:highlight w:val="none"/>
        </w:rPr>
        <w:br w:type="page"/>
      </w: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49465FCF">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PrEx>
        <w:trPr>
          <w:cantSplit/>
          <w:jc w:val="center"/>
        </w:trPr>
        <w:tc>
          <w:tcPr>
            <w:tcW w:w="9299" w:type="dxa"/>
            <w:gridSpan w:val="3"/>
            <w:noWrap w:val="0"/>
            <w:vAlign w:val="top"/>
          </w:tcPr>
          <w:p w14:paraId="14504F86">
            <w:pPr>
              <w:widowControl/>
              <w:adjustRightInd/>
              <w:spacing w:line="240" w:lineRule="auto"/>
              <w:jc w:val="center"/>
              <w:textAlignment w:val="auto"/>
              <w:rPr>
                <w:rFonts w:ascii="华文细黑" w:hAnsi="华文细黑" w:eastAsia="华文细黑"/>
                <w:highlight w:val="none"/>
              </w:rPr>
            </w:pPr>
            <w:r>
              <w:rPr>
                <w:rFonts w:hint="eastAsia" w:ascii="Arial" w:hAnsi="Arial" w:eastAsia="仿宋_GB2312" w:cs="Arial"/>
                <w:sz w:val="24"/>
                <w:szCs w:val="24"/>
                <w:highlight w:val="none"/>
                <w:lang w:val="en-US" w:eastAsia="zh-CN"/>
              </w:rPr>
              <w:t>案例位置示意图及照片</w:t>
            </w:r>
          </w:p>
        </w:tc>
      </w:tr>
      <w:tr w14:paraId="654D2316">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noWrap w:val="0"/>
            <w:vAlign w:val="top"/>
          </w:tcPr>
          <w:p w14:paraId="2918CF82">
            <w:pPr>
              <w:jc w:val="center"/>
              <w:rPr>
                <w:rFonts w:hint="eastAsia"/>
                <w:highlight w:val="none"/>
              </w:rPr>
            </w:pPr>
            <w:r>
              <w:rPr>
                <w:highlight w:val="none"/>
              </w:rPr>
              <mc:AlternateContent>
                <mc:Choice Requires="wps">
                  <w:drawing>
                    <wp:anchor distT="0" distB="0" distL="114300" distR="114300" simplePos="0" relativeHeight="251670528" behindDoc="0" locked="0" layoutInCell="1" allowOverlap="1">
                      <wp:simplePos x="0" y="0"/>
                      <wp:positionH relativeFrom="column">
                        <wp:posOffset>4313555</wp:posOffset>
                      </wp:positionH>
                      <wp:positionV relativeFrom="paragraph">
                        <wp:posOffset>1228090</wp:posOffset>
                      </wp:positionV>
                      <wp:extent cx="758825" cy="407670"/>
                      <wp:effectExtent l="12700" t="12700" r="20955" b="631190"/>
                      <wp:wrapNone/>
                      <wp:docPr id="82" name="线形标注 1 82"/>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251246"/>
                                  <a:gd name="adj2" fmla="val 74309"/>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192DA556">
                                  <w:pPr>
                                    <w:jc w:val="center"/>
                                    <w:rPr>
                                      <w:rFonts w:hint="eastAsia"/>
                                      <w:b/>
                                      <w:color w:val="FFFFFF"/>
                                    </w:rPr>
                                  </w:pPr>
                                  <w:r>
                                    <w:rPr>
                                      <w:rFonts w:hint="eastAsia"/>
                                      <w:b/>
                                      <w:color w:val="FFFFFF"/>
                                    </w:rPr>
                                    <w:t>案例</w:t>
                                  </w:r>
                                  <w:r>
                                    <w:rPr>
                                      <w:rFonts w:hint="eastAsia" w:ascii="Arial" w:hAnsi="Arial" w:cs="Arial"/>
                                      <w:b/>
                                      <w:color w:val="FFFFFF"/>
                                    </w:rPr>
                                    <w:t>C</w:t>
                                  </w:r>
                                </w:p>
                              </w:txbxContent>
                            </wps:txbx>
                            <wps:bodyPr anchor="ctr" anchorCtr="0" upright="1"/>
                          </wps:wsp>
                        </a:graphicData>
                      </a:graphic>
                    </wp:anchor>
                  </w:drawing>
                </mc:Choice>
                <mc:Fallback>
                  <w:pict>
                    <v:shape id="_x0000_s1026" o:spid="_x0000_s1026" o:spt="47" type="#_x0000_t47" style="position:absolute;left:0pt;margin-left:339.65pt;margin-top:96.7pt;height:32.1pt;width:59.75pt;z-index:251670528;v-text-anchor:middle;mso-width-relative:page;mso-height-relative:page;" fillcolor="#558ED5" filled="t" stroked="t" coordsize="21600,21600" o:gfxdata="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ShsSS9cAAAALAQAADwAAAAAAAAABACAAAAAiAAAAZHJzL2Rvd25yZXYueG1sUEsBAhQAFAAA&#10;AAgAh07iQIU6THhiAgAA8wQAAA4AAAAAAAAAAQAgAAAAJgEAAGRycy9lMm9Eb2MueG1sUEsFBgAA&#10;AAAGAAYAWQEAAPoFAAAAAA==&#10;" adj="9905,23114,16051,54269">
                      <v:fill on="t" focussize="0,0"/>
                      <v:stroke weight="2pt" color="#385D8A" joinstyle="miter"/>
                      <v:imagedata o:title=""/>
                      <o:lock v:ext="edit" aspectratio="f"/>
                      <v:textbox>
                        <w:txbxContent>
                          <w:p w14:paraId="192DA556">
                            <w:pPr>
                              <w:jc w:val="center"/>
                              <w:rPr>
                                <w:rFonts w:hint="eastAsia"/>
                                <w:b/>
                                <w:color w:val="FFFFFF"/>
                              </w:rPr>
                            </w:pPr>
                            <w:r>
                              <w:rPr>
                                <w:rFonts w:hint="eastAsia"/>
                                <w:b/>
                                <w:color w:val="FFFFFF"/>
                              </w:rPr>
                              <w:t>案例</w:t>
                            </w:r>
                            <w:r>
                              <w:rPr>
                                <w:rFonts w:hint="eastAsia" w:ascii="Arial" w:hAnsi="Arial" w:cs="Arial"/>
                                <w:b/>
                                <w:color w:val="FFFFFF"/>
                              </w:rPr>
                              <w:t>C</w:t>
                            </w:r>
                          </w:p>
                        </w:txbxContent>
                      </v:textbox>
                    </v:shape>
                  </w:pict>
                </mc:Fallback>
              </mc:AlternateContent>
            </w:r>
            <w:r>
              <w:rPr>
                <w:highlight w:val="none"/>
              </w:rPr>
              <mc:AlternateContent>
                <mc:Choice Requires="wps">
                  <w:drawing>
                    <wp:anchor distT="0" distB="0" distL="114300" distR="114300" simplePos="0" relativeHeight="251668480" behindDoc="0" locked="0" layoutInCell="1" allowOverlap="1">
                      <wp:simplePos x="0" y="0"/>
                      <wp:positionH relativeFrom="column">
                        <wp:posOffset>4585335</wp:posOffset>
                      </wp:positionH>
                      <wp:positionV relativeFrom="paragraph">
                        <wp:posOffset>3388995</wp:posOffset>
                      </wp:positionV>
                      <wp:extent cx="739140" cy="414020"/>
                      <wp:effectExtent l="353695" t="492125" r="19685" b="23495"/>
                      <wp:wrapNone/>
                      <wp:docPr id="84" name="线形标注 1 84"/>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116564"/>
                                  <a:gd name="adj4" fmla="val -46735"/>
                                </a:avLst>
                              </a:prstGeom>
                              <a:solidFill>
                                <a:srgbClr val="1F497D">
                                  <a:lumMod val="60000"/>
                                  <a:lumOff val="40000"/>
                                </a:srgbClr>
                              </a:solidFill>
                              <a:ln w="25400" cap="flat" cmpd="sng" algn="ctr">
                                <a:solidFill>
                                  <a:srgbClr val="4F81BD">
                                    <a:shade val="50000"/>
                                  </a:srgbClr>
                                </a:solidFill>
                                <a:prstDash val="solid"/>
                              </a:ln>
                              <a:effectLst/>
                            </wps:spPr>
                            <wps:txbx>
                              <w:txbxContent>
                                <w:p w14:paraId="59D54921">
                                  <w:pPr>
                                    <w:jc w:val="center"/>
                                    <w:rPr>
                                      <w:rFonts w:hint="eastAsia"/>
                                      <w:b/>
                                      <w:color w:val="FFFFFF"/>
                                    </w:rPr>
                                  </w:pPr>
                                  <w:r>
                                    <w:rPr>
                                      <w:rFonts w:hint="eastAsia"/>
                                      <w:b/>
                                      <w:color w:val="FFFFFF"/>
                                    </w:rPr>
                                    <w:t>案例</w:t>
                                  </w:r>
                                  <w:r>
                                    <w:rPr>
                                      <w:rFonts w:ascii="Arial" w:hAnsi="Arial" w:cs="Arial"/>
                                      <w:b/>
                                      <w:color w:val="FFFFFF"/>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61.05pt;margin-top:266.85pt;height:32.6pt;width:58.2pt;z-index:251668480;v-text-anchor:middle;mso-width-relative:page;mso-height-relative:page;" fillcolor="#558ED5" filled="t" stroked="t" coordsize="21600,21600" o:gfxdata="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" adj="-10095,-25178,7311,397">
                      <v:fill on="t" focussize="0,0"/>
                      <v:stroke weight="2pt" color="#385D8A" joinstyle="round"/>
                      <v:imagedata o:title=""/>
                      <o:lock v:ext="edit" aspectratio="f"/>
                      <v:textbox>
                        <w:txbxContent>
                          <w:p w14:paraId="59D54921">
                            <w:pPr>
                              <w:jc w:val="center"/>
                              <w:rPr>
                                <w:rFonts w:hint="eastAsia"/>
                                <w:b/>
                                <w:color w:val="FFFFFF"/>
                              </w:rPr>
                            </w:pPr>
                            <w:r>
                              <w:rPr>
                                <w:rFonts w:hint="eastAsia"/>
                                <w:b/>
                                <w:color w:val="FFFFFF"/>
                              </w:rPr>
                              <w:t>案例</w:t>
                            </w:r>
                            <w:r>
                              <w:rPr>
                                <w:rFonts w:ascii="Arial" w:hAnsi="Arial" w:cs="Arial"/>
                                <w:b/>
                                <w:color w:val="FFFFFF"/>
                              </w:rPr>
                              <w:t>A</w:t>
                            </w:r>
                          </w:p>
                        </w:txbxContent>
                      </v:textbox>
                    </v:shape>
                  </w:pict>
                </mc:Fallback>
              </mc:AlternateContent>
            </w:r>
            <w:r>
              <w:rPr>
                <w:highlight w:val="none"/>
              </w:rPr>
              <w:drawing>
                <wp:anchor distT="0" distB="0" distL="114300" distR="114300" simplePos="0" relativeHeight="251667456" behindDoc="0" locked="0" layoutInCell="1" allowOverlap="1">
                  <wp:simplePos x="0" y="0"/>
                  <wp:positionH relativeFrom="column">
                    <wp:posOffset>1876425</wp:posOffset>
                  </wp:positionH>
                  <wp:positionV relativeFrom="paragraph">
                    <wp:posOffset>1633855</wp:posOffset>
                  </wp:positionV>
                  <wp:extent cx="971550" cy="542925"/>
                  <wp:effectExtent l="0" t="0" r="0" b="0"/>
                  <wp:wrapNone/>
                  <wp:docPr id="81"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descr="说明: 估价对象tag-L"/>
                          <pic:cNvPicPr>
                            <a:picLocks noChangeAspect="1"/>
                          </pic:cNvPicPr>
                        </pic:nvPicPr>
                        <pic:blipFill>
                          <a:blip r:embed="rId65"/>
                          <a:stretch>
                            <a:fillRect/>
                          </a:stretch>
                        </pic:blipFill>
                        <pic:spPr>
                          <a:xfrm>
                            <a:off x="0" y="0"/>
                            <a:ext cx="971550" cy="542925"/>
                          </a:xfrm>
                          <a:prstGeom prst="rect">
                            <a:avLst/>
                          </a:prstGeom>
                          <a:noFill/>
                          <a:ln>
                            <a:noFill/>
                          </a:ln>
                        </pic:spPr>
                      </pic:pic>
                    </a:graphicData>
                  </a:graphic>
                </wp:anchor>
              </w:drawing>
            </w:r>
            <w:r>
              <w:rPr>
                <w:highlight w:val="none"/>
              </w:rPr>
              <mc:AlternateContent>
                <mc:Choice Requires="wps">
                  <w:drawing>
                    <wp:anchor distT="0" distB="0" distL="114300" distR="114300" simplePos="0" relativeHeight="251669504" behindDoc="0" locked="0" layoutInCell="1" allowOverlap="1">
                      <wp:simplePos x="0" y="0"/>
                      <wp:positionH relativeFrom="column">
                        <wp:posOffset>561340</wp:posOffset>
                      </wp:positionH>
                      <wp:positionV relativeFrom="paragraph">
                        <wp:posOffset>2384425</wp:posOffset>
                      </wp:positionV>
                      <wp:extent cx="773430" cy="462915"/>
                      <wp:effectExtent l="268605" t="325755" r="24765" b="19050"/>
                      <wp:wrapNone/>
                      <wp:docPr id="83" name="线形标注 1 83"/>
                      <wp:cNvGraphicFramePr/>
                      <a:graphic xmlns:a="http://schemas.openxmlformats.org/drawingml/2006/main">
                        <a:graphicData uri="http://schemas.microsoft.com/office/word/2010/wordprocessingShape">
                          <wps:wsp>
                            <wps:cNvSpPr/>
                            <wps:spPr>
                              <a:xfrm>
                                <a:off x="0" y="0"/>
                                <a:ext cx="773430" cy="462915"/>
                              </a:xfrm>
                              <a:prstGeom prst="borderCallout1">
                                <a:avLst>
                                  <a:gd name="adj1" fmla="val -2606"/>
                                  <a:gd name="adj2" fmla="val 49178"/>
                                  <a:gd name="adj3" fmla="val -67901"/>
                                  <a:gd name="adj4" fmla="val -34072"/>
                                </a:avLst>
                              </a:prstGeom>
                              <a:solidFill>
                                <a:srgbClr val="1F497D">
                                  <a:lumMod val="60000"/>
                                  <a:lumOff val="40000"/>
                                </a:srgbClr>
                              </a:solidFill>
                              <a:ln w="25400" cap="flat" cmpd="sng" algn="ctr">
                                <a:solidFill>
                                  <a:srgbClr val="4F81BD">
                                    <a:shade val="50000"/>
                                  </a:srgbClr>
                                </a:solidFill>
                                <a:prstDash val="solid"/>
                              </a:ln>
                              <a:effectLst/>
                            </wps:spPr>
                            <wps:txbx>
                              <w:txbxContent>
                                <w:p w14:paraId="65252645">
                                  <w:pPr>
                                    <w:jc w:val="center"/>
                                    <w:rPr>
                                      <w:rFonts w:hint="eastAsia"/>
                                      <w:b/>
                                      <w:color w:val="FFFFFF"/>
                                    </w:rPr>
                                  </w:pPr>
                                  <w:r>
                                    <w:rPr>
                                      <w:rFonts w:hint="eastAsia"/>
                                      <w:b/>
                                      <w:color w:val="FFFFFF"/>
                                    </w:rPr>
                                    <w:t>案例</w:t>
                                  </w:r>
                                  <w:r>
                                    <w:rPr>
                                      <w:rFonts w:hint="eastAsia" w:ascii="Arial" w:hAnsi="Arial" w:cs="Arial"/>
                                      <w:b/>
                                      <w:color w:val="FFFFFF"/>
                                    </w:rPr>
                                    <w:t>B</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44.2pt;margin-top:187.75pt;height:36.45pt;width:60.9pt;z-index:251669504;v-text-anchor:middle;mso-width-relative:page;mso-height-relative:page;" fillcolor="#558ED5" filled="t" stroked="t" coordsize="21600,21600" o:gfxdata="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LfRGRTaAAAACgEAAA8AAAAAAAAAAQAgAAAAIgAAAGRycy9kb3du&#10;cmV2LnhtbFBLAQIUABQAAAAIAIdO4kC9LH2+4QIAAP4FAAAOAAAAAAAAAAEAIAAAACkBAABkcnMv&#10;ZTJvRG9jLnhtbFBLBQYAAAAABgAGAFkBAAB8BgAAAAA=&#10;" adj="-7360,-14667,10622,-563">
                      <v:fill on="t" focussize="0,0"/>
                      <v:stroke weight="2pt" color="#385D8A" joinstyle="round"/>
                      <v:imagedata o:title=""/>
                      <o:lock v:ext="edit" aspectratio="f"/>
                      <v:textbox>
                        <w:txbxContent>
                          <w:p w14:paraId="65252645">
                            <w:pPr>
                              <w:jc w:val="center"/>
                              <w:rPr>
                                <w:rFonts w:hint="eastAsia"/>
                                <w:b/>
                                <w:color w:val="FFFFFF"/>
                              </w:rPr>
                            </w:pPr>
                            <w:r>
                              <w:rPr>
                                <w:rFonts w:hint="eastAsia"/>
                                <w:b/>
                                <w:color w:val="FFFFFF"/>
                              </w:rPr>
                              <w:t>案例</w:t>
                            </w:r>
                            <w:r>
                              <w:rPr>
                                <w:rFonts w:hint="eastAsia" w:ascii="Arial" w:hAnsi="Arial" w:cs="Arial"/>
                                <w:b/>
                                <w:color w:val="FFFFFF"/>
                              </w:rPr>
                              <w:t>B</w:t>
                            </w:r>
                          </w:p>
                        </w:txbxContent>
                      </v:textbox>
                    </v:shape>
                  </w:pict>
                </mc:Fallback>
              </mc:AlternateContent>
            </w:r>
            <w:r>
              <w:rPr>
                <w:highlight w:val="none"/>
              </w:rPr>
              <w:drawing>
                <wp:inline distT="0" distB="0" distL="114300" distR="114300">
                  <wp:extent cx="5861685" cy="4932045"/>
                  <wp:effectExtent l="0" t="0" r="5715" b="5715"/>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66"/>
                          <a:stretch>
                            <a:fillRect/>
                          </a:stretch>
                        </pic:blipFill>
                        <pic:spPr>
                          <a:xfrm>
                            <a:off x="0" y="0"/>
                            <a:ext cx="5861685" cy="4932045"/>
                          </a:xfrm>
                          <a:prstGeom prst="rect">
                            <a:avLst/>
                          </a:prstGeom>
                          <a:noFill/>
                          <a:ln>
                            <a:noFill/>
                          </a:ln>
                        </pic:spPr>
                      </pic:pic>
                    </a:graphicData>
                  </a:graphic>
                </wp:inline>
              </w:drawing>
            </w:r>
          </w:p>
        </w:tc>
      </w:tr>
      <w:tr w14:paraId="68000447">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noWrap w:val="0"/>
            <w:vAlign w:val="top"/>
          </w:tcPr>
          <w:p w14:paraId="1C396AE7">
            <w:pPr>
              <w:widowControl/>
              <w:adjustRightInd/>
              <w:spacing w:line="240" w:lineRule="auto"/>
              <w:jc w:val="center"/>
              <w:textAlignment w:val="auto"/>
              <w:rPr>
                <w:rFonts w:hint="eastAsia" w:ascii="华文细黑" w:hAnsi="华文细黑" w:eastAsia="华文细黑"/>
                <w:highlight w:val="none"/>
              </w:rPr>
            </w:pPr>
            <w:r>
              <w:rPr>
                <w:rFonts w:hint="eastAsia" w:ascii="Arial" w:hAnsi="Arial" w:eastAsia="仿宋_GB2312" w:cs="Arial"/>
                <w:sz w:val="24"/>
                <w:szCs w:val="24"/>
                <w:highlight w:val="none"/>
                <w:lang w:val="en-US" w:eastAsia="zh-CN"/>
              </w:rPr>
              <w:t>案例照片</w:t>
            </w:r>
          </w:p>
        </w:tc>
      </w:tr>
      <w:tr w14:paraId="5B9BAC45">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noWrap w:val="0"/>
            <w:vAlign w:val="top"/>
          </w:tcPr>
          <w:p w14:paraId="7EAAFEC1">
            <w:pPr>
              <w:widowControl/>
              <w:adjustRightInd/>
              <w:spacing w:line="240" w:lineRule="auto"/>
              <w:jc w:val="center"/>
              <w:textAlignment w:val="auto"/>
              <w:rPr>
                <w:rFonts w:hint="eastAsia"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案例A</w:t>
            </w:r>
          </w:p>
        </w:tc>
        <w:tc>
          <w:tcPr>
            <w:tcW w:w="3100" w:type="dxa"/>
            <w:tcBorders>
              <w:bottom w:val="dotted" w:color="404040" w:sz="2" w:space="0"/>
            </w:tcBorders>
            <w:noWrap w:val="0"/>
            <w:vAlign w:val="top"/>
          </w:tcPr>
          <w:p w14:paraId="4012B44C">
            <w:pPr>
              <w:widowControl/>
              <w:adjustRightInd/>
              <w:spacing w:line="240" w:lineRule="auto"/>
              <w:jc w:val="center"/>
              <w:textAlignment w:val="auto"/>
              <w:rPr>
                <w:rFonts w:hint="eastAsia"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案例B</w:t>
            </w:r>
          </w:p>
        </w:tc>
        <w:tc>
          <w:tcPr>
            <w:tcW w:w="3100" w:type="dxa"/>
            <w:tcBorders>
              <w:bottom w:val="dotted" w:color="404040" w:sz="2" w:space="0"/>
            </w:tcBorders>
            <w:noWrap w:val="0"/>
            <w:vAlign w:val="top"/>
          </w:tcPr>
          <w:p w14:paraId="766BE5E7">
            <w:pPr>
              <w:widowControl/>
              <w:adjustRightInd/>
              <w:spacing w:line="240" w:lineRule="auto"/>
              <w:jc w:val="center"/>
              <w:textAlignment w:val="auto"/>
              <w:rPr>
                <w:rFonts w:hint="eastAsia"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案例C</w:t>
            </w:r>
          </w:p>
        </w:tc>
      </w:tr>
      <w:tr w14:paraId="30506210">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4149" w:hRule="atLeast"/>
          <w:jc w:val="center"/>
        </w:trPr>
        <w:tc>
          <w:tcPr>
            <w:tcW w:w="3099" w:type="dxa"/>
            <w:noWrap w:val="0"/>
            <w:vAlign w:val="top"/>
          </w:tcPr>
          <w:p w14:paraId="65A23F20">
            <w:pPr>
              <w:jc w:val="center"/>
              <w:rPr>
                <w:rFonts w:hint="eastAsia" w:eastAsia="宋体"/>
                <w:highlight w:val="none"/>
                <w:lang w:eastAsia="zh-CN"/>
              </w:rPr>
            </w:pPr>
            <w:r>
              <w:rPr>
                <w:rFonts w:hint="eastAsia" w:eastAsia="宋体"/>
                <w:highlight w:val="none"/>
                <w:lang w:eastAsia="zh-CN"/>
              </w:rPr>
              <w:drawing>
                <wp:inline distT="0" distB="0" distL="114300" distR="114300">
                  <wp:extent cx="1929130" cy="2670175"/>
                  <wp:effectExtent l="0" t="0" r="6350" b="12065"/>
                  <wp:docPr id="14" name="图片 14" descr="177432014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774320149858"/>
                          <pic:cNvPicPr>
                            <a:picLocks noChangeAspect="1"/>
                          </pic:cNvPicPr>
                        </pic:nvPicPr>
                        <pic:blipFill>
                          <a:blip r:embed="rId67"/>
                          <a:stretch>
                            <a:fillRect/>
                          </a:stretch>
                        </pic:blipFill>
                        <pic:spPr>
                          <a:xfrm>
                            <a:off x="0" y="0"/>
                            <a:ext cx="1929130" cy="2670175"/>
                          </a:xfrm>
                          <a:prstGeom prst="rect">
                            <a:avLst/>
                          </a:prstGeom>
                        </pic:spPr>
                      </pic:pic>
                    </a:graphicData>
                  </a:graphic>
                </wp:inline>
              </w:drawing>
            </w:r>
          </w:p>
        </w:tc>
        <w:tc>
          <w:tcPr>
            <w:tcW w:w="3100" w:type="dxa"/>
            <w:noWrap w:val="0"/>
            <w:vAlign w:val="top"/>
          </w:tcPr>
          <w:p w14:paraId="5B0BFA4E">
            <w:pPr>
              <w:jc w:val="center"/>
              <w:rPr>
                <w:rFonts w:hint="eastAsia" w:eastAsia="宋体"/>
                <w:highlight w:val="none"/>
                <w:lang w:eastAsia="zh-CN"/>
              </w:rPr>
            </w:pPr>
            <w:r>
              <w:rPr>
                <w:rFonts w:hint="eastAsia" w:eastAsia="宋体"/>
                <w:highlight w:val="none"/>
                <w:lang w:eastAsia="zh-CN"/>
              </w:rPr>
              <w:drawing>
                <wp:inline distT="0" distB="0" distL="114300" distR="114300">
                  <wp:extent cx="1931670" cy="2630170"/>
                  <wp:effectExtent l="0" t="0" r="3810" b="6350"/>
                  <wp:docPr id="33" name="图片 33" descr="177432016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774320169073"/>
                          <pic:cNvPicPr>
                            <a:picLocks noChangeAspect="1"/>
                          </pic:cNvPicPr>
                        </pic:nvPicPr>
                        <pic:blipFill>
                          <a:blip r:embed="rId68"/>
                          <a:stretch>
                            <a:fillRect/>
                          </a:stretch>
                        </pic:blipFill>
                        <pic:spPr>
                          <a:xfrm>
                            <a:off x="0" y="0"/>
                            <a:ext cx="1931670" cy="2630170"/>
                          </a:xfrm>
                          <a:prstGeom prst="rect">
                            <a:avLst/>
                          </a:prstGeom>
                        </pic:spPr>
                      </pic:pic>
                    </a:graphicData>
                  </a:graphic>
                </wp:inline>
              </w:drawing>
            </w:r>
          </w:p>
        </w:tc>
        <w:tc>
          <w:tcPr>
            <w:tcW w:w="3100" w:type="dxa"/>
            <w:noWrap w:val="0"/>
            <w:vAlign w:val="top"/>
          </w:tcPr>
          <w:p w14:paraId="27F5D2BD">
            <w:pPr>
              <w:jc w:val="center"/>
              <w:rPr>
                <w:rFonts w:hint="eastAsia"/>
                <w:highlight w:val="none"/>
              </w:rPr>
            </w:pPr>
            <w:r>
              <w:rPr>
                <w:highlight w:val="none"/>
              </w:rPr>
              <w:drawing>
                <wp:inline distT="0" distB="0" distL="114300" distR="114300">
                  <wp:extent cx="1927860" cy="2641600"/>
                  <wp:effectExtent l="0" t="0" r="7620" b="10160"/>
                  <wp:docPr id="3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7"/>
                          <pic:cNvPicPr>
                            <a:picLocks noChangeAspect="1"/>
                          </pic:cNvPicPr>
                        </pic:nvPicPr>
                        <pic:blipFill>
                          <a:blip r:embed="rId69"/>
                          <a:stretch>
                            <a:fillRect/>
                          </a:stretch>
                        </pic:blipFill>
                        <pic:spPr>
                          <a:xfrm>
                            <a:off x="0" y="0"/>
                            <a:ext cx="1927860" cy="2641600"/>
                          </a:xfrm>
                          <a:prstGeom prst="rect">
                            <a:avLst/>
                          </a:prstGeom>
                          <a:noFill/>
                          <a:ln>
                            <a:noFill/>
                          </a:ln>
                        </pic:spPr>
                      </pic:pic>
                    </a:graphicData>
                  </a:graphic>
                </wp:inline>
              </w:drawing>
            </w:r>
          </w:p>
        </w:tc>
      </w:tr>
    </w:tbl>
    <w:p w14:paraId="125913C5">
      <w:pPr>
        <w:snapToGrid w:val="0"/>
        <w:spacing w:line="300" w:lineRule="auto"/>
        <w:jc w:val="both"/>
        <w:rPr>
          <w:rFonts w:ascii="Arial" w:hAnsi="Arial" w:eastAsia="仿宋_GB2312" w:cs="Arial"/>
          <w:sz w:val="28"/>
          <w:highlight w:val="none"/>
        </w:rPr>
      </w:pPr>
    </w:p>
    <w:p w14:paraId="40E14E52">
      <w:pPr>
        <w:rPr>
          <w:rFonts w:ascii="Arial" w:hAnsi="Arial" w:eastAsia="仿宋_GB2312" w:cs="Arial"/>
          <w:b/>
          <w:bCs/>
          <w:highlight w:val="none"/>
        </w:rPr>
      </w:pPr>
      <w:r>
        <w:rPr>
          <w:rFonts w:ascii="Arial" w:hAnsi="Arial" w:eastAsia="仿宋_GB2312" w:cs="Arial"/>
          <w:b/>
          <w:bCs/>
          <w:highlight w:val="none"/>
        </w:rPr>
        <w:br w:type="page"/>
      </w:r>
    </w:p>
    <w:p w14:paraId="7E58370B">
      <w:pPr>
        <w:spacing w:after="26" w:line="300" w:lineRule="auto"/>
        <w:ind w:firstLine="482" w:firstLineChars="200"/>
        <w:jc w:val="center"/>
        <w:rPr>
          <w:rFonts w:ascii="Arial" w:hAnsi="Arial" w:eastAsia="仿宋_GB2312" w:cs="Arial"/>
          <w:sz w:val="28"/>
          <w:highlight w:val="none"/>
        </w:rPr>
      </w:pPr>
      <w:r>
        <w:rPr>
          <w:rFonts w:ascii="Arial" w:hAnsi="Arial" w:eastAsia="仿宋_GB2312" w:cs="Arial"/>
          <w:b/>
          <w:bCs/>
          <w:highlight w:val="none"/>
        </w:rPr>
        <w:t>表1：比较因素条件说明及指数表</w:t>
      </w:r>
    </w:p>
    <w:tbl>
      <w:tblPr>
        <w:tblStyle w:val="34"/>
        <w:tblW w:w="9072" w:type="dxa"/>
        <w:jc w:val="center"/>
        <w:tblLayout w:type="fixed"/>
        <w:tblCellMar>
          <w:top w:w="57" w:type="dxa"/>
          <w:left w:w="28" w:type="dxa"/>
          <w:bottom w:w="57" w:type="dxa"/>
          <w:right w:w="28" w:type="dxa"/>
        </w:tblCellMar>
      </w:tblPr>
      <w:tblGrid>
        <w:gridCol w:w="285"/>
        <w:gridCol w:w="850"/>
        <w:gridCol w:w="1418"/>
        <w:gridCol w:w="567"/>
        <w:gridCol w:w="1417"/>
        <w:gridCol w:w="757"/>
        <w:gridCol w:w="1374"/>
        <w:gridCol w:w="551"/>
        <w:gridCol w:w="1302"/>
        <w:gridCol w:w="551"/>
      </w:tblGrid>
      <w:tr w14:paraId="26B1601C">
        <w:tblPrEx>
          <w:tblCellMar>
            <w:top w:w="57" w:type="dxa"/>
            <w:left w:w="28" w:type="dxa"/>
            <w:bottom w:w="57" w:type="dxa"/>
            <w:right w:w="28" w:type="dxa"/>
          </w:tblCellMar>
        </w:tblPrEx>
        <w:trPr>
          <w:cantSplit/>
          <w:tblHeader/>
          <w:jc w:val="center"/>
        </w:trPr>
        <w:tc>
          <w:tcPr>
            <w:tcW w:w="1135" w:type="dxa"/>
            <w:gridSpan w:val="2"/>
            <w:vMerge w:val="restart"/>
            <w:tcBorders>
              <w:top w:val="single" w:color="auto" w:sz="4" w:space="0"/>
              <w:left w:val="single" w:color="auto" w:sz="4" w:space="0"/>
              <w:right w:val="single" w:color="auto" w:sz="4" w:space="0"/>
            </w:tcBorders>
            <w:shd w:val="clear" w:color="auto" w:fill="auto"/>
            <w:noWrap/>
            <w:vAlign w:val="center"/>
          </w:tcPr>
          <w:p w14:paraId="19448FF8">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比较因素</w:t>
            </w:r>
          </w:p>
        </w:tc>
        <w:tc>
          <w:tcPr>
            <w:tcW w:w="1985" w:type="dxa"/>
            <w:gridSpan w:val="2"/>
            <w:tcBorders>
              <w:top w:val="single" w:color="auto" w:sz="4" w:space="0"/>
              <w:left w:val="nil"/>
              <w:bottom w:val="single" w:color="auto" w:sz="4" w:space="0"/>
              <w:right w:val="single" w:color="auto" w:sz="4" w:space="0"/>
            </w:tcBorders>
            <w:shd w:val="clear" w:color="auto" w:fill="auto"/>
            <w:vAlign w:val="center"/>
          </w:tcPr>
          <w:p w14:paraId="7653D104">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估价对象</w:t>
            </w:r>
          </w:p>
        </w:tc>
        <w:tc>
          <w:tcPr>
            <w:tcW w:w="2174" w:type="dxa"/>
            <w:gridSpan w:val="2"/>
            <w:tcBorders>
              <w:top w:val="single" w:color="auto" w:sz="4" w:space="0"/>
              <w:left w:val="nil"/>
              <w:bottom w:val="single" w:color="auto" w:sz="4" w:space="0"/>
              <w:right w:val="single" w:color="auto" w:sz="4" w:space="0"/>
            </w:tcBorders>
            <w:shd w:val="clear" w:color="auto" w:fill="auto"/>
            <w:vAlign w:val="center"/>
          </w:tcPr>
          <w:p w14:paraId="088681F0">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案例：A</w:t>
            </w:r>
          </w:p>
        </w:tc>
        <w:tc>
          <w:tcPr>
            <w:tcW w:w="1925" w:type="dxa"/>
            <w:gridSpan w:val="2"/>
            <w:tcBorders>
              <w:top w:val="single" w:color="auto" w:sz="4" w:space="0"/>
              <w:left w:val="nil"/>
              <w:bottom w:val="single" w:color="auto" w:sz="4" w:space="0"/>
              <w:right w:val="single" w:color="auto" w:sz="4" w:space="0"/>
            </w:tcBorders>
            <w:shd w:val="clear" w:color="auto" w:fill="auto"/>
            <w:vAlign w:val="center"/>
          </w:tcPr>
          <w:p w14:paraId="2B3394DA">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案例：B</w:t>
            </w:r>
          </w:p>
        </w:tc>
        <w:tc>
          <w:tcPr>
            <w:tcW w:w="1853" w:type="dxa"/>
            <w:gridSpan w:val="2"/>
            <w:tcBorders>
              <w:top w:val="single" w:color="auto" w:sz="4" w:space="0"/>
              <w:left w:val="nil"/>
              <w:bottom w:val="single" w:color="auto" w:sz="4" w:space="0"/>
              <w:right w:val="single" w:color="auto" w:sz="4" w:space="0"/>
            </w:tcBorders>
            <w:shd w:val="clear" w:color="auto" w:fill="auto"/>
            <w:vAlign w:val="center"/>
          </w:tcPr>
          <w:p w14:paraId="74E23FAA">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案例：C</w:t>
            </w:r>
          </w:p>
        </w:tc>
      </w:tr>
      <w:tr w14:paraId="34FE1436">
        <w:tblPrEx>
          <w:tblCellMar>
            <w:top w:w="57" w:type="dxa"/>
            <w:left w:w="28" w:type="dxa"/>
            <w:bottom w:w="57" w:type="dxa"/>
            <w:right w:w="28" w:type="dxa"/>
          </w:tblCellMar>
        </w:tblPrEx>
        <w:trPr>
          <w:cantSplit/>
          <w:tblHeader/>
          <w:jc w:val="center"/>
        </w:trPr>
        <w:tc>
          <w:tcPr>
            <w:tcW w:w="1135" w:type="dxa"/>
            <w:gridSpan w:val="2"/>
            <w:vMerge w:val="continue"/>
            <w:tcBorders>
              <w:left w:val="single" w:color="auto" w:sz="4" w:space="0"/>
              <w:right w:val="single" w:color="auto" w:sz="4" w:space="0"/>
            </w:tcBorders>
            <w:vAlign w:val="center"/>
          </w:tcPr>
          <w:p w14:paraId="7DC0D5AE">
            <w:pPr>
              <w:widowControl/>
              <w:adjustRightInd/>
              <w:spacing w:line="240" w:lineRule="exact"/>
              <w:textAlignment w:val="auto"/>
              <w:rPr>
                <w:rFonts w:ascii="Arial" w:hAnsi="Arial" w:eastAsia="仿宋_GB2312" w:cs="Arial"/>
                <w:sz w:val="18"/>
                <w:szCs w:val="18"/>
                <w:highlight w:val="none"/>
              </w:rPr>
            </w:pPr>
          </w:p>
        </w:tc>
        <w:tc>
          <w:tcPr>
            <w:tcW w:w="1418" w:type="dxa"/>
            <w:tcBorders>
              <w:top w:val="nil"/>
              <w:left w:val="nil"/>
              <w:bottom w:val="single" w:color="auto" w:sz="4" w:space="0"/>
              <w:right w:val="single" w:color="auto" w:sz="4" w:space="0"/>
            </w:tcBorders>
            <w:shd w:val="clear" w:color="auto" w:fill="auto"/>
            <w:vAlign w:val="center"/>
          </w:tcPr>
          <w:p w14:paraId="69D2674C">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北京市顺义区高丽营镇夏县营村棚户区改造土地开发项目01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008、01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016、01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026</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1、01</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020地块</w:t>
            </w:r>
          </w:p>
        </w:tc>
        <w:tc>
          <w:tcPr>
            <w:tcW w:w="567" w:type="dxa"/>
            <w:vMerge w:val="restart"/>
            <w:tcBorders>
              <w:top w:val="nil"/>
              <w:left w:val="nil"/>
              <w:right w:val="single" w:color="auto" w:sz="4" w:space="0"/>
            </w:tcBorders>
            <w:shd w:val="clear" w:color="auto" w:fill="auto"/>
            <w:vAlign w:val="center"/>
          </w:tcPr>
          <w:p w14:paraId="47D1CED0">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系数</w:t>
            </w:r>
          </w:p>
        </w:tc>
        <w:tc>
          <w:tcPr>
            <w:tcW w:w="1417" w:type="dxa"/>
            <w:tcBorders>
              <w:top w:val="nil"/>
              <w:left w:val="nil"/>
              <w:bottom w:val="single" w:color="auto" w:sz="4" w:space="0"/>
              <w:right w:val="single" w:color="auto" w:sz="4" w:space="0"/>
            </w:tcBorders>
            <w:shd w:val="clear" w:color="auto" w:fill="auto"/>
            <w:vAlign w:val="center"/>
          </w:tcPr>
          <w:p w14:paraId="56F7D33C">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璞瑅润府</w:t>
            </w:r>
          </w:p>
        </w:tc>
        <w:tc>
          <w:tcPr>
            <w:tcW w:w="757" w:type="dxa"/>
            <w:vMerge w:val="restart"/>
            <w:tcBorders>
              <w:top w:val="nil"/>
              <w:left w:val="nil"/>
              <w:right w:val="single" w:color="auto" w:sz="4" w:space="0"/>
            </w:tcBorders>
            <w:shd w:val="clear" w:color="auto" w:fill="auto"/>
            <w:vAlign w:val="center"/>
          </w:tcPr>
          <w:p w14:paraId="7C6F7E2F">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系数</w:t>
            </w:r>
          </w:p>
        </w:tc>
        <w:tc>
          <w:tcPr>
            <w:tcW w:w="1374" w:type="dxa"/>
            <w:tcBorders>
              <w:top w:val="nil"/>
              <w:left w:val="nil"/>
              <w:bottom w:val="single" w:color="auto" w:sz="4" w:space="0"/>
              <w:right w:val="single" w:color="auto" w:sz="4" w:space="0"/>
            </w:tcBorders>
            <w:shd w:val="clear" w:color="auto" w:fill="auto"/>
            <w:vAlign w:val="center"/>
          </w:tcPr>
          <w:p w14:paraId="5C48C5A9">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富力首开·金禧璞瑅</w:t>
            </w:r>
          </w:p>
        </w:tc>
        <w:tc>
          <w:tcPr>
            <w:tcW w:w="551" w:type="dxa"/>
            <w:vMerge w:val="restart"/>
            <w:tcBorders>
              <w:top w:val="nil"/>
              <w:left w:val="nil"/>
              <w:right w:val="single" w:color="auto" w:sz="4" w:space="0"/>
            </w:tcBorders>
            <w:shd w:val="clear" w:color="auto" w:fill="auto"/>
            <w:vAlign w:val="center"/>
          </w:tcPr>
          <w:p w14:paraId="6ED3D682">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系数</w:t>
            </w:r>
          </w:p>
        </w:tc>
        <w:tc>
          <w:tcPr>
            <w:tcW w:w="1302" w:type="dxa"/>
            <w:tcBorders>
              <w:top w:val="nil"/>
              <w:left w:val="nil"/>
              <w:bottom w:val="single" w:color="auto" w:sz="4" w:space="0"/>
              <w:right w:val="single" w:color="auto" w:sz="4" w:space="0"/>
            </w:tcBorders>
            <w:shd w:val="clear" w:color="auto" w:fill="auto"/>
            <w:vAlign w:val="center"/>
          </w:tcPr>
          <w:p w14:paraId="4FD92B91">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招商中建·顺义臻珑府</w:t>
            </w:r>
          </w:p>
        </w:tc>
        <w:tc>
          <w:tcPr>
            <w:tcW w:w="551" w:type="dxa"/>
            <w:vMerge w:val="restart"/>
            <w:tcBorders>
              <w:top w:val="nil"/>
              <w:left w:val="nil"/>
              <w:right w:val="single" w:color="auto" w:sz="4" w:space="0"/>
            </w:tcBorders>
            <w:shd w:val="clear" w:color="auto" w:fill="auto"/>
            <w:vAlign w:val="center"/>
          </w:tcPr>
          <w:p w14:paraId="59693AB5">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系数</w:t>
            </w:r>
          </w:p>
        </w:tc>
      </w:tr>
      <w:tr w14:paraId="5A5CA61C">
        <w:tblPrEx>
          <w:tblCellMar>
            <w:top w:w="57" w:type="dxa"/>
            <w:left w:w="28" w:type="dxa"/>
            <w:bottom w:w="57" w:type="dxa"/>
            <w:right w:w="28" w:type="dxa"/>
          </w:tblCellMar>
        </w:tblPrEx>
        <w:trPr>
          <w:cantSplit/>
          <w:tblHeader/>
          <w:jc w:val="center"/>
        </w:trPr>
        <w:tc>
          <w:tcPr>
            <w:tcW w:w="1135" w:type="dxa"/>
            <w:gridSpan w:val="2"/>
            <w:vMerge w:val="continue"/>
            <w:tcBorders>
              <w:left w:val="single" w:color="auto" w:sz="4" w:space="0"/>
              <w:bottom w:val="single" w:color="auto" w:sz="4" w:space="0"/>
              <w:right w:val="single" w:color="auto" w:sz="4" w:space="0"/>
            </w:tcBorders>
            <w:vAlign w:val="center"/>
          </w:tcPr>
          <w:p w14:paraId="125A2905">
            <w:pPr>
              <w:widowControl/>
              <w:adjustRightInd/>
              <w:spacing w:line="240" w:lineRule="exact"/>
              <w:textAlignment w:val="auto"/>
              <w:rPr>
                <w:rFonts w:ascii="Arial" w:hAnsi="Arial" w:eastAsia="仿宋_GB2312" w:cs="Arial"/>
                <w:sz w:val="18"/>
                <w:szCs w:val="18"/>
                <w:highlight w:val="none"/>
              </w:rPr>
            </w:pPr>
          </w:p>
        </w:tc>
        <w:tc>
          <w:tcPr>
            <w:tcW w:w="1418" w:type="dxa"/>
            <w:tcBorders>
              <w:top w:val="nil"/>
              <w:left w:val="nil"/>
              <w:bottom w:val="single" w:color="auto" w:sz="4" w:space="0"/>
              <w:right w:val="single" w:color="auto" w:sz="4" w:space="0"/>
            </w:tcBorders>
            <w:shd w:val="clear" w:color="auto" w:fill="auto"/>
            <w:vAlign w:val="center"/>
          </w:tcPr>
          <w:p w14:paraId="27E470A5">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顺义区夏县营村</w:t>
            </w:r>
          </w:p>
        </w:tc>
        <w:tc>
          <w:tcPr>
            <w:tcW w:w="567" w:type="dxa"/>
            <w:vMerge w:val="continue"/>
            <w:tcBorders>
              <w:left w:val="nil"/>
              <w:bottom w:val="single" w:color="auto" w:sz="4" w:space="0"/>
              <w:right w:val="single" w:color="auto" w:sz="4" w:space="0"/>
            </w:tcBorders>
            <w:shd w:val="clear" w:color="auto" w:fill="auto"/>
            <w:vAlign w:val="center"/>
          </w:tcPr>
          <w:p w14:paraId="01C23CE4">
            <w:pPr>
              <w:widowControl/>
              <w:adjustRightInd/>
              <w:spacing w:line="240" w:lineRule="exact"/>
              <w:jc w:val="center"/>
              <w:textAlignment w:val="auto"/>
              <w:rPr>
                <w:rFonts w:ascii="Arial" w:hAnsi="Arial" w:eastAsia="仿宋_GB2312" w:cs="Arial"/>
                <w:sz w:val="18"/>
                <w:szCs w:val="18"/>
                <w:highlight w:val="none"/>
              </w:rPr>
            </w:pPr>
          </w:p>
        </w:tc>
        <w:tc>
          <w:tcPr>
            <w:tcW w:w="1417" w:type="dxa"/>
            <w:tcBorders>
              <w:top w:val="nil"/>
              <w:left w:val="nil"/>
              <w:bottom w:val="single" w:color="auto" w:sz="4" w:space="0"/>
              <w:right w:val="single" w:color="auto" w:sz="4" w:space="0"/>
            </w:tcBorders>
            <w:shd w:val="clear" w:color="auto" w:fill="auto"/>
            <w:vAlign w:val="center"/>
          </w:tcPr>
          <w:p w14:paraId="13A6AD3B">
            <w:pPr>
              <w:widowControl/>
              <w:adjustRightInd/>
              <w:spacing w:line="240" w:lineRule="exact"/>
              <w:jc w:val="center"/>
              <w:textAlignment w:val="auto"/>
              <w:rPr>
                <w:rFonts w:ascii="Arial" w:hAnsi="Arial" w:eastAsia="仿宋_GB2312" w:cs="Arial"/>
                <w:sz w:val="18"/>
                <w:szCs w:val="18"/>
                <w:highlight w:val="none"/>
                <w:lang w:val="zh-CN"/>
              </w:rPr>
            </w:pPr>
            <w:r>
              <w:rPr>
                <w:rFonts w:hint="eastAsia" w:ascii="Arial" w:hAnsi="Arial" w:eastAsia="仿宋_GB2312" w:cs="Arial"/>
                <w:sz w:val="18"/>
                <w:szCs w:val="18"/>
                <w:highlight w:val="none"/>
                <w:lang w:val="en-US" w:eastAsia="zh-CN"/>
              </w:rPr>
              <w:t>顺义区</w:t>
            </w:r>
            <w:r>
              <w:rPr>
                <w:rFonts w:hint="eastAsia" w:ascii="Arial" w:hAnsi="Arial" w:eastAsia="仿宋_GB2312" w:cs="Arial"/>
                <w:sz w:val="18"/>
                <w:szCs w:val="18"/>
                <w:highlight w:val="none"/>
                <w:lang w:val="zh-CN"/>
              </w:rPr>
              <w:t>顺白路玉兰苑甲1号</w:t>
            </w:r>
          </w:p>
        </w:tc>
        <w:tc>
          <w:tcPr>
            <w:tcW w:w="757" w:type="dxa"/>
            <w:vMerge w:val="continue"/>
            <w:tcBorders>
              <w:left w:val="nil"/>
              <w:bottom w:val="single" w:color="auto" w:sz="4" w:space="0"/>
              <w:right w:val="single" w:color="auto" w:sz="4" w:space="0"/>
            </w:tcBorders>
            <w:shd w:val="clear" w:color="auto" w:fill="auto"/>
            <w:vAlign w:val="center"/>
          </w:tcPr>
          <w:p w14:paraId="7C505EF7">
            <w:pPr>
              <w:widowControl/>
              <w:adjustRightInd/>
              <w:spacing w:line="240" w:lineRule="exact"/>
              <w:jc w:val="center"/>
              <w:textAlignment w:val="auto"/>
              <w:rPr>
                <w:rFonts w:ascii="Arial" w:hAnsi="Arial" w:eastAsia="仿宋_GB2312" w:cs="Arial"/>
                <w:sz w:val="18"/>
                <w:szCs w:val="18"/>
                <w:highlight w:val="none"/>
              </w:rPr>
            </w:pPr>
          </w:p>
        </w:tc>
        <w:tc>
          <w:tcPr>
            <w:tcW w:w="1374" w:type="dxa"/>
            <w:tcBorders>
              <w:top w:val="nil"/>
              <w:left w:val="nil"/>
              <w:bottom w:val="single" w:color="auto" w:sz="4" w:space="0"/>
              <w:right w:val="single" w:color="auto" w:sz="4" w:space="0"/>
            </w:tcBorders>
            <w:shd w:val="clear" w:color="auto" w:fill="auto"/>
            <w:vAlign w:val="center"/>
          </w:tcPr>
          <w:p w14:paraId="325812DB">
            <w:pPr>
              <w:widowControl/>
              <w:adjustRightInd/>
              <w:spacing w:line="240" w:lineRule="exact"/>
              <w:jc w:val="center"/>
              <w:textAlignment w:val="auto"/>
              <w:rPr>
                <w:rFonts w:ascii="Arial" w:hAnsi="Arial" w:eastAsia="仿宋_GB2312" w:cs="Arial"/>
                <w:sz w:val="18"/>
                <w:szCs w:val="18"/>
                <w:highlight w:val="none"/>
                <w:lang w:val="zh-CN"/>
              </w:rPr>
            </w:pPr>
            <w:r>
              <w:rPr>
                <w:rFonts w:hint="eastAsia" w:ascii="Arial" w:hAnsi="Arial" w:eastAsia="仿宋_GB2312" w:cs="Arial"/>
                <w:sz w:val="18"/>
                <w:szCs w:val="18"/>
                <w:highlight w:val="none"/>
                <w:lang w:val="zh-CN"/>
              </w:rPr>
              <w:t>顺义区高泗路四村段23号</w:t>
            </w:r>
          </w:p>
        </w:tc>
        <w:tc>
          <w:tcPr>
            <w:tcW w:w="551" w:type="dxa"/>
            <w:vMerge w:val="continue"/>
            <w:tcBorders>
              <w:left w:val="nil"/>
              <w:bottom w:val="single" w:color="auto" w:sz="4" w:space="0"/>
              <w:right w:val="single" w:color="auto" w:sz="4" w:space="0"/>
            </w:tcBorders>
            <w:shd w:val="clear" w:color="auto" w:fill="auto"/>
            <w:vAlign w:val="center"/>
          </w:tcPr>
          <w:p w14:paraId="77D82F66">
            <w:pPr>
              <w:widowControl/>
              <w:adjustRightInd/>
              <w:spacing w:line="240" w:lineRule="exact"/>
              <w:jc w:val="center"/>
              <w:textAlignment w:val="auto"/>
              <w:rPr>
                <w:rFonts w:ascii="Arial" w:hAnsi="Arial" w:eastAsia="仿宋_GB2312" w:cs="Arial"/>
                <w:sz w:val="18"/>
                <w:szCs w:val="18"/>
                <w:highlight w:val="none"/>
              </w:rPr>
            </w:pPr>
          </w:p>
        </w:tc>
        <w:tc>
          <w:tcPr>
            <w:tcW w:w="1302" w:type="dxa"/>
            <w:tcBorders>
              <w:top w:val="nil"/>
              <w:left w:val="nil"/>
              <w:bottom w:val="single" w:color="auto" w:sz="4" w:space="0"/>
              <w:right w:val="single" w:color="auto" w:sz="4" w:space="0"/>
            </w:tcBorders>
            <w:shd w:val="clear" w:color="auto" w:fill="auto"/>
            <w:vAlign w:val="center"/>
          </w:tcPr>
          <w:p w14:paraId="3B9F6613">
            <w:pPr>
              <w:widowControl/>
              <w:adjustRightInd/>
              <w:spacing w:line="240" w:lineRule="exact"/>
              <w:jc w:val="center"/>
              <w:textAlignment w:val="auto"/>
              <w:rPr>
                <w:rFonts w:ascii="Arial" w:hAnsi="Arial" w:eastAsia="仿宋_GB2312" w:cs="Arial"/>
                <w:sz w:val="18"/>
                <w:szCs w:val="18"/>
                <w:highlight w:val="none"/>
                <w:lang w:val="zh-CN"/>
              </w:rPr>
            </w:pPr>
            <w:r>
              <w:rPr>
                <w:rFonts w:hint="eastAsia" w:ascii="Arial" w:hAnsi="Arial" w:eastAsia="仿宋_GB2312" w:cs="Arial"/>
                <w:sz w:val="18"/>
                <w:szCs w:val="18"/>
                <w:highlight w:val="none"/>
                <w:lang w:val="zh-CN"/>
              </w:rPr>
              <w:t>顺义区大营四街与通顺路交汇处西南角</w:t>
            </w:r>
          </w:p>
        </w:tc>
        <w:tc>
          <w:tcPr>
            <w:tcW w:w="551" w:type="dxa"/>
            <w:vMerge w:val="continue"/>
            <w:tcBorders>
              <w:left w:val="nil"/>
              <w:bottom w:val="single" w:color="auto" w:sz="4" w:space="0"/>
              <w:right w:val="single" w:color="auto" w:sz="4" w:space="0"/>
            </w:tcBorders>
            <w:shd w:val="clear" w:color="auto" w:fill="auto"/>
            <w:vAlign w:val="center"/>
          </w:tcPr>
          <w:p w14:paraId="6D1BB0DB">
            <w:pPr>
              <w:widowControl/>
              <w:adjustRightInd/>
              <w:spacing w:line="240" w:lineRule="exact"/>
              <w:jc w:val="center"/>
              <w:textAlignment w:val="auto"/>
              <w:rPr>
                <w:rFonts w:ascii="Arial" w:hAnsi="Arial" w:eastAsia="仿宋_GB2312" w:cs="Arial"/>
                <w:sz w:val="18"/>
                <w:szCs w:val="18"/>
                <w:highlight w:val="none"/>
              </w:rPr>
            </w:pPr>
          </w:p>
        </w:tc>
      </w:tr>
      <w:tr w14:paraId="30172A94">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2F5D7762">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交易时间</w:t>
            </w:r>
          </w:p>
        </w:tc>
        <w:tc>
          <w:tcPr>
            <w:tcW w:w="1418" w:type="dxa"/>
            <w:tcBorders>
              <w:top w:val="nil"/>
              <w:left w:val="nil"/>
              <w:bottom w:val="single" w:color="auto" w:sz="4" w:space="0"/>
              <w:right w:val="single" w:color="auto" w:sz="4" w:space="0"/>
            </w:tcBorders>
            <w:shd w:val="clear" w:color="auto" w:fill="auto"/>
            <w:vAlign w:val="center"/>
          </w:tcPr>
          <w:p w14:paraId="2FB9C411">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eastAsia="zh-CN"/>
              </w:rPr>
              <w:t>2026.3.2</w:t>
            </w:r>
            <w:r>
              <w:rPr>
                <w:rFonts w:hint="eastAsia" w:ascii="Arial" w:hAnsi="Arial" w:eastAsia="仿宋_GB2312" w:cs="Arial"/>
                <w:sz w:val="18"/>
                <w:szCs w:val="18"/>
                <w:highlight w:val="none"/>
                <w:lang w:val="en-US" w:eastAsia="zh-CN"/>
              </w:rPr>
              <w:t>6</w:t>
            </w:r>
          </w:p>
        </w:tc>
        <w:tc>
          <w:tcPr>
            <w:tcW w:w="567" w:type="dxa"/>
            <w:tcBorders>
              <w:top w:val="nil"/>
              <w:left w:val="nil"/>
              <w:bottom w:val="single" w:color="auto" w:sz="4" w:space="0"/>
              <w:right w:val="single" w:color="auto" w:sz="4" w:space="0"/>
            </w:tcBorders>
            <w:shd w:val="clear" w:color="auto" w:fill="auto"/>
            <w:vAlign w:val="center"/>
          </w:tcPr>
          <w:p w14:paraId="04A39560">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12A62525">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ascii="Arial" w:hAnsi="Arial" w:eastAsia="仿宋_GB2312" w:cs="Arial"/>
                <w:sz w:val="18"/>
                <w:szCs w:val="18"/>
                <w:highlight w:val="none"/>
              </w:rPr>
              <w:t>20</w:t>
            </w:r>
            <w:r>
              <w:rPr>
                <w:rFonts w:hint="eastAsia" w:ascii="Arial" w:hAnsi="Arial" w:eastAsia="仿宋_GB2312" w:cs="Arial"/>
                <w:sz w:val="18"/>
                <w:szCs w:val="18"/>
                <w:highlight w:val="none"/>
                <w:lang w:val="en-US" w:eastAsia="zh-CN"/>
              </w:rPr>
              <w:t>26.1</w:t>
            </w:r>
          </w:p>
        </w:tc>
        <w:tc>
          <w:tcPr>
            <w:tcW w:w="757" w:type="dxa"/>
            <w:tcBorders>
              <w:top w:val="nil"/>
              <w:left w:val="nil"/>
              <w:bottom w:val="single" w:color="auto" w:sz="4" w:space="0"/>
              <w:right w:val="single" w:color="auto" w:sz="4" w:space="0"/>
            </w:tcBorders>
            <w:shd w:val="clear" w:color="auto" w:fill="auto"/>
            <w:vAlign w:val="center"/>
          </w:tcPr>
          <w:p w14:paraId="0AEBC8CC">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374" w:type="dxa"/>
            <w:tcBorders>
              <w:top w:val="nil"/>
              <w:left w:val="nil"/>
              <w:bottom w:val="single" w:color="auto" w:sz="4" w:space="0"/>
              <w:right w:val="single" w:color="auto" w:sz="4" w:space="0"/>
            </w:tcBorders>
            <w:shd w:val="clear" w:color="auto" w:fill="auto"/>
            <w:vAlign w:val="center"/>
          </w:tcPr>
          <w:p w14:paraId="1282F11C">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ascii="Arial" w:hAnsi="Arial" w:eastAsia="仿宋_GB2312" w:cs="Arial"/>
                <w:sz w:val="18"/>
                <w:szCs w:val="18"/>
                <w:highlight w:val="none"/>
              </w:rPr>
              <w:t>202</w:t>
            </w:r>
            <w:r>
              <w:rPr>
                <w:rFonts w:hint="eastAsia" w:ascii="Arial" w:hAnsi="Arial" w:eastAsia="仿宋_GB2312" w:cs="Arial"/>
                <w:sz w:val="18"/>
                <w:szCs w:val="18"/>
                <w:highlight w:val="none"/>
                <w:lang w:val="en-US" w:eastAsia="zh-CN"/>
              </w:rPr>
              <w:t>6.1</w:t>
            </w:r>
          </w:p>
        </w:tc>
        <w:tc>
          <w:tcPr>
            <w:tcW w:w="551" w:type="dxa"/>
            <w:tcBorders>
              <w:top w:val="nil"/>
              <w:left w:val="nil"/>
              <w:bottom w:val="single" w:color="auto" w:sz="4" w:space="0"/>
              <w:right w:val="single" w:color="auto" w:sz="4" w:space="0"/>
            </w:tcBorders>
            <w:shd w:val="clear" w:color="auto" w:fill="auto"/>
            <w:vAlign w:val="center"/>
          </w:tcPr>
          <w:p w14:paraId="44687F16">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302" w:type="dxa"/>
            <w:tcBorders>
              <w:top w:val="nil"/>
              <w:left w:val="nil"/>
              <w:bottom w:val="single" w:color="auto" w:sz="4" w:space="0"/>
              <w:right w:val="single" w:color="auto" w:sz="4" w:space="0"/>
            </w:tcBorders>
            <w:shd w:val="clear" w:color="auto" w:fill="auto"/>
            <w:vAlign w:val="center"/>
          </w:tcPr>
          <w:p w14:paraId="77E04681">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ascii="Arial" w:hAnsi="Arial" w:eastAsia="仿宋_GB2312" w:cs="Arial"/>
                <w:sz w:val="18"/>
                <w:szCs w:val="18"/>
                <w:highlight w:val="none"/>
              </w:rPr>
              <w:t>202</w:t>
            </w:r>
            <w:r>
              <w:rPr>
                <w:rFonts w:hint="eastAsia" w:ascii="Arial" w:hAnsi="Arial" w:eastAsia="仿宋_GB2312" w:cs="Arial"/>
                <w:sz w:val="18"/>
                <w:szCs w:val="18"/>
                <w:highlight w:val="none"/>
                <w:lang w:val="en-US" w:eastAsia="zh-CN"/>
              </w:rPr>
              <w:t>6.1</w:t>
            </w:r>
          </w:p>
        </w:tc>
        <w:tc>
          <w:tcPr>
            <w:tcW w:w="551" w:type="dxa"/>
            <w:tcBorders>
              <w:top w:val="nil"/>
              <w:left w:val="nil"/>
              <w:bottom w:val="single" w:color="auto" w:sz="4" w:space="0"/>
              <w:right w:val="single" w:color="auto" w:sz="4" w:space="0"/>
            </w:tcBorders>
            <w:shd w:val="clear" w:color="auto" w:fill="auto"/>
            <w:vAlign w:val="center"/>
          </w:tcPr>
          <w:p w14:paraId="71FDC90F">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r>
      <w:tr w14:paraId="18D9106F">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14:paraId="03C9396D">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交易情况</w:t>
            </w:r>
          </w:p>
        </w:tc>
        <w:tc>
          <w:tcPr>
            <w:tcW w:w="1418" w:type="dxa"/>
            <w:tcBorders>
              <w:top w:val="nil"/>
              <w:left w:val="nil"/>
              <w:bottom w:val="single" w:color="auto" w:sz="4" w:space="0"/>
              <w:right w:val="single" w:color="auto" w:sz="4" w:space="0"/>
            </w:tcBorders>
            <w:shd w:val="clear" w:color="auto" w:fill="auto"/>
            <w:vAlign w:val="center"/>
          </w:tcPr>
          <w:p w14:paraId="59ACACEA">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正常</w:t>
            </w:r>
          </w:p>
        </w:tc>
        <w:tc>
          <w:tcPr>
            <w:tcW w:w="567" w:type="dxa"/>
            <w:tcBorders>
              <w:top w:val="nil"/>
              <w:left w:val="nil"/>
              <w:bottom w:val="single" w:color="auto" w:sz="4" w:space="0"/>
              <w:right w:val="single" w:color="auto" w:sz="4" w:space="0"/>
            </w:tcBorders>
            <w:shd w:val="clear" w:color="auto" w:fill="auto"/>
            <w:vAlign w:val="center"/>
          </w:tcPr>
          <w:p w14:paraId="50726E30">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50FA17D4">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正常</w:t>
            </w:r>
          </w:p>
        </w:tc>
        <w:tc>
          <w:tcPr>
            <w:tcW w:w="757" w:type="dxa"/>
            <w:tcBorders>
              <w:top w:val="nil"/>
              <w:left w:val="nil"/>
              <w:bottom w:val="single" w:color="auto" w:sz="4" w:space="0"/>
              <w:right w:val="single" w:color="auto" w:sz="4" w:space="0"/>
            </w:tcBorders>
            <w:shd w:val="clear" w:color="auto" w:fill="auto"/>
            <w:vAlign w:val="center"/>
          </w:tcPr>
          <w:p w14:paraId="25710B8A">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74" w:type="dxa"/>
            <w:tcBorders>
              <w:top w:val="nil"/>
              <w:left w:val="nil"/>
              <w:bottom w:val="single" w:color="auto" w:sz="4" w:space="0"/>
              <w:right w:val="single" w:color="auto" w:sz="4" w:space="0"/>
            </w:tcBorders>
            <w:shd w:val="clear" w:color="auto" w:fill="auto"/>
            <w:vAlign w:val="center"/>
          </w:tcPr>
          <w:p w14:paraId="7CD479B5">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正常</w:t>
            </w:r>
          </w:p>
        </w:tc>
        <w:tc>
          <w:tcPr>
            <w:tcW w:w="551" w:type="dxa"/>
            <w:tcBorders>
              <w:top w:val="nil"/>
              <w:left w:val="nil"/>
              <w:bottom w:val="single" w:color="auto" w:sz="4" w:space="0"/>
              <w:right w:val="single" w:color="auto" w:sz="4" w:space="0"/>
            </w:tcBorders>
            <w:shd w:val="clear" w:color="auto" w:fill="auto"/>
            <w:vAlign w:val="center"/>
          </w:tcPr>
          <w:p w14:paraId="7E4E0704">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02" w:type="dxa"/>
            <w:tcBorders>
              <w:top w:val="nil"/>
              <w:left w:val="nil"/>
              <w:bottom w:val="single" w:color="auto" w:sz="4" w:space="0"/>
              <w:right w:val="single" w:color="auto" w:sz="4" w:space="0"/>
            </w:tcBorders>
            <w:shd w:val="clear" w:color="auto" w:fill="auto"/>
            <w:vAlign w:val="center"/>
          </w:tcPr>
          <w:p w14:paraId="127024CF">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正常</w:t>
            </w:r>
          </w:p>
        </w:tc>
        <w:tc>
          <w:tcPr>
            <w:tcW w:w="551" w:type="dxa"/>
            <w:tcBorders>
              <w:top w:val="nil"/>
              <w:left w:val="nil"/>
              <w:bottom w:val="single" w:color="auto" w:sz="4" w:space="0"/>
              <w:right w:val="single" w:color="auto" w:sz="4" w:space="0"/>
            </w:tcBorders>
            <w:shd w:val="clear" w:color="auto" w:fill="auto"/>
            <w:vAlign w:val="center"/>
          </w:tcPr>
          <w:p w14:paraId="7340D284">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r>
      <w:tr w14:paraId="740AB619">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5A583D2D">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用途</w:t>
            </w:r>
          </w:p>
        </w:tc>
        <w:tc>
          <w:tcPr>
            <w:tcW w:w="1418" w:type="dxa"/>
            <w:tcBorders>
              <w:top w:val="nil"/>
              <w:left w:val="nil"/>
              <w:bottom w:val="single" w:color="auto" w:sz="4" w:space="0"/>
              <w:right w:val="single" w:color="auto" w:sz="4" w:space="0"/>
            </w:tcBorders>
            <w:shd w:val="clear" w:color="auto" w:fill="auto"/>
            <w:vAlign w:val="center"/>
          </w:tcPr>
          <w:p w14:paraId="062FD2CC">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住宅</w:t>
            </w:r>
          </w:p>
        </w:tc>
        <w:tc>
          <w:tcPr>
            <w:tcW w:w="567" w:type="dxa"/>
            <w:tcBorders>
              <w:top w:val="nil"/>
              <w:left w:val="nil"/>
              <w:bottom w:val="single" w:color="auto" w:sz="4" w:space="0"/>
              <w:right w:val="single" w:color="auto" w:sz="4" w:space="0"/>
            </w:tcBorders>
            <w:shd w:val="clear" w:color="auto" w:fill="auto"/>
            <w:vAlign w:val="center"/>
          </w:tcPr>
          <w:p w14:paraId="73B6A1B7">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4066DFDE">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住宅</w:t>
            </w:r>
          </w:p>
        </w:tc>
        <w:tc>
          <w:tcPr>
            <w:tcW w:w="757" w:type="dxa"/>
            <w:tcBorders>
              <w:top w:val="nil"/>
              <w:left w:val="nil"/>
              <w:bottom w:val="single" w:color="auto" w:sz="4" w:space="0"/>
              <w:right w:val="single" w:color="auto" w:sz="4" w:space="0"/>
            </w:tcBorders>
            <w:shd w:val="clear" w:color="auto" w:fill="auto"/>
            <w:vAlign w:val="center"/>
          </w:tcPr>
          <w:p w14:paraId="45A72130">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74" w:type="dxa"/>
            <w:tcBorders>
              <w:top w:val="nil"/>
              <w:left w:val="nil"/>
              <w:bottom w:val="single" w:color="auto" w:sz="4" w:space="0"/>
              <w:right w:val="single" w:color="auto" w:sz="4" w:space="0"/>
            </w:tcBorders>
            <w:shd w:val="clear" w:color="auto" w:fill="auto"/>
            <w:vAlign w:val="center"/>
          </w:tcPr>
          <w:p w14:paraId="37B10A9A">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住宅</w:t>
            </w:r>
          </w:p>
        </w:tc>
        <w:tc>
          <w:tcPr>
            <w:tcW w:w="551" w:type="dxa"/>
            <w:tcBorders>
              <w:top w:val="nil"/>
              <w:left w:val="nil"/>
              <w:bottom w:val="single" w:color="auto" w:sz="4" w:space="0"/>
              <w:right w:val="single" w:color="auto" w:sz="4" w:space="0"/>
            </w:tcBorders>
            <w:shd w:val="clear" w:color="auto" w:fill="auto"/>
            <w:vAlign w:val="center"/>
          </w:tcPr>
          <w:p w14:paraId="1DF07975">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02" w:type="dxa"/>
            <w:tcBorders>
              <w:top w:val="nil"/>
              <w:left w:val="nil"/>
              <w:bottom w:val="single" w:color="auto" w:sz="4" w:space="0"/>
              <w:right w:val="single" w:color="auto" w:sz="4" w:space="0"/>
            </w:tcBorders>
            <w:shd w:val="clear" w:color="auto" w:fill="auto"/>
            <w:vAlign w:val="center"/>
          </w:tcPr>
          <w:p w14:paraId="2D704A3B">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住宅</w:t>
            </w:r>
          </w:p>
        </w:tc>
        <w:tc>
          <w:tcPr>
            <w:tcW w:w="551" w:type="dxa"/>
            <w:tcBorders>
              <w:top w:val="nil"/>
              <w:left w:val="nil"/>
              <w:bottom w:val="single" w:color="auto" w:sz="4" w:space="0"/>
              <w:right w:val="single" w:color="auto" w:sz="4" w:space="0"/>
            </w:tcBorders>
            <w:shd w:val="clear" w:color="auto" w:fill="auto"/>
            <w:noWrap/>
            <w:vAlign w:val="center"/>
          </w:tcPr>
          <w:p w14:paraId="47DC9346">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r>
      <w:tr w14:paraId="593E1ADF">
        <w:tblPrEx>
          <w:tblCellMar>
            <w:top w:w="57" w:type="dxa"/>
            <w:left w:w="28" w:type="dxa"/>
            <w:bottom w:w="57" w:type="dxa"/>
            <w:right w:w="28" w:type="dxa"/>
          </w:tblCellMar>
        </w:tblPrEx>
        <w:trPr>
          <w:cantSplit/>
          <w:jc w:val="center"/>
        </w:trPr>
        <w:tc>
          <w:tcPr>
            <w:tcW w:w="1135"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48C20F4B">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容积率</w:t>
            </w:r>
          </w:p>
        </w:tc>
        <w:tc>
          <w:tcPr>
            <w:tcW w:w="1418" w:type="dxa"/>
            <w:tcBorders>
              <w:top w:val="nil"/>
              <w:left w:val="nil"/>
              <w:bottom w:val="single" w:color="auto" w:sz="4" w:space="0"/>
              <w:right w:val="single" w:color="auto" w:sz="4" w:space="0"/>
            </w:tcBorders>
            <w:shd w:val="clear" w:color="auto" w:fill="auto"/>
            <w:vAlign w:val="center"/>
          </w:tcPr>
          <w:p w14:paraId="57D17AE0">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1.2</w:t>
            </w:r>
          </w:p>
        </w:tc>
        <w:tc>
          <w:tcPr>
            <w:tcW w:w="567" w:type="dxa"/>
            <w:tcBorders>
              <w:top w:val="nil"/>
              <w:left w:val="nil"/>
              <w:bottom w:val="single" w:color="auto" w:sz="4" w:space="0"/>
              <w:right w:val="single" w:color="auto" w:sz="4" w:space="0"/>
            </w:tcBorders>
            <w:shd w:val="clear" w:color="auto" w:fill="auto"/>
            <w:vAlign w:val="center"/>
          </w:tcPr>
          <w:p w14:paraId="1A63B9EB">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7EE03E57">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1.8</w:t>
            </w:r>
          </w:p>
        </w:tc>
        <w:tc>
          <w:tcPr>
            <w:tcW w:w="757" w:type="dxa"/>
            <w:tcBorders>
              <w:top w:val="nil"/>
              <w:left w:val="nil"/>
              <w:bottom w:val="single" w:color="auto" w:sz="4" w:space="0"/>
              <w:right w:val="single" w:color="auto" w:sz="4" w:space="0"/>
            </w:tcBorders>
            <w:shd w:val="clear" w:color="auto" w:fill="auto"/>
            <w:vAlign w:val="center"/>
          </w:tcPr>
          <w:p w14:paraId="7BC484DD">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99</w:t>
            </w:r>
          </w:p>
        </w:tc>
        <w:tc>
          <w:tcPr>
            <w:tcW w:w="1374" w:type="dxa"/>
            <w:tcBorders>
              <w:top w:val="nil"/>
              <w:left w:val="nil"/>
              <w:bottom w:val="single" w:color="auto" w:sz="4" w:space="0"/>
              <w:right w:val="single" w:color="auto" w:sz="4" w:space="0"/>
            </w:tcBorders>
            <w:shd w:val="clear" w:color="auto" w:fill="auto"/>
            <w:vAlign w:val="center"/>
          </w:tcPr>
          <w:p w14:paraId="3D2A1CD4">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1.5</w:t>
            </w:r>
          </w:p>
        </w:tc>
        <w:tc>
          <w:tcPr>
            <w:tcW w:w="551" w:type="dxa"/>
            <w:tcBorders>
              <w:top w:val="nil"/>
              <w:left w:val="nil"/>
              <w:bottom w:val="single" w:color="auto" w:sz="4" w:space="0"/>
              <w:right w:val="single" w:color="auto" w:sz="4" w:space="0"/>
            </w:tcBorders>
            <w:shd w:val="clear" w:color="auto" w:fill="auto"/>
            <w:vAlign w:val="center"/>
          </w:tcPr>
          <w:p w14:paraId="13A0C550">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99</w:t>
            </w:r>
          </w:p>
        </w:tc>
        <w:tc>
          <w:tcPr>
            <w:tcW w:w="1302" w:type="dxa"/>
            <w:tcBorders>
              <w:top w:val="nil"/>
              <w:left w:val="nil"/>
              <w:bottom w:val="single" w:color="auto" w:sz="4" w:space="0"/>
              <w:right w:val="single" w:color="auto" w:sz="4" w:space="0"/>
            </w:tcBorders>
            <w:shd w:val="clear" w:color="auto" w:fill="auto"/>
            <w:vAlign w:val="center"/>
          </w:tcPr>
          <w:p w14:paraId="19BE4ECE">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w:t>
            </w:r>
          </w:p>
        </w:tc>
        <w:tc>
          <w:tcPr>
            <w:tcW w:w="551" w:type="dxa"/>
            <w:tcBorders>
              <w:top w:val="nil"/>
              <w:left w:val="nil"/>
              <w:bottom w:val="single" w:color="auto" w:sz="4" w:space="0"/>
              <w:right w:val="single" w:color="auto" w:sz="4" w:space="0"/>
            </w:tcBorders>
            <w:shd w:val="clear" w:color="auto" w:fill="auto"/>
            <w:noWrap/>
            <w:vAlign w:val="center"/>
          </w:tcPr>
          <w:p w14:paraId="34E1E5EA">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98</w:t>
            </w:r>
          </w:p>
        </w:tc>
      </w:tr>
      <w:tr w14:paraId="73B96564">
        <w:tblPrEx>
          <w:tblCellMar>
            <w:top w:w="57" w:type="dxa"/>
            <w:left w:w="28" w:type="dxa"/>
            <w:bottom w:w="57" w:type="dxa"/>
            <w:right w:w="28" w:type="dxa"/>
          </w:tblCellMar>
        </w:tblPrEx>
        <w:trPr>
          <w:cantSplit/>
          <w:jc w:val="center"/>
        </w:trPr>
        <w:tc>
          <w:tcPr>
            <w:tcW w:w="285" w:type="dxa"/>
            <w:vMerge w:val="restart"/>
            <w:tcBorders>
              <w:top w:val="single" w:color="auto" w:sz="4" w:space="0"/>
              <w:left w:val="single" w:color="auto" w:sz="4" w:space="0"/>
              <w:right w:val="single" w:color="auto" w:sz="4" w:space="0"/>
            </w:tcBorders>
            <w:shd w:val="clear" w:color="auto" w:fill="auto"/>
            <w:vAlign w:val="center"/>
          </w:tcPr>
          <w:p w14:paraId="3E99C72F">
            <w:pPr>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区域</w:t>
            </w:r>
          </w:p>
          <w:p w14:paraId="2C7B3EAD">
            <w:pPr>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因素</w:t>
            </w: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0F203C35">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住宅社区成熟度</w:t>
            </w:r>
          </w:p>
        </w:tc>
        <w:tc>
          <w:tcPr>
            <w:tcW w:w="1418" w:type="dxa"/>
            <w:tcBorders>
              <w:top w:val="nil"/>
              <w:left w:val="nil"/>
              <w:bottom w:val="single" w:color="auto" w:sz="4" w:space="0"/>
              <w:right w:val="single" w:color="auto" w:sz="4" w:space="0"/>
            </w:tcBorders>
            <w:shd w:val="clear" w:color="auto" w:fill="auto"/>
            <w:vAlign w:val="center"/>
          </w:tcPr>
          <w:p w14:paraId="62B26A0F">
            <w:pPr>
              <w:widowControl/>
              <w:tabs>
                <w:tab w:val="left" w:pos="1111"/>
              </w:tabs>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估价对象位于北京市顺义区高丽营镇夏县营村，周边2公里范围内有丽喜花园、东君府、moma万万树、壹号东临院等社区，居住小区规模和社区发展完善程度较完善，综合评价居住社区成熟度一般。</w:t>
            </w:r>
          </w:p>
        </w:tc>
        <w:tc>
          <w:tcPr>
            <w:tcW w:w="567" w:type="dxa"/>
            <w:tcBorders>
              <w:top w:val="nil"/>
              <w:left w:val="nil"/>
              <w:bottom w:val="single" w:color="auto" w:sz="4" w:space="0"/>
              <w:right w:val="single" w:color="auto" w:sz="4" w:space="0"/>
            </w:tcBorders>
            <w:shd w:val="clear" w:color="auto" w:fill="auto"/>
            <w:vAlign w:val="center"/>
          </w:tcPr>
          <w:p w14:paraId="719BB31D">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7D334E6D">
            <w:pPr>
              <w:widowControl/>
              <w:adjustRightInd/>
              <w:spacing w:line="240" w:lineRule="exact"/>
              <w:textAlignment w:val="auto"/>
              <w:rPr>
                <w:rFonts w:hint="eastAsia" w:ascii="Arial" w:hAnsi="Arial" w:eastAsia="仿宋_GB2312" w:cs="Arial"/>
                <w:sz w:val="18"/>
                <w:szCs w:val="18"/>
                <w:highlight w:val="none"/>
                <w:lang w:eastAsia="zh-CN"/>
              </w:rPr>
            </w:pPr>
            <w:r>
              <w:rPr>
                <w:rFonts w:ascii="Arial" w:hAnsi="Arial" w:eastAsia="仿宋_GB2312" w:cs="Arial"/>
                <w:sz w:val="18"/>
                <w:szCs w:val="18"/>
                <w:highlight w:val="none"/>
              </w:rPr>
              <w:t>案例A位于</w:t>
            </w:r>
            <w:r>
              <w:rPr>
                <w:rFonts w:hint="eastAsia" w:ascii="Arial" w:hAnsi="Arial" w:eastAsia="仿宋_GB2312" w:cs="Arial"/>
                <w:sz w:val="18"/>
                <w:szCs w:val="18"/>
                <w:highlight w:val="none"/>
                <w:lang w:val="en-US" w:eastAsia="zh-CN"/>
              </w:rPr>
              <w:t>西环路和顺沙路交叉口东北角，</w:t>
            </w:r>
            <w:r>
              <w:rPr>
                <w:rFonts w:hint="eastAsia" w:ascii="Arial" w:hAnsi="Arial" w:eastAsia="仿宋_GB2312" w:cs="Arial"/>
                <w:sz w:val="18"/>
                <w:szCs w:val="18"/>
                <w:highlight w:val="none"/>
              </w:rPr>
              <w:t>周边有前进花园、当代北辰MOMA、玉兰苑</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lang w:val="en-US" w:eastAsia="zh-CN"/>
              </w:rPr>
              <w:t>石门苑、牡丹苑、宏城花园、西辛南区</w:t>
            </w:r>
            <w:r>
              <w:rPr>
                <w:rFonts w:hint="eastAsia" w:ascii="Arial" w:hAnsi="Arial" w:eastAsia="仿宋_GB2312" w:cs="Arial"/>
                <w:sz w:val="18"/>
                <w:szCs w:val="18"/>
                <w:highlight w:val="none"/>
              </w:rPr>
              <w:t>等住宅社区，居住小区规模和社区发展完善程度较完善，综合评价居住社区成熟度较好</w:t>
            </w:r>
            <w:r>
              <w:rPr>
                <w:rFonts w:hint="eastAsia" w:ascii="Arial" w:hAnsi="Arial" w:eastAsia="仿宋_GB2312" w:cs="Arial"/>
                <w:sz w:val="18"/>
                <w:szCs w:val="18"/>
                <w:highlight w:val="none"/>
                <w:lang w:eastAsia="zh-CN"/>
              </w:rPr>
              <w:t>。</w:t>
            </w:r>
          </w:p>
        </w:tc>
        <w:tc>
          <w:tcPr>
            <w:tcW w:w="757" w:type="dxa"/>
            <w:tcBorders>
              <w:top w:val="nil"/>
              <w:left w:val="nil"/>
              <w:bottom w:val="single" w:color="auto" w:sz="4" w:space="0"/>
              <w:right w:val="single" w:color="auto" w:sz="4" w:space="0"/>
            </w:tcBorders>
            <w:shd w:val="clear" w:color="auto" w:fill="auto"/>
            <w:vAlign w:val="center"/>
          </w:tcPr>
          <w:p w14:paraId="3454A535">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3</w:t>
            </w:r>
          </w:p>
        </w:tc>
        <w:tc>
          <w:tcPr>
            <w:tcW w:w="1374" w:type="dxa"/>
            <w:tcBorders>
              <w:top w:val="nil"/>
              <w:left w:val="nil"/>
              <w:bottom w:val="single" w:color="auto" w:sz="4" w:space="0"/>
              <w:right w:val="single" w:color="auto" w:sz="4" w:space="0"/>
            </w:tcBorders>
            <w:shd w:val="clear" w:color="auto" w:fill="auto"/>
            <w:vAlign w:val="center"/>
          </w:tcPr>
          <w:p w14:paraId="2E52B49A">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案例B</w:t>
            </w:r>
            <w:r>
              <w:rPr>
                <w:rFonts w:hint="eastAsia" w:ascii="Arial" w:hAnsi="Arial" w:eastAsia="仿宋_GB2312" w:cs="Arial"/>
                <w:sz w:val="18"/>
                <w:szCs w:val="18"/>
                <w:highlight w:val="none"/>
              </w:rPr>
              <w:t>位于顺义区高丽营镇，周边有</w:t>
            </w:r>
            <w:r>
              <w:rPr>
                <w:rFonts w:hint="eastAsia" w:ascii="仿宋_GB2312" w:hAnsi="仿宋_GB2312" w:eastAsia="仿宋_GB2312" w:cs="仿宋_GB2312"/>
                <w:sz w:val="18"/>
                <w:szCs w:val="18"/>
                <w:highlight w:val="none"/>
              </w:rPr>
              <w:t>首开富力十号国际、</w:t>
            </w:r>
            <w:r>
              <w:rPr>
                <w:rFonts w:ascii="仿宋_GB2312" w:hAnsi="仿宋_GB2312" w:eastAsia="仿宋_GB2312" w:cs="仿宋_GB2312"/>
                <w:sz w:val="18"/>
                <w:szCs w:val="18"/>
                <w:highlight w:val="none"/>
              </w:rPr>
              <w:t>高丽营</w:t>
            </w:r>
            <w:r>
              <w:rPr>
                <w:rFonts w:hint="eastAsia" w:ascii="仿宋_GB2312" w:hAnsi="仿宋_GB2312" w:eastAsia="仿宋_GB2312" w:cs="仿宋_GB2312"/>
                <w:sz w:val="18"/>
                <w:szCs w:val="18"/>
                <w:highlight w:val="none"/>
              </w:rPr>
              <w:t>镇</w:t>
            </w:r>
            <w:r>
              <w:rPr>
                <w:rFonts w:ascii="仿宋_GB2312" w:hAnsi="仿宋_GB2312" w:eastAsia="仿宋_GB2312" w:cs="仿宋_GB2312"/>
                <w:sz w:val="18"/>
                <w:szCs w:val="18"/>
                <w:highlight w:val="none"/>
              </w:rPr>
              <w:t>高白路</w:t>
            </w:r>
            <w:r>
              <w:rPr>
                <w:rFonts w:hint="eastAsia" w:ascii="仿宋_GB2312" w:hAnsi="仿宋_GB2312" w:eastAsia="仿宋_GB2312" w:cs="仿宋_GB2312"/>
                <w:sz w:val="18"/>
                <w:szCs w:val="18"/>
                <w:highlight w:val="none"/>
              </w:rPr>
              <w:t>11号院等已建成住宅小区，入住</w:t>
            </w:r>
            <w:r>
              <w:rPr>
                <w:rFonts w:hint="eastAsia" w:ascii="Arial" w:hAnsi="Arial" w:eastAsia="仿宋_GB2312" w:cs="Arial"/>
                <w:sz w:val="18"/>
                <w:szCs w:val="18"/>
                <w:highlight w:val="none"/>
              </w:rPr>
              <w:t>率一般，住宅社区成熟度一般。</w:t>
            </w:r>
          </w:p>
        </w:tc>
        <w:tc>
          <w:tcPr>
            <w:tcW w:w="551" w:type="dxa"/>
            <w:tcBorders>
              <w:top w:val="nil"/>
              <w:left w:val="nil"/>
              <w:bottom w:val="single" w:color="auto" w:sz="4" w:space="0"/>
              <w:right w:val="single" w:color="auto" w:sz="4" w:space="0"/>
            </w:tcBorders>
            <w:shd w:val="clear" w:color="auto" w:fill="auto"/>
            <w:vAlign w:val="center"/>
          </w:tcPr>
          <w:p w14:paraId="35E74353">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02" w:type="dxa"/>
            <w:tcBorders>
              <w:top w:val="nil"/>
              <w:left w:val="nil"/>
              <w:bottom w:val="single" w:color="auto" w:sz="4" w:space="0"/>
              <w:right w:val="single" w:color="auto" w:sz="4" w:space="0"/>
            </w:tcBorders>
            <w:shd w:val="clear" w:color="auto" w:fill="auto"/>
            <w:vAlign w:val="center"/>
          </w:tcPr>
          <w:p w14:paraId="040E96A8">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案例C位于</w:t>
            </w:r>
            <w:r>
              <w:rPr>
                <w:rFonts w:hint="eastAsia" w:ascii="Arial" w:hAnsi="Arial" w:eastAsia="仿宋_GB2312" w:cs="Arial"/>
                <w:sz w:val="18"/>
                <w:szCs w:val="18"/>
                <w:highlight w:val="none"/>
              </w:rPr>
              <w:t>顺义区新城第13街区，周边2公里范围内有中建宸庐、北京恒大上和府、佳和宜园、国誉府、水映兰庭等社区，居住小区规模和社区发展完善程度较完善，综合评价居住社区成熟度较好</w:t>
            </w:r>
          </w:p>
        </w:tc>
        <w:tc>
          <w:tcPr>
            <w:tcW w:w="551" w:type="dxa"/>
            <w:tcBorders>
              <w:top w:val="nil"/>
              <w:left w:val="nil"/>
              <w:bottom w:val="single" w:color="auto" w:sz="4" w:space="0"/>
              <w:right w:val="single" w:color="auto" w:sz="4" w:space="0"/>
            </w:tcBorders>
            <w:shd w:val="clear" w:color="auto" w:fill="auto"/>
            <w:noWrap/>
            <w:vAlign w:val="center"/>
          </w:tcPr>
          <w:p w14:paraId="3EB653CB">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3</w:t>
            </w:r>
          </w:p>
        </w:tc>
      </w:tr>
      <w:tr w14:paraId="28678919">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2A739495">
            <w:pPr>
              <w:spacing w:line="240" w:lineRule="exact"/>
              <w:jc w:val="center"/>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2F17D74B">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交通便捷度</w:t>
            </w:r>
          </w:p>
        </w:tc>
        <w:tc>
          <w:tcPr>
            <w:tcW w:w="1418" w:type="dxa"/>
            <w:tcBorders>
              <w:top w:val="nil"/>
              <w:left w:val="nil"/>
              <w:bottom w:val="single" w:color="auto" w:sz="4" w:space="0"/>
              <w:right w:val="single" w:color="auto" w:sz="4" w:space="0"/>
            </w:tcBorders>
            <w:shd w:val="clear" w:color="auto" w:fill="auto"/>
            <w:vAlign w:val="center"/>
          </w:tcPr>
          <w:p w14:paraId="40AB36CE">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567" w:type="dxa"/>
            <w:tcBorders>
              <w:top w:val="nil"/>
              <w:left w:val="nil"/>
              <w:bottom w:val="single" w:color="auto" w:sz="4" w:space="0"/>
              <w:right w:val="single" w:color="auto" w:sz="4" w:space="0"/>
            </w:tcBorders>
            <w:shd w:val="clear" w:color="auto" w:fill="auto"/>
            <w:vAlign w:val="center"/>
          </w:tcPr>
          <w:p w14:paraId="03625F85">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6FF72D42">
            <w:pPr>
              <w:widowControl/>
              <w:adjustRightInd/>
              <w:spacing w:line="240" w:lineRule="exact"/>
              <w:jc w:val="both"/>
              <w:textAlignment w:val="auto"/>
              <w:rPr>
                <w:rFonts w:ascii="Arial" w:hAnsi="Arial" w:eastAsia="仿宋_GB2312" w:cs="Arial"/>
                <w:sz w:val="18"/>
                <w:szCs w:val="18"/>
                <w:highlight w:val="none"/>
              </w:rPr>
            </w:pPr>
            <w:r>
              <w:rPr>
                <w:rFonts w:ascii="Arial" w:hAnsi="Arial" w:eastAsia="仿宋_GB2312" w:cs="Arial"/>
                <w:sz w:val="18"/>
                <w:szCs w:val="18"/>
                <w:highlight w:val="none"/>
              </w:rPr>
              <w:t>案例A</w:t>
            </w:r>
            <w:r>
              <w:rPr>
                <w:rFonts w:hint="eastAsia" w:ascii="Arial" w:hAnsi="Arial" w:eastAsia="仿宋_GB2312" w:cs="Arial"/>
                <w:sz w:val="18"/>
                <w:szCs w:val="18"/>
                <w:highlight w:val="none"/>
              </w:rPr>
              <w:t>紧临</w:t>
            </w:r>
            <w:r>
              <w:rPr>
                <w:rFonts w:hint="eastAsia" w:ascii="Arial" w:hAnsi="Arial" w:eastAsia="仿宋_GB2312" w:cs="Arial"/>
                <w:sz w:val="18"/>
                <w:szCs w:val="18"/>
                <w:highlight w:val="none"/>
                <w:lang w:val="en-US" w:eastAsia="zh-CN"/>
              </w:rPr>
              <w:t>主</w:t>
            </w:r>
            <w:r>
              <w:rPr>
                <w:rFonts w:hint="eastAsia" w:ascii="Arial" w:hAnsi="Arial" w:eastAsia="仿宋_GB2312" w:cs="Arial"/>
                <w:sz w:val="18"/>
                <w:szCs w:val="18"/>
                <w:highlight w:val="none"/>
              </w:rPr>
              <w:t>干道——顺沙路、西环路</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道路通达度较高</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距地铁15号线石门站约 1.5公里</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周边500米里内有顺11路、顺13路、顺18 路、顺25路、顺35路、945路等公交线路经过区域内交通</w:t>
            </w:r>
            <w:r>
              <w:rPr>
                <w:rFonts w:hint="eastAsia" w:ascii="Arial" w:hAnsi="Arial" w:eastAsia="仿宋_GB2312" w:cs="Arial"/>
                <w:sz w:val="18"/>
                <w:szCs w:val="18"/>
                <w:highlight w:val="none"/>
                <w:lang w:val="en-US" w:eastAsia="zh-CN"/>
              </w:rPr>
              <w:t>较好</w:t>
            </w:r>
            <w:r>
              <w:rPr>
                <w:rFonts w:hint="eastAsia" w:ascii="Arial" w:hAnsi="Arial" w:eastAsia="仿宋_GB2312" w:cs="Arial"/>
                <w:sz w:val="18"/>
                <w:szCs w:val="18"/>
                <w:highlight w:val="none"/>
              </w:rPr>
              <w:t>，综合评价交通便捷度</w:t>
            </w:r>
            <w:r>
              <w:rPr>
                <w:rFonts w:hint="eastAsia" w:ascii="Arial" w:hAnsi="Arial" w:eastAsia="仿宋_GB2312" w:cs="Arial"/>
                <w:sz w:val="18"/>
                <w:szCs w:val="18"/>
                <w:highlight w:val="none"/>
                <w:lang w:val="en-US" w:eastAsia="zh-CN"/>
              </w:rPr>
              <w:t>较好。</w:t>
            </w:r>
          </w:p>
        </w:tc>
        <w:tc>
          <w:tcPr>
            <w:tcW w:w="757" w:type="dxa"/>
            <w:tcBorders>
              <w:top w:val="nil"/>
              <w:left w:val="nil"/>
              <w:bottom w:val="single" w:color="auto" w:sz="4" w:space="0"/>
              <w:right w:val="single" w:color="auto" w:sz="4" w:space="0"/>
            </w:tcBorders>
            <w:shd w:val="clear" w:color="auto" w:fill="auto"/>
            <w:vAlign w:val="center"/>
          </w:tcPr>
          <w:p w14:paraId="789022CD">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8</w:t>
            </w:r>
          </w:p>
        </w:tc>
        <w:tc>
          <w:tcPr>
            <w:tcW w:w="1374" w:type="dxa"/>
            <w:tcBorders>
              <w:top w:val="nil"/>
              <w:left w:val="nil"/>
              <w:bottom w:val="single" w:color="auto" w:sz="4" w:space="0"/>
              <w:right w:val="single" w:color="auto" w:sz="4" w:space="0"/>
            </w:tcBorders>
            <w:shd w:val="clear" w:color="auto" w:fill="auto"/>
            <w:vAlign w:val="center"/>
          </w:tcPr>
          <w:p w14:paraId="4C940CFB">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案例B</w:t>
            </w:r>
            <w:r>
              <w:rPr>
                <w:rFonts w:hint="eastAsia" w:ascii="Arial" w:hAnsi="Arial" w:eastAsia="仿宋_GB2312" w:cs="Arial"/>
                <w:sz w:val="18"/>
                <w:szCs w:val="18"/>
                <w:highlight w:val="none"/>
              </w:rPr>
              <w:t>属于顺义区高丽营镇，位于高白路以西，紧邻城市</w:t>
            </w:r>
            <w:r>
              <w:rPr>
                <w:rFonts w:hint="eastAsia" w:ascii="Arial" w:hAnsi="Arial" w:eastAsia="仿宋_GB2312" w:cs="Arial"/>
                <w:sz w:val="18"/>
                <w:szCs w:val="18"/>
                <w:highlight w:val="none"/>
                <w:lang w:val="en-US" w:eastAsia="zh-CN"/>
              </w:rPr>
              <w:t>主</w:t>
            </w:r>
            <w:r>
              <w:rPr>
                <w:rFonts w:hint="eastAsia" w:ascii="Arial" w:hAnsi="Arial" w:eastAsia="仿宋_GB2312" w:cs="Arial"/>
                <w:sz w:val="18"/>
                <w:szCs w:val="18"/>
                <w:highlight w:val="none"/>
              </w:rPr>
              <w:t>干道</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lang w:val="en-US" w:eastAsia="zh-CN"/>
              </w:rPr>
              <w:t>府前街路</w:t>
            </w:r>
            <w:r>
              <w:rPr>
                <w:rFonts w:hint="eastAsia" w:ascii="Arial" w:hAnsi="Arial" w:eastAsia="仿宋_GB2312" w:cs="Arial"/>
                <w:sz w:val="18"/>
                <w:szCs w:val="18"/>
                <w:highlight w:val="none"/>
              </w:rPr>
              <w:t>，周边有942路快车、 945路、昌27路、昌60路、郊100路、空港6路、顺13路、顺43路等公交线路通过；5公里范围内无建成地铁站，交通便捷度一般。</w:t>
            </w:r>
          </w:p>
        </w:tc>
        <w:tc>
          <w:tcPr>
            <w:tcW w:w="551" w:type="dxa"/>
            <w:tcBorders>
              <w:top w:val="nil"/>
              <w:left w:val="nil"/>
              <w:bottom w:val="single" w:color="auto" w:sz="4" w:space="0"/>
              <w:right w:val="single" w:color="auto" w:sz="4" w:space="0"/>
            </w:tcBorders>
            <w:shd w:val="clear" w:color="auto" w:fill="auto"/>
            <w:vAlign w:val="center"/>
          </w:tcPr>
          <w:p w14:paraId="66C2D26C">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4</w:t>
            </w:r>
          </w:p>
        </w:tc>
        <w:tc>
          <w:tcPr>
            <w:tcW w:w="1302" w:type="dxa"/>
            <w:tcBorders>
              <w:top w:val="nil"/>
              <w:left w:val="nil"/>
              <w:bottom w:val="single" w:color="auto" w:sz="4" w:space="0"/>
              <w:right w:val="single" w:color="auto" w:sz="4" w:space="0"/>
            </w:tcBorders>
            <w:shd w:val="clear" w:color="auto" w:fill="auto"/>
            <w:vAlign w:val="center"/>
          </w:tcPr>
          <w:p w14:paraId="5B0F5FE3">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案例</w:t>
            </w:r>
            <w:r>
              <w:rPr>
                <w:rFonts w:hint="eastAsia" w:ascii="Arial" w:hAnsi="Arial" w:eastAsia="仿宋_GB2312" w:cs="Arial"/>
                <w:sz w:val="18"/>
                <w:szCs w:val="18"/>
                <w:highlight w:val="none"/>
              </w:rPr>
              <w:t>C紧临主干道—通顺路、周边1公里范围内有850路、856路、861路、空港5路、顺14路、顺21路、顺27路等十几条公交线路，区域内交通一般，区域间通达性一般，综合评价交通便捷度一般</w:t>
            </w:r>
          </w:p>
        </w:tc>
        <w:tc>
          <w:tcPr>
            <w:tcW w:w="551" w:type="dxa"/>
            <w:tcBorders>
              <w:top w:val="nil"/>
              <w:left w:val="nil"/>
              <w:bottom w:val="single" w:color="auto" w:sz="4" w:space="0"/>
              <w:right w:val="single" w:color="auto" w:sz="4" w:space="0"/>
            </w:tcBorders>
            <w:shd w:val="clear" w:color="auto" w:fill="auto"/>
            <w:noWrap/>
            <w:vAlign w:val="center"/>
          </w:tcPr>
          <w:p w14:paraId="77DE5B75">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4</w:t>
            </w:r>
          </w:p>
        </w:tc>
      </w:tr>
      <w:tr w14:paraId="6A4F2EA4">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270345A5">
            <w:pPr>
              <w:spacing w:line="240" w:lineRule="exact"/>
              <w:jc w:val="center"/>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4393A24F">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公共配套设施</w:t>
            </w:r>
          </w:p>
        </w:tc>
        <w:tc>
          <w:tcPr>
            <w:tcW w:w="1418" w:type="dxa"/>
            <w:tcBorders>
              <w:top w:val="nil"/>
              <w:left w:val="nil"/>
              <w:bottom w:val="single" w:color="auto" w:sz="4" w:space="0"/>
              <w:right w:val="single" w:color="auto" w:sz="4" w:space="0"/>
            </w:tcBorders>
            <w:shd w:val="clear" w:color="auto" w:fill="auto"/>
            <w:vAlign w:val="center"/>
          </w:tcPr>
          <w:p w14:paraId="11C68299">
            <w:pPr>
              <w:widowControl/>
              <w:adjustRightInd/>
              <w:spacing w:line="240" w:lineRule="exact"/>
              <w:textAlignment w:val="auto"/>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rPr>
              <w:t>估价对象周边2公里范围内</w:t>
            </w:r>
            <w:r>
              <w:rPr>
                <w:rFonts w:hint="eastAsia" w:ascii="Arial" w:hAnsi="Arial" w:eastAsia="仿宋_GB2312" w:cs="Arial"/>
                <w:sz w:val="18"/>
                <w:szCs w:val="18"/>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_GB2312" w:cs="Arial"/>
                <w:sz w:val="18"/>
                <w:szCs w:val="18"/>
                <w:highlight w:val="none"/>
              </w:rPr>
              <w:t>，公共配套设施齐备情况一般</w:t>
            </w:r>
            <w:r>
              <w:rPr>
                <w:rFonts w:hint="eastAsia" w:ascii="Arial" w:hAnsi="Arial" w:eastAsia="仿宋_GB2312" w:cs="Arial"/>
                <w:sz w:val="18"/>
                <w:szCs w:val="18"/>
                <w:highlight w:val="none"/>
                <w:lang w:eastAsia="zh-CN"/>
              </w:rPr>
              <w:t>。</w:t>
            </w:r>
          </w:p>
        </w:tc>
        <w:tc>
          <w:tcPr>
            <w:tcW w:w="567" w:type="dxa"/>
            <w:tcBorders>
              <w:top w:val="nil"/>
              <w:left w:val="nil"/>
              <w:bottom w:val="single" w:color="auto" w:sz="4" w:space="0"/>
              <w:right w:val="single" w:color="auto" w:sz="4" w:space="0"/>
            </w:tcBorders>
            <w:shd w:val="clear" w:color="auto" w:fill="auto"/>
            <w:vAlign w:val="center"/>
          </w:tcPr>
          <w:p w14:paraId="078CEF84">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44CD5CD1">
            <w:pPr>
              <w:widowControl/>
              <w:adjustRightInd/>
              <w:spacing w:line="240" w:lineRule="exact"/>
              <w:jc w:val="both"/>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案例A</w:t>
            </w:r>
            <w:r>
              <w:rPr>
                <w:rFonts w:hint="eastAsia" w:ascii="Arial" w:hAnsi="Arial" w:eastAsia="仿宋_GB2312" w:cs="Arial"/>
                <w:sz w:val="18"/>
                <w:szCs w:val="18"/>
                <w:highlight w:val="none"/>
              </w:rPr>
              <w:t>周边2公里范围内有卧龙悦购时代广场</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 xml:space="preserve">隆华奥特莱斯购物广场等商业服务设施； </w:t>
            </w:r>
            <w:r>
              <w:rPr>
                <w:rFonts w:hint="eastAsia" w:ascii="Arial" w:hAnsi="Arial" w:eastAsia="仿宋_GB2312" w:cs="Arial"/>
                <w:sz w:val="18"/>
                <w:szCs w:val="18"/>
                <w:highlight w:val="none"/>
                <w:lang w:val="en-US" w:eastAsia="zh-CN"/>
              </w:rPr>
              <w:t>有</w:t>
            </w:r>
            <w:r>
              <w:rPr>
                <w:rFonts w:hint="eastAsia" w:ascii="Arial" w:hAnsi="Arial" w:eastAsia="仿宋_GB2312" w:cs="Arial"/>
                <w:sz w:val="18"/>
                <w:szCs w:val="18"/>
                <w:highlight w:val="none"/>
              </w:rPr>
              <w:t>中国工商银行、兴业银行、中国邮政储蓄银行等金融机构；顺义区西辛小学、顺义区第二中学、北京电大</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顺义分校</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等教育资源；顺义区旺泉社区卫生服务中心西辛北区社区卫生服务站、北京京顺医院</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rPr>
              <w:t>北京市顺义区医院等医疗设施，公共配套设施齐备情况</w:t>
            </w:r>
            <w:r>
              <w:rPr>
                <w:rFonts w:hint="eastAsia" w:ascii="Arial" w:hAnsi="Arial" w:eastAsia="仿宋_GB2312" w:cs="Arial"/>
                <w:sz w:val="18"/>
                <w:szCs w:val="18"/>
                <w:highlight w:val="none"/>
                <w:lang w:val="en-US" w:eastAsia="zh-CN"/>
              </w:rPr>
              <w:t>较好。</w:t>
            </w:r>
          </w:p>
        </w:tc>
        <w:tc>
          <w:tcPr>
            <w:tcW w:w="757" w:type="dxa"/>
            <w:tcBorders>
              <w:top w:val="nil"/>
              <w:left w:val="nil"/>
              <w:bottom w:val="single" w:color="auto" w:sz="4" w:space="0"/>
              <w:right w:val="single" w:color="auto" w:sz="4" w:space="0"/>
            </w:tcBorders>
            <w:shd w:val="clear" w:color="auto" w:fill="auto"/>
            <w:vAlign w:val="center"/>
          </w:tcPr>
          <w:p w14:paraId="156E8ACE">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3</w:t>
            </w:r>
          </w:p>
        </w:tc>
        <w:tc>
          <w:tcPr>
            <w:tcW w:w="1374" w:type="dxa"/>
            <w:tcBorders>
              <w:top w:val="nil"/>
              <w:left w:val="nil"/>
              <w:bottom w:val="single" w:color="auto" w:sz="4" w:space="0"/>
              <w:right w:val="single" w:color="auto" w:sz="4" w:space="0"/>
            </w:tcBorders>
            <w:shd w:val="clear" w:color="auto" w:fill="auto"/>
            <w:vAlign w:val="center"/>
          </w:tcPr>
          <w:p w14:paraId="4CCFC23F">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案例B</w:t>
            </w:r>
            <w:r>
              <w:rPr>
                <w:rFonts w:hint="eastAsia" w:ascii="Arial" w:hAnsi="Arial" w:eastAsia="仿宋_GB2312" w:cs="Arial"/>
                <w:sz w:val="18"/>
                <w:szCs w:val="18"/>
                <w:highlight w:val="none"/>
              </w:rPr>
              <w:t>所在区域有高丽营第二幼儿园、北京市顺义区高丽营学校等教育资源；有中国邮政储蓄银行（高丽营支行）、北京农商银行（高丽营支行）、中国邮政（高丽营邮政所）等金融机构；有高丽营农贸市场、高丽营大集等商业服务设施；有北京市顺义区高丽营镇卫生院等医疗设施，公共服务设施齐备度一般</w:t>
            </w:r>
            <w:r>
              <w:rPr>
                <w:rFonts w:ascii="Arial" w:hAnsi="Arial" w:eastAsia="仿宋_GB2312" w:cs="Arial"/>
                <w:sz w:val="18"/>
                <w:szCs w:val="18"/>
                <w:highlight w:val="none"/>
              </w:rPr>
              <w:t>。</w:t>
            </w:r>
          </w:p>
        </w:tc>
        <w:tc>
          <w:tcPr>
            <w:tcW w:w="551" w:type="dxa"/>
            <w:tcBorders>
              <w:top w:val="nil"/>
              <w:left w:val="nil"/>
              <w:bottom w:val="single" w:color="auto" w:sz="4" w:space="0"/>
              <w:right w:val="single" w:color="auto" w:sz="4" w:space="0"/>
            </w:tcBorders>
            <w:shd w:val="clear" w:color="auto" w:fill="auto"/>
            <w:vAlign w:val="center"/>
          </w:tcPr>
          <w:p w14:paraId="595BDAAE">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02" w:type="dxa"/>
            <w:tcBorders>
              <w:top w:val="nil"/>
              <w:left w:val="nil"/>
              <w:bottom w:val="single" w:color="auto" w:sz="4" w:space="0"/>
              <w:right w:val="single" w:color="auto" w:sz="4" w:space="0"/>
            </w:tcBorders>
            <w:shd w:val="clear" w:color="auto" w:fill="auto"/>
            <w:vAlign w:val="center"/>
          </w:tcPr>
          <w:p w14:paraId="33E11F5A">
            <w:pPr>
              <w:widowControl/>
              <w:adjustRightInd/>
              <w:spacing w:line="240" w:lineRule="exact"/>
              <w:jc w:val="center"/>
              <w:textAlignment w:val="auto"/>
              <w:rPr>
                <w:rFonts w:hint="eastAsia" w:ascii="Arial" w:hAnsi="Arial" w:eastAsia="仿宋_GB2312" w:cs="Arial"/>
                <w:sz w:val="18"/>
                <w:szCs w:val="18"/>
                <w:highlight w:val="none"/>
                <w:lang w:eastAsia="zh-CN"/>
              </w:rPr>
            </w:pPr>
            <w:r>
              <w:rPr>
                <w:rFonts w:ascii="Arial" w:hAnsi="Arial" w:eastAsia="仿宋_GB2312" w:cs="Arial"/>
                <w:sz w:val="18"/>
                <w:szCs w:val="18"/>
                <w:highlight w:val="none"/>
              </w:rPr>
              <w:t>案例C</w:t>
            </w:r>
            <w:r>
              <w:rPr>
                <w:rFonts w:hint="eastAsia" w:ascii="Arial" w:hAnsi="Arial" w:eastAsia="仿宋_GB2312" w:cs="Arial"/>
                <w:sz w:val="18"/>
                <w:szCs w:val="18"/>
                <w:highlight w:val="none"/>
              </w:rPr>
              <w:t>周边2公里范围内有中建·鲲熙汇LOMO、社区商业街、鑫绿都生活超市NO.004西马坡店等商业服务</w:t>
            </w:r>
            <w:r>
              <w:rPr>
                <w:rFonts w:ascii="Arial" w:hAnsi="Arial" w:eastAsia="仿宋_GB2312" w:cs="Arial"/>
                <w:sz w:val="18"/>
                <w:szCs w:val="18"/>
                <w:highlight w:val="none"/>
              </w:rPr>
              <w:t>设施</w:t>
            </w:r>
            <w:r>
              <w:rPr>
                <w:rFonts w:hint="eastAsia" w:ascii="Arial" w:hAnsi="Arial" w:eastAsia="仿宋_GB2312" w:cs="Arial"/>
                <w:sz w:val="18"/>
                <w:szCs w:val="18"/>
                <w:highlight w:val="none"/>
              </w:rPr>
              <w:t>；中国民生银行顺义新城支行、中国银行北京马坡支行、中国农业银行北京马坡支行等金融机构；西辛幼儿园橡树珑湾园区、北京市顺义区马坡第一幼儿园、马坡小学、首都师范大学附属小学顺义向阳分院、北京市牛栏山一中实验学校等教育资源；北京中医医院顺义医院、北京顺义区马坡卫生院等医疗设施，公共配套设施齐备情况较好</w:t>
            </w:r>
            <w:r>
              <w:rPr>
                <w:rFonts w:hint="eastAsia" w:ascii="Arial" w:hAnsi="Arial" w:eastAsia="仿宋_GB2312" w:cs="Arial"/>
                <w:sz w:val="18"/>
                <w:szCs w:val="18"/>
                <w:highlight w:val="none"/>
                <w:lang w:eastAsia="zh-CN"/>
              </w:rPr>
              <w:t>。</w:t>
            </w:r>
          </w:p>
        </w:tc>
        <w:tc>
          <w:tcPr>
            <w:tcW w:w="551" w:type="dxa"/>
            <w:tcBorders>
              <w:top w:val="nil"/>
              <w:left w:val="nil"/>
              <w:bottom w:val="single" w:color="auto" w:sz="4" w:space="0"/>
              <w:right w:val="single" w:color="auto" w:sz="4" w:space="0"/>
            </w:tcBorders>
            <w:shd w:val="clear" w:color="auto" w:fill="auto"/>
            <w:noWrap/>
            <w:vAlign w:val="center"/>
          </w:tcPr>
          <w:p w14:paraId="5E7C86E0">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3</w:t>
            </w:r>
          </w:p>
        </w:tc>
      </w:tr>
      <w:tr w14:paraId="42FD5ED2">
        <w:tblPrEx>
          <w:tblCellMar>
            <w:top w:w="57" w:type="dxa"/>
            <w:left w:w="28" w:type="dxa"/>
            <w:bottom w:w="57" w:type="dxa"/>
            <w:right w:w="28" w:type="dxa"/>
          </w:tblCellMar>
        </w:tblPrEx>
        <w:trPr>
          <w:cantSplit/>
          <w:jc w:val="center"/>
        </w:trPr>
        <w:tc>
          <w:tcPr>
            <w:tcW w:w="285" w:type="dxa"/>
            <w:vMerge w:val="restart"/>
            <w:tcBorders>
              <w:left w:val="single" w:color="auto" w:sz="4" w:space="0"/>
              <w:right w:val="single" w:color="auto" w:sz="4" w:space="0"/>
            </w:tcBorders>
            <w:shd w:val="clear" w:color="auto" w:fill="auto"/>
            <w:vAlign w:val="center"/>
          </w:tcPr>
          <w:p w14:paraId="7ABD3FA9">
            <w:pPr>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区域</w:t>
            </w:r>
          </w:p>
          <w:p w14:paraId="494040C9">
            <w:pPr>
              <w:spacing w:line="240" w:lineRule="exact"/>
              <w:jc w:val="center"/>
              <w:rPr>
                <w:rFonts w:ascii="Arial" w:hAnsi="Arial" w:eastAsia="仿宋_GB2312" w:cs="Arial"/>
                <w:sz w:val="18"/>
                <w:szCs w:val="18"/>
                <w:highlight w:val="none"/>
              </w:rPr>
            </w:pPr>
            <w:r>
              <w:rPr>
                <w:rFonts w:ascii="Arial" w:hAnsi="Arial" w:eastAsia="仿宋_GB2312" w:cs="Arial"/>
                <w:sz w:val="18"/>
                <w:szCs w:val="18"/>
                <w:highlight w:val="none"/>
              </w:rPr>
              <w:t>因素</w:t>
            </w:r>
          </w:p>
          <w:p w14:paraId="41024BBE">
            <w:pPr>
              <w:spacing w:line="240" w:lineRule="exact"/>
              <w:jc w:val="center"/>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10208102">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红线外基础设施水平</w:t>
            </w:r>
          </w:p>
        </w:tc>
        <w:tc>
          <w:tcPr>
            <w:tcW w:w="1418" w:type="dxa"/>
            <w:tcBorders>
              <w:top w:val="nil"/>
              <w:left w:val="nil"/>
              <w:bottom w:val="single" w:color="auto" w:sz="4" w:space="0"/>
              <w:right w:val="single" w:color="auto" w:sz="4" w:space="0"/>
            </w:tcBorders>
            <w:shd w:val="clear" w:color="auto" w:fill="auto"/>
            <w:vAlign w:val="center"/>
          </w:tcPr>
          <w:p w14:paraId="4A01DA0E">
            <w:pPr>
              <w:widowControl/>
              <w:adjustRightInd/>
              <w:spacing w:line="240" w:lineRule="exact"/>
              <w:jc w:val="both"/>
              <w:textAlignment w:val="auto"/>
              <w:rPr>
                <w:rFonts w:ascii="Arial" w:hAnsi="Arial" w:eastAsia="仿宋_GB2312" w:cs="Arial"/>
                <w:sz w:val="18"/>
                <w:szCs w:val="18"/>
                <w:highlight w:val="none"/>
              </w:rPr>
            </w:pPr>
            <w:r>
              <w:rPr>
                <w:rFonts w:ascii="Arial" w:hAnsi="Arial" w:eastAsia="仿宋_GB2312" w:cs="Arial"/>
                <w:sz w:val="18"/>
                <w:szCs w:val="18"/>
                <w:highlight w:val="none"/>
              </w:rPr>
              <w:t>估价对象所在区域基础设施水平达到</w:t>
            </w:r>
            <w:r>
              <w:rPr>
                <w:rFonts w:hint="eastAsia" w:ascii="Arial" w:hAnsi="Arial" w:eastAsia="仿宋_GB2312" w:cs="Arial"/>
                <w:sz w:val="18"/>
                <w:szCs w:val="18"/>
                <w:highlight w:val="none"/>
              </w:rPr>
              <w:t>七</w:t>
            </w:r>
            <w:r>
              <w:rPr>
                <w:rFonts w:ascii="Arial" w:hAnsi="Arial" w:eastAsia="仿宋_GB2312" w:cs="Arial"/>
                <w:sz w:val="18"/>
                <w:szCs w:val="18"/>
                <w:highlight w:val="none"/>
              </w:rPr>
              <w:t>通。</w:t>
            </w:r>
          </w:p>
        </w:tc>
        <w:tc>
          <w:tcPr>
            <w:tcW w:w="567" w:type="dxa"/>
            <w:tcBorders>
              <w:top w:val="nil"/>
              <w:left w:val="nil"/>
              <w:bottom w:val="single" w:color="auto" w:sz="4" w:space="0"/>
              <w:right w:val="single" w:color="auto" w:sz="4" w:space="0"/>
            </w:tcBorders>
            <w:shd w:val="clear" w:color="auto" w:fill="auto"/>
            <w:vAlign w:val="center"/>
          </w:tcPr>
          <w:p w14:paraId="44172AFF">
            <w:pPr>
              <w:widowControl/>
              <w:adjustRightInd/>
              <w:spacing w:line="240" w:lineRule="exact"/>
              <w:jc w:val="both"/>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47D93F4B">
            <w:pPr>
              <w:widowControl/>
              <w:adjustRightInd/>
              <w:spacing w:line="240" w:lineRule="exact"/>
              <w:jc w:val="both"/>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案例A</w:t>
            </w:r>
            <w:r>
              <w:rPr>
                <w:rFonts w:ascii="Arial" w:hAnsi="Arial" w:eastAsia="仿宋_GB2312" w:cs="Arial"/>
                <w:sz w:val="18"/>
                <w:szCs w:val="18"/>
                <w:highlight w:val="none"/>
              </w:rPr>
              <w:t>所在区域基础设施水平达到</w:t>
            </w:r>
            <w:r>
              <w:rPr>
                <w:rFonts w:hint="eastAsia" w:ascii="Arial" w:hAnsi="Arial" w:eastAsia="仿宋_GB2312" w:cs="Arial"/>
                <w:sz w:val="18"/>
                <w:szCs w:val="18"/>
                <w:highlight w:val="none"/>
              </w:rPr>
              <w:t>七</w:t>
            </w:r>
            <w:r>
              <w:rPr>
                <w:rFonts w:ascii="Arial" w:hAnsi="Arial" w:eastAsia="仿宋_GB2312" w:cs="Arial"/>
                <w:sz w:val="18"/>
                <w:szCs w:val="18"/>
                <w:highlight w:val="none"/>
              </w:rPr>
              <w:t>通。</w:t>
            </w:r>
          </w:p>
        </w:tc>
        <w:tc>
          <w:tcPr>
            <w:tcW w:w="757" w:type="dxa"/>
            <w:tcBorders>
              <w:top w:val="nil"/>
              <w:left w:val="nil"/>
              <w:bottom w:val="single" w:color="auto" w:sz="4" w:space="0"/>
              <w:right w:val="single" w:color="auto" w:sz="4" w:space="0"/>
            </w:tcBorders>
            <w:shd w:val="clear" w:color="auto" w:fill="auto"/>
            <w:vAlign w:val="center"/>
          </w:tcPr>
          <w:p w14:paraId="745E0519">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w:t>
            </w:r>
            <w:r>
              <w:rPr>
                <w:rFonts w:hint="eastAsia" w:ascii="Arial" w:hAnsi="Arial" w:eastAsia="仿宋_GB2312" w:cs="Arial"/>
                <w:sz w:val="18"/>
                <w:szCs w:val="18"/>
                <w:highlight w:val="none"/>
              </w:rPr>
              <w:t>0</w:t>
            </w:r>
          </w:p>
        </w:tc>
        <w:tc>
          <w:tcPr>
            <w:tcW w:w="1374" w:type="dxa"/>
            <w:tcBorders>
              <w:top w:val="nil"/>
              <w:left w:val="nil"/>
              <w:bottom w:val="single" w:color="auto" w:sz="4" w:space="0"/>
              <w:right w:val="single" w:color="auto" w:sz="4" w:space="0"/>
            </w:tcBorders>
            <w:shd w:val="clear" w:color="auto" w:fill="auto"/>
            <w:vAlign w:val="center"/>
          </w:tcPr>
          <w:p w14:paraId="55F67CA7">
            <w:pPr>
              <w:widowControl/>
              <w:adjustRightInd/>
              <w:spacing w:line="240" w:lineRule="exact"/>
              <w:jc w:val="both"/>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案例B</w:t>
            </w:r>
            <w:r>
              <w:rPr>
                <w:rFonts w:ascii="Arial" w:hAnsi="Arial" w:eastAsia="仿宋_GB2312" w:cs="Arial"/>
                <w:sz w:val="18"/>
                <w:szCs w:val="18"/>
                <w:highlight w:val="none"/>
              </w:rPr>
              <w:t>所在区域基础设施水平达到</w:t>
            </w:r>
            <w:r>
              <w:rPr>
                <w:rFonts w:hint="eastAsia" w:ascii="Arial" w:hAnsi="Arial" w:eastAsia="仿宋_GB2312" w:cs="Arial"/>
                <w:sz w:val="18"/>
                <w:szCs w:val="18"/>
                <w:highlight w:val="none"/>
              </w:rPr>
              <w:t>七</w:t>
            </w:r>
            <w:r>
              <w:rPr>
                <w:rFonts w:ascii="Arial" w:hAnsi="Arial" w:eastAsia="仿宋_GB2312" w:cs="Arial"/>
                <w:sz w:val="18"/>
                <w:szCs w:val="18"/>
                <w:highlight w:val="none"/>
              </w:rPr>
              <w:t>通。</w:t>
            </w:r>
          </w:p>
        </w:tc>
        <w:tc>
          <w:tcPr>
            <w:tcW w:w="551" w:type="dxa"/>
            <w:tcBorders>
              <w:top w:val="nil"/>
              <w:left w:val="nil"/>
              <w:bottom w:val="single" w:color="auto" w:sz="4" w:space="0"/>
              <w:right w:val="single" w:color="auto" w:sz="4" w:space="0"/>
            </w:tcBorders>
            <w:shd w:val="clear" w:color="auto" w:fill="auto"/>
            <w:vAlign w:val="center"/>
          </w:tcPr>
          <w:p w14:paraId="6C18F426">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w:t>
            </w:r>
            <w:r>
              <w:rPr>
                <w:rFonts w:hint="eastAsia" w:ascii="Arial" w:hAnsi="Arial" w:eastAsia="仿宋_GB2312" w:cs="Arial"/>
                <w:sz w:val="18"/>
                <w:szCs w:val="18"/>
                <w:highlight w:val="none"/>
              </w:rPr>
              <w:t>0</w:t>
            </w:r>
          </w:p>
        </w:tc>
        <w:tc>
          <w:tcPr>
            <w:tcW w:w="1302" w:type="dxa"/>
            <w:tcBorders>
              <w:top w:val="nil"/>
              <w:left w:val="nil"/>
              <w:bottom w:val="single" w:color="auto" w:sz="4" w:space="0"/>
              <w:right w:val="single" w:color="auto" w:sz="4" w:space="0"/>
            </w:tcBorders>
            <w:shd w:val="clear" w:color="auto" w:fill="auto"/>
            <w:vAlign w:val="center"/>
          </w:tcPr>
          <w:p w14:paraId="145B3BB6">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案例</w:t>
            </w:r>
            <w:r>
              <w:rPr>
                <w:rFonts w:ascii="Arial" w:hAnsi="Arial" w:eastAsia="仿宋_GB2312" w:cs="Arial"/>
                <w:sz w:val="18"/>
                <w:szCs w:val="18"/>
                <w:highlight w:val="none"/>
              </w:rPr>
              <w:t>C所在区域基础设施水平达到</w:t>
            </w:r>
            <w:r>
              <w:rPr>
                <w:rFonts w:hint="eastAsia" w:ascii="Arial" w:hAnsi="Arial" w:eastAsia="仿宋_GB2312" w:cs="Arial"/>
                <w:sz w:val="18"/>
                <w:szCs w:val="18"/>
                <w:highlight w:val="none"/>
              </w:rPr>
              <w:t>七</w:t>
            </w:r>
            <w:r>
              <w:rPr>
                <w:rFonts w:ascii="Arial" w:hAnsi="Arial" w:eastAsia="仿宋_GB2312" w:cs="Arial"/>
                <w:sz w:val="18"/>
                <w:szCs w:val="18"/>
                <w:highlight w:val="none"/>
              </w:rPr>
              <w:t>通。</w:t>
            </w:r>
          </w:p>
        </w:tc>
        <w:tc>
          <w:tcPr>
            <w:tcW w:w="551" w:type="dxa"/>
            <w:tcBorders>
              <w:top w:val="nil"/>
              <w:left w:val="nil"/>
              <w:bottom w:val="single" w:color="auto" w:sz="4" w:space="0"/>
              <w:right w:val="single" w:color="auto" w:sz="4" w:space="0"/>
            </w:tcBorders>
            <w:shd w:val="clear" w:color="auto" w:fill="auto"/>
            <w:noWrap/>
            <w:vAlign w:val="center"/>
          </w:tcPr>
          <w:p w14:paraId="0B0E69CC">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w:t>
            </w:r>
            <w:r>
              <w:rPr>
                <w:rFonts w:hint="eastAsia" w:ascii="Arial" w:hAnsi="Arial" w:eastAsia="仿宋_GB2312" w:cs="Arial"/>
                <w:sz w:val="18"/>
                <w:szCs w:val="18"/>
                <w:highlight w:val="none"/>
              </w:rPr>
              <w:t>0</w:t>
            </w:r>
          </w:p>
        </w:tc>
      </w:tr>
      <w:tr w14:paraId="08EE5E88">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0D2B8279">
            <w:pPr>
              <w:spacing w:line="240" w:lineRule="exact"/>
              <w:jc w:val="center"/>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593909D0">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环境质量</w:t>
            </w:r>
          </w:p>
        </w:tc>
        <w:tc>
          <w:tcPr>
            <w:tcW w:w="1418" w:type="dxa"/>
            <w:tcBorders>
              <w:top w:val="nil"/>
              <w:left w:val="nil"/>
              <w:bottom w:val="single" w:color="auto" w:sz="4" w:space="0"/>
              <w:right w:val="single" w:color="auto" w:sz="4" w:space="0"/>
            </w:tcBorders>
            <w:shd w:val="clear" w:color="auto" w:fill="auto"/>
            <w:vAlign w:val="center"/>
          </w:tcPr>
          <w:p w14:paraId="7C3A50B1">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估价对位于北京市顺义区高丽营镇夏县营村，周边2公里南郎中休闲公园、口袋公园、方氏渠等自然环境；无人文环境；综合评价环境状况一般。</w:t>
            </w:r>
          </w:p>
        </w:tc>
        <w:tc>
          <w:tcPr>
            <w:tcW w:w="567" w:type="dxa"/>
            <w:tcBorders>
              <w:top w:val="nil"/>
              <w:left w:val="nil"/>
              <w:bottom w:val="single" w:color="auto" w:sz="4" w:space="0"/>
              <w:right w:val="single" w:color="auto" w:sz="4" w:space="0"/>
            </w:tcBorders>
            <w:shd w:val="clear" w:color="auto" w:fill="auto"/>
            <w:vAlign w:val="center"/>
          </w:tcPr>
          <w:p w14:paraId="64369839">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1D7AC1B7">
            <w:pPr>
              <w:widowControl/>
              <w:adjustRightInd/>
              <w:spacing w:line="240" w:lineRule="exact"/>
              <w:jc w:val="center"/>
              <w:textAlignment w:val="auto"/>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rPr>
              <w:t>案例A周边有城北减河水系、卧龙公园</w:t>
            </w:r>
            <w:r>
              <w:rPr>
                <w:rFonts w:hint="eastAsia" w:ascii="Arial" w:hAnsi="Arial" w:eastAsia="仿宋_GB2312" w:cs="Arial"/>
                <w:sz w:val="18"/>
                <w:szCs w:val="18"/>
                <w:highlight w:val="none"/>
                <w:lang w:eastAsia="zh-CN"/>
              </w:rPr>
              <w:t>、</w:t>
            </w:r>
            <w:r>
              <w:rPr>
                <w:rFonts w:hint="eastAsia" w:ascii="Arial" w:hAnsi="Arial" w:eastAsia="仿宋_GB2312" w:cs="Arial"/>
                <w:sz w:val="18"/>
                <w:szCs w:val="18"/>
                <w:highlight w:val="none"/>
                <w:lang w:val="en-US" w:eastAsia="zh-CN"/>
              </w:rPr>
              <w:t>马坡千亩森林公园等自然环境</w:t>
            </w:r>
            <w:r>
              <w:rPr>
                <w:rFonts w:hint="eastAsia" w:ascii="Arial" w:hAnsi="Arial" w:eastAsia="仿宋_GB2312" w:cs="Arial"/>
                <w:sz w:val="18"/>
                <w:szCs w:val="18"/>
                <w:highlight w:val="none"/>
              </w:rPr>
              <w:t>；</w:t>
            </w:r>
            <w:r>
              <w:rPr>
                <w:rFonts w:hint="eastAsia" w:ascii="Arial" w:hAnsi="Arial" w:eastAsia="仿宋_GB2312" w:cs="Arial"/>
                <w:sz w:val="18"/>
                <w:szCs w:val="18"/>
                <w:highlight w:val="none"/>
                <w:lang w:val="en-US" w:eastAsia="zh-CN"/>
              </w:rPr>
              <w:t>临近顺义区政府、顺义区政务服务中心</w:t>
            </w:r>
            <w:r>
              <w:rPr>
                <w:rFonts w:hint="eastAsia" w:ascii="Arial" w:hAnsi="Arial" w:eastAsia="仿宋_GB2312" w:cs="Arial"/>
                <w:sz w:val="18"/>
                <w:szCs w:val="18"/>
                <w:highlight w:val="none"/>
              </w:rPr>
              <w:t>；综合评价环境状况</w:t>
            </w:r>
            <w:r>
              <w:rPr>
                <w:rFonts w:hint="eastAsia" w:ascii="Arial" w:hAnsi="Arial" w:eastAsia="仿宋_GB2312" w:cs="Arial"/>
                <w:sz w:val="18"/>
                <w:szCs w:val="18"/>
                <w:highlight w:val="none"/>
                <w:lang w:val="en-US" w:eastAsia="zh-CN"/>
              </w:rPr>
              <w:t>较好。</w:t>
            </w:r>
          </w:p>
        </w:tc>
        <w:tc>
          <w:tcPr>
            <w:tcW w:w="757" w:type="dxa"/>
            <w:tcBorders>
              <w:top w:val="nil"/>
              <w:left w:val="nil"/>
              <w:bottom w:val="single" w:color="auto" w:sz="4" w:space="0"/>
              <w:right w:val="single" w:color="auto" w:sz="4" w:space="0"/>
            </w:tcBorders>
            <w:shd w:val="clear" w:color="auto" w:fill="auto"/>
            <w:vAlign w:val="center"/>
          </w:tcPr>
          <w:p w14:paraId="09663864">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103</w:t>
            </w:r>
          </w:p>
        </w:tc>
        <w:tc>
          <w:tcPr>
            <w:tcW w:w="1374" w:type="dxa"/>
            <w:tcBorders>
              <w:top w:val="nil"/>
              <w:left w:val="nil"/>
              <w:bottom w:val="single" w:color="auto" w:sz="4" w:space="0"/>
              <w:right w:val="single" w:color="auto" w:sz="4" w:space="0"/>
            </w:tcBorders>
            <w:shd w:val="clear" w:color="auto" w:fill="auto"/>
            <w:vAlign w:val="center"/>
          </w:tcPr>
          <w:p w14:paraId="318DFC91">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案例</w:t>
            </w:r>
            <w:r>
              <w:rPr>
                <w:rFonts w:ascii="Arial" w:hAnsi="Arial" w:eastAsia="仿宋_GB2312" w:cs="Arial"/>
                <w:sz w:val="18"/>
                <w:szCs w:val="18"/>
                <w:highlight w:val="none"/>
              </w:rPr>
              <w:t>B</w:t>
            </w:r>
            <w:r>
              <w:rPr>
                <w:rFonts w:hint="eastAsia" w:ascii="Arial" w:hAnsi="Arial" w:eastAsia="仿宋_GB2312" w:cs="Arial"/>
                <w:sz w:val="18"/>
                <w:szCs w:val="18"/>
                <w:highlight w:val="none"/>
              </w:rPr>
              <w:t>周边3公里范围公园绿化较少，绿化条件较差；人文场所较少。周边2公里内有光华集团产业园、七粹文化创意产业园等产业园区。综合考虑自然环境与人文环境</w:t>
            </w:r>
            <w:r>
              <w:rPr>
                <w:rFonts w:hint="eastAsia" w:ascii="Arial" w:hAnsi="Arial" w:eastAsia="仿宋_GB2312" w:cs="Arial"/>
                <w:sz w:val="18"/>
                <w:szCs w:val="18"/>
                <w:highlight w:val="none"/>
                <w:lang w:val="en-US" w:eastAsia="zh-CN"/>
              </w:rPr>
              <w:t>一般</w:t>
            </w:r>
            <w:r>
              <w:rPr>
                <w:rFonts w:hint="eastAsia" w:ascii="Arial" w:hAnsi="Arial" w:eastAsia="仿宋_GB2312" w:cs="Arial"/>
                <w:sz w:val="18"/>
                <w:szCs w:val="18"/>
                <w:highlight w:val="none"/>
              </w:rPr>
              <w:t>。</w:t>
            </w:r>
          </w:p>
        </w:tc>
        <w:tc>
          <w:tcPr>
            <w:tcW w:w="551" w:type="dxa"/>
            <w:tcBorders>
              <w:top w:val="nil"/>
              <w:left w:val="nil"/>
              <w:bottom w:val="single" w:color="auto" w:sz="4" w:space="0"/>
              <w:right w:val="single" w:color="auto" w:sz="4" w:space="0"/>
            </w:tcBorders>
            <w:shd w:val="clear" w:color="auto" w:fill="auto"/>
            <w:vAlign w:val="center"/>
          </w:tcPr>
          <w:p w14:paraId="2F1F0EE8">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100</w:t>
            </w:r>
          </w:p>
        </w:tc>
        <w:tc>
          <w:tcPr>
            <w:tcW w:w="1302" w:type="dxa"/>
            <w:tcBorders>
              <w:top w:val="nil"/>
              <w:left w:val="nil"/>
              <w:bottom w:val="single" w:color="auto" w:sz="4" w:space="0"/>
              <w:right w:val="single" w:color="auto" w:sz="4" w:space="0"/>
            </w:tcBorders>
            <w:shd w:val="clear" w:color="auto" w:fill="auto"/>
            <w:vAlign w:val="center"/>
          </w:tcPr>
          <w:p w14:paraId="558BB804">
            <w:pPr>
              <w:widowControl/>
              <w:adjustRightInd/>
              <w:spacing w:line="240" w:lineRule="exact"/>
              <w:jc w:val="center"/>
              <w:textAlignment w:val="auto"/>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rPr>
              <w:t>案例</w:t>
            </w:r>
            <w:r>
              <w:rPr>
                <w:rFonts w:ascii="Arial" w:hAnsi="Arial" w:eastAsia="仿宋_GB2312" w:cs="Arial"/>
                <w:sz w:val="18"/>
                <w:szCs w:val="18"/>
                <w:highlight w:val="none"/>
              </w:rPr>
              <w:t>C</w:t>
            </w:r>
            <w:r>
              <w:rPr>
                <w:rFonts w:hint="eastAsia" w:ascii="Arial" w:hAnsi="Arial" w:eastAsia="仿宋_GB2312" w:cs="Arial"/>
                <w:sz w:val="18"/>
                <w:szCs w:val="18"/>
                <w:highlight w:val="none"/>
              </w:rPr>
              <w:t>周边有马坡千亩森林公园、潮白河</w:t>
            </w:r>
            <w:r>
              <w:rPr>
                <w:rFonts w:hint="eastAsia" w:ascii="Arial" w:hAnsi="Arial" w:eastAsia="仿宋_GB2312" w:cs="Arial"/>
                <w:sz w:val="18"/>
                <w:szCs w:val="18"/>
                <w:highlight w:val="none"/>
                <w:lang w:val="en-US" w:eastAsia="zh-CN"/>
              </w:rPr>
              <w:t>等自然环境</w:t>
            </w:r>
            <w:r>
              <w:rPr>
                <w:rFonts w:hint="eastAsia" w:ascii="Arial" w:hAnsi="Arial" w:eastAsia="仿宋_GB2312" w:cs="Arial"/>
                <w:sz w:val="18"/>
                <w:szCs w:val="18"/>
                <w:highlight w:val="none"/>
              </w:rPr>
              <w:t>；</w:t>
            </w:r>
            <w:r>
              <w:rPr>
                <w:rFonts w:hint="eastAsia" w:ascii="Arial" w:hAnsi="Arial" w:eastAsia="仿宋_GB2312" w:cs="Arial"/>
                <w:sz w:val="18"/>
                <w:szCs w:val="18"/>
                <w:highlight w:val="none"/>
                <w:lang w:val="en-US" w:eastAsia="zh-CN"/>
              </w:rPr>
              <w:t>有乡村高尔夫俱乐部，临近顺义区政府、顺义区政务服务中心</w:t>
            </w:r>
            <w:r>
              <w:rPr>
                <w:rFonts w:hint="eastAsia" w:ascii="Arial" w:hAnsi="Arial" w:eastAsia="仿宋_GB2312" w:cs="Arial"/>
                <w:sz w:val="18"/>
                <w:szCs w:val="18"/>
                <w:highlight w:val="none"/>
              </w:rPr>
              <w:t>；综合评价环境状况</w:t>
            </w:r>
            <w:r>
              <w:rPr>
                <w:rFonts w:hint="eastAsia" w:ascii="Arial" w:hAnsi="Arial" w:eastAsia="仿宋_GB2312" w:cs="Arial"/>
                <w:sz w:val="18"/>
                <w:szCs w:val="18"/>
                <w:highlight w:val="none"/>
                <w:lang w:val="en-US" w:eastAsia="zh-CN"/>
              </w:rPr>
              <w:t>较好。</w:t>
            </w:r>
          </w:p>
        </w:tc>
        <w:tc>
          <w:tcPr>
            <w:tcW w:w="551" w:type="dxa"/>
            <w:tcBorders>
              <w:top w:val="nil"/>
              <w:left w:val="nil"/>
              <w:bottom w:val="single" w:color="auto" w:sz="4" w:space="0"/>
              <w:right w:val="single" w:color="auto" w:sz="4" w:space="0"/>
            </w:tcBorders>
            <w:shd w:val="clear" w:color="auto" w:fill="auto"/>
            <w:noWrap/>
            <w:vAlign w:val="center"/>
          </w:tcPr>
          <w:p w14:paraId="6C1F5435">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ascii="Arial" w:hAnsi="Arial" w:eastAsia="仿宋_GB2312" w:cs="Arial"/>
                <w:sz w:val="18"/>
                <w:szCs w:val="18"/>
                <w:highlight w:val="none"/>
              </w:rPr>
              <w:t>10</w:t>
            </w:r>
            <w:r>
              <w:rPr>
                <w:rFonts w:hint="eastAsia" w:ascii="Arial" w:hAnsi="Arial" w:eastAsia="仿宋_GB2312" w:cs="Arial"/>
                <w:sz w:val="18"/>
                <w:szCs w:val="18"/>
                <w:highlight w:val="none"/>
                <w:lang w:val="en-US" w:eastAsia="zh-CN"/>
              </w:rPr>
              <w:t>3</w:t>
            </w:r>
          </w:p>
        </w:tc>
      </w:tr>
      <w:tr w14:paraId="762C2B58">
        <w:tblPrEx>
          <w:tblCellMar>
            <w:top w:w="57" w:type="dxa"/>
            <w:left w:w="28" w:type="dxa"/>
            <w:bottom w:w="57" w:type="dxa"/>
            <w:right w:w="28" w:type="dxa"/>
          </w:tblCellMar>
        </w:tblPrEx>
        <w:trPr>
          <w:cantSplit/>
          <w:jc w:val="center"/>
        </w:trPr>
        <w:tc>
          <w:tcPr>
            <w:tcW w:w="285" w:type="dxa"/>
            <w:tcBorders>
              <w:left w:val="single" w:color="auto" w:sz="4" w:space="0"/>
              <w:right w:val="single" w:color="auto" w:sz="4" w:space="0"/>
            </w:tcBorders>
            <w:shd w:val="clear" w:color="auto" w:fill="auto"/>
            <w:vAlign w:val="center"/>
          </w:tcPr>
          <w:p w14:paraId="3BAD42D3">
            <w:pPr>
              <w:spacing w:line="240" w:lineRule="exact"/>
              <w:jc w:val="center"/>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00E97412">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道路级别</w:t>
            </w:r>
          </w:p>
        </w:tc>
        <w:tc>
          <w:tcPr>
            <w:tcW w:w="1418" w:type="dxa"/>
            <w:tcBorders>
              <w:top w:val="nil"/>
              <w:left w:val="nil"/>
              <w:bottom w:val="single" w:color="auto" w:sz="4" w:space="0"/>
              <w:right w:val="single" w:color="auto" w:sz="4" w:space="0"/>
            </w:tcBorders>
            <w:shd w:val="clear" w:color="auto" w:fill="auto"/>
            <w:vAlign w:val="center"/>
          </w:tcPr>
          <w:p w14:paraId="17167ABB">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城市主干道—火寺路</w:t>
            </w:r>
          </w:p>
        </w:tc>
        <w:tc>
          <w:tcPr>
            <w:tcW w:w="567" w:type="dxa"/>
            <w:tcBorders>
              <w:top w:val="nil"/>
              <w:left w:val="nil"/>
              <w:bottom w:val="single" w:color="auto" w:sz="4" w:space="0"/>
              <w:right w:val="single" w:color="auto" w:sz="4" w:space="0"/>
            </w:tcBorders>
            <w:shd w:val="clear" w:color="auto" w:fill="auto"/>
            <w:vAlign w:val="center"/>
          </w:tcPr>
          <w:p w14:paraId="546F2782">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474B87D2">
            <w:pPr>
              <w:widowControl/>
              <w:adjustRightInd/>
              <w:spacing w:line="240" w:lineRule="exact"/>
              <w:jc w:val="center"/>
              <w:textAlignment w:val="auto"/>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rPr>
              <w:t>城市</w:t>
            </w:r>
            <w:r>
              <w:rPr>
                <w:rFonts w:hint="eastAsia" w:ascii="Arial" w:hAnsi="Arial" w:eastAsia="仿宋_GB2312" w:cs="Arial"/>
                <w:sz w:val="18"/>
                <w:szCs w:val="18"/>
                <w:highlight w:val="none"/>
                <w:lang w:val="en-US" w:eastAsia="zh-CN"/>
              </w:rPr>
              <w:t>主</w:t>
            </w:r>
            <w:r>
              <w:rPr>
                <w:rFonts w:hint="eastAsia" w:ascii="Arial" w:hAnsi="Arial" w:eastAsia="仿宋_GB2312" w:cs="Arial"/>
                <w:sz w:val="18"/>
                <w:szCs w:val="18"/>
                <w:highlight w:val="none"/>
              </w:rPr>
              <w:t>干道—</w:t>
            </w:r>
            <w:r>
              <w:rPr>
                <w:rFonts w:hint="eastAsia" w:ascii="Arial" w:hAnsi="Arial" w:eastAsia="仿宋_GB2312" w:cs="Arial"/>
                <w:sz w:val="18"/>
                <w:szCs w:val="18"/>
                <w:highlight w:val="none"/>
                <w:lang w:val="en-US" w:eastAsia="zh-CN"/>
              </w:rPr>
              <w:t>西环路</w:t>
            </w:r>
          </w:p>
        </w:tc>
        <w:tc>
          <w:tcPr>
            <w:tcW w:w="757" w:type="dxa"/>
            <w:tcBorders>
              <w:top w:val="nil"/>
              <w:left w:val="nil"/>
              <w:bottom w:val="single" w:color="auto" w:sz="4" w:space="0"/>
              <w:right w:val="single" w:color="auto" w:sz="4" w:space="0"/>
            </w:tcBorders>
            <w:shd w:val="clear" w:color="auto" w:fill="auto"/>
            <w:vAlign w:val="center"/>
          </w:tcPr>
          <w:p w14:paraId="37A66080">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100</w:t>
            </w:r>
          </w:p>
        </w:tc>
        <w:tc>
          <w:tcPr>
            <w:tcW w:w="1374" w:type="dxa"/>
            <w:tcBorders>
              <w:top w:val="nil"/>
              <w:left w:val="nil"/>
              <w:bottom w:val="single" w:color="auto" w:sz="4" w:space="0"/>
              <w:right w:val="single" w:color="auto" w:sz="4" w:space="0"/>
            </w:tcBorders>
            <w:shd w:val="clear" w:color="auto" w:fill="auto"/>
            <w:vAlign w:val="center"/>
          </w:tcPr>
          <w:p w14:paraId="04D0E6D8">
            <w:pPr>
              <w:widowControl/>
              <w:adjustRightInd/>
              <w:spacing w:line="240" w:lineRule="exact"/>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rPr>
              <w:t>城市</w:t>
            </w:r>
            <w:r>
              <w:rPr>
                <w:rFonts w:hint="eastAsia" w:ascii="Arial" w:hAnsi="Arial" w:eastAsia="仿宋_GB2312" w:cs="Arial"/>
                <w:sz w:val="18"/>
                <w:szCs w:val="18"/>
                <w:highlight w:val="none"/>
                <w:lang w:val="en-US" w:eastAsia="zh-CN"/>
              </w:rPr>
              <w:t>主</w:t>
            </w:r>
            <w:r>
              <w:rPr>
                <w:rFonts w:hint="eastAsia" w:ascii="Arial" w:hAnsi="Arial" w:eastAsia="仿宋_GB2312" w:cs="Arial"/>
                <w:sz w:val="18"/>
                <w:szCs w:val="18"/>
                <w:highlight w:val="none"/>
              </w:rPr>
              <w:t>干道—</w:t>
            </w:r>
            <w:r>
              <w:rPr>
                <w:rFonts w:hint="eastAsia" w:ascii="Arial" w:hAnsi="Arial" w:eastAsia="仿宋_GB2312" w:cs="Arial"/>
                <w:sz w:val="18"/>
                <w:szCs w:val="18"/>
                <w:highlight w:val="none"/>
                <w:lang w:val="en-US" w:eastAsia="zh-CN"/>
              </w:rPr>
              <w:t>府前街路</w:t>
            </w:r>
          </w:p>
        </w:tc>
        <w:tc>
          <w:tcPr>
            <w:tcW w:w="551" w:type="dxa"/>
            <w:tcBorders>
              <w:top w:val="nil"/>
              <w:left w:val="nil"/>
              <w:bottom w:val="single" w:color="auto" w:sz="4" w:space="0"/>
              <w:right w:val="single" w:color="auto" w:sz="4" w:space="0"/>
            </w:tcBorders>
            <w:shd w:val="clear" w:color="auto" w:fill="auto"/>
            <w:vAlign w:val="center"/>
          </w:tcPr>
          <w:p w14:paraId="5D34A5DD">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lang w:val="en-US" w:eastAsia="zh-CN"/>
              </w:rPr>
              <w:t>100</w:t>
            </w:r>
          </w:p>
        </w:tc>
        <w:tc>
          <w:tcPr>
            <w:tcW w:w="1302" w:type="dxa"/>
            <w:tcBorders>
              <w:top w:val="nil"/>
              <w:left w:val="nil"/>
              <w:bottom w:val="single" w:color="auto" w:sz="4" w:space="0"/>
              <w:right w:val="single" w:color="auto" w:sz="4" w:space="0"/>
            </w:tcBorders>
            <w:shd w:val="clear" w:color="auto" w:fill="auto"/>
            <w:vAlign w:val="center"/>
          </w:tcPr>
          <w:p w14:paraId="47CBEE5E">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城市主干道—通顺路</w:t>
            </w:r>
          </w:p>
        </w:tc>
        <w:tc>
          <w:tcPr>
            <w:tcW w:w="551" w:type="dxa"/>
            <w:tcBorders>
              <w:top w:val="nil"/>
              <w:left w:val="nil"/>
              <w:bottom w:val="single" w:color="auto" w:sz="4" w:space="0"/>
              <w:right w:val="single" w:color="auto" w:sz="4" w:space="0"/>
            </w:tcBorders>
            <w:shd w:val="clear" w:color="auto" w:fill="auto"/>
            <w:noWrap/>
            <w:vAlign w:val="center"/>
          </w:tcPr>
          <w:p w14:paraId="7584793E">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r>
      <w:tr w14:paraId="603B845D">
        <w:tblPrEx>
          <w:tblCellMar>
            <w:top w:w="57" w:type="dxa"/>
            <w:left w:w="28" w:type="dxa"/>
            <w:bottom w:w="57" w:type="dxa"/>
            <w:right w:w="28" w:type="dxa"/>
          </w:tblCellMar>
        </w:tblPrEx>
        <w:trPr>
          <w:cantSplit/>
          <w:jc w:val="center"/>
        </w:trPr>
        <w:tc>
          <w:tcPr>
            <w:tcW w:w="285" w:type="dxa"/>
            <w:vMerge w:val="restart"/>
            <w:tcBorders>
              <w:top w:val="single" w:color="auto" w:sz="4" w:space="0"/>
              <w:left w:val="single" w:color="auto" w:sz="4" w:space="0"/>
              <w:right w:val="single" w:color="auto" w:sz="4" w:space="0"/>
            </w:tcBorders>
            <w:shd w:val="clear" w:color="auto" w:fill="auto"/>
            <w:vAlign w:val="center"/>
          </w:tcPr>
          <w:p w14:paraId="1787B77F">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个别</w:t>
            </w:r>
          </w:p>
          <w:p w14:paraId="4C974599">
            <w:pPr>
              <w:spacing w:line="240" w:lineRule="exact"/>
              <w:rPr>
                <w:rFonts w:ascii="Arial" w:hAnsi="Arial" w:eastAsia="仿宋_GB2312" w:cs="Arial"/>
                <w:sz w:val="18"/>
                <w:szCs w:val="18"/>
                <w:highlight w:val="none"/>
              </w:rPr>
            </w:pPr>
            <w:r>
              <w:rPr>
                <w:rFonts w:ascii="Arial" w:hAnsi="Arial" w:eastAsia="仿宋_GB2312" w:cs="Arial"/>
                <w:sz w:val="18"/>
                <w:szCs w:val="18"/>
                <w:highlight w:val="none"/>
              </w:rPr>
              <w:t>因素</w:t>
            </w: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6255DCD7">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建筑类型</w:t>
            </w:r>
          </w:p>
        </w:tc>
        <w:tc>
          <w:tcPr>
            <w:tcW w:w="1418" w:type="dxa"/>
            <w:tcBorders>
              <w:top w:val="nil"/>
              <w:left w:val="nil"/>
              <w:bottom w:val="single" w:color="auto" w:sz="4" w:space="0"/>
              <w:right w:val="single" w:color="auto" w:sz="4" w:space="0"/>
            </w:tcBorders>
            <w:shd w:val="clear" w:color="auto" w:fill="auto"/>
            <w:vAlign w:val="center"/>
          </w:tcPr>
          <w:p w14:paraId="13061147">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多层板楼</w:t>
            </w:r>
          </w:p>
        </w:tc>
        <w:tc>
          <w:tcPr>
            <w:tcW w:w="567" w:type="dxa"/>
            <w:tcBorders>
              <w:top w:val="nil"/>
              <w:left w:val="nil"/>
              <w:bottom w:val="single" w:color="auto" w:sz="4" w:space="0"/>
              <w:right w:val="single" w:color="auto" w:sz="4" w:space="0"/>
            </w:tcBorders>
            <w:shd w:val="clear" w:color="auto" w:fill="auto"/>
            <w:vAlign w:val="center"/>
          </w:tcPr>
          <w:p w14:paraId="6AD19D38">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068951AD">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小高层板楼</w:t>
            </w:r>
          </w:p>
        </w:tc>
        <w:tc>
          <w:tcPr>
            <w:tcW w:w="757" w:type="dxa"/>
            <w:tcBorders>
              <w:top w:val="nil"/>
              <w:left w:val="nil"/>
              <w:bottom w:val="single" w:color="auto" w:sz="4" w:space="0"/>
              <w:right w:val="single" w:color="auto" w:sz="4" w:space="0"/>
            </w:tcBorders>
            <w:shd w:val="clear" w:color="auto" w:fill="auto"/>
            <w:vAlign w:val="center"/>
          </w:tcPr>
          <w:p w14:paraId="5D0F15B7">
            <w:pPr>
              <w:widowControl/>
              <w:adjustRightInd/>
              <w:spacing w:line="240" w:lineRule="exact"/>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98</w:t>
            </w:r>
          </w:p>
        </w:tc>
        <w:tc>
          <w:tcPr>
            <w:tcW w:w="1374" w:type="dxa"/>
            <w:tcBorders>
              <w:top w:val="nil"/>
              <w:left w:val="nil"/>
              <w:bottom w:val="single" w:color="auto" w:sz="4" w:space="0"/>
              <w:right w:val="single" w:color="auto" w:sz="4" w:space="0"/>
            </w:tcBorders>
            <w:shd w:val="clear" w:color="auto" w:fill="auto"/>
            <w:vAlign w:val="center"/>
          </w:tcPr>
          <w:p w14:paraId="26C0EC57">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小高层板楼</w:t>
            </w:r>
          </w:p>
        </w:tc>
        <w:tc>
          <w:tcPr>
            <w:tcW w:w="551" w:type="dxa"/>
            <w:tcBorders>
              <w:top w:val="nil"/>
              <w:left w:val="nil"/>
              <w:bottom w:val="single" w:color="auto" w:sz="4" w:space="0"/>
              <w:right w:val="single" w:color="auto" w:sz="4" w:space="0"/>
            </w:tcBorders>
            <w:shd w:val="clear" w:color="auto" w:fill="auto"/>
            <w:vAlign w:val="center"/>
          </w:tcPr>
          <w:p w14:paraId="52379DCC">
            <w:pPr>
              <w:widowControl/>
              <w:adjustRightInd/>
              <w:spacing w:line="240" w:lineRule="exact"/>
              <w:jc w:val="center"/>
              <w:textAlignment w:val="auto"/>
              <w:rPr>
                <w:rFonts w:hint="default" w:ascii="Arial" w:hAnsi="Arial" w:eastAsia="仿宋_GB2312" w:cs="Arial"/>
                <w:sz w:val="18"/>
                <w:szCs w:val="18"/>
                <w:highlight w:val="none"/>
                <w:lang w:val="en-US"/>
              </w:rPr>
            </w:pPr>
            <w:r>
              <w:rPr>
                <w:rFonts w:hint="eastAsia" w:ascii="Arial" w:hAnsi="Arial" w:eastAsia="仿宋_GB2312" w:cs="Arial"/>
                <w:sz w:val="18"/>
                <w:szCs w:val="18"/>
                <w:highlight w:val="none"/>
                <w:lang w:val="en-US" w:eastAsia="zh-CN"/>
              </w:rPr>
              <w:t>98</w:t>
            </w:r>
          </w:p>
        </w:tc>
        <w:tc>
          <w:tcPr>
            <w:tcW w:w="1302" w:type="dxa"/>
            <w:tcBorders>
              <w:top w:val="nil"/>
              <w:left w:val="nil"/>
              <w:bottom w:val="single" w:color="auto" w:sz="4" w:space="0"/>
              <w:right w:val="single" w:color="auto" w:sz="4" w:space="0"/>
            </w:tcBorders>
            <w:shd w:val="clear" w:color="auto" w:fill="auto"/>
            <w:vAlign w:val="center"/>
          </w:tcPr>
          <w:p w14:paraId="3AAD6CEF">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小高层板楼</w:t>
            </w:r>
          </w:p>
        </w:tc>
        <w:tc>
          <w:tcPr>
            <w:tcW w:w="551" w:type="dxa"/>
            <w:tcBorders>
              <w:top w:val="nil"/>
              <w:left w:val="nil"/>
              <w:bottom w:val="single" w:color="auto" w:sz="4" w:space="0"/>
              <w:right w:val="single" w:color="auto" w:sz="4" w:space="0"/>
            </w:tcBorders>
            <w:shd w:val="clear" w:color="auto" w:fill="auto"/>
            <w:noWrap/>
            <w:vAlign w:val="center"/>
          </w:tcPr>
          <w:p w14:paraId="2A38CDCA">
            <w:pPr>
              <w:widowControl/>
              <w:adjustRightInd/>
              <w:spacing w:line="240" w:lineRule="exact"/>
              <w:jc w:val="center"/>
              <w:textAlignment w:val="auto"/>
              <w:rPr>
                <w:rFonts w:hint="default" w:ascii="Arial" w:hAnsi="Arial" w:eastAsia="仿宋_GB2312" w:cs="Arial"/>
                <w:sz w:val="18"/>
                <w:szCs w:val="18"/>
                <w:highlight w:val="none"/>
                <w:lang w:val="en-US"/>
              </w:rPr>
            </w:pPr>
            <w:r>
              <w:rPr>
                <w:rFonts w:hint="eastAsia" w:ascii="Arial" w:hAnsi="Arial" w:eastAsia="仿宋_GB2312" w:cs="Arial"/>
                <w:sz w:val="18"/>
                <w:szCs w:val="18"/>
                <w:highlight w:val="none"/>
                <w:lang w:val="en-US" w:eastAsia="zh-CN"/>
              </w:rPr>
              <w:t>98</w:t>
            </w:r>
          </w:p>
        </w:tc>
      </w:tr>
      <w:tr w14:paraId="4D4B7E97">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6651D6A6">
            <w:pPr>
              <w:widowControl/>
              <w:adjustRightInd/>
              <w:spacing w:line="240" w:lineRule="exact"/>
              <w:textAlignment w:val="auto"/>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6CA48999">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建筑结构</w:t>
            </w:r>
          </w:p>
        </w:tc>
        <w:tc>
          <w:tcPr>
            <w:tcW w:w="1418" w:type="dxa"/>
            <w:tcBorders>
              <w:top w:val="nil"/>
              <w:left w:val="nil"/>
              <w:bottom w:val="single" w:color="auto" w:sz="4" w:space="0"/>
              <w:right w:val="single" w:color="auto" w:sz="4" w:space="0"/>
            </w:tcBorders>
            <w:shd w:val="clear" w:color="auto" w:fill="auto"/>
            <w:vAlign w:val="center"/>
          </w:tcPr>
          <w:p w14:paraId="7F3FB6FA">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钢混</w:t>
            </w:r>
          </w:p>
        </w:tc>
        <w:tc>
          <w:tcPr>
            <w:tcW w:w="567" w:type="dxa"/>
            <w:tcBorders>
              <w:top w:val="nil"/>
              <w:left w:val="nil"/>
              <w:bottom w:val="single" w:color="auto" w:sz="4" w:space="0"/>
              <w:right w:val="single" w:color="auto" w:sz="4" w:space="0"/>
            </w:tcBorders>
            <w:shd w:val="clear" w:color="auto" w:fill="auto"/>
            <w:vAlign w:val="center"/>
          </w:tcPr>
          <w:p w14:paraId="4A5B9386">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36375B84">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钢混</w:t>
            </w:r>
          </w:p>
        </w:tc>
        <w:tc>
          <w:tcPr>
            <w:tcW w:w="757" w:type="dxa"/>
            <w:tcBorders>
              <w:top w:val="nil"/>
              <w:left w:val="nil"/>
              <w:bottom w:val="single" w:color="auto" w:sz="4" w:space="0"/>
              <w:right w:val="single" w:color="auto" w:sz="4" w:space="0"/>
            </w:tcBorders>
            <w:shd w:val="clear" w:color="auto" w:fill="auto"/>
            <w:vAlign w:val="center"/>
          </w:tcPr>
          <w:p w14:paraId="04BE96A5">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74" w:type="dxa"/>
            <w:tcBorders>
              <w:top w:val="nil"/>
              <w:left w:val="nil"/>
              <w:bottom w:val="single" w:color="auto" w:sz="4" w:space="0"/>
              <w:right w:val="single" w:color="auto" w:sz="4" w:space="0"/>
            </w:tcBorders>
            <w:shd w:val="clear" w:color="auto" w:fill="auto"/>
            <w:vAlign w:val="center"/>
          </w:tcPr>
          <w:p w14:paraId="1EA5FA8E">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钢混</w:t>
            </w:r>
          </w:p>
        </w:tc>
        <w:tc>
          <w:tcPr>
            <w:tcW w:w="551" w:type="dxa"/>
            <w:tcBorders>
              <w:top w:val="nil"/>
              <w:left w:val="nil"/>
              <w:bottom w:val="single" w:color="auto" w:sz="4" w:space="0"/>
              <w:right w:val="single" w:color="auto" w:sz="4" w:space="0"/>
            </w:tcBorders>
            <w:shd w:val="clear" w:color="auto" w:fill="auto"/>
            <w:vAlign w:val="center"/>
          </w:tcPr>
          <w:p w14:paraId="6089DF6B">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02" w:type="dxa"/>
            <w:tcBorders>
              <w:top w:val="nil"/>
              <w:left w:val="nil"/>
              <w:bottom w:val="single" w:color="auto" w:sz="4" w:space="0"/>
              <w:right w:val="single" w:color="auto" w:sz="4" w:space="0"/>
            </w:tcBorders>
            <w:shd w:val="clear" w:color="auto" w:fill="auto"/>
            <w:vAlign w:val="center"/>
          </w:tcPr>
          <w:p w14:paraId="244CF0CD">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钢混</w:t>
            </w:r>
          </w:p>
        </w:tc>
        <w:tc>
          <w:tcPr>
            <w:tcW w:w="551" w:type="dxa"/>
            <w:tcBorders>
              <w:top w:val="nil"/>
              <w:left w:val="nil"/>
              <w:bottom w:val="single" w:color="auto" w:sz="4" w:space="0"/>
              <w:right w:val="single" w:color="auto" w:sz="4" w:space="0"/>
            </w:tcBorders>
            <w:shd w:val="clear" w:color="auto" w:fill="auto"/>
            <w:noWrap/>
            <w:vAlign w:val="center"/>
          </w:tcPr>
          <w:p w14:paraId="36BEB5A6">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r>
      <w:tr w14:paraId="41935B9D">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7C0BA4EF">
            <w:pPr>
              <w:widowControl/>
              <w:adjustRightInd/>
              <w:spacing w:line="240" w:lineRule="exact"/>
              <w:textAlignment w:val="auto"/>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65C356A3">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物业管理</w:t>
            </w:r>
          </w:p>
        </w:tc>
        <w:tc>
          <w:tcPr>
            <w:tcW w:w="1418" w:type="dxa"/>
            <w:tcBorders>
              <w:top w:val="nil"/>
              <w:left w:val="nil"/>
              <w:bottom w:val="single" w:color="auto" w:sz="4" w:space="0"/>
              <w:right w:val="single" w:color="auto" w:sz="4" w:space="0"/>
            </w:tcBorders>
            <w:shd w:val="clear" w:color="auto" w:fill="auto"/>
            <w:vAlign w:val="center"/>
          </w:tcPr>
          <w:p w14:paraId="11DFA820">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专业</w:t>
            </w:r>
            <w:r>
              <w:rPr>
                <w:rFonts w:ascii="Arial" w:hAnsi="Arial" w:eastAsia="仿宋_GB2312" w:cs="Arial"/>
                <w:sz w:val="18"/>
                <w:szCs w:val="18"/>
                <w:highlight w:val="none"/>
              </w:rPr>
              <w:t>物业公司</w:t>
            </w:r>
          </w:p>
        </w:tc>
        <w:tc>
          <w:tcPr>
            <w:tcW w:w="567" w:type="dxa"/>
            <w:tcBorders>
              <w:top w:val="nil"/>
              <w:left w:val="nil"/>
              <w:bottom w:val="single" w:color="auto" w:sz="4" w:space="0"/>
              <w:right w:val="single" w:color="auto" w:sz="4" w:space="0"/>
            </w:tcBorders>
            <w:shd w:val="clear" w:color="auto" w:fill="auto"/>
            <w:vAlign w:val="center"/>
          </w:tcPr>
          <w:p w14:paraId="4C417F3C">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nil"/>
              <w:left w:val="nil"/>
              <w:bottom w:val="single" w:color="auto" w:sz="4" w:space="0"/>
              <w:right w:val="single" w:color="auto" w:sz="4" w:space="0"/>
            </w:tcBorders>
            <w:shd w:val="clear" w:color="auto" w:fill="auto"/>
            <w:vAlign w:val="center"/>
          </w:tcPr>
          <w:p w14:paraId="07BAEFB3">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专业</w:t>
            </w:r>
            <w:r>
              <w:rPr>
                <w:rFonts w:ascii="Arial" w:hAnsi="Arial" w:eastAsia="仿宋_GB2312" w:cs="Arial"/>
                <w:sz w:val="18"/>
                <w:szCs w:val="18"/>
                <w:highlight w:val="none"/>
              </w:rPr>
              <w:t>物业公司</w:t>
            </w:r>
          </w:p>
        </w:tc>
        <w:tc>
          <w:tcPr>
            <w:tcW w:w="757" w:type="dxa"/>
            <w:tcBorders>
              <w:top w:val="nil"/>
              <w:left w:val="nil"/>
              <w:bottom w:val="single" w:color="auto" w:sz="4" w:space="0"/>
              <w:right w:val="single" w:color="auto" w:sz="4" w:space="0"/>
            </w:tcBorders>
            <w:shd w:val="clear" w:color="auto" w:fill="auto"/>
            <w:vAlign w:val="center"/>
          </w:tcPr>
          <w:p w14:paraId="298A63C5">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74" w:type="dxa"/>
            <w:tcBorders>
              <w:top w:val="nil"/>
              <w:left w:val="nil"/>
              <w:bottom w:val="single" w:color="auto" w:sz="4" w:space="0"/>
              <w:right w:val="single" w:color="auto" w:sz="4" w:space="0"/>
            </w:tcBorders>
            <w:shd w:val="clear" w:color="auto" w:fill="auto"/>
            <w:vAlign w:val="center"/>
          </w:tcPr>
          <w:p w14:paraId="3D2249D1">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专业</w:t>
            </w:r>
            <w:r>
              <w:rPr>
                <w:rFonts w:ascii="Arial" w:hAnsi="Arial" w:eastAsia="仿宋_GB2312" w:cs="Arial"/>
                <w:sz w:val="18"/>
                <w:szCs w:val="18"/>
                <w:highlight w:val="none"/>
              </w:rPr>
              <w:t>物业公司</w:t>
            </w:r>
          </w:p>
        </w:tc>
        <w:tc>
          <w:tcPr>
            <w:tcW w:w="551" w:type="dxa"/>
            <w:tcBorders>
              <w:top w:val="nil"/>
              <w:left w:val="nil"/>
              <w:bottom w:val="single" w:color="auto" w:sz="4" w:space="0"/>
              <w:right w:val="single" w:color="auto" w:sz="4" w:space="0"/>
            </w:tcBorders>
            <w:shd w:val="clear" w:color="auto" w:fill="auto"/>
            <w:vAlign w:val="center"/>
          </w:tcPr>
          <w:p w14:paraId="6776BB2E">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02" w:type="dxa"/>
            <w:tcBorders>
              <w:top w:val="nil"/>
              <w:left w:val="nil"/>
              <w:bottom w:val="single" w:color="auto" w:sz="4" w:space="0"/>
              <w:right w:val="single" w:color="auto" w:sz="4" w:space="0"/>
            </w:tcBorders>
            <w:shd w:val="clear" w:color="auto" w:fill="auto"/>
            <w:vAlign w:val="center"/>
          </w:tcPr>
          <w:p w14:paraId="50F7AEE6">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专业</w:t>
            </w:r>
            <w:r>
              <w:rPr>
                <w:rFonts w:ascii="Arial" w:hAnsi="Arial" w:eastAsia="仿宋_GB2312" w:cs="Arial"/>
                <w:sz w:val="18"/>
                <w:szCs w:val="18"/>
                <w:highlight w:val="none"/>
              </w:rPr>
              <w:t>物业公司</w:t>
            </w:r>
          </w:p>
        </w:tc>
        <w:tc>
          <w:tcPr>
            <w:tcW w:w="551" w:type="dxa"/>
            <w:tcBorders>
              <w:top w:val="nil"/>
              <w:left w:val="nil"/>
              <w:bottom w:val="single" w:color="auto" w:sz="4" w:space="0"/>
              <w:right w:val="single" w:color="auto" w:sz="4" w:space="0"/>
            </w:tcBorders>
            <w:shd w:val="clear" w:color="auto" w:fill="auto"/>
            <w:noWrap/>
            <w:vAlign w:val="center"/>
          </w:tcPr>
          <w:p w14:paraId="48FD8991">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r>
      <w:tr w14:paraId="36A07F38">
        <w:tblPrEx>
          <w:tblCellMar>
            <w:top w:w="57" w:type="dxa"/>
            <w:left w:w="28" w:type="dxa"/>
            <w:bottom w:w="57" w:type="dxa"/>
            <w:right w:w="28" w:type="dxa"/>
          </w:tblCellMar>
        </w:tblPrEx>
        <w:trPr>
          <w:cantSplit/>
          <w:jc w:val="center"/>
        </w:trPr>
        <w:tc>
          <w:tcPr>
            <w:tcW w:w="285" w:type="dxa"/>
            <w:vMerge w:val="continue"/>
            <w:tcBorders>
              <w:left w:val="single" w:color="auto" w:sz="4" w:space="0"/>
              <w:right w:val="single" w:color="auto" w:sz="4" w:space="0"/>
            </w:tcBorders>
            <w:shd w:val="clear" w:color="auto" w:fill="auto"/>
            <w:vAlign w:val="center"/>
          </w:tcPr>
          <w:p w14:paraId="2B69FF28">
            <w:pPr>
              <w:widowControl/>
              <w:adjustRightInd/>
              <w:spacing w:line="240" w:lineRule="exact"/>
              <w:textAlignment w:val="auto"/>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1C6E5CA7">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市政基础设施</w:t>
            </w:r>
          </w:p>
        </w:tc>
        <w:tc>
          <w:tcPr>
            <w:tcW w:w="1418" w:type="dxa"/>
            <w:tcBorders>
              <w:top w:val="single" w:color="auto" w:sz="4" w:space="0"/>
              <w:left w:val="nil"/>
              <w:bottom w:val="single" w:color="auto" w:sz="4" w:space="0"/>
              <w:right w:val="single" w:color="auto" w:sz="4" w:space="0"/>
            </w:tcBorders>
            <w:shd w:val="clear" w:color="auto" w:fill="auto"/>
            <w:vAlign w:val="center"/>
          </w:tcPr>
          <w:p w14:paraId="50E53235">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较齐备</w:t>
            </w:r>
          </w:p>
        </w:tc>
        <w:tc>
          <w:tcPr>
            <w:tcW w:w="567" w:type="dxa"/>
            <w:tcBorders>
              <w:top w:val="single" w:color="auto" w:sz="4" w:space="0"/>
              <w:left w:val="nil"/>
              <w:bottom w:val="single" w:color="auto" w:sz="4" w:space="0"/>
              <w:right w:val="single" w:color="auto" w:sz="4" w:space="0"/>
            </w:tcBorders>
            <w:shd w:val="clear" w:color="auto" w:fill="auto"/>
            <w:vAlign w:val="center"/>
          </w:tcPr>
          <w:p w14:paraId="03C3F64C">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417" w:type="dxa"/>
            <w:tcBorders>
              <w:top w:val="single" w:color="auto" w:sz="4" w:space="0"/>
              <w:left w:val="nil"/>
              <w:bottom w:val="single" w:color="auto" w:sz="4" w:space="0"/>
              <w:right w:val="single" w:color="auto" w:sz="4" w:space="0"/>
            </w:tcBorders>
            <w:shd w:val="clear" w:color="auto" w:fill="auto"/>
            <w:vAlign w:val="center"/>
          </w:tcPr>
          <w:p w14:paraId="0FCC6953">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较齐备</w:t>
            </w:r>
          </w:p>
        </w:tc>
        <w:tc>
          <w:tcPr>
            <w:tcW w:w="757" w:type="dxa"/>
            <w:tcBorders>
              <w:top w:val="single" w:color="auto" w:sz="4" w:space="0"/>
              <w:left w:val="nil"/>
              <w:bottom w:val="single" w:color="auto" w:sz="4" w:space="0"/>
              <w:right w:val="single" w:color="auto" w:sz="4" w:space="0"/>
            </w:tcBorders>
            <w:shd w:val="clear" w:color="auto" w:fill="auto"/>
            <w:vAlign w:val="center"/>
          </w:tcPr>
          <w:p w14:paraId="2FF152F8">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74" w:type="dxa"/>
            <w:tcBorders>
              <w:top w:val="single" w:color="auto" w:sz="4" w:space="0"/>
              <w:left w:val="nil"/>
              <w:bottom w:val="single" w:color="auto" w:sz="4" w:space="0"/>
              <w:right w:val="single" w:color="auto" w:sz="4" w:space="0"/>
            </w:tcBorders>
            <w:shd w:val="clear" w:color="auto" w:fill="auto"/>
            <w:vAlign w:val="center"/>
          </w:tcPr>
          <w:p w14:paraId="5808C850">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较齐备</w:t>
            </w:r>
          </w:p>
        </w:tc>
        <w:tc>
          <w:tcPr>
            <w:tcW w:w="551" w:type="dxa"/>
            <w:tcBorders>
              <w:top w:val="single" w:color="auto" w:sz="4" w:space="0"/>
              <w:left w:val="nil"/>
              <w:bottom w:val="single" w:color="auto" w:sz="4" w:space="0"/>
              <w:right w:val="single" w:color="auto" w:sz="4" w:space="0"/>
            </w:tcBorders>
            <w:shd w:val="clear" w:color="auto" w:fill="auto"/>
            <w:vAlign w:val="center"/>
          </w:tcPr>
          <w:p w14:paraId="63F98532">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c>
          <w:tcPr>
            <w:tcW w:w="1302" w:type="dxa"/>
            <w:tcBorders>
              <w:top w:val="single" w:color="auto" w:sz="4" w:space="0"/>
              <w:left w:val="nil"/>
              <w:bottom w:val="single" w:color="auto" w:sz="4" w:space="0"/>
              <w:right w:val="single" w:color="auto" w:sz="4" w:space="0"/>
            </w:tcBorders>
            <w:shd w:val="clear" w:color="auto" w:fill="auto"/>
            <w:vAlign w:val="center"/>
          </w:tcPr>
          <w:p w14:paraId="7677AAB9">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较齐备</w:t>
            </w:r>
          </w:p>
        </w:tc>
        <w:tc>
          <w:tcPr>
            <w:tcW w:w="551" w:type="dxa"/>
            <w:tcBorders>
              <w:top w:val="single" w:color="auto" w:sz="4" w:space="0"/>
              <w:left w:val="nil"/>
              <w:bottom w:val="single" w:color="auto" w:sz="4" w:space="0"/>
              <w:right w:val="single" w:color="auto" w:sz="4" w:space="0"/>
            </w:tcBorders>
            <w:shd w:val="clear" w:color="auto" w:fill="auto"/>
            <w:noWrap/>
            <w:vAlign w:val="center"/>
          </w:tcPr>
          <w:p w14:paraId="67DD7A0F">
            <w:pPr>
              <w:widowControl/>
              <w:adjustRightInd/>
              <w:spacing w:line="240" w:lineRule="exact"/>
              <w:jc w:val="center"/>
              <w:textAlignment w:val="auto"/>
              <w:rPr>
                <w:rFonts w:ascii="Arial" w:hAnsi="Arial" w:eastAsia="仿宋_GB2312" w:cs="Arial"/>
                <w:sz w:val="18"/>
                <w:szCs w:val="18"/>
                <w:highlight w:val="none"/>
              </w:rPr>
            </w:pPr>
            <w:r>
              <w:rPr>
                <w:rFonts w:ascii="Arial" w:hAnsi="Arial" w:eastAsia="仿宋_GB2312" w:cs="Arial"/>
                <w:sz w:val="18"/>
                <w:szCs w:val="18"/>
                <w:highlight w:val="none"/>
              </w:rPr>
              <w:t>100</w:t>
            </w:r>
          </w:p>
        </w:tc>
      </w:tr>
      <w:tr w14:paraId="6031D1D8">
        <w:tblPrEx>
          <w:tblCellMar>
            <w:top w:w="57" w:type="dxa"/>
            <w:left w:w="28" w:type="dxa"/>
            <w:bottom w:w="57" w:type="dxa"/>
            <w:right w:w="28" w:type="dxa"/>
          </w:tblCellMar>
        </w:tblPrEx>
        <w:trPr>
          <w:cantSplit/>
          <w:jc w:val="center"/>
        </w:trPr>
        <w:tc>
          <w:tcPr>
            <w:tcW w:w="285" w:type="dxa"/>
            <w:vMerge w:val="continue"/>
            <w:tcBorders>
              <w:left w:val="single" w:color="auto" w:sz="4" w:space="0"/>
              <w:bottom w:val="single" w:color="auto" w:sz="4" w:space="0"/>
              <w:right w:val="single" w:color="auto" w:sz="4" w:space="0"/>
            </w:tcBorders>
            <w:shd w:val="clear" w:color="auto" w:fill="auto"/>
            <w:vAlign w:val="center"/>
          </w:tcPr>
          <w:p w14:paraId="463D6527">
            <w:pPr>
              <w:widowControl/>
              <w:adjustRightInd/>
              <w:spacing w:line="240" w:lineRule="exact"/>
              <w:textAlignment w:val="auto"/>
              <w:rPr>
                <w:rFonts w:ascii="Arial" w:hAnsi="Arial" w:eastAsia="仿宋_GB2312" w:cs="Arial"/>
                <w:sz w:val="18"/>
                <w:szCs w:val="18"/>
                <w:highlight w:val="none"/>
              </w:rPr>
            </w:pPr>
          </w:p>
        </w:tc>
        <w:tc>
          <w:tcPr>
            <w:tcW w:w="850" w:type="dxa"/>
            <w:tcBorders>
              <w:top w:val="single" w:color="auto" w:sz="4" w:space="0"/>
              <w:left w:val="nil"/>
              <w:bottom w:val="single" w:color="auto" w:sz="4" w:space="0"/>
              <w:right w:val="single" w:color="auto" w:sz="4" w:space="0"/>
            </w:tcBorders>
            <w:shd w:val="clear" w:color="auto" w:fill="auto"/>
            <w:noWrap/>
            <w:vAlign w:val="center"/>
          </w:tcPr>
          <w:p w14:paraId="3C5E72E4">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内部</w:t>
            </w:r>
            <w:r>
              <w:rPr>
                <w:rFonts w:ascii="Arial" w:hAnsi="Arial" w:eastAsia="仿宋_GB2312" w:cs="Arial"/>
                <w:sz w:val="18"/>
                <w:szCs w:val="18"/>
                <w:highlight w:val="none"/>
              </w:rPr>
              <w:t>装修</w:t>
            </w:r>
          </w:p>
        </w:tc>
        <w:tc>
          <w:tcPr>
            <w:tcW w:w="1418" w:type="dxa"/>
            <w:tcBorders>
              <w:top w:val="single" w:color="auto" w:sz="4" w:space="0"/>
              <w:left w:val="nil"/>
              <w:bottom w:val="single" w:color="auto" w:sz="4" w:space="0"/>
              <w:right w:val="single" w:color="auto" w:sz="4" w:space="0"/>
            </w:tcBorders>
            <w:shd w:val="clear" w:color="auto" w:fill="auto"/>
            <w:vAlign w:val="center"/>
          </w:tcPr>
          <w:p w14:paraId="0E6A79FC">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精装修</w:t>
            </w:r>
          </w:p>
        </w:tc>
        <w:tc>
          <w:tcPr>
            <w:tcW w:w="567" w:type="dxa"/>
            <w:tcBorders>
              <w:top w:val="single" w:color="auto" w:sz="4" w:space="0"/>
              <w:left w:val="nil"/>
              <w:bottom w:val="single" w:color="auto" w:sz="4" w:space="0"/>
              <w:right w:val="single" w:color="auto" w:sz="4" w:space="0"/>
            </w:tcBorders>
            <w:shd w:val="clear" w:color="auto" w:fill="auto"/>
            <w:vAlign w:val="center"/>
          </w:tcPr>
          <w:p w14:paraId="25D67444">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417" w:type="dxa"/>
            <w:tcBorders>
              <w:top w:val="single" w:color="auto" w:sz="4" w:space="0"/>
              <w:left w:val="nil"/>
              <w:bottom w:val="single" w:color="auto" w:sz="4" w:space="0"/>
              <w:right w:val="single" w:color="auto" w:sz="4" w:space="0"/>
            </w:tcBorders>
            <w:shd w:val="clear" w:color="auto" w:fill="auto"/>
            <w:vAlign w:val="center"/>
          </w:tcPr>
          <w:p w14:paraId="2F3725A1">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精装修</w:t>
            </w:r>
          </w:p>
        </w:tc>
        <w:tc>
          <w:tcPr>
            <w:tcW w:w="757" w:type="dxa"/>
            <w:tcBorders>
              <w:top w:val="single" w:color="auto" w:sz="4" w:space="0"/>
              <w:left w:val="nil"/>
              <w:bottom w:val="single" w:color="auto" w:sz="4" w:space="0"/>
              <w:right w:val="single" w:color="auto" w:sz="4" w:space="0"/>
            </w:tcBorders>
            <w:shd w:val="clear" w:color="auto" w:fill="auto"/>
            <w:vAlign w:val="center"/>
          </w:tcPr>
          <w:p w14:paraId="71AB4B8E">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374" w:type="dxa"/>
            <w:tcBorders>
              <w:top w:val="single" w:color="auto" w:sz="4" w:space="0"/>
              <w:left w:val="nil"/>
              <w:bottom w:val="single" w:color="auto" w:sz="4" w:space="0"/>
              <w:right w:val="single" w:color="auto" w:sz="4" w:space="0"/>
            </w:tcBorders>
            <w:shd w:val="clear" w:color="auto" w:fill="auto"/>
            <w:vAlign w:val="center"/>
          </w:tcPr>
          <w:p w14:paraId="537E7E05">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精装修</w:t>
            </w:r>
          </w:p>
        </w:tc>
        <w:tc>
          <w:tcPr>
            <w:tcW w:w="551" w:type="dxa"/>
            <w:tcBorders>
              <w:top w:val="single" w:color="auto" w:sz="4" w:space="0"/>
              <w:left w:val="nil"/>
              <w:bottom w:val="single" w:color="auto" w:sz="4" w:space="0"/>
              <w:right w:val="single" w:color="auto" w:sz="4" w:space="0"/>
            </w:tcBorders>
            <w:shd w:val="clear" w:color="auto" w:fill="auto"/>
            <w:vAlign w:val="center"/>
          </w:tcPr>
          <w:p w14:paraId="36B57456">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c>
          <w:tcPr>
            <w:tcW w:w="1302" w:type="dxa"/>
            <w:tcBorders>
              <w:top w:val="single" w:color="auto" w:sz="4" w:space="0"/>
              <w:left w:val="nil"/>
              <w:bottom w:val="single" w:color="auto" w:sz="4" w:space="0"/>
              <w:right w:val="single" w:color="auto" w:sz="4" w:space="0"/>
            </w:tcBorders>
            <w:shd w:val="clear" w:color="auto" w:fill="auto"/>
            <w:vAlign w:val="center"/>
          </w:tcPr>
          <w:p w14:paraId="6A3CDE02">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精装修</w:t>
            </w:r>
          </w:p>
        </w:tc>
        <w:tc>
          <w:tcPr>
            <w:tcW w:w="551" w:type="dxa"/>
            <w:tcBorders>
              <w:top w:val="single" w:color="auto" w:sz="4" w:space="0"/>
              <w:left w:val="nil"/>
              <w:bottom w:val="single" w:color="auto" w:sz="4" w:space="0"/>
              <w:right w:val="single" w:color="auto" w:sz="4" w:space="0"/>
            </w:tcBorders>
            <w:shd w:val="clear" w:color="auto" w:fill="auto"/>
            <w:noWrap/>
            <w:vAlign w:val="center"/>
          </w:tcPr>
          <w:p w14:paraId="3C1DD99B">
            <w:pPr>
              <w:widowControl/>
              <w:adjustRightInd/>
              <w:spacing w:line="240" w:lineRule="exact"/>
              <w:jc w:val="center"/>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100</w:t>
            </w:r>
          </w:p>
        </w:tc>
      </w:tr>
    </w:tbl>
    <w:p w14:paraId="035DF4FD">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根据估价对象与比较实例各种因素具体情况，编制比较因素条件指数表。比较因素指数确定如下:</w:t>
      </w:r>
    </w:p>
    <w:p w14:paraId="77751AB9">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a</w:t>
      </w:r>
      <w:r>
        <w:rPr>
          <w:rFonts w:hint="eastAsia" w:ascii="Arial" w:hAnsi="Arial" w:eastAsia="仿宋_GB2312" w:cs="Arial"/>
          <w:sz w:val="28"/>
          <w:highlight w:val="none"/>
        </w:rPr>
        <w:t>交易时间</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估价对象估价期日为</w:t>
      </w:r>
      <w:r>
        <w:rPr>
          <w:rFonts w:hint="eastAsia" w:ascii="Arial" w:hAnsi="Arial" w:eastAsia="仿宋_GB2312" w:cs="Arial"/>
          <w:sz w:val="28"/>
          <w:highlight w:val="none"/>
          <w:lang w:eastAsia="zh-CN"/>
        </w:rPr>
        <w:t>2026年3月26日</w:t>
      </w:r>
      <w:r>
        <w:rPr>
          <w:rFonts w:hint="eastAsia" w:ascii="Arial" w:hAnsi="Arial" w:eastAsia="仿宋_GB2312" w:cs="Arial"/>
          <w:sz w:val="28"/>
          <w:highlight w:val="none"/>
        </w:rPr>
        <w:t>与三个比较实例交易时间接近，故不作修正</w:t>
      </w:r>
      <w:r>
        <w:rPr>
          <w:rFonts w:hint="eastAsia" w:ascii="Arial" w:hAnsi="Arial" w:eastAsia="仿宋_GB2312" w:cs="Arial"/>
          <w:sz w:val="28"/>
          <w:highlight w:val="none"/>
          <w:lang w:eastAsia="zh-CN"/>
        </w:rPr>
        <w:t>；</w:t>
      </w:r>
    </w:p>
    <w:p w14:paraId="7C86BF59">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交易情况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估价对象与三个比较实例交易情况均为正常，故不作修正</w:t>
      </w:r>
      <w:r>
        <w:rPr>
          <w:rFonts w:hint="eastAsia" w:ascii="Arial" w:hAnsi="Arial" w:eastAsia="仿宋_GB2312" w:cs="Arial"/>
          <w:sz w:val="28"/>
          <w:highlight w:val="none"/>
          <w:lang w:eastAsia="zh-CN"/>
        </w:rPr>
        <w:t>；</w:t>
      </w:r>
    </w:p>
    <w:p w14:paraId="5A79EDA7">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房屋用途</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估价对象与三个比较实例用途相同，故不作修正</w:t>
      </w:r>
      <w:r>
        <w:rPr>
          <w:rFonts w:hint="eastAsia" w:ascii="Arial" w:hAnsi="Arial" w:eastAsia="仿宋_GB2312" w:cs="Arial"/>
          <w:sz w:val="28"/>
          <w:highlight w:val="none"/>
          <w:lang w:eastAsia="zh-CN"/>
        </w:rPr>
        <w:t>；</w:t>
      </w:r>
    </w:p>
    <w:p w14:paraId="0BFAE7DD">
      <w:pPr>
        <w:spacing w:before="50" w:after="50"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d容积率：可比实例与估价对象容积率存在一定差异，根据估价人员对周边住宅项目的调查分析后，确定容积率每相差0.5修正1；</w:t>
      </w:r>
    </w:p>
    <w:p w14:paraId="4306B0E5">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e</w:t>
      </w:r>
      <w:r>
        <w:rPr>
          <w:rFonts w:hint="eastAsia" w:ascii="Arial" w:hAnsi="Arial" w:eastAsia="仿宋_GB2312" w:cs="Arial"/>
          <w:sz w:val="28"/>
          <w:highlight w:val="none"/>
        </w:rPr>
        <w:t>区域及个别因素修正:</w:t>
      </w:r>
    </w:p>
    <w:p w14:paraId="4E71DCE1">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①区域因素:</w:t>
      </w:r>
    </w:p>
    <w:p w14:paraId="318F8DF7">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a）</w:t>
      </w:r>
      <w:r>
        <w:rPr>
          <w:rFonts w:hint="eastAsia" w:ascii="Arial" w:hAnsi="Arial" w:eastAsia="仿宋_GB2312" w:cs="Arial"/>
          <w:sz w:val="28"/>
          <w:highlight w:val="none"/>
        </w:rPr>
        <w:t>住宅社区成熟度</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分区域内有众多大型住宅社区、社区配套设施完善为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区域内住宅社区较多、规模一般、社区配套设施较完善为较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区域内住宅社区较少、规模一般、有一定的配套设施为一般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区域内有较少的小型住宅社区、有一定的配套设施为较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区域内几乎没有具规模的住宅社区、缺乏相应的配套设施为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，共五个等级。以估价对象为100，每相差一个等级，指数相应修正</w:t>
      </w:r>
      <w:r>
        <w:rPr>
          <w:rFonts w:hint="eastAsia" w:ascii="Arial" w:hAnsi="Arial" w:eastAsia="仿宋_GB2312" w:cs="Arial"/>
          <w:sz w:val="28"/>
          <w:highlight w:val="none"/>
          <w:lang w:val="en-US" w:eastAsia="zh-CN"/>
        </w:rPr>
        <w:t>3；</w:t>
      </w:r>
    </w:p>
    <w:p w14:paraId="69854CED">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交通便捷度</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根据交通和路网状况划分，分为区域内路网密集、交通便捷为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区域内路网较密、交通较便捷为较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区域内路网一般、交通为一般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区域内路网较稀、交通较不便捷为较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区域内路网稀少、交通不便捷为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 xml:space="preserve">，共五个等级。以估价对象为100，每相差一个等级，指数相应修正 </w:t>
      </w:r>
      <w:r>
        <w:rPr>
          <w:rFonts w:hint="eastAsia" w:ascii="Arial" w:hAnsi="Arial" w:eastAsia="仿宋_GB2312" w:cs="Arial"/>
          <w:sz w:val="28"/>
          <w:highlight w:val="none"/>
          <w:lang w:val="en-US" w:eastAsia="zh-CN"/>
        </w:rPr>
        <w:t>4；</w:t>
      </w:r>
    </w:p>
    <w:p w14:paraId="58B1F238">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公共服务设施状况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区域内有大型、齐全公用服务设施为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区域内有齐全的公用服务设施为较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区域内有较少的公用服务设施为一般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区域内有小型、少量的公用服务设施为较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区域内缺乏公用服务设施为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，五个等级。以估价对象为100，每相差一个等级，指数相应修正</w:t>
      </w:r>
      <w:r>
        <w:rPr>
          <w:rFonts w:hint="eastAsia" w:ascii="Arial" w:hAnsi="Arial" w:eastAsia="仿宋_GB2312" w:cs="Arial"/>
          <w:sz w:val="28"/>
          <w:highlight w:val="none"/>
          <w:lang w:val="en-US" w:eastAsia="zh-CN"/>
        </w:rPr>
        <w:t>3；</w:t>
      </w:r>
    </w:p>
    <w:p w14:paraId="1E6D4193">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d）红线外基础设施水平：</w:t>
      </w:r>
      <w:r>
        <w:rPr>
          <w:rFonts w:hint="eastAsia" w:ascii="Arial" w:hAnsi="Arial" w:eastAsia="仿宋_GB2312" w:cs="Arial"/>
          <w:sz w:val="28"/>
          <w:highlight w:val="none"/>
        </w:rPr>
        <w:t>基础设施配套完善为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w:t>
      </w:r>
      <w:r>
        <w:rPr>
          <w:rFonts w:hint="eastAsia" w:ascii="Arial" w:hAnsi="Arial" w:eastAsia="仿宋_GB2312" w:cs="Arial"/>
          <w:sz w:val="28"/>
          <w:highlight w:val="none"/>
          <w:lang w:val="en-US" w:eastAsia="zh-CN"/>
        </w:rPr>
        <w:t>较</w:t>
      </w:r>
      <w:r>
        <w:rPr>
          <w:rFonts w:hint="eastAsia" w:ascii="Arial" w:hAnsi="Arial" w:eastAsia="仿宋_GB2312" w:cs="Arial"/>
          <w:sz w:val="28"/>
          <w:highlight w:val="none"/>
        </w:rPr>
        <w:t>完善为</w:t>
      </w:r>
      <w:r>
        <w:rPr>
          <w:rFonts w:hint="eastAsia" w:ascii="Arial" w:hAnsi="Arial" w:eastAsia="仿宋_GB2312" w:cs="Arial"/>
          <w:sz w:val="28"/>
          <w:highlight w:val="none"/>
          <w:lang w:val="en-US" w:eastAsia="zh-CN"/>
        </w:rPr>
        <w:t>较好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基础设施配套一般为一般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基础设施配套较不完善为较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基础设施配套不完善为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五个等级。以估价对象为100，每相差一通，指数相应修正 1</w:t>
      </w:r>
      <w:r>
        <w:rPr>
          <w:rFonts w:hint="eastAsia" w:ascii="Arial" w:hAnsi="Arial" w:eastAsia="仿宋_GB2312" w:cs="Arial"/>
          <w:sz w:val="28"/>
          <w:highlight w:val="none"/>
          <w:lang w:eastAsia="zh-CN"/>
        </w:rPr>
        <w:t>；</w:t>
      </w:r>
    </w:p>
    <w:p w14:paraId="298BB548">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e）</w:t>
      </w:r>
      <w:r>
        <w:rPr>
          <w:rFonts w:hint="eastAsia" w:ascii="Arial" w:hAnsi="Arial" w:eastAsia="仿宋_GB2312" w:cs="Arial"/>
          <w:sz w:val="28"/>
          <w:highlight w:val="none"/>
        </w:rPr>
        <w:t>自然和人文环境状况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区域内有众多高等院校、大型公园和公共绿地、基本无噪声和大气污染为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区域内有公园和公共绿地，临近高等院校，噪声和大气污染较小为较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区域内有小型公共绿地和专科院校，噪声和大气污染较小为一般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区域内有基本绿地，噪声和大气污染较严重为较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区域内有基本绿地，靠近污染源，噪声和大气污染严重为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五个等级。以估价对象为100，每相差一个等级，指数相应修正</w:t>
      </w:r>
      <w:r>
        <w:rPr>
          <w:rFonts w:hint="eastAsia" w:ascii="Arial" w:hAnsi="Arial" w:eastAsia="仿宋_GB2312" w:cs="Arial"/>
          <w:sz w:val="28"/>
          <w:highlight w:val="none"/>
          <w:lang w:val="en-US" w:eastAsia="zh-CN"/>
        </w:rPr>
        <w:t>3；</w:t>
      </w:r>
    </w:p>
    <w:p w14:paraId="4F511A24">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f）道路级别：分为高速路</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快速路、城市主干道、城市次干道、城市支路</w:t>
      </w:r>
      <w:r>
        <w:rPr>
          <w:rFonts w:hint="eastAsia" w:ascii="Arial" w:hAnsi="Arial" w:eastAsia="仿宋_GB2312" w:cs="Arial"/>
          <w:sz w:val="28"/>
          <w:highlight w:val="none"/>
        </w:rPr>
        <w:t>五个等级。以估价对象为100，每相差一个等级，指数相应修正 1</w:t>
      </w:r>
      <w:r>
        <w:rPr>
          <w:rFonts w:hint="eastAsia" w:ascii="Arial" w:hAnsi="Arial" w:eastAsia="仿宋_GB2312" w:cs="Arial"/>
          <w:sz w:val="28"/>
          <w:highlight w:val="none"/>
          <w:lang w:eastAsia="zh-CN"/>
        </w:rPr>
        <w:t>；</w:t>
      </w:r>
    </w:p>
    <w:p w14:paraId="6B5A6BCF">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②个别因素:</w:t>
      </w:r>
    </w:p>
    <w:p w14:paraId="3DCDF6F3">
      <w:pPr>
        <w:spacing w:before="50" w:after="50"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a）建筑类型：分为多层板楼、小高层板楼、高层板楼、板塔结合、塔楼</w:t>
      </w:r>
      <w:r>
        <w:rPr>
          <w:rFonts w:hint="eastAsia" w:ascii="Arial" w:hAnsi="Arial" w:eastAsia="仿宋_GB2312" w:cs="Arial"/>
          <w:sz w:val="28"/>
          <w:highlight w:val="none"/>
        </w:rPr>
        <w:t xml:space="preserve">五个等级。以估价对象为100，每相差一个等级，指数相应修正 </w:t>
      </w:r>
      <w:r>
        <w:rPr>
          <w:rFonts w:hint="eastAsia" w:ascii="Arial" w:hAnsi="Arial" w:eastAsia="仿宋_GB2312" w:cs="Arial"/>
          <w:sz w:val="28"/>
          <w:highlight w:val="none"/>
          <w:lang w:val="en-US" w:eastAsia="zh-CN"/>
        </w:rPr>
        <w:t>2；</w:t>
      </w:r>
    </w:p>
    <w:p w14:paraId="78309C1A">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建筑结构</w:t>
      </w:r>
      <w:r>
        <w:rPr>
          <w:rFonts w:hint="eastAsia" w:ascii="Arial" w:hAnsi="Arial" w:eastAsia="仿宋_GB2312" w:cs="Arial"/>
          <w:sz w:val="28"/>
          <w:highlight w:val="none"/>
          <w:lang w:val="en-US" w:eastAsia="zh-CN"/>
        </w:rPr>
        <w:t>：</w:t>
      </w:r>
      <w:r>
        <w:rPr>
          <w:rFonts w:hint="eastAsia" w:ascii="Arial" w:hAnsi="Arial" w:eastAsia="仿宋_GB2312" w:cs="Arial"/>
          <w:sz w:val="28"/>
          <w:highlight w:val="none"/>
        </w:rPr>
        <w:t>分为简易、砖木、砖混、钢混、钢结构五个等级，以估价对象为100，每增加或降低一个等级，指数相应增加或减少1</w:t>
      </w:r>
      <w:r>
        <w:rPr>
          <w:rFonts w:hint="eastAsia" w:ascii="Arial" w:hAnsi="Arial" w:eastAsia="仿宋_GB2312" w:cs="Arial"/>
          <w:sz w:val="28"/>
          <w:highlight w:val="none"/>
          <w:lang w:eastAsia="zh-CN"/>
        </w:rPr>
        <w:t>；</w:t>
      </w:r>
    </w:p>
    <w:p w14:paraId="12F6D235">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物业管理水平</w:t>
      </w:r>
      <w:r>
        <w:rPr>
          <w:rFonts w:hint="eastAsia" w:ascii="Arial" w:hAnsi="Arial" w:eastAsia="仿宋_GB2312" w:cs="Arial"/>
          <w:sz w:val="28"/>
          <w:highlight w:val="none"/>
          <w:lang w:val="en-US" w:eastAsia="zh-CN"/>
        </w:rPr>
        <w:t>：</w:t>
      </w:r>
      <w:r>
        <w:rPr>
          <w:rFonts w:hint="eastAsia" w:ascii="Arial" w:hAnsi="Arial" w:eastAsia="仿宋_GB2312" w:cs="Arial"/>
          <w:sz w:val="28"/>
          <w:highlight w:val="none"/>
        </w:rPr>
        <w:t>分为高、较高、一般、较劣、劣五个等级，以估价对象为100，每增加或降低一个等级，指数相应增加或减少2</w:t>
      </w:r>
      <w:r>
        <w:rPr>
          <w:rFonts w:hint="eastAsia" w:ascii="Arial" w:hAnsi="Arial" w:eastAsia="仿宋_GB2312" w:cs="Arial"/>
          <w:sz w:val="28"/>
          <w:highlight w:val="none"/>
          <w:lang w:eastAsia="zh-CN"/>
        </w:rPr>
        <w:t>；</w:t>
      </w:r>
    </w:p>
    <w:p w14:paraId="05857B93">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d）</w:t>
      </w:r>
      <w:r>
        <w:rPr>
          <w:rFonts w:hint="eastAsia" w:ascii="Arial" w:hAnsi="Arial" w:eastAsia="仿宋_GB2312" w:cs="Arial"/>
          <w:sz w:val="28"/>
          <w:highlight w:val="none"/>
        </w:rPr>
        <w:t>基础设施完备状况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基础设施配套完善为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基础设施配套完善为较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基础设施配套一般为一般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基础设施配套较不完善为较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基础设施配套不完善为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，五个等级。以估价对象为100，每相差一通，指数相应修正 1</w:t>
      </w:r>
      <w:r>
        <w:rPr>
          <w:rFonts w:hint="eastAsia" w:ascii="Arial" w:hAnsi="Arial" w:eastAsia="仿宋_GB2312" w:cs="Arial"/>
          <w:sz w:val="28"/>
          <w:highlight w:val="none"/>
          <w:lang w:eastAsia="zh-CN"/>
        </w:rPr>
        <w:t>；</w:t>
      </w:r>
    </w:p>
    <w:p w14:paraId="42ED3BCF">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e）</w:t>
      </w:r>
      <w:r>
        <w:rPr>
          <w:rFonts w:hint="eastAsia" w:ascii="Arial" w:hAnsi="Arial" w:eastAsia="仿宋_GB2312" w:cs="Arial"/>
          <w:sz w:val="28"/>
          <w:highlight w:val="none"/>
        </w:rPr>
        <w:t>装修标准</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分为豪华装修、精装修、普通装修、简单装修、毛坯五个等级，以估价对象为100，每上升或下降一个等级，指数上升或下降</w:t>
      </w:r>
      <w:r>
        <w:rPr>
          <w:rFonts w:hint="eastAsia" w:ascii="Arial" w:hAnsi="Arial" w:eastAsia="仿宋_GB2312" w:cs="Arial"/>
          <w:sz w:val="28"/>
          <w:highlight w:val="none"/>
          <w:lang w:val="en-US" w:eastAsia="zh-CN"/>
        </w:rPr>
        <w:t>2</w:t>
      </w:r>
      <w:r>
        <w:rPr>
          <w:rFonts w:hint="eastAsia" w:ascii="Arial" w:hAnsi="Arial" w:eastAsia="仿宋_GB2312" w:cs="Arial"/>
          <w:sz w:val="28"/>
          <w:highlight w:val="none"/>
          <w:lang w:eastAsia="zh-CN"/>
        </w:rPr>
        <w:t>。</w:t>
      </w:r>
    </w:p>
    <w:p w14:paraId="761E6806">
      <w:pPr>
        <w:rPr>
          <w:rFonts w:ascii="Arial" w:hAnsi="Arial" w:eastAsia="仿宋_GB2312" w:cs="Arial"/>
          <w:b/>
          <w:bCs/>
          <w:highlight w:val="none"/>
        </w:rPr>
      </w:pPr>
      <w:r>
        <w:rPr>
          <w:rFonts w:ascii="Arial" w:hAnsi="Arial" w:eastAsia="仿宋_GB2312" w:cs="Arial"/>
          <w:b/>
          <w:bCs/>
          <w:highlight w:val="none"/>
        </w:rPr>
        <w:br w:type="page"/>
      </w:r>
    </w:p>
    <w:p w14:paraId="724C30B2">
      <w:pPr>
        <w:spacing w:before="50" w:after="50" w:line="300" w:lineRule="auto"/>
        <w:ind w:firstLine="482" w:firstLineChars="200"/>
        <w:jc w:val="center"/>
        <w:rPr>
          <w:rFonts w:ascii="Arial" w:hAnsi="Arial" w:eastAsia="仿宋_GB2312" w:cs="Arial"/>
          <w:b/>
          <w:bCs/>
          <w:highlight w:val="none"/>
        </w:rPr>
      </w:pPr>
      <w:r>
        <w:rPr>
          <w:rFonts w:ascii="Arial" w:hAnsi="Arial" w:eastAsia="仿宋_GB2312" w:cs="Arial"/>
          <w:b/>
          <w:bCs/>
          <w:highlight w:val="none"/>
        </w:rPr>
        <w:t>表2：因素修正和调整系数表</w:t>
      </w:r>
    </w:p>
    <w:tbl>
      <w:tblPr>
        <w:tblStyle w:val="34"/>
        <w:tblW w:w="9072" w:type="dxa"/>
        <w:jc w:val="center"/>
        <w:tblLayout w:type="fixed"/>
        <w:tblCellMar>
          <w:top w:w="57" w:type="dxa"/>
          <w:left w:w="57" w:type="dxa"/>
          <w:bottom w:w="57" w:type="dxa"/>
          <w:right w:w="57" w:type="dxa"/>
        </w:tblCellMar>
      </w:tblPr>
      <w:tblGrid>
        <w:gridCol w:w="1277"/>
        <w:gridCol w:w="1902"/>
        <w:gridCol w:w="961"/>
        <w:gridCol w:w="971"/>
        <w:gridCol w:w="921"/>
        <w:gridCol w:w="1046"/>
        <w:gridCol w:w="845"/>
        <w:gridCol w:w="1149"/>
      </w:tblGrid>
      <w:tr w14:paraId="7589475D">
        <w:tblPrEx>
          <w:tblCellMar>
            <w:top w:w="57" w:type="dxa"/>
            <w:left w:w="57" w:type="dxa"/>
            <w:bottom w:w="57" w:type="dxa"/>
            <w:right w:w="57" w:type="dxa"/>
          </w:tblCellMar>
        </w:tblPrEx>
        <w:trPr>
          <w:cantSplit/>
          <w:jc w:val="center"/>
        </w:trPr>
        <w:tc>
          <w:tcPr>
            <w:tcW w:w="3179" w:type="dxa"/>
            <w:gridSpan w:val="2"/>
            <w:vMerge w:val="restart"/>
            <w:tcBorders>
              <w:top w:val="single" w:color="auto" w:sz="4" w:space="0"/>
              <w:left w:val="single" w:color="auto" w:sz="4" w:space="0"/>
              <w:bottom w:val="single" w:color="000000" w:sz="4" w:space="0"/>
              <w:right w:val="single" w:color="000000" w:sz="4" w:space="0"/>
            </w:tcBorders>
            <w:shd w:val="clear" w:color="auto" w:fill="auto"/>
            <w:noWrap/>
            <w:vAlign w:val="center"/>
          </w:tcPr>
          <w:p w14:paraId="6FF505B6">
            <w:pPr>
              <w:widowControl/>
              <w:spacing w:line="240" w:lineRule="exact"/>
              <w:rPr>
                <w:rFonts w:ascii="Arial" w:hAnsi="Arial" w:eastAsia="仿宋_GB2312" w:cs="Arial"/>
                <w:sz w:val="20"/>
                <w:highlight w:val="none"/>
              </w:rPr>
            </w:pPr>
            <w:r>
              <w:rPr>
                <w:rFonts w:ascii="Arial" w:hAnsi="Arial" w:eastAsia="仿宋_GB2312" w:cs="Arial"/>
                <w:sz w:val="20"/>
                <w:highlight w:val="none"/>
              </w:rPr>
              <w:t>比较因素</w:t>
            </w:r>
          </w:p>
        </w:tc>
        <w:tc>
          <w:tcPr>
            <w:tcW w:w="1932" w:type="dxa"/>
            <w:gridSpan w:val="2"/>
            <w:tcBorders>
              <w:top w:val="single" w:color="auto" w:sz="4" w:space="0"/>
              <w:left w:val="single" w:color="auto" w:sz="4" w:space="0"/>
              <w:bottom w:val="single" w:color="000000" w:sz="4" w:space="0"/>
              <w:right w:val="single" w:color="auto" w:sz="4" w:space="0"/>
            </w:tcBorders>
          </w:tcPr>
          <w:p w14:paraId="25E90A6F">
            <w:pPr>
              <w:widowControl/>
              <w:spacing w:line="240" w:lineRule="exact"/>
              <w:jc w:val="center"/>
              <w:rPr>
                <w:rFonts w:ascii="Arial" w:hAnsi="Arial" w:eastAsia="仿宋_GB2312" w:cs="Arial"/>
                <w:sz w:val="20"/>
                <w:highlight w:val="none"/>
              </w:rPr>
            </w:pPr>
            <w:r>
              <w:rPr>
                <w:rFonts w:ascii="Arial" w:hAnsi="Arial" w:eastAsia="仿宋_GB2312" w:cs="Arial"/>
                <w:sz w:val="20"/>
                <w:highlight w:val="none"/>
              </w:rPr>
              <w:t>案例：A</w:t>
            </w:r>
          </w:p>
        </w:tc>
        <w:tc>
          <w:tcPr>
            <w:tcW w:w="1967" w:type="dxa"/>
            <w:gridSpan w:val="2"/>
            <w:tcBorders>
              <w:top w:val="single" w:color="auto" w:sz="4" w:space="0"/>
              <w:left w:val="single" w:color="auto" w:sz="4" w:space="0"/>
              <w:bottom w:val="single" w:color="000000" w:sz="4" w:space="0"/>
              <w:right w:val="single" w:color="auto" w:sz="4" w:space="0"/>
            </w:tcBorders>
          </w:tcPr>
          <w:p w14:paraId="78420CC7">
            <w:pPr>
              <w:widowControl/>
              <w:spacing w:line="240" w:lineRule="exact"/>
              <w:jc w:val="center"/>
              <w:rPr>
                <w:rFonts w:ascii="Arial" w:hAnsi="Arial" w:eastAsia="仿宋_GB2312" w:cs="Arial"/>
                <w:sz w:val="20"/>
                <w:highlight w:val="none"/>
              </w:rPr>
            </w:pPr>
            <w:r>
              <w:rPr>
                <w:rFonts w:ascii="Arial" w:hAnsi="Arial" w:eastAsia="仿宋_GB2312" w:cs="Arial"/>
                <w:sz w:val="20"/>
                <w:highlight w:val="none"/>
              </w:rPr>
              <w:t>案例：B</w:t>
            </w:r>
          </w:p>
        </w:tc>
        <w:tc>
          <w:tcPr>
            <w:tcW w:w="1994" w:type="dxa"/>
            <w:gridSpan w:val="2"/>
            <w:tcBorders>
              <w:top w:val="single" w:color="auto" w:sz="4" w:space="0"/>
              <w:left w:val="single" w:color="auto" w:sz="4" w:space="0"/>
              <w:bottom w:val="single" w:color="000000" w:sz="4" w:space="0"/>
              <w:right w:val="single" w:color="000000" w:sz="4" w:space="0"/>
            </w:tcBorders>
          </w:tcPr>
          <w:p w14:paraId="18F120F0">
            <w:pPr>
              <w:widowControl/>
              <w:spacing w:line="240" w:lineRule="exact"/>
              <w:jc w:val="center"/>
              <w:rPr>
                <w:rFonts w:ascii="Arial" w:hAnsi="Arial" w:eastAsia="仿宋_GB2312" w:cs="Arial"/>
                <w:sz w:val="20"/>
                <w:highlight w:val="none"/>
              </w:rPr>
            </w:pPr>
            <w:r>
              <w:rPr>
                <w:rFonts w:ascii="Arial" w:hAnsi="Arial" w:eastAsia="仿宋_GB2312" w:cs="Arial"/>
                <w:sz w:val="20"/>
                <w:highlight w:val="none"/>
              </w:rPr>
              <w:t>案例：C</w:t>
            </w:r>
          </w:p>
        </w:tc>
      </w:tr>
      <w:tr w14:paraId="7EDC0CE8">
        <w:tblPrEx>
          <w:tblCellMar>
            <w:top w:w="57" w:type="dxa"/>
            <w:left w:w="57" w:type="dxa"/>
            <w:bottom w:w="57" w:type="dxa"/>
            <w:right w:w="57" w:type="dxa"/>
          </w:tblCellMar>
        </w:tblPrEx>
        <w:trPr>
          <w:cantSplit/>
          <w:jc w:val="center"/>
        </w:trPr>
        <w:tc>
          <w:tcPr>
            <w:tcW w:w="3179" w:type="dxa"/>
            <w:gridSpan w:val="2"/>
            <w:vMerge w:val="continue"/>
            <w:tcBorders>
              <w:top w:val="single" w:color="auto" w:sz="4" w:space="0"/>
              <w:left w:val="single" w:color="auto" w:sz="4" w:space="0"/>
              <w:bottom w:val="single" w:color="000000" w:sz="4" w:space="0"/>
              <w:right w:val="single" w:color="000000" w:sz="4" w:space="0"/>
            </w:tcBorders>
            <w:vAlign w:val="center"/>
          </w:tcPr>
          <w:p w14:paraId="2E83B31F">
            <w:pPr>
              <w:widowControl/>
              <w:spacing w:line="240" w:lineRule="exact"/>
              <w:rPr>
                <w:rFonts w:ascii="Arial" w:hAnsi="Arial" w:eastAsia="仿宋_GB2312" w:cs="Arial"/>
                <w:sz w:val="20"/>
                <w:highlight w:val="none"/>
              </w:rPr>
            </w:pPr>
          </w:p>
        </w:tc>
        <w:tc>
          <w:tcPr>
            <w:tcW w:w="1932" w:type="dxa"/>
            <w:gridSpan w:val="2"/>
            <w:tcBorders>
              <w:top w:val="single" w:color="auto" w:sz="4" w:space="0"/>
              <w:left w:val="single" w:color="auto" w:sz="4" w:space="0"/>
              <w:bottom w:val="single" w:color="auto" w:sz="4" w:space="0"/>
              <w:right w:val="single" w:color="auto" w:sz="4" w:space="0"/>
            </w:tcBorders>
          </w:tcPr>
          <w:p w14:paraId="0D7B7B51">
            <w:pPr>
              <w:widowControl/>
              <w:spacing w:line="240" w:lineRule="exact"/>
              <w:jc w:val="center"/>
              <w:rPr>
                <w:rFonts w:ascii="Arial" w:hAnsi="Arial" w:eastAsia="仿宋_GB2312" w:cs="Arial"/>
                <w:sz w:val="20"/>
                <w:highlight w:val="none"/>
              </w:rPr>
            </w:pPr>
            <w:r>
              <w:rPr>
                <w:rFonts w:hint="eastAsia" w:ascii="Arial" w:hAnsi="Arial" w:eastAsia="仿宋_GB2312" w:cs="Arial"/>
                <w:sz w:val="18"/>
                <w:szCs w:val="18"/>
                <w:highlight w:val="none"/>
              </w:rPr>
              <w:t>璞瑅润府</w:t>
            </w:r>
            <w:r>
              <w:rPr>
                <w:rFonts w:hint="eastAsia" w:ascii="Arial" w:hAnsi="Arial" w:eastAsia="仿宋_GB2312" w:cs="Arial"/>
                <w:sz w:val="18"/>
                <w:szCs w:val="18"/>
                <w:highlight w:val="none"/>
              </w:rPr>
              <w:tab/>
            </w:r>
          </w:p>
        </w:tc>
        <w:tc>
          <w:tcPr>
            <w:tcW w:w="1967" w:type="dxa"/>
            <w:gridSpan w:val="2"/>
            <w:tcBorders>
              <w:top w:val="single" w:color="auto" w:sz="4" w:space="0"/>
              <w:left w:val="single" w:color="auto" w:sz="4" w:space="0"/>
              <w:bottom w:val="single" w:color="auto" w:sz="4" w:space="0"/>
              <w:right w:val="single" w:color="auto" w:sz="4" w:space="0"/>
            </w:tcBorders>
          </w:tcPr>
          <w:p w14:paraId="553677BD">
            <w:pPr>
              <w:widowControl/>
              <w:spacing w:line="240" w:lineRule="exact"/>
              <w:jc w:val="center"/>
              <w:rPr>
                <w:rFonts w:ascii="Arial" w:hAnsi="Arial" w:eastAsia="仿宋_GB2312" w:cs="Arial"/>
                <w:sz w:val="20"/>
                <w:highlight w:val="none"/>
              </w:rPr>
            </w:pPr>
            <w:r>
              <w:rPr>
                <w:rFonts w:hint="eastAsia" w:ascii="Arial" w:hAnsi="Arial" w:eastAsia="仿宋_GB2312" w:cs="Arial"/>
                <w:sz w:val="18"/>
                <w:szCs w:val="18"/>
                <w:highlight w:val="none"/>
              </w:rPr>
              <w:t>富力首开·金禧璞瑅</w:t>
            </w:r>
            <w:r>
              <w:rPr>
                <w:rFonts w:hint="eastAsia" w:ascii="Arial" w:hAnsi="Arial" w:eastAsia="仿宋_GB2312" w:cs="Arial"/>
                <w:sz w:val="18"/>
                <w:szCs w:val="18"/>
                <w:highlight w:val="none"/>
              </w:rPr>
              <w:tab/>
            </w:r>
          </w:p>
        </w:tc>
        <w:tc>
          <w:tcPr>
            <w:tcW w:w="1994" w:type="dxa"/>
            <w:gridSpan w:val="2"/>
            <w:tcBorders>
              <w:top w:val="single" w:color="auto" w:sz="4" w:space="0"/>
              <w:left w:val="single" w:color="auto" w:sz="4" w:space="0"/>
              <w:bottom w:val="single" w:color="auto" w:sz="4" w:space="0"/>
              <w:right w:val="single" w:color="000000" w:sz="4" w:space="0"/>
            </w:tcBorders>
          </w:tcPr>
          <w:p w14:paraId="259C7909">
            <w:pPr>
              <w:widowControl/>
              <w:spacing w:line="240" w:lineRule="exact"/>
              <w:jc w:val="center"/>
              <w:rPr>
                <w:rFonts w:ascii="Arial" w:hAnsi="Arial" w:eastAsia="仿宋_GB2312" w:cs="Arial"/>
                <w:sz w:val="20"/>
                <w:highlight w:val="none"/>
              </w:rPr>
            </w:pPr>
            <w:r>
              <w:rPr>
                <w:rFonts w:hint="eastAsia" w:ascii="Arial" w:hAnsi="Arial" w:eastAsia="仿宋_GB2312" w:cs="Arial"/>
                <w:sz w:val="18"/>
                <w:szCs w:val="18"/>
                <w:highlight w:val="none"/>
              </w:rPr>
              <w:t>招商中建·顺义臻珑府</w:t>
            </w:r>
          </w:p>
        </w:tc>
      </w:tr>
      <w:tr w14:paraId="6A25EBE6">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5AE81ACA">
            <w:pPr>
              <w:widowControl/>
              <w:spacing w:line="240" w:lineRule="exact"/>
              <w:rPr>
                <w:rFonts w:ascii="Arial" w:hAnsi="Arial" w:eastAsia="仿宋_GB2312" w:cs="Arial"/>
                <w:sz w:val="20"/>
                <w:highlight w:val="none"/>
              </w:rPr>
            </w:pPr>
            <w:r>
              <w:rPr>
                <w:rFonts w:ascii="Arial" w:hAnsi="Arial" w:eastAsia="仿宋_GB2312" w:cs="Arial"/>
                <w:sz w:val="20"/>
                <w:highlight w:val="none"/>
              </w:rPr>
              <w:t>交易时间</w:t>
            </w:r>
          </w:p>
        </w:tc>
        <w:tc>
          <w:tcPr>
            <w:tcW w:w="961" w:type="dxa"/>
            <w:tcBorders>
              <w:top w:val="single" w:color="auto" w:sz="4" w:space="0"/>
              <w:left w:val="single" w:color="auto" w:sz="4" w:space="0"/>
              <w:bottom w:val="single" w:color="auto" w:sz="4" w:space="0"/>
            </w:tcBorders>
            <w:vAlign w:val="center"/>
          </w:tcPr>
          <w:p w14:paraId="155890A0">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single" w:color="auto" w:sz="4" w:space="0"/>
              <w:bottom w:val="single" w:color="auto" w:sz="4" w:space="0"/>
              <w:right w:val="single" w:color="auto" w:sz="4" w:space="0"/>
            </w:tcBorders>
            <w:vAlign w:val="center"/>
          </w:tcPr>
          <w:p w14:paraId="01B10A6B">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single" w:color="auto" w:sz="4" w:space="0"/>
              <w:left w:val="single" w:color="auto" w:sz="4" w:space="0"/>
              <w:bottom w:val="single" w:color="auto" w:sz="4" w:space="0"/>
            </w:tcBorders>
            <w:vAlign w:val="center"/>
          </w:tcPr>
          <w:p w14:paraId="7FE95880">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single" w:color="auto" w:sz="4" w:space="0"/>
              <w:bottom w:val="single" w:color="auto" w:sz="4" w:space="0"/>
              <w:right w:val="single" w:color="auto" w:sz="4" w:space="0"/>
            </w:tcBorders>
            <w:vAlign w:val="center"/>
          </w:tcPr>
          <w:p w14:paraId="35F51818">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single" w:color="auto" w:sz="4" w:space="0"/>
              <w:left w:val="single" w:color="auto" w:sz="4" w:space="0"/>
              <w:bottom w:val="single" w:color="auto" w:sz="4" w:space="0"/>
            </w:tcBorders>
            <w:vAlign w:val="center"/>
          </w:tcPr>
          <w:p w14:paraId="16AA295D">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single" w:color="auto" w:sz="4" w:space="0"/>
              <w:bottom w:val="single" w:color="auto" w:sz="4" w:space="0"/>
              <w:right w:val="single" w:color="auto" w:sz="4" w:space="0"/>
            </w:tcBorders>
            <w:vAlign w:val="center"/>
          </w:tcPr>
          <w:p w14:paraId="190183B1">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3986EC64">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shd w:val="clear" w:color="auto" w:fill="auto"/>
            <w:noWrap/>
            <w:vAlign w:val="bottom"/>
          </w:tcPr>
          <w:p w14:paraId="4BD7C526">
            <w:pPr>
              <w:widowControl/>
              <w:spacing w:line="240" w:lineRule="exact"/>
              <w:rPr>
                <w:rFonts w:ascii="Arial" w:hAnsi="Arial" w:eastAsia="仿宋_GB2312" w:cs="Arial"/>
                <w:sz w:val="20"/>
                <w:highlight w:val="none"/>
              </w:rPr>
            </w:pPr>
            <w:r>
              <w:rPr>
                <w:rFonts w:ascii="Arial" w:hAnsi="Arial" w:eastAsia="仿宋_GB2312" w:cs="Arial"/>
                <w:sz w:val="20"/>
                <w:highlight w:val="none"/>
              </w:rPr>
              <w:t>交易情况</w:t>
            </w:r>
          </w:p>
        </w:tc>
        <w:tc>
          <w:tcPr>
            <w:tcW w:w="961" w:type="dxa"/>
            <w:tcBorders>
              <w:top w:val="single" w:color="auto" w:sz="4" w:space="0"/>
              <w:left w:val="single" w:color="auto" w:sz="4" w:space="0"/>
              <w:bottom w:val="single" w:color="auto" w:sz="4" w:space="0"/>
            </w:tcBorders>
            <w:vAlign w:val="center"/>
          </w:tcPr>
          <w:p w14:paraId="2FB3208B">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single" w:color="auto" w:sz="4" w:space="0"/>
              <w:bottom w:val="single" w:color="auto" w:sz="4" w:space="0"/>
              <w:right w:val="single" w:color="auto" w:sz="4" w:space="0"/>
            </w:tcBorders>
            <w:vAlign w:val="center"/>
          </w:tcPr>
          <w:p w14:paraId="05F430E4">
            <w:pPr>
              <w:widowControl/>
              <w:spacing w:line="240" w:lineRule="exact"/>
              <w:jc w:val="both"/>
              <w:rPr>
                <w:rFonts w:ascii="Arial" w:hAnsi="Arial" w:eastAsia="仿宋_GB2312" w:cs="Arial"/>
                <w:sz w:val="20"/>
                <w:highlight w:val="none"/>
              </w:rPr>
            </w:pPr>
            <w:r>
              <w:rPr>
                <w:rFonts w:ascii="Arial" w:hAnsi="Arial" w:eastAsia="仿宋_GB2312" w:cs="Arial"/>
                <w:sz w:val="20"/>
                <w:highlight w:val="none"/>
              </w:rPr>
              <w:t>100</w:t>
            </w:r>
          </w:p>
        </w:tc>
        <w:tc>
          <w:tcPr>
            <w:tcW w:w="921" w:type="dxa"/>
            <w:tcBorders>
              <w:top w:val="single" w:color="auto" w:sz="4" w:space="0"/>
              <w:left w:val="single" w:color="auto" w:sz="4" w:space="0"/>
              <w:bottom w:val="single" w:color="auto" w:sz="4" w:space="0"/>
            </w:tcBorders>
            <w:vAlign w:val="center"/>
          </w:tcPr>
          <w:p w14:paraId="04045DBE">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single" w:color="auto" w:sz="4" w:space="0"/>
              <w:bottom w:val="single" w:color="auto" w:sz="4" w:space="0"/>
              <w:right w:val="single" w:color="auto" w:sz="4" w:space="0"/>
            </w:tcBorders>
            <w:vAlign w:val="center"/>
          </w:tcPr>
          <w:p w14:paraId="368CFD5E">
            <w:pPr>
              <w:widowControl/>
              <w:spacing w:line="240" w:lineRule="exact"/>
              <w:rPr>
                <w:rFonts w:ascii="Arial" w:hAnsi="Arial" w:eastAsia="仿宋_GB2312" w:cs="Arial"/>
                <w:sz w:val="20"/>
                <w:highlight w:val="none"/>
              </w:rPr>
            </w:pPr>
            <w:r>
              <w:rPr>
                <w:rFonts w:ascii="Arial" w:hAnsi="Arial" w:eastAsia="仿宋_GB2312" w:cs="Arial"/>
                <w:sz w:val="20"/>
                <w:highlight w:val="none"/>
              </w:rPr>
              <w:t>100</w:t>
            </w:r>
          </w:p>
        </w:tc>
        <w:tc>
          <w:tcPr>
            <w:tcW w:w="845" w:type="dxa"/>
            <w:tcBorders>
              <w:top w:val="single" w:color="auto" w:sz="4" w:space="0"/>
              <w:left w:val="single" w:color="auto" w:sz="4" w:space="0"/>
              <w:bottom w:val="single" w:color="auto" w:sz="4" w:space="0"/>
            </w:tcBorders>
            <w:vAlign w:val="center"/>
          </w:tcPr>
          <w:p w14:paraId="59E0D397">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single" w:color="auto" w:sz="4" w:space="0"/>
              <w:bottom w:val="single" w:color="auto" w:sz="4" w:space="0"/>
              <w:right w:val="single" w:color="auto" w:sz="4" w:space="0"/>
            </w:tcBorders>
            <w:vAlign w:val="center"/>
          </w:tcPr>
          <w:p w14:paraId="21223CE5">
            <w:pPr>
              <w:widowControl/>
              <w:spacing w:line="240" w:lineRule="exact"/>
              <w:rPr>
                <w:rFonts w:ascii="Arial" w:hAnsi="Arial" w:eastAsia="仿宋_GB2312" w:cs="Arial"/>
                <w:sz w:val="20"/>
                <w:highlight w:val="none"/>
              </w:rPr>
            </w:pPr>
            <w:r>
              <w:rPr>
                <w:rFonts w:ascii="Arial" w:hAnsi="Arial" w:eastAsia="仿宋_GB2312" w:cs="Arial"/>
                <w:sz w:val="20"/>
                <w:highlight w:val="none"/>
              </w:rPr>
              <w:t>100</w:t>
            </w:r>
          </w:p>
        </w:tc>
      </w:tr>
      <w:tr w14:paraId="5FDD17E6">
        <w:tblPrEx>
          <w:tblCellMar>
            <w:top w:w="57" w:type="dxa"/>
            <w:left w:w="57" w:type="dxa"/>
            <w:bottom w:w="57" w:type="dxa"/>
            <w:right w:w="57" w:type="dxa"/>
          </w:tblCellMar>
        </w:tblPrEx>
        <w:trPr>
          <w:cantSplit/>
          <w:jc w:val="center"/>
        </w:trPr>
        <w:tc>
          <w:tcPr>
            <w:tcW w:w="3179" w:type="dxa"/>
            <w:gridSpan w:val="2"/>
            <w:tcBorders>
              <w:top w:val="nil"/>
              <w:left w:val="single" w:color="auto" w:sz="4" w:space="0"/>
              <w:bottom w:val="single" w:color="auto" w:sz="4" w:space="0"/>
              <w:right w:val="single" w:color="auto" w:sz="4" w:space="0"/>
            </w:tcBorders>
            <w:shd w:val="clear" w:color="auto" w:fill="auto"/>
            <w:vAlign w:val="bottom"/>
          </w:tcPr>
          <w:p w14:paraId="082791F2">
            <w:pPr>
              <w:widowControl/>
              <w:spacing w:line="240" w:lineRule="exact"/>
              <w:rPr>
                <w:rFonts w:ascii="Arial" w:hAnsi="Arial" w:eastAsia="仿宋_GB2312" w:cs="Arial"/>
                <w:sz w:val="20"/>
                <w:highlight w:val="none"/>
              </w:rPr>
            </w:pPr>
            <w:r>
              <w:rPr>
                <w:rFonts w:ascii="Arial" w:hAnsi="Arial" w:eastAsia="仿宋_GB2312" w:cs="Arial"/>
                <w:sz w:val="20"/>
                <w:highlight w:val="none"/>
              </w:rPr>
              <w:t>用途</w:t>
            </w:r>
          </w:p>
        </w:tc>
        <w:tc>
          <w:tcPr>
            <w:tcW w:w="961" w:type="dxa"/>
            <w:tcBorders>
              <w:top w:val="nil"/>
              <w:left w:val="nil"/>
              <w:bottom w:val="single" w:color="auto" w:sz="4" w:space="0"/>
            </w:tcBorders>
            <w:vAlign w:val="center"/>
          </w:tcPr>
          <w:p w14:paraId="7116ADAE">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0E11D1F8">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nil"/>
              <w:left w:val="single" w:color="auto" w:sz="4" w:space="0"/>
              <w:bottom w:val="single" w:color="auto" w:sz="4" w:space="0"/>
            </w:tcBorders>
            <w:vAlign w:val="center"/>
          </w:tcPr>
          <w:p w14:paraId="5CB0BDFB">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03752A71">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40E9E5E0">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68249E63">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592D3585">
        <w:tblPrEx>
          <w:tblCellMar>
            <w:top w:w="57" w:type="dxa"/>
            <w:left w:w="57" w:type="dxa"/>
            <w:bottom w:w="57" w:type="dxa"/>
            <w:right w:w="57" w:type="dxa"/>
          </w:tblCellMar>
        </w:tblPrEx>
        <w:trPr>
          <w:cantSplit/>
          <w:jc w:val="center"/>
        </w:trPr>
        <w:tc>
          <w:tcPr>
            <w:tcW w:w="3179" w:type="dxa"/>
            <w:gridSpan w:val="2"/>
            <w:tcBorders>
              <w:top w:val="nil"/>
              <w:left w:val="single" w:color="auto" w:sz="4" w:space="0"/>
              <w:bottom w:val="single" w:color="auto" w:sz="4" w:space="0"/>
              <w:right w:val="single" w:color="auto" w:sz="4" w:space="0"/>
            </w:tcBorders>
            <w:shd w:val="clear" w:color="auto" w:fill="auto"/>
            <w:vAlign w:val="center"/>
          </w:tcPr>
          <w:p w14:paraId="0DB20A2A">
            <w:pPr>
              <w:widowControl/>
              <w:spacing w:line="240" w:lineRule="exact"/>
              <w:rPr>
                <w:rFonts w:ascii="Arial" w:hAnsi="Arial" w:eastAsia="仿宋_GB2312" w:cs="Arial"/>
                <w:sz w:val="20"/>
                <w:highlight w:val="none"/>
              </w:rPr>
            </w:pPr>
            <w:r>
              <w:rPr>
                <w:rFonts w:hint="eastAsia" w:ascii="Arial" w:hAnsi="Arial" w:eastAsia="仿宋_GB2312" w:cs="Arial"/>
                <w:sz w:val="20"/>
                <w:highlight w:val="none"/>
              </w:rPr>
              <w:t>容积率</w:t>
            </w:r>
          </w:p>
        </w:tc>
        <w:tc>
          <w:tcPr>
            <w:tcW w:w="961" w:type="dxa"/>
            <w:tcBorders>
              <w:top w:val="nil"/>
              <w:left w:val="nil"/>
              <w:bottom w:val="single" w:color="auto" w:sz="4" w:space="0"/>
            </w:tcBorders>
            <w:vAlign w:val="center"/>
          </w:tcPr>
          <w:p w14:paraId="023CA6E2">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6BDAD35D">
            <w:pPr>
              <w:widowControl/>
              <w:spacing w:line="240" w:lineRule="exact"/>
              <w:jc w:val="both"/>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99</w:t>
            </w:r>
          </w:p>
        </w:tc>
        <w:tc>
          <w:tcPr>
            <w:tcW w:w="921" w:type="dxa"/>
            <w:tcBorders>
              <w:top w:val="nil"/>
              <w:left w:val="single" w:color="auto" w:sz="4" w:space="0"/>
              <w:bottom w:val="single" w:color="auto" w:sz="4" w:space="0"/>
            </w:tcBorders>
            <w:vAlign w:val="center"/>
          </w:tcPr>
          <w:p w14:paraId="44EB7785">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185506E8">
            <w:pPr>
              <w:widowControl/>
              <w:spacing w:line="240" w:lineRule="exact"/>
              <w:jc w:val="both"/>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99</w:t>
            </w:r>
          </w:p>
        </w:tc>
        <w:tc>
          <w:tcPr>
            <w:tcW w:w="845" w:type="dxa"/>
            <w:tcBorders>
              <w:top w:val="nil"/>
              <w:left w:val="single" w:color="auto" w:sz="4" w:space="0"/>
              <w:bottom w:val="single" w:color="auto" w:sz="4" w:space="0"/>
            </w:tcBorders>
            <w:vAlign w:val="center"/>
          </w:tcPr>
          <w:p w14:paraId="10F6A0BD">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60813DD0">
            <w:pPr>
              <w:widowControl/>
              <w:spacing w:line="240" w:lineRule="exact"/>
              <w:jc w:val="both"/>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98</w:t>
            </w:r>
          </w:p>
        </w:tc>
      </w:tr>
      <w:tr w14:paraId="15FBE602">
        <w:tblPrEx>
          <w:tblCellMar>
            <w:top w:w="57" w:type="dxa"/>
            <w:left w:w="57" w:type="dxa"/>
            <w:bottom w:w="57" w:type="dxa"/>
            <w:right w:w="57" w:type="dxa"/>
          </w:tblCellMar>
        </w:tblPrEx>
        <w:trPr>
          <w:cantSplit/>
          <w:jc w:val="center"/>
        </w:trPr>
        <w:tc>
          <w:tcPr>
            <w:tcW w:w="1277" w:type="dxa"/>
            <w:vMerge w:val="restart"/>
            <w:tcBorders>
              <w:top w:val="nil"/>
              <w:left w:val="single" w:color="auto" w:sz="4" w:space="0"/>
              <w:right w:val="single" w:color="auto" w:sz="4" w:space="0"/>
            </w:tcBorders>
            <w:shd w:val="clear" w:color="auto" w:fill="auto"/>
            <w:vAlign w:val="center"/>
          </w:tcPr>
          <w:p w14:paraId="366B0ACE">
            <w:pPr>
              <w:widowControl/>
              <w:spacing w:line="240" w:lineRule="exact"/>
              <w:rPr>
                <w:rFonts w:ascii="Arial" w:hAnsi="Arial" w:eastAsia="仿宋_GB2312" w:cs="Arial"/>
                <w:sz w:val="20"/>
                <w:highlight w:val="none"/>
              </w:rPr>
            </w:pPr>
            <w:r>
              <w:rPr>
                <w:rFonts w:ascii="Arial" w:hAnsi="Arial" w:eastAsia="仿宋_GB2312" w:cs="Arial"/>
                <w:sz w:val="20"/>
                <w:highlight w:val="none"/>
              </w:rPr>
              <w:t>区域因素</w:t>
            </w:r>
          </w:p>
        </w:tc>
        <w:tc>
          <w:tcPr>
            <w:tcW w:w="1902" w:type="dxa"/>
            <w:tcBorders>
              <w:top w:val="nil"/>
              <w:left w:val="nil"/>
              <w:bottom w:val="single" w:color="auto" w:sz="4" w:space="0"/>
              <w:right w:val="single" w:color="auto" w:sz="4" w:space="0"/>
            </w:tcBorders>
            <w:shd w:val="clear" w:color="auto" w:fill="auto"/>
            <w:noWrap/>
          </w:tcPr>
          <w:p w14:paraId="438A525C">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住宅社区成熟度</w:t>
            </w:r>
          </w:p>
        </w:tc>
        <w:tc>
          <w:tcPr>
            <w:tcW w:w="961" w:type="dxa"/>
            <w:tcBorders>
              <w:top w:val="nil"/>
              <w:left w:val="nil"/>
              <w:bottom w:val="single" w:color="auto" w:sz="4" w:space="0"/>
            </w:tcBorders>
            <w:vAlign w:val="center"/>
          </w:tcPr>
          <w:p w14:paraId="2C865EE0">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39F28DD8">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3</w:t>
            </w:r>
          </w:p>
        </w:tc>
        <w:tc>
          <w:tcPr>
            <w:tcW w:w="921" w:type="dxa"/>
            <w:tcBorders>
              <w:top w:val="nil"/>
              <w:left w:val="single" w:color="auto" w:sz="4" w:space="0"/>
              <w:bottom w:val="single" w:color="auto" w:sz="4" w:space="0"/>
            </w:tcBorders>
            <w:vAlign w:val="center"/>
          </w:tcPr>
          <w:p w14:paraId="29386279">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73268EFA">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2947F08D">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47E42212">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3</w:t>
            </w:r>
          </w:p>
        </w:tc>
      </w:tr>
      <w:tr w14:paraId="203B92B4">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7BB3898E">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tcPr>
          <w:p w14:paraId="31B0FA95">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交通便捷度</w:t>
            </w:r>
          </w:p>
        </w:tc>
        <w:tc>
          <w:tcPr>
            <w:tcW w:w="961" w:type="dxa"/>
            <w:tcBorders>
              <w:top w:val="nil"/>
              <w:left w:val="nil"/>
              <w:bottom w:val="single" w:color="auto" w:sz="4" w:space="0"/>
            </w:tcBorders>
            <w:vAlign w:val="center"/>
          </w:tcPr>
          <w:p w14:paraId="6D89F27A">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6028360B">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8</w:t>
            </w:r>
          </w:p>
        </w:tc>
        <w:tc>
          <w:tcPr>
            <w:tcW w:w="921" w:type="dxa"/>
            <w:tcBorders>
              <w:top w:val="nil"/>
              <w:left w:val="single" w:color="auto" w:sz="4" w:space="0"/>
              <w:bottom w:val="single" w:color="auto" w:sz="4" w:space="0"/>
            </w:tcBorders>
            <w:vAlign w:val="center"/>
          </w:tcPr>
          <w:p w14:paraId="01AE2A6D">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119E56B1">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4</w:t>
            </w:r>
          </w:p>
        </w:tc>
        <w:tc>
          <w:tcPr>
            <w:tcW w:w="845" w:type="dxa"/>
            <w:tcBorders>
              <w:top w:val="nil"/>
              <w:left w:val="single" w:color="auto" w:sz="4" w:space="0"/>
              <w:bottom w:val="single" w:color="auto" w:sz="4" w:space="0"/>
            </w:tcBorders>
            <w:vAlign w:val="center"/>
          </w:tcPr>
          <w:p w14:paraId="02707589">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2F59B9D9">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4</w:t>
            </w:r>
          </w:p>
        </w:tc>
      </w:tr>
      <w:tr w14:paraId="1585C16B">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2877B7D8">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tcPr>
          <w:p w14:paraId="13D492A4">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公共配套设施</w:t>
            </w:r>
          </w:p>
        </w:tc>
        <w:tc>
          <w:tcPr>
            <w:tcW w:w="961" w:type="dxa"/>
            <w:tcBorders>
              <w:top w:val="nil"/>
              <w:left w:val="nil"/>
              <w:bottom w:val="single" w:color="auto" w:sz="4" w:space="0"/>
            </w:tcBorders>
            <w:vAlign w:val="center"/>
          </w:tcPr>
          <w:p w14:paraId="5D0A67C1">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733B5092">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3</w:t>
            </w:r>
          </w:p>
        </w:tc>
        <w:tc>
          <w:tcPr>
            <w:tcW w:w="921" w:type="dxa"/>
            <w:tcBorders>
              <w:top w:val="nil"/>
              <w:left w:val="single" w:color="auto" w:sz="4" w:space="0"/>
              <w:bottom w:val="single" w:color="auto" w:sz="4" w:space="0"/>
            </w:tcBorders>
            <w:vAlign w:val="center"/>
          </w:tcPr>
          <w:p w14:paraId="458EDBBD">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1490AE51">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0D7C05F0">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69FC779D">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3</w:t>
            </w:r>
          </w:p>
        </w:tc>
      </w:tr>
      <w:tr w14:paraId="093C6F04">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4759D141">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vAlign w:val="center"/>
          </w:tcPr>
          <w:p w14:paraId="5BBD8AF8">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红线外基础设施水平</w:t>
            </w:r>
          </w:p>
        </w:tc>
        <w:tc>
          <w:tcPr>
            <w:tcW w:w="961" w:type="dxa"/>
            <w:tcBorders>
              <w:top w:val="nil"/>
              <w:left w:val="nil"/>
              <w:bottom w:val="single" w:color="auto" w:sz="4" w:space="0"/>
            </w:tcBorders>
            <w:vAlign w:val="center"/>
          </w:tcPr>
          <w:p w14:paraId="11893C90">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58E52C70">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nil"/>
              <w:left w:val="single" w:color="auto" w:sz="4" w:space="0"/>
              <w:bottom w:val="single" w:color="auto" w:sz="4" w:space="0"/>
            </w:tcBorders>
            <w:vAlign w:val="center"/>
          </w:tcPr>
          <w:p w14:paraId="6AE6B381">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2F814E81">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0EAD8169">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314A44C1">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2944E390">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6E7BAA31">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vAlign w:val="center"/>
          </w:tcPr>
          <w:p w14:paraId="193D0D6B">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环境质量</w:t>
            </w:r>
          </w:p>
        </w:tc>
        <w:tc>
          <w:tcPr>
            <w:tcW w:w="961" w:type="dxa"/>
            <w:tcBorders>
              <w:top w:val="nil"/>
              <w:left w:val="nil"/>
              <w:bottom w:val="single" w:color="auto" w:sz="4" w:space="0"/>
            </w:tcBorders>
            <w:vAlign w:val="center"/>
          </w:tcPr>
          <w:p w14:paraId="56387FD6">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508D16E6">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3</w:t>
            </w:r>
          </w:p>
        </w:tc>
        <w:tc>
          <w:tcPr>
            <w:tcW w:w="921" w:type="dxa"/>
            <w:tcBorders>
              <w:top w:val="nil"/>
              <w:left w:val="single" w:color="auto" w:sz="4" w:space="0"/>
              <w:bottom w:val="single" w:color="auto" w:sz="4" w:space="0"/>
            </w:tcBorders>
            <w:vAlign w:val="center"/>
          </w:tcPr>
          <w:p w14:paraId="4FB44D72">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530BEABA">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0B38B305">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19388B4E">
            <w:pPr>
              <w:widowControl/>
              <w:spacing w:line="240" w:lineRule="exact"/>
              <w:jc w:val="both"/>
              <w:rPr>
                <w:rFonts w:hint="eastAsia" w:ascii="Arial" w:hAnsi="Arial" w:eastAsia="仿宋_GB2312" w:cs="Arial"/>
                <w:sz w:val="20"/>
                <w:highlight w:val="none"/>
                <w:lang w:val="en-US" w:eastAsia="zh-CN"/>
              </w:rPr>
            </w:pPr>
            <w:r>
              <w:rPr>
                <w:rFonts w:hint="eastAsia" w:ascii="Arial" w:hAnsi="Arial" w:eastAsia="仿宋_GB2312" w:cs="Arial"/>
                <w:sz w:val="20"/>
                <w:highlight w:val="none"/>
              </w:rPr>
              <w:t>10</w:t>
            </w:r>
            <w:r>
              <w:rPr>
                <w:rFonts w:hint="eastAsia" w:ascii="Arial" w:hAnsi="Arial" w:eastAsia="仿宋_GB2312" w:cs="Arial"/>
                <w:sz w:val="20"/>
                <w:highlight w:val="none"/>
                <w:lang w:val="en-US" w:eastAsia="zh-CN"/>
              </w:rPr>
              <w:t>3</w:t>
            </w:r>
          </w:p>
        </w:tc>
      </w:tr>
      <w:tr w14:paraId="3B38FAE2">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52DAD5F1">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vAlign w:val="center"/>
          </w:tcPr>
          <w:p w14:paraId="304E5518">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道路级别</w:t>
            </w:r>
          </w:p>
        </w:tc>
        <w:tc>
          <w:tcPr>
            <w:tcW w:w="961" w:type="dxa"/>
            <w:tcBorders>
              <w:top w:val="nil"/>
              <w:left w:val="nil"/>
              <w:bottom w:val="single" w:color="auto" w:sz="4" w:space="0"/>
            </w:tcBorders>
            <w:vAlign w:val="center"/>
          </w:tcPr>
          <w:p w14:paraId="48234BB1">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0D1B9434">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nil"/>
              <w:left w:val="single" w:color="auto" w:sz="4" w:space="0"/>
              <w:bottom w:val="single" w:color="auto" w:sz="4" w:space="0"/>
            </w:tcBorders>
            <w:vAlign w:val="center"/>
          </w:tcPr>
          <w:p w14:paraId="76114CA1">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10B5B01B">
            <w:pPr>
              <w:widowControl/>
              <w:spacing w:line="240" w:lineRule="exact"/>
              <w:jc w:val="both"/>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100</w:t>
            </w:r>
          </w:p>
        </w:tc>
        <w:tc>
          <w:tcPr>
            <w:tcW w:w="845" w:type="dxa"/>
            <w:tcBorders>
              <w:top w:val="nil"/>
              <w:left w:val="single" w:color="auto" w:sz="4" w:space="0"/>
              <w:bottom w:val="single" w:color="auto" w:sz="4" w:space="0"/>
            </w:tcBorders>
            <w:vAlign w:val="center"/>
          </w:tcPr>
          <w:p w14:paraId="2531B9C7">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7FB0C315">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49C2F0F1">
        <w:tblPrEx>
          <w:tblCellMar>
            <w:top w:w="57" w:type="dxa"/>
            <w:left w:w="57" w:type="dxa"/>
            <w:bottom w:w="57" w:type="dxa"/>
            <w:right w:w="57" w:type="dxa"/>
          </w:tblCellMar>
        </w:tblPrEx>
        <w:trPr>
          <w:cantSplit/>
          <w:jc w:val="center"/>
        </w:trPr>
        <w:tc>
          <w:tcPr>
            <w:tcW w:w="1277" w:type="dxa"/>
            <w:vMerge w:val="restart"/>
            <w:tcBorders>
              <w:top w:val="nil"/>
              <w:left w:val="single" w:color="auto" w:sz="4" w:space="0"/>
              <w:right w:val="single" w:color="auto" w:sz="4" w:space="0"/>
            </w:tcBorders>
            <w:shd w:val="clear" w:color="auto" w:fill="auto"/>
            <w:vAlign w:val="center"/>
          </w:tcPr>
          <w:p w14:paraId="13FD8C7E">
            <w:pPr>
              <w:spacing w:line="240" w:lineRule="exact"/>
              <w:rPr>
                <w:rFonts w:ascii="Arial" w:hAnsi="Arial" w:eastAsia="仿宋_GB2312" w:cs="Arial"/>
                <w:sz w:val="20"/>
                <w:highlight w:val="none"/>
              </w:rPr>
            </w:pPr>
            <w:r>
              <w:rPr>
                <w:rFonts w:ascii="Arial" w:hAnsi="Arial" w:eastAsia="仿宋_GB2312" w:cs="Arial"/>
                <w:sz w:val="20"/>
                <w:highlight w:val="none"/>
              </w:rPr>
              <w:t>个别因素</w:t>
            </w:r>
          </w:p>
        </w:tc>
        <w:tc>
          <w:tcPr>
            <w:tcW w:w="1902" w:type="dxa"/>
            <w:tcBorders>
              <w:top w:val="nil"/>
              <w:left w:val="nil"/>
              <w:bottom w:val="single" w:color="auto" w:sz="4" w:space="0"/>
              <w:right w:val="single" w:color="auto" w:sz="4" w:space="0"/>
            </w:tcBorders>
            <w:shd w:val="clear" w:color="auto" w:fill="auto"/>
            <w:noWrap/>
            <w:vAlign w:val="center"/>
          </w:tcPr>
          <w:p w14:paraId="01036FD4">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建筑类型</w:t>
            </w:r>
          </w:p>
        </w:tc>
        <w:tc>
          <w:tcPr>
            <w:tcW w:w="961" w:type="dxa"/>
            <w:tcBorders>
              <w:top w:val="nil"/>
              <w:left w:val="nil"/>
              <w:bottom w:val="single" w:color="auto" w:sz="4" w:space="0"/>
            </w:tcBorders>
            <w:vAlign w:val="center"/>
          </w:tcPr>
          <w:p w14:paraId="7BE5D860">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3BAADC34">
            <w:pPr>
              <w:widowControl/>
              <w:spacing w:line="240" w:lineRule="exact"/>
              <w:jc w:val="both"/>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98</w:t>
            </w:r>
          </w:p>
        </w:tc>
        <w:tc>
          <w:tcPr>
            <w:tcW w:w="921" w:type="dxa"/>
            <w:tcBorders>
              <w:top w:val="nil"/>
              <w:left w:val="single" w:color="auto" w:sz="4" w:space="0"/>
              <w:bottom w:val="single" w:color="auto" w:sz="4" w:space="0"/>
            </w:tcBorders>
            <w:vAlign w:val="center"/>
          </w:tcPr>
          <w:p w14:paraId="24CE898A">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227F3406">
            <w:pPr>
              <w:widowControl/>
              <w:spacing w:line="240" w:lineRule="exact"/>
              <w:jc w:val="both"/>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98</w:t>
            </w:r>
          </w:p>
        </w:tc>
        <w:tc>
          <w:tcPr>
            <w:tcW w:w="845" w:type="dxa"/>
            <w:tcBorders>
              <w:top w:val="nil"/>
              <w:left w:val="single" w:color="auto" w:sz="4" w:space="0"/>
              <w:bottom w:val="single" w:color="auto" w:sz="4" w:space="0"/>
            </w:tcBorders>
            <w:vAlign w:val="center"/>
          </w:tcPr>
          <w:p w14:paraId="04FB8933">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40CB13CA">
            <w:pPr>
              <w:widowControl/>
              <w:spacing w:line="240" w:lineRule="exact"/>
              <w:jc w:val="both"/>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98</w:t>
            </w:r>
          </w:p>
        </w:tc>
      </w:tr>
      <w:tr w14:paraId="56665F7D">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shd w:val="clear" w:color="auto" w:fill="auto"/>
            <w:vAlign w:val="center"/>
          </w:tcPr>
          <w:p w14:paraId="56A22F1B">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vAlign w:val="center"/>
          </w:tcPr>
          <w:p w14:paraId="26F60BAE">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建筑结构</w:t>
            </w:r>
          </w:p>
        </w:tc>
        <w:tc>
          <w:tcPr>
            <w:tcW w:w="961" w:type="dxa"/>
            <w:tcBorders>
              <w:top w:val="nil"/>
              <w:left w:val="nil"/>
              <w:bottom w:val="single" w:color="auto" w:sz="4" w:space="0"/>
            </w:tcBorders>
            <w:vAlign w:val="center"/>
          </w:tcPr>
          <w:p w14:paraId="482AE921">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313E6570">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nil"/>
              <w:left w:val="single" w:color="auto" w:sz="4" w:space="0"/>
              <w:bottom w:val="single" w:color="auto" w:sz="4" w:space="0"/>
            </w:tcBorders>
            <w:vAlign w:val="center"/>
          </w:tcPr>
          <w:p w14:paraId="41C65A58">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7184C7F2">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0DF770EC">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68B3D7B0">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530BE940">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78015480">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vAlign w:val="center"/>
          </w:tcPr>
          <w:p w14:paraId="6613B2ED">
            <w:pPr>
              <w:widowControl/>
              <w:adjustRightInd/>
              <w:spacing w:line="240" w:lineRule="exact"/>
              <w:textAlignment w:val="auto"/>
              <w:rPr>
                <w:rFonts w:ascii="Arial" w:hAnsi="Arial" w:eastAsia="仿宋_GB2312" w:cs="Arial"/>
                <w:sz w:val="18"/>
                <w:szCs w:val="18"/>
                <w:highlight w:val="none"/>
              </w:rPr>
            </w:pPr>
            <w:r>
              <w:rPr>
                <w:rFonts w:ascii="Arial" w:hAnsi="Arial" w:eastAsia="仿宋_GB2312" w:cs="Arial"/>
                <w:sz w:val="18"/>
                <w:szCs w:val="18"/>
                <w:highlight w:val="none"/>
              </w:rPr>
              <w:t>物业管理</w:t>
            </w:r>
          </w:p>
        </w:tc>
        <w:tc>
          <w:tcPr>
            <w:tcW w:w="961" w:type="dxa"/>
            <w:tcBorders>
              <w:top w:val="nil"/>
              <w:left w:val="nil"/>
              <w:bottom w:val="single" w:color="auto" w:sz="4" w:space="0"/>
            </w:tcBorders>
            <w:vAlign w:val="center"/>
          </w:tcPr>
          <w:p w14:paraId="1CC414D4">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295FBD9E">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nil"/>
              <w:left w:val="single" w:color="auto" w:sz="4" w:space="0"/>
              <w:bottom w:val="single" w:color="auto" w:sz="4" w:space="0"/>
            </w:tcBorders>
            <w:vAlign w:val="center"/>
          </w:tcPr>
          <w:p w14:paraId="58FA1D81">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0E4AC62B">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65A10D1A">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6E808219">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1919068E">
        <w:tblPrEx>
          <w:tblCellMar>
            <w:top w:w="57" w:type="dxa"/>
            <w:left w:w="57" w:type="dxa"/>
            <w:bottom w:w="57" w:type="dxa"/>
            <w:right w:w="57" w:type="dxa"/>
          </w:tblCellMar>
        </w:tblPrEx>
        <w:trPr>
          <w:cantSplit/>
          <w:jc w:val="center"/>
        </w:trPr>
        <w:tc>
          <w:tcPr>
            <w:tcW w:w="1277" w:type="dxa"/>
            <w:vMerge w:val="continue"/>
            <w:tcBorders>
              <w:left w:val="single" w:color="auto" w:sz="4" w:space="0"/>
              <w:right w:val="single" w:color="auto" w:sz="4" w:space="0"/>
            </w:tcBorders>
            <w:vAlign w:val="center"/>
          </w:tcPr>
          <w:p w14:paraId="5B79F9AE">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vAlign w:val="center"/>
          </w:tcPr>
          <w:p w14:paraId="716C68CA">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市政基础设施</w:t>
            </w:r>
          </w:p>
        </w:tc>
        <w:tc>
          <w:tcPr>
            <w:tcW w:w="961" w:type="dxa"/>
            <w:tcBorders>
              <w:top w:val="nil"/>
              <w:left w:val="nil"/>
              <w:bottom w:val="single" w:color="auto" w:sz="4" w:space="0"/>
            </w:tcBorders>
            <w:vAlign w:val="center"/>
          </w:tcPr>
          <w:p w14:paraId="66FD12C1">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15C55C3E">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nil"/>
              <w:left w:val="single" w:color="auto" w:sz="4" w:space="0"/>
              <w:bottom w:val="single" w:color="auto" w:sz="4" w:space="0"/>
            </w:tcBorders>
            <w:vAlign w:val="center"/>
          </w:tcPr>
          <w:p w14:paraId="4F70801A">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29EF4D86">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5C7DCC9E">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611FB96A">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15270FAE">
        <w:tblPrEx>
          <w:tblCellMar>
            <w:top w:w="57" w:type="dxa"/>
            <w:left w:w="57" w:type="dxa"/>
            <w:bottom w:w="57" w:type="dxa"/>
            <w:right w:w="57" w:type="dxa"/>
          </w:tblCellMar>
        </w:tblPrEx>
        <w:trPr>
          <w:cantSplit/>
          <w:jc w:val="center"/>
        </w:trPr>
        <w:tc>
          <w:tcPr>
            <w:tcW w:w="1277" w:type="dxa"/>
            <w:vMerge w:val="continue"/>
            <w:tcBorders>
              <w:left w:val="single" w:color="auto" w:sz="4" w:space="0"/>
              <w:bottom w:val="single" w:color="auto" w:sz="4" w:space="0"/>
              <w:right w:val="single" w:color="auto" w:sz="4" w:space="0"/>
            </w:tcBorders>
            <w:vAlign w:val="center"/>
          </w:tcPr>
          <w:p w14:paraId="701D3067">
            <w:pPr>
              <w:widowControl/>
              <w:spacing w:line="240" w:lineRule="exact"/>
              <w:rPr>
                <w:rFonts w:ascii="Arial" w:hAnsi="Arial" w:eastAsia="仿宋_GB2312" w:cs="Arial"/>
                <w:sz w:val="20"/>
                <w:highlight w:val="none"/>
              </w:rPr>
            </w:pPr>
          </w:p>
        </w:tc>
        <w:tc>
          <w:tcPr>
            <w:tcW w:w="1902" w:type="dxa"/>
            <w:tcBorders>
              <w:top w:val="nil"/>
              <w:left w:val="nil"/>
              <w:bottom w:val="single" w:color="auto" w:sz="4" w:space="0"/>
              <w:right w:val="single" w:color="auto" w:sz="4" w:space="0"/>
            </w:tcBorders>
            <w:shd w:val="clear" w:color="auto" w:fill="auto"/>
            <w:noWrap/>
            <w:vAlign w:val="center"/>
          </w:tcPr>
          <w:p w14:paraId="2AD6CFD0">
            <w:pPr>
              <w:widowControl/>
              <w:adjustRightInd/>
              <w:spacing w:line="240" w:lineRule="exact"/>
              <w:textAlignment w:val="auto"/>
              <w:rPr>
                <w:rFonts w:ascii="Arial" w:hAnsi="Arial" w:eastAsia="仿宋_GB2312" w:cs="Arial"/>
                <w:sz w:val="18"/>
                <w:szCs w:val="18"/>
                <w:highlight w:val="none"/>
              </w:rPr>
            </w:pPr>
            <w:r>
              <w:rPr>
                <w:rFonts w:hint="eastAsia" w:ascii="Arial" w:hAnsi="Arial" w:eastAsia="仿宋_GB2312" w:cs="Arial"/>
                <w:sz w:val="18"/>
                <w:szCs w:val="18"/>
                <w:highlight w:val="none"/>
              </w:rPr>
              <w:t>内部</w:t>
            </w:r>
            <w:r>
              <w:rPr>
                <w:rFonts w:ascii="Arial" w:hAnsi="Arial" w:eastAsia="仿宋_GB2312" w:cs="Arial"/>
                <w:sz w:val="18"/>
                <w:szCs w:val="18"/>
                <w:highlight w:val="none"/>
              </w:rPr>
              <w:t>装修</w:t>
            </w:r>
          </w:p>
        </w:tc>
        <w:tc>
          <w:tcPr>
            <w:tcW w:w="961" w:type="dxa"/>
            <w:tcBorders>
              <w:top w:val="nil"/>
              <w:left w:val="nil"/>
              <w:bottom w:val="single" w:color="auto" w:sz="4" w:space="0"/>
            </w:tcBorders>
            <w:vAlign w:val="center"/>
          </w:tcPr>
          <w:p w14:paraId="0DEF23BA">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971" w:type="dxa"/>
            <w:tcBorders>
              <w:top w:val="nil"/>
              <w:bottom w:val="single" w:color="auto" w:sz="4" w:space="0"/>
              <w:right w:val="single" w:color="auto" w:sz="4" w:space="0"/>
            </w:tcBorders>
            <w:vAlign w:val="center"/>
          </w:tcPr>
          <w:p w14:paraId="2A3A3CC9">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921" w:type="dxa"/>
            <w:tcBorders>
              <w:top w:val="nil"/>
              <w:left w:val="single" w:color="auto" w:sz="4" w:space="0"/>
              <w:bottom w:val="single" w:color="auto" w:sz="4" w:space="0"/>
            </w:tcBorders>
            <w:vAlign w:val="center"/>
          </w:tcPr>
          <w:p w14:paraId="173AB6ED">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046" w:type="dxa"/>
            <w:tcBorders>
              <w:top w:val="nil"/>
              <w:bottom w:val="single" w:color="auto" w:sz="4" w:space="0"/>
              <w:right w:val="single" w:color="auto" w:sz="4" w:space="0"/>
            </w:tcBorders>
            <w:vAlign w:val="center"/>
          </w:tcPr>
          <w:p w14:paraId="428855A6">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c>
          <w:tcPr>
            <w:tcW w:w="845" w:type="dxa"/>
            <w:tcBorders>
              <w:top w:val="nil"/>
              <w:left w:val="single" w:color="auto" w:sz="4" w:space="0"/>
              <w:bottom w:val="single" w:color="auto" w:sz="4" w:space="0"/>
            </w:tcBorders>
            <w:vAlign w:val="center"/>
          </w:tcPr>
          <w:p w14:paraId="034A99F3">
            <w:pPr>
              <w:widowControl/>
              <w:spacing w:line="240" w:lineRule="exact"/>
              <w:jc w:val="right"/>
              <w:rPr>
                <w:rFonts w:ascii="Arial" w:hAnsi="Arial" w:eastAsia="仿宋_GB2312" w:cs="Arial"/>
                <w:sz w:val="20"/>
                <w:highlight w:val="none"/>
              </w:rPr>
            </w:pPr>
            <w:r>
              <w:rPr>
                <w:rFonts w:ascii="Arial" w:hAnsi="Arial" w:eastAsia="仿宋_GB2312" w:cs="Arial"/>
                <w:sz w:val="20"/>
                <w:highlight w:val="none"/>
              </w:rPr>
              <w:t>100/</w:t>
            </w:r>
          </w:p>
        </w:tc>
        <w:tc>
          <w:tcPr>
            <w:tcW w:w="1149" w:type="dxa"/>
            <w:tcBorders>
              <w:top w:val="nil"/>
              <w:bottom w:val="single" w:color="auto" w:sz="4" w:space="0"/>
              <w:right w:val="single" w:color="auto" w:sz="4" w:space="0"/>
            </w:tcBorders>
            <w:vAlign w:val="center"/>
          </w:tcPr>
          <w:p w14:paraId="6000AE2E">
            <w:pPr>
              <w:widowControl/>
              <w:spacing w:line="240" w:lineRule="exact"/>
              <w:jc w:val="both"/>
              <w:rPr>
                <w:rFonts w:ascii="Arial" w:hAnsi="Arial" w:eastAsia="仿宋_GB2312" w:cs="Arial"/>
                <w:sz w:val="20"/>
                <w:highlight w:val="none"/>
              </w:rPr>
            </w:pPr>
            <w:r>
              <w:rPr>
                <w:rFonts w:hint="eastAsia" w:ascii="Arial" w:hAnsi="Arial" w:eastAsia="仿宋_GB2312" w:cs="Arial"/>
                <w:sz w:val="20"/>
                <w:highlight w:val="none"/>
              </w:rPr>
              <w:t>100</w:t>
            </w:r>
          </w:p>
        </w:tc>
      </w:tr>
      <w:tr w14:paraId="6656C9F3">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vAlign w:val="center"/>
          </w:tcPr>
          <w:p w14:paraId="16913F16">
            <w:pPr>
              <w:widowControl/>
              <w:spacing w:line="240" w:lineRule="exact"/>
              <w:rPr>
                <w:rFonts w:ascii="Arial" w:hAnsi="Arial" w:eastAsia="仿宋_GB2312" w:cs="Arial"/>
                <w:sz w:val="20"/>
                <w:highlight w:val="none"/>
              </w:rPr>
            </w:pPr>
            <w:r>
              <w:rPr>
                <w:rFonts w:ascii="Arial" w:hAnsi="Arial" w:eastAsia="仿宋_GB2312" w:cs="Arial"/>
                <w:sz w:val="20"/>
                <w:highlight w:val="none"/>
              </w:rPr>
              <w:t>销售价格（元/平方米）</w:t>
            </w:r>
          </w:p>
        </w:tc>
        <w:tc>
          <w:tcPr>
            <w:tcW w:w="1932" w:type="dxa"/>
            <w:gridSpan w:val="2"/>
            <w:tcBorders>
              <w:top w:val="single" w:color="auto" w:sz="4" w:space="0"/>
              <w:left w:val="nil"/>
              <w:bottom w:val="single" w:color="auto" w:sz="4" w:space="0"/>
              <w:right w:val="single" w:color="auto" w:sz="4" w:space="0"/>
            </w:tcBorders>
          </w:tcPr>
          <w:p w14:paraId="5D2DDD4C">
            <w:pPr>
              <w:widowControl/>
              <w:spacing w:line="240" w:lineRule="exact"/>
              <w:jc w:val="center"/>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35135</w:t>
            </w:r>
          </w:p>
        </w:tc>
        <w:tc>
          <w:tcPr>
            <w:tcW w:w="1967" w:type="dxa"/>
            <w:gridSpan w:val="2"/>
            <w:tcBorders>
              <w:top w:val="single" w:color="auto" w:sz="4" w:space="0"/>
              <w:left w:val="single" w:color="auto" w:sz="4" w:space="0"/>
              <w:bottom w:val="single" w:color="auto" w:sz="4" w:space="0"/>
              <w:right w:val="single" w:color="auto" w:sz="4" w:space="0"/>
            </w:tcBorders>
          </w:tcPr>
          <w:p w14:paraId="438F9030">
            <w:pPr>
              <w:widowControl/>
              <w:spacing w:line="240" w:lineRule="exact"/>
              <w:jc w:val="center"/>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31102</w:t>
            </w:r>
          </w:p>
        </w:tc>
        <w:tc>
          <w:tcPr>
            <w:tcW w:w="1994" w:type="dxa"/>
            <w:gridSpan w:val="2"/>
            <w:tcBorders>
              <w:top w:val="single" w:color="auto" w:sz="4" w:space="0"/>
              <w:left w:val="single" w:color="auto" w:sz="4" w:space="0"/>
              <w:bottom w:val="single" w:color="auto" w:sz="4" w:space="0"/>
              <w:right w:val="single" w:color="auto" w:sz="4" w:space="0"/>
            </w:tcBorders>
          </w:tcPr>
          <w:p w14:paraId="759B6AA2">
            <w:pPr>
              <w:widowControl/>
              <w:spacing w:line="240" w:lineRule="exact"/>
              <w:jc w:val="center"/>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31801</w:t>
            </w:r>
          </w:p>
        </w:tc>
      </w:tr>
      <w:tr w14:paraId="784A5935">
        <w:tblPrEx>
          <w:tblCellMar>
            <w:top w:w="57" w:type="dxa"/>
            <w:left w:w="57" w:type="dxa"/>
            <w:bottom w:w="57" w:type="dxa"/>
            <w:right w:w="57" w:type="dxa"/>
          </w:tblCellMar>
        </w:tblPrEx>
        <w:trPr>
          <w:cantSplit/>
          <w:jc w:val="center"/>
        </w:trPr>
        <w:tc>
          <w:tcPr>
            <w:tcW w:w="3179" w:type="dxa"/>
            <w:gridSpan w:val="2"/>
            <w:tcBorders>
              <w:top w:val="single" w:color="auto" w:sz="4" w:space="0"/>
              <w:left w:val="single" w:color="auto" w:sz="4" w:space="0"/>
              <w:bottom w:val="single" w:color="auto" w:sz="4" w:space="0"/>
              <w:right w:val="single" w:color="auto" w:sz="4" w:space="0"/>
            </w:tcBorders>
            <w:vAlign w:val="center"/>
          </w:tcPr>
          <w:p w14:paraId="2A8E6E48">
            <w:pPr>
              <w:widowControl/>
              <w:spacing w:line="240" w:lineRule="exact"/>
              <w:rPr>
                <w:rFonts w:ascii="Arial" w:hAnsi="Arial" w:eastAsia="仿宋_GB2312" w:cs="Arial"/>
                <w:sz w:val="20"/>
                <w:highlight w:val="none"/>
              </w:rPr>
            </w:pPr>
            <w:r>
              <w:rPr>
                <w:rFonts w:ascii="Arial" w:hAnsi="Arial" w:eastAsia="仿宋_GB2312" w:cs="Arial"/>
                <w:sz w:val="20"/>
                <w:highlight w:val="none"/>
              </w:rPr>
              <w:t>比较价格（元/平方米）</w:t>
            </w:r>
          </w:p>
        </w:tc>
        <w:tc>
          <w:tcPr>
            <w:tcW w:w="1932" w:type="dxa"/>
            <w:gridSpan w:val="2"/>
            <w:tcBorders>
              <w:top w:val="single" w:color="auto" w:sz="4" w:space="0"/>
              <w:left w:val="single" w:color="auto" w:sz="4" w:space="0"/>
              <w:bottom w:val="single" w:color="auto" w:sz="4" w:space="0"/>
              <w:right w:val="single" w:color="auto" w:sz="4" w:space="0"/>
            </w:tcBorders>
          </w:tcPr>
          <w:p w14:paraId="3529956D">
            <w:pPr>
              <w:widowControl/>
              <w:spacing w:line="240" w:lineRule="exact"/>
              <w:jc w:val="center"/>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30686</w:t>
            </w:r>
          </w:p>
        </w:tc>
        <w:tc>
          <w:tcPr>
            <w:tcW w:w="1967" w:type="dxa"/>
            <w:gridSpan w:val="2"/>
            <w:tcBorders>
              <w:top w:val="single" w:color="auto" w:sz="4" w:space="0"/>
              <w:left w:val="single" w:color="auto" w:sz="4" w:space="0"/>
              <w:bottom w:val="single" w:color="auto" w:sz="4" w:space="0"/>
              <w:right w:val="single" w:color="auto" w:sz="4" w:space="0"/>
            </w:tcBorders>
          </w:tcPr>
          <w:p w14:paraId="17564533">
            <w:pPr>
              <w:widowControl/>
              <w:spacing w:line="240" w:lineRule="exact"/>
              <w:jc w:val="center"/>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30824</w:t>
            </w:r>
          </w:p>
        </w:tc>
        <w:tc>
          <w:tcPr>
            <w:tcW w:w="1994" w:type="dxa"/>
            <w:gridSpan w:val="2"/>
            <w:tcBorders>
              <w:top w:val="single" w:color="auto" w:sz="4" w:space="0"/>
              <w:left w:val="single" w:color="auto" w:sz="4" w:space="0"/>
              <w:bottom w:val="single" w:color="auto" w:sz="4" w:space="0"/>
              <w:right w:val="single" w:color="auto" w:sz="4" w:space="0"/>
            </w:tcBorders>
          </w:tcPr>
          <w:p w14:paraId="63A97DC2">
            <w:pPr>
              <w:widowControl/>
              <w:spacing w:line="240" w:lineRule="exact"/>
              <w:jc w:val="center"/>
              <w:rPr>
                <w:rFonts w:hint="default" w:ascii="Arial" w:hAnsi="Arial" w:eastAsia="仿宋_GB2312" w:cs="Arial"/>
                <w:sz w:val="20"/>
                <w:highlight w:val="none"/>
                <w:lang w:val="en-US" w:eastAsia="zh-CN"/>
              </w:rPr>
            </w:pPr>
            <w:r>
              <w:rPr>
                <w:rFonts w:hint="eastAsia" w:ascii="Arial" w:hAnsi="Arial" w:eastAsia="仿宋_GB2312" w:cs="Arial"/>
                <w:sz w:val="20"/>
                <w:highlight w:val="none"/>
                <w:lang w:val="en-US" w:eastAsia="zh-CN"/>
              </w:rPr>
              <w:t>29137</w:t>
            </w:r>
          </w:p>
        </w:tc>
      </w:tr>
    </w:tbl>
    <w:p w14:paraId="574D4F5F">
      <w:pPr>
        <w:spacing w:before="50" w:after="50" w:line="300" w:lineRule="auto"/>
        <w:ind w:firstLine="560" w:firstLineChars="200"/>
        <w:jc w:val="both"/>
        <w:rPr>
          <w:rFonts w:ascii="Arial" w:hAnsi="Arial" w:eastAsia="仿宋_GB2312" w:cs="Arial"/>
          <w:sz w:val="28"/>
          <w:highlight w:val="none"/>
        </w:rPr>
      </w:pPr>
      <w:r>
        <w:rPr>
          <w:rFonts w:ascii="Arial" w:hAnsi="Arial" w:eastAsia="仿宋_GB2312" w:cs="Arial"/>
          <w:snapToGrid w:val="0"/>
          <w:sz w:val="28"/>
          <w:highlight w:val="none"/>
        </w:rPr>
        <w:t>注：</w:t>
      </w:r>
      <w:r>
        <w:rPr>
          <w:rFonts w:ascii="Arial" w:hAnsi="Arial" w:eastAsia="仿宋_GB2312" w:cs="Arial"/>
          <w:sz w:val="28"/>
          <w:highlight w:val="none"/>
        </w:rPr>
        <w:t>三个案例的销售价格为销售均价。</w:t>
      </w:r>
    </w:p>
    <w:p w14:paraId="2336716E">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rPr>
        <w:t>根据《北京市国有建设用地使用权出让地价评估技术导则》</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2026年2月10日实施）（</w:t>
      </w:r>
      <w:r>
        <w:rPr>
          <w:rFonts w:hint="eastAsia" w:ascii="Arial" w:hAnsi="Arial" w:eastAsia="仿宋_GB2312" w:cs="Arial"/>
          <w:sz w:val="28"/>
          <w:highlight w:val="none"/>
        </w:rPr>
        <w:t>6.3.3</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9</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比准价格确定</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所选取的若干个比较实例价格经过各项比较修正后，可选用简单算术平均法或加权算术平均法计算综合结果作为比准价格</w:t>
      </w:r>
      <w:r>
        <w:rPr>
          <w:rFonts w:hint="eastAsia" w:ascii="Arial" w:hAnsi="Arial" w:eastAsia="仿宋_GB2312" w:cs="Arial"/>
          <w:sz w:val="28"/>
          <w:highlight w:val="none"/>
          <w:lang w:eastAsia="zh-CN"/>
        </w:rPr>
        <w:t>；</w:t>
      </w:r>
    </w:p>
    <w:p w14:paraId="08B70A46">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一般采用算术平均法。对于比准价格差异≤10%的可采用简单算术平均法，比准价格差异&gt;10%而&lt;</w:t>
      </w:r>
      <w:r>
        <w:rPr>
          <w:rFonts w:hint="eastAsia" w:ascii="Arial" w:hAnsi="Arial" w:eastAsia="仿宋_GB2312" w:cs="Arial"/>
          <w:sz w:val="28"/>
          <w:highlight w:val="none"/>
          <w:lang w:val="en-US" w:eastAsia="zh-CN"/>
        </w:rPr>
        <w:t>4</w:t>
      </w:r>
      <w:r>
        <w:rPr>
          <w:rFonts w:hint="eastAsia" w:ascii="Arial" w:hAnsi="Arial" w:eastAsia="仿宋_GB2312" w:cs="Arial"/>
          <w:sz w:val="28"/>
          <w:highlight w:val="none"/>
        </w:rPr>
        <w:t>0%的采用加权算术平均法，比准价格差异&gt;</w:t>
      </w:r>
      <w:r>
        <w:rPr>
          <w:rFonts w:hint="eastAsia" w:ascii="Arial" w:hAnsi="Arial" w:eastAsia="仿宋_GB2312" w:cs="Arial"/>
          <w:sz w:val="28"/>
          <w:highlight w:val="none"/>
          <w:lang w:val="en-US" w:eastAsia="zh-CN"/>
        </w:rPr>
        <w:t>4</w:t>
      </w:r>
      <w:r>
        <w:rPr>
          <w:rFonts w:hint="eastAsia" w:ascii="Arial" w:hAnsi="Arial" w:eastAsia="仿宋_GB2312" w:cs="Arial"/>
          <w:sz w:val="28"/>
          <w:highlight w:val="none"/>
        </w:rPr>
        <w:t>0%的应重新选择比较实例;</w:t>
      </w:r>
    </w:p>
    <w:p w14:paraId="20E4B07F">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2</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采用加权算术平均法时，应充分合理说明权重取值的理由，通常与估价对象条件越接近的成交案例比准价格可取较高权重值。</w:t>
      </w:r>
    </w:p>
    <w:p w14:paraId="366AD132">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rPr>
        <w:t>经计算，比准价格差异为</w:t>
      </w:r>
      <w:r>
        <w:rPr>
          <w:rFonts w:hint="eastAsia" w:ascii="Arial" w:hAnsi="Arial" w:eastAsia="仿宋_GB2312" w:cs="Arial"/>
          <w:sz w:val="28"/>
          <w:highlight w:val="none"/>
          <w:lang w:val="en-US" w:eastAsia="zh-CN"/>
        </w:rPr>
        <w:t>5.79</w:t>
      </w:r>
      <w:r>
        <w:rPr>
          <w:rFonts w:hint="eastAsia" w:ascii="Arial" w:hAnsi="Arial" w:eastAsia="仿宋_GB2312" w:cs="Arial"/>
          <w:sz w:val="28"/>
          <w:highlight w:val="none"/>
        </w:rPr>
        <w:t>%</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30824</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29137</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÷29137</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5.79</w:t>
      </w:r>
      <w:r>
        <w:rPr>
          <w:rFonts w:hint="eastAsia" w:ascii="Arial" w:hAnsi="Arial" w:eastAsia="仿宋_GB2312" w:cs="Arial"/>
          <w:sz w:val="28"/>
          <w:highlight w:val="none"/>
        </w:rPr>
        <w:t>%</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比准价格差异&lt;10%，故本次采用简单算术平均法确定比准价格作为估价对象房地产市场比较法评估测算结果，即</w:t>
      </w:r>
      <w:r>
        <w:rPr>
          <w:rFonts w:hint="eastAsia" w:ascii="Arial" w:hAnsi="Arial" w:eastAsia="仿宋_GB2312" w:cs="Arial"/>
          <w:sz w:val="28"/>
          <w:highlight w:val="none"/>
          <w:lang w:eastAsia="zh-CN"/>
        </w:rPr>
        <w:t>：</w:t>
      </w:r>
    </w:p>
    <w:p w14:paraId="0B913879">
      <w:pPr>
        <w:spacing w:before="50" w:after="50"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住宅</w:t>
      </w:r>
      <w:r>
        <w:rPr>
          <w:rFonts w:hint="eastAsia" w:ascii="Arial" w:hAnsi="Arial" w:eastAsia="仿宋_GB2312" w:cs="Arial"/>
          <w:sz w:val="28"/>
          <w:highlight w:val="none"/>
          <w:lang w:val="en-US" w:eastAsia="zh-CN"/>
        </w:rPr>
        <w:t>用房</w:t>
      </w:r>
      <w:r>
        <w:rPr>
          <w:rFonts w:ascii="Arial" w:hAnsi="Arial" w:eastAsia="仿宋_GB2312" w:cs="Arial"/>
          <w:sz w:val="28"/>
          <w:highlight w:val="none"/>
        </w:rPr>
        <w:t>比准价格</w:t>
      </w:r>
      <w:r>
        <w:rPr>
          <w:rFonts w:hint="eastAsia" w:ascii="Arial" w:hAnsi="Arial" w:eastAsia="仿宋_GB2312" w:cs="Arial"/>
          <w:sz w:val="28"/>
          <w:highlight w:val="none"/>
          <w:lang w:eastAsia="zh-CN"/>
        </w:rPr>
        <w:t>＝</w:t>
      </w:r>
      <w:r>
        <w:rPr>
          <w:rFonts w:ascii="Arial" w:hAnsi="Arial" w:eastAsia="仿宋_GB2312" w:cs="Arial"/>
          <w:sz w:val="28"/>
          <w:highlight w:val="none"/>
        </w:rPr>
        <w:t>（</w:t>
      </w:r>
      <w:r>
        <w:rPr>
          <w:rFonts w:hint="eastAsia" w:ascii="Arial" w:hAnsi="Arial" w:eastAsia="仿宋_GB2312" w:cs="Arial"/>
          <w:sz w:val="28"/>
          <w:highlight w:val="none"/>
          <w:lang w:val="en-US" w:eastAsia="zh-CN"/>
        </w:rPr>
        <w:t>30686</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30824</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29137</w:t>
      </w:r>
      <w:r>
        <w:rPr>
          <w:rFonts w:ascii="Arial" w:hAnsi="Arial" w:eastAsia="仿宋_GB2312" w:cs="Arial"/>
          <w:sz w:val="28"/>
          <w:highlight w:val="none"/>
        </w:rPr>
        <w:t>）</w:t>
      </w:r>
      <w:r>
        <w:rPr>
          <w:rFonts w:hint="eastAsia" w:ascii="Arial" w:hAnsi="Arial" w:eastAsia="仿宋_GB2312" w:cs="Arial"/>
          <w:sz w:val="28"/>
          <w:highlight w:val="none"/>
          <w:lang w:eastAsia="zh-CN"/>
        </w:rPr>
        <w:t>÷</w:t>
      </w:r>
      <w:r>
        <w:rPr>
          <w:rFonts w:ascii="Arial" w:hAnsi="Arial" w:eastAsia="仿宋_GB2312" w:cs="Arial"/>
          <w:sz w:val="28"/>
          <w:highlight w:val="none"/>
        </w:rPr>
        <w:t>3</w:t>
      </w:r>
    </w:p>
    <w:p w14:paraId="5D301FCB">
      <w:pPr>
        <w:spacing w:before="50" w:after="50"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 xml:space="preserve">                </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30216</w:t>
      </w:r>
      <w:r>
        <w:rPr>
          <w:rFonts w:ascii="Arial" w:hAnsi="Arial" w:eastAsia="仿宋_GB2312" w:cs="Arial"/>
          <w:sz w:val="28"/>
          <w:highlight w:val="none"/>
        </w:rPr>
        <w:t>（元/平方米）</w:t>
      </w:r>
    </w:p>
    <w:p w14:paraId="1A40A489">
      <w:pPr>
        <w:spacing w:before="50" w:after="50" w:line="300" w:lineRule="auto"/>
        <w:ind w:firstLine="560" w:firstLineChars="200"/>
        <w:jc w:val="both"/>
        <w:rPr>
          <w:rFonts w:ascii="Arial" w:hAnsi="Arial" w:eastAsia="仿宋_GB2312" w:cs="Arial"/>
          <w:sz w:val="28"/>
          <w:highlight w:val="none"/>
        </w:rPr>
      </w:pPr>
      <w:r>
        <w:rPr>
          <w:rFonts w:ascii="Arial" w:hAnsi="Arial" w:eastAsia="仿宋_GB2312" w:cs="Arial"/>
          <w:sz w:val="28"/>
          <w:szCs w:val="28"/>
          <w:highlight w:val="none"/>
        </w:rPr>
        <w:t>根据</w:t>
      </w:r>
      <w:r>
        <w:rPr>
          <w:rFonts w:hint="eastAsia" w:ascii="Arial" w:hAnsi="Arial" w:eastAsia="仿宋_GB2312"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sz w:val="28"/>
          <w:highlight w:val="none"/>
        </w:rPr>
        <w:t>，</w:t>
      </w:r>
      <w:r>
        <w:rPr>
          <w:rFonts w:ascii="Arial" w:hAnsi="Arial" w:eastAsia="仿宋_GB2312" w:cs="Arial"/>
          <w:sz w:val="28"/>
          <w:highlight w:val="none"/>
        </w:rPr>
        <w:t>估价对象</w:t>
      </w:r>
      <w:r>
        <w:rPr>
          <w:rFonts w:hint="eastAsia" w:ascii="Arial" w:hAnsi="Arial" w:eastAsia="仿宋_GB2312" w:cs="Arial"/>
          <w:sz w:val="28"/>
          <w:highlight w:val="none"/>
        </w:rPr>
        <w:t>住宅</w:t>
      </w:r>
      <w:r>
        <w:rPr>
          <w:rFonts w:ascii="Arial" w:hAnsi="Arial" w:eastAsia="仿宋_GB2312" w:cs="Arial"/>
          <w:sz w:val="28"/>
          <w:highlight w:val="none"/>
        </w:rPr>
        <w:t>用途总建筑规模为68148.54平方米。则：</w:t>
      </w:r>
    </w:p>
    <w:p w14:paraId="3CF4E3ED">
      <w:pPr>
        <w:spacing w:before="50" w:after="50"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住宅用途</w:t>
      </w:r>
      <w:r>
        <w:rPr>
          <w:rFonts w:ascii="Arial" w:hAnsi="Arial" w:eastAsia="仿宋_GB2312" w:cs="Arial"/>
          <w:sz w:val="28"/>
          <w:highlight w:val="none"/>
        </w:rPr>
        <w:t>开发价值总价</w:t>
      </w:r>
    </w:p>
    <w:p w14:paraId="19D8D1DE">
      <w:pPr>
        <w:spacing w:before="50" w:after="50"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30216</w:t>
      </w:r>
      <w:r>
        <w:rPr>
          <w:rFonts w:hint="eastAsia" w:ascii="Arial" w:hAnsi="Arial" w:eastAsia="仿宋_GB2312" w:cs="Arial"/>
          <w:sz w:val="28"/>
          <w:highlight w:val="none"/>
          <w:lang w:eastAsia="zh-CN"/>
        </w:rPr>
        <w:t>×</w:t>
      </w:r>
      <w:r>
        <w:rPr>
          <w:rFonts w:ascii="Arial" w:hAnsi="Arial" w:eastAsia="仿宋_GB2312" w:cs="Arial"/>
          <w:sz w:val="28"/>
          <w:highlight w:val="none"/>
        </w:rPr>
        <w:t>68148.54</w:t>
      </w:r>
      <w:r>
        <w:rPr>
          <w:rFonts w:hint="eastAsia" w:ascii="Arial" w:hAnsi="Arial" w:eastAsia="仿宋_GB2312" w:cs="Arial"/>
          <w:sz w:val="28"/>
          <w:highlight w:val="none"/>
          <w:lang w:eastAsia="zh-CN"/>
        </w:rPr>
        <w:t>÷</w:t>
      </w:r>
      <w:r>
        <w:rPr>
          <w:rFonts w:ascii="Arial" w:hAnsi="Arial" w:eastAsia="仿宋_GB2312" w:cs="Arial"/>
          <w:sz w:val="28"/>
          <w:highlight w:val="none"/>
        </w:rPr>
        <w:t>10000</w:t>
      </w:r>
    </w:p>
    <w:p w14:paraId="2DF7F22A">
      <w:pPr>
        <w:spacing w:before="50" w:after="50"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205917.6285</w:t>
      </w:r>
      <w:r>
        <w:rPr>
          <w:rFonts w:ascii="Arial" w:hAnsi="Arial" w:eastAsia="仿宋_GB2312" w:cs="Arial"/>
          <w:sz w:val="28"/>
          <w:highlight w:val="none"/>
        </w:rPr>
        <w:t>（万元）</w:t>
      </w:r>
    </w:p>
    <w:p w14:paraId="1C11F7CC">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C.开发成本</w:t>
      </w:r>
    </w:p>
    <w:p w14:paraId="5AE035F0">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根据《北京市国有建设用地使用权出让地价评估技术导则》</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2026年2月10日实施）</w:t>
      </w:r>
      <w:r>
        <w:rPr>
          <w:rFonts w:hint="eastAsia" w:ascii="Arial" w:hAnsi="Arial" w:eastAsia="仿宋_GB2312"/>
          <w:sz w:val="28"/>
          <w:highlight w:val="none"/>
        </w:rPr>
        <w:t>6.2.1开发成本确定:</w:t>
      </w:r>
    </w:p>
    <w:p w14:paraId="6F210B39">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开发成本是项目开发建设期间所发生的客观费用的总和。</w:t>
      </w:r>
    </w:p>
    <w:p w14:paraId="093431C5">
      <w:pPr>
        <w:spacing w:line="300" w:lineRule="auto"/>
        <w:ind w:firstLine="560" w:firstLineChars="200"/>
        <w:jc w:val="both"/>
        <w:rPr>
          <w:rFonts w:hint="eastAsia" w:ascii="Arial" w:hAnsi="Arial" w:eastAsia="仿宋_GB2312"/>
          <w:sz w:val="28"/>
          <w:highlight w:val="none"/>
          <w:lang w:eastAsia="zh-CN"/>
        </w:rPr>
      </w:pPr>
      <w:r>
        <w:rPr>
          <w:rFonts w:hint="eastAsia" w:ascii="Arial" w:hAnsi="Arial" w:eastAsia="仿宋_GB2312"/>
          <w:sz w:val="28"/>
          <w:highlight w:val="none"/>
        </w:rPr>
        <w:t>开发成本计算公式为</w:t>
      </w:r>
      <w:r>
        <w:rPr>
          <w:rFonts w:hint="eastAsia" w:ascii="Arial" w:hAnsi="Arial" w:eastAsia="仿宋_GB2312"/>
          <w:sz w:val="28"/>
          <w:highlight w:val="none"/>
          <w:lang w:eastAsia="zh-CN"/>
        </w:rPr>
        <w:t>：</w:t>
      </w:r>
    </w:p>
    <w:p w14:paraId="4629F0F1">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w:t>
      </w:r>
      <w:r>
        <w:rPr>
          <w:rFonts w:hint="eastAsia" w:ascii="Arial" w:hAnsi="Arial" w:eastAsia="仿宋_GB2312"/>
          <w:sz w:val="28"/>
          <w:highlight w:val="none"/>
          <w:lang w:eastAsia="zh-CN"/>
        </w:rPr>
        <w:t>＝</w:t>
      </w:r>
      <w:r>
        <w:rPr>
          <w:rFonts w:hint="eastAsia" w:ascii="Arial" w:hAnsi="Arial" w:eastAsia="仿宋_GB2312"/>
          <w:sz w:val="28"/>
          <w:highlight w:val="none"/>
        </w:rPr>
        <w:t>购地税费</w:t>
      </w:r>
      <w:r>
        <w:rPr>
          <w:rFonts w:hint="eastAsia" w:ascii="Arial" w:hAnsi="Arial" w:eastAsia="仿宋_GB2312"/>
          <w:sz w:val="28"/>
          <w:highlight w:val="none"/>
          <w:lang w:eastAsia="zh-CN"/>
        </w:rPr>
        <w:t>＋</w:t>
      </w:r>
      <w:r>
        <w:rPr>
          <w:rFonts w:hint="eastAsia" w:ascii="Arial" w:hAnsi="Arial" w:eastAsia="仿宋_GB2312"/>
          <w:sz w:val="28"/>
          <w:highlight w:val="none"/>
        </w:rPr>
        <w:t>房屋建设成本</w:t>
      </w:r>
      <w:r>
        <w:rPr>
          <w:rFonts w:hint="eastAsia" w:ascii="Arial" w:hAnsi="Arial" w:eastAsia="仿宋_GB2312"/>
          <w:sz w:val="28"/>
          <w:highlight w:val="none"/>
          <w:lang w:eastAsia="zh-CN"/>
        </w:rPr>
        <w:t>＋</w:t>
      </w:r>
      <w:r>
        <w:rPr>
          <w:rFonts w:hint="eastAsia" w:ascii="Arial" w:hAnsi="Arial" w:eastAsia="仿宋_GB2312"/>
          <w:sz w:val="28"/>
          <w:highlight w:val="none"/>
        </w:rPr>
        <w:t>管理费用</w:t>
      </w:r>
      <w:r>
        <w:rPr>
          <w:rFonts w:hint="eastAsia" w:ascii="Arial" w:hAnsi="Arial" w:eastAsia="仿宋_GB2312"/>
          <w:sz w:val="28"/>
          <w:highlight w:val="none"/>
          <w:lang w:eastAsia="zh-CN"/>
        </w:rPr>
        <w:t>＋</w:t>
      </w:r>
      <w:r>
        <w:rPr>
          <w:rFonts w:hint="eastAsia" w:ascii="Arial" w:hAnsi="Arial" w:eastAsia="仿宋_GB2312"/>
          <w:sz w:val="28"/>
          <w:highlight w:val="none"/>
        </w:rPr>
        <w:t>销售费用</w:t>
      </w:r>
      <w:r>
        <w:rPr>
          <w:rFonts w:hint="eastAsia" w:ascii="Arial" w:hAnsi="Arial" w:eastAsia="仿宋_GB2312"/>
          <w:sz w:val="28"/>
          <w:highlight w:val="none"/>
          <w:lang w:eastAsia="zh-CN"/>
        </w:rPr>
        <w:t>＋</w:t>
      </w:r>
      <w:r>
        <w:rPr>
          <w:rFonts w:hint="eastAsia" w:ascii="Arial" w:hAnsi="Arial" w:eastAsia="仿宋_GB2312"/>
          <w:sz w:val="28"/>
          <w:highlight w:val="none"/>
        </w:rPr>
        <w:t>投资利息</w:t>
      </w:r>
      <w:r>
        <w:rPr>
          <w:rFonts w:hint="eastAsia" w:ascii="Arial" w:hAnsi="Arial" w:eastAsia="仿宋_GB2312"/>
          <w:sz w:val="28"/>
          <w:highlight w:val="none"/>
          <w:lang w:eastAsia="zh-CN"/>
        </w:rPr>
        <w:t>＋</w:t>
      </w:r>
      <w:r>
        <w:rPr>
          <w:rFonts w:hint="eastAsia" w:ascii="Arial" w:hAnsi="Arial" w:eastAsia="仿宋_GB2312"/>
          <w:sz w:val="28"/>
          <w:highlight w:val="none"/>
        </w:rPr>
        <w:t>销售税费</w:t>
      </w:r>
    </w:p>
    <w:p w14:paraId="4257FE0B">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rPr>
        <w:t>房屋建设成本</w:t>
      </w:r>
      <w:r>
        <w:rPr>
          <w:rFonts w:hint="eastAsia" w:ascii="Arial" w:hAnsi="Arial" w:eastAsia="仿宋_GB2312"/>
          <w:sz w:val="28"/>
          <w:highlight w:val="none"/>
          <w:lang w:val="en-US" w:eastAsia="zh-CN"/>
        </w:rPr>
        <w:t>＝前期费用＋建筑安装工程费＋基础设施建设费＋公共配套设施建设费＋开发期间税费＋其他工程费</w:t>
      </w:r>
    </w:p>
    <w:p w14:paraId="5827AB3E">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a.购地税费</w:t>
      </w:r>
    </w:p>
    <w:p w14:paraId="6170C66D">
      <w:pPr>
        <w:spacing w:line="300" w:lineRule="auto"/>
        <w:ind w:firstLine="560" w:firstLineChars="200"/>
        <w:jc w:val="both"/>
        <w:rPr>
          <w:rFonts w:hint="eastAsia" w:ascii="Arial" w:hAnsi="Arial" w:eastAsia="仿宋_GB2312"/>
          <w:sz w:val="28"/>
          <w:highlight w:val="none"/>
          <w:lang w:val="en-US" w:eastAsia="zh-CN"/>
        </w:rPr>
      </w:pPr>
      <w:r>
        <w:rPr>
          <w:rFonts w:hint="eastAsia" w:ascii="仿宋_GB2312" w:eastAsia="仿宋_GB2312"/>
          <w:sz w:val="28"/>
          <w:highlight w:val="none"/>
        </w:rPr>
        <w:t>设</w:t>
      </w:r>
      <w:r>
        <w:rPr>
          <w:rFonts w:hint="eastAsia" w:ascii="仿宋_GB2312" w:eastAsia="仿宋_GB2312"/>
          <w:sz w:val="28"/>
          <w:highlight w:val="none"/>
          <w:lang w:val="en-US" w:eastAsia="zh-CN"/>
        </w:rPr>
        <w:t>定</w:t>
      </w:r>
      <w:r>
        <w:rPr>
          <w:rFonts w:hint="eastAsia" w:ascii="仿宋_GB2312" w:eastAsia="仿宋_GB2312"/>
          <w:sz w:val="28"/>
          <w:highlight w:val="none"/>
        </w:rPr>
        <w:t>估价对</w:t>
      </w:r>
      <w:r>
        <w:rPr>
          <w:rFonts w:hint="eastAsia" w:ascii="Arial" w:hAnsi="Arial" w:eastAsia="仿宋_GB2312"/>
          <w:sz w:val="28"/>
          <w:highlight w:val="none"/>
        </w:rPr>
        <w:t>象于“七通”条件下的城镇住宅用地熟地总价为</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万元。取得土地的税费指契税、印花税及交易手续费等，按照《中华人民共和国印花税暂行条例》</w:t>
      </w:r>
      <w:r>
        <w:rPr>
          <w:rFonts w:hint="eastAsia" w:ascii="Arial" w:hAnsi="Arial" w:eastAsia="仿宋_GB2312"/>
          <w:sz w:val="28"/>
          <w:highlight w:val="none"/>
          <w:lang w:eastAsia="zh-CN"/>
        </w:rPr>
        <w:t>（</w:t>
      </w:r>
      <w:r>
        <w:rPr>
          <w:rFonts w:hint="eastAsia" w:ascii="Arial" w:hAnsi="Arial" w:eastAsia="仿宋_GB2312"/>
          <w:sz w:val="28"/>
          <w:highlight w:val="none"/>
        </w:rPr>
        <w:t>根据2011年1月8日《国务院关于废止和修改部分行政法规的决定》修订</w:t>
      </w:r>
      <w:r>
        <w:rPr>
          <w:rFonts w:hint="eastAsia" w:ascii="Arial" w:hAnsi="Arial" w:eastAsia="仿宋_GB2312"/>
          <w:sz w:val="28"/>
          <w:highlight w:val="none"/>
          <w:lang w:eastAsia="zh-CN"/>
        </w:rPr>
        <w:t>）</w:t>
      </w:r>
      <w:r>
        <w:rPr>
          <w:rFonts w:hint="eastAsia" w:ascii="Arial" w:hAnsi="Arial" w:eastAsia="仿宋_GB2312"/>
          <w:sz w:val="28"/>
          <w:highlight w:val="none"/>
        </w:rPr>
        <w:t>，土地使用权出让合同按产权转移书据征收印花税，印花税及交易手续费以土地价值的0.05%计算，按照《中华人民共和国契税暂行条例》</w:t>
      </w:r>
      <w:r>
        <w:rPr>
          <w:rFonts w:hint="eastAsia" w:ascii="Arial" w:hAnsi="Arial" w:eastAsia="仿宋_GB2312"/>
          <w:sz w:val="28"/>
          <w:highlight w:val="none"/>
          <w:lang w:eastAsia="zh-CN"/>
        </w:rPr>
        <w:t>（</w:t>
      </w:r>
      <w:r>
        <w:rPr>
          <w:rFonts w:hint="eastAsia" w:ascii="Arial" w:hAnsi="Arial" w:eastAsia="仿宋_GB2312"/>
          <w:sz w:val="28"/>
          <w:highlight w:val="none"/>
        </w:rPr>
        <w:t>中华人民共和国国务院令第224号</w:t>
      </w:r>
      <w:r>
        <w:rPr>
          <w:rFonts w:hint="eastAsia" w:ascii="Arial" w:hAnsi="Arial" w:eastAsia="仿宋_GB2312"/>
          <w:sz w:val="28"/>
          <w:highlight w:val="none"/>
          <w:lang w:eastAsia="zh-CN"/>
        </w:rPr>
        <w:t>）</w:t>
      </w:r>
      <w:r>
        <w:rPr>
          <w:rFonts w:hint="eastAsia" w:ascii="Arial" w:hAnsi="Arial" w:eastAsia="仿宋_GB2312"/>
          <w:sz w:val="28"/>
          <w:highlight w:val="none"/>
        </w:rPr>
        <w:t>，契税以土地成交价的3%缴纳，则两者合计为3.05%。即购地税费为3.05%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万元</w:t>
      </w:r>
      <w:r>
        <w:rPr>
          <w:rFonts w:hint="eastAsia" w:ascii="Arial" w:hAnsi="Arial" w:eastAsia="仿宋_GB2312"/>
          <w:sz w:val="28"/>
          <w:highlight w:val="none"/>
          <w:lang w:eastAsia="zh-CN"/>
        </w:rPr>
        <w:t>。</w:t>
      </w:r>
    </w:p>
    <w:p w14:paraId="785C0BF9">
      <w:pPr>
        <w:spacing w:line="300" w:lineRule="auto"/>
        <w:ind w:firstLine="560" w:firstLineChars="200"/>
        <w:jc w:val="both"/>
        <w:rPr>
          <w:rFonts w:hint="default" w:ascii="仿宋_GB2312" w:eastAsia="仿宋_GB2312"/>
          <w:sz w:val="28"/>
          <w:highlight w:val="none"/>
          <w:lang w:val="en-US" w:eastAsia="zh-CN"/>
        </w:rPr>
      </w:pPr>
      <w:r>
        <w:rPr>
          <w:rFonts w:hint="eastAsia" w:ascii="Arial" w:hAnsi="Arial" w:eastAsia="仿宋_GB2312"/>
          <w:sz w:val="28"/>
          <w:highlight w:val="none"/>
          <w:lang w:val="en-US" w:eastAsia="zh-CN"/>
        </w:rPr>
        <w:t>b</w:t>
      </w:r>
      <w:r>
        <w:rPr>
          <w:rFonts w:hint="eastAsia" w:ascii="Arial" w:hAnsi="Arial" w:eastAsia="仿宋_GB2312"/>
          <w:sz w:val="28"/>
          <w:highlight w:val="none"/>
        </w:rPr>
        <w:t>.</w:t>
      </w:r>
      <w:r>
        <w:rPr>
          <w:rFonts w:hint="eastAsia" w:ascii="仿宋_GB2312" w:eastAsia="仿宋_GB2312"/>
          <w:sz w:val="28"/>
          <w:highlight w:val="none"/>
          <w:lang w:val="en-US" w:eastAsia="zh-CN"/>
        </w:rPr>
        <w:t>房屋建设成本</w:t>
      </w:r>
    </w:p>
    <w:p w14:paraId="7E443881">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a）</w:t>
      </w:r>
      <w:r>
        <w:rPr>
          <w:rFonts w:hint="eastAsia" w:ascii="Arial" w:hAnsi="Arial" w:eastAsia="仿宋_GB2312"/>
          <w:sz w:val="28"/>
          <w:highlight w:val="none"/>
          <w:lang w:val="en-US" w:eastAsia="zh-CN"/>
        </w:rPr>
        <w:t>建筑安装工程费</w:t>
      </w:r>
    </w:p>
    <w:p w14:paraId="2E3B07B6">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w:t>
      </w:r>
      <w:r>
        <w:rPr>
          <w:rFonts w:hint="eastAsia" w:ascii="Arial" w:hAnsi="Arial" w:eastAsia="仿宋_GB2312" w:cs="Arial"/>
          <w:sz w:val="28"/>
          <w:highlight w:val="none"/>
          <w:lang w:val="en-US" w:eastAsia="zh-CN"/>
        </w:rPr>
        <w:t>综合</w:t>
      </w:r>
      <w:r>
        <w:rPr>
          <w:rFonts w:hint="eastAsia" w:ascii="Arial" w:hAnsi="Arial" w:eastAsia="仿宋_GB2312" w:cs="Arial"/>
          <w:sz w:val="28"/>
          <w:highlight w:val="none"/>
        </w:rPr>
        <w:t>确定估价对象的建筑安装工程费用为5000元/平方米</w:t>
      </w:r>
    </w:p>
    <w:p w14:paraId="7781D46C">
      <w:pPr>
        <w:spacing w:line="300" w:lineRule="auto"/>
        <w:ind w:firstLine="560" w:firstLineChars="200"/>
        <w:jc w:val="both"/>
        <w:rPr>
          <w:rFonts w:hint="eastAsia" w:ascii="Arial" w:hAnsi="Arial" w:eastAsia="仿宋_GB2312" w:cs="Arial"/>
          <w:sz w:val="28"/>
          <w:highlight w:val="none"/>
        </w:rPr>
      </w:pPr>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w:t>
      </w:r>
      <w:r>
        <w:rPr>
          <w:rFonts w:ascii="Arial" w:hAnsi="Arial" w:eastAsia="仿宋_GB2312" w:cs="Arial"/>
          <w:sz w:val="28"/>
          <w:highlight w:val="none"/>
        </w:rPr>
        <w:t>估价对象A334托幼用地建筑规模</w:t>
      </w:r>
      <w:r>
        <w:rPr>
          <w:rFonts w:hint="eastAsia" w:ascii="Arial" w:hAnsi="Arial" w:eastAsia="仿宋_GB2312" w:cs="Arial"/>
          <w:sz w:val="28"/>
          <w:highlight w:val="none"/>
          <w:lang w:val="en-US" w:eastAsia="zh-CN"/>
        </w:rPr>
        <w:t>3359.98</w:t>
      </w:r>
      <w:r>
        <w:rPr>
          <w:rFonts w:ascii="Arial" w:hAnsi="Arial" w:eastAsia="仿宋_GB2312" w:cs="Arial"/>
          <w:sz w:val="28"/>
          <w:highlight w:val="none"/>
        </w:rPr>
        <w:t>平方米不出让，</w:t>
      </w:r>
      <w:r>
        <w:rPr>
          <w:rFonts w:hint="eastAsia" w:ascii="Arial" w:hAnsi="Arial" w:eastAsia="仿宋_GB2312" w:cs="Arial"/>
          <w:sz w:val="28"/>
          <w:highlight w:val="none"/>
          <w:lang w:val="en-US" w:eastAsia="zh-CN"/>
        </w:rPr>
        <w:t>建设成本需城镇</w:t>
      </w:r>
      <w:r>
        <w:rPr>
          <w:rFonts w:ascii="Arial" w:hAnsi="Arial" w:eastAsia="仿宋_GB2312" w:cs="Arial"/>
          <w:sz w:val="28"/>
          <w:highlight w:val="none"/>
        </w:rPr>
        <w:t>住宅用地进行分摊，</w:t>
      </w:r>
      <w:r>
        <w:rPr>
          <w:rFonts w:hint="eastAsia" w:ascii="Arial" w:hAnsi="Arial" w:eastAsia="仿宋_GB2312" w:cs="Arial"/>
          <w:sz w:val="28"/>
          <w:highlight w:val="none"/>
        </w:rPr>
        <w:t>结合市场上同类物业建设工程、设备安装工程和装饰装修工程的材料及施工费用，确定其单位建筑面积的建安工程费为4</w:t>
      </w:r>
      <w:r>
        <w:rPr>
          <w:rFonts w:hint="eastAsia" w:ascii="Arial" w:hAnsi="Arial" w:eastAsia="仿宋_GB2312" w:cs="Arial"/>
          <w:sz w:val="28"/>
          <w:highlight w:val="none"/>
          <w:lang w:val="en-US" w:eastAsia="zh-CN"/>
        </w:rPr>
        <w:t>5</w:t>
      </w:r>
      <w:r>
        <w:rPr>
          <w:rFonts w:hint="eastAsia" w:ascii="Arial" w:hAnsi="Arial" w:eastAsia="仿宋_GB2312" w:cs="Arial"/>
          <w:sz w:val="28"/>
          <w:highlight w:val="none"/>
        </w:rPr>
        <w:t>00元/平方米</w:t>
      </w:r>
      <w:r>
        <w:rPr>
          <w:rFonts w:ascii="Arial" w:hAnsi="Arial" w:eastAsia="仿宋_GB2312" w:cs="Arial"/>
          <w:sz w:val="28"/>
          <w:highlight w:val="none"/>
        </w:rPr>
        <w:t>，</w:t>
      </w:r>
      <w:r>
        <w:rPr>
          <w:rFonts w:hint="eastAsia" w:ascii="Arial" w:hAnsi="Arial" w:eastAsia="仿宋" w:cs="Arial"/>
          <w:sz w:val="28"/>
          <w:highlight w:val="none"/>
        </w:rPr>
        <w:t>则有：</w:t>
      </w:r>
    </w:p>
    <w:p w14:paraId="0965CD2C">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建筑安装工程费＝（50</w:t>
      </w:r>
      <w:r>
        <w:rPr>
          <w:rFonts w:ascii="Arial" w:hAnsi="Arial" w:eastAsia="仿宋_GB2312"/>
          <w:sz w:val="28"/>
          <w:highlight w:val="none"/>
        </w:rPr>
        <w:t>00</w:t>
      </w:r>
      <w:r>
        <w:rPr>
          <w:rFonts w:hint="eastAsia" w:ascii="仿宋_GB2312" w:eastAsia="仿宋_GB2312"/>
          <w:sz w:val="28"/>
          <w:highlight w:val="none"/>
          <w:lang w:eastAsia="zh-CN"/>
        </w:rPr>
        <w:t>×</w:t>
      </w:r>
      <w:r>
        <w:rPr>
          <w:rFonts w:ascii="Arial" w:hAnsi="Arial" w:eastAsia="仿宋_GB2312" w:cs="Arial"/>
          <w:sz w:val="28"/>
          <w:highlight w:val="none"/>
        </w:rPr>
        <w:t>68148.54</w:t>
      </w:r>
      <w:r>
        <w:rPr>
          <w:rFonts w:hint="eastAsia" w:ascii="Arial" w:hAnsi="Arial" w:eastAsia="仿宋_GB2312" w:cs="Arial"/>
          <w:sz w:val="28"/>
          <w:highlight w:val="none"/>
          <w:lang w:val="en-US" w:eastAsia="zh-CN"/>
        </w:rPr>
        <w:t>＋4500</w:t>
      </w:r>
      <w:r>
        <w:rPr>
          <w:rFonts w:hint="eastAsia" w:ascii="仿宋_GB2312" w:eastAsia="仿宋_GB2312"/>
          <w:sz w:val="28"/>
          <w:highlight w:val="none"/>
          <w:lang w:eastAsia="zh-CN"/>
        </w:rPr>
        <w:t>×</w:t>
      </w:r>
      <w:r>
        <w:rPr>
          <w:rFonts w:hint="eastAsia" w:ascii="Arial" w:hAnsi="Arial" w:eastAsia="仿宋_GB2312" w:cs="Arial"/>
          <w:sz w:val="28"/>
          <w:highlight w:val="none"/>
          <w:lang w:val="en-US" w:eastAsia="zh-CN"/>
        </w:rPr>
        <w:t>3359.98）</w:t>
      </w:r>
      <w:r>
        <w:rPr>
          <w:rFonts w:hint="eastAsia" w:ascii="Arial" w:hAnsi="Arial" w:eastAsia="仿宋_GB2312" w:cs="Arial"/>
          <w:sz w:val="28"/>
          <w:highlight w:val="none"/>
          <w:lang w:eastAsia="zh-CN"/>
        </w:rPr>
        <w:t>÷</w:t>
      </w:r>
      <w:r>
        <w:rPr>
          <w:rFonts w:ascii="Arial" w:hAnsi="Arial" w:eastAsia="仿宋_GB2312" w:cs="Arial"/>
          <w:sz w:val="28"/>
          <w:highlight w:val="none"/>
        </w:rPr>
        <w:t>10000</w:t>
      </w: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35586.2610</w:t>
      </w:r>
      <w:r>
        <w:rPr>
          <w:rFonts w:hint="eastAsia" w:ascii="Arial" w:hAnsi="Arial" w:eastAsia="仿宋_GB2312"/>
          <w:sz w:val="28"/>
          <w:highlight w:val="none"/>
        </w:rPr>
        <w:t>（万元）</w:t>
      </w:r>
    </w:p>
    <w:p w14:paraId="6AEEAF06">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rPr>
        <w:t>b）</w:t>
      </w:r>
      <w:r>
        <w:rPr>
          <w:rFonts w:hint="eastAsia" w:ascii="Arial" w:hAnsi="Arial" w:eastAsia="仿宋_GB2312"/>
          <w:sz w:val="28"/>
          <w:highlight w:val="none"/>
          <w:lang w:val="en-US" w:eastAsia="zh-CN"/>
        </w:rPr>
        <w:t>前期费用</w:t>
      </w:r>
    </w:p>
    <w:p w14:paraId="48816BF2">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rPr>
        <w:t>勘察设计和前期工程费指建造商品房及附属工程过程中勘察、测量设计、市场调研等费用。目前北京市房地产开发中该类建筑物的勘察设计和前期工程费用一般为建造成本的5</w:t>
      </w:r>
      <w:r>
        <w:rPr>
          <w:rFonts w:hint="eastAsia" w:ascii="Arial" w:hAnsi="Arial" w:eastAsia="仿宋_GB2312"/>
          <w:sz w:val="28"/>
          <w:highlight w:val="none"/>
          <w:lang w:eastAsia="zh-CN"/>
        </w:rPr>
        <w:t>－</w:t>
      </w:r>
      <w:r>
        <w:rPr>
          <w:rFonts w:hint="eastAsia" w:ascii="Arial" w:hAnsi="Arial" w:eastAsia="仿宋_GB2312"/>
          <w:sz w:val="28"/>
          <w:highlight w:val="none"/>
        </w:rPr>
        <w:t>10%之间，根据估价对象自身状况，本次评估确定勘察设计和前期工程费以建筑安装工程费为计费基础取8%，则有：</w:t>
      </w:r>
    </w:p>
    <w:p w14:paraId="00BBDCDE">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勘查设计和前期工程费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74A071F0">
      <w:pPr>
        <w:spacing w:line="300" w:lineRule="auto"/>
        <w:ind w:firstLine="3360" w:firstLineChars="12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35586.2610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8</w:t>
      </w:r>
      <w:r>
        <w:rPr>
          <w:rFonts w:ascii="Arial" w:hAnsi="Arial" w:eastAsia="仿宋_GB2312"/>
          <w:sz w:val="28"/>
          <w:highlight w:val="none"/>
        </w:rPr>
        <w:t>%</w:t>
      </w:r>
    </w:p>
    <w:p w14:paraId="28170D50">
      <w:pPr>
        <w:spacing w:line="300" w:lineRule="auto"/>
        <w:ind w:firstLine="3360" w:firstLineChars="12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2846.9009</w:t>
      </w:r>
      <w:r>
        <w:rPr>
          <w:rFonts w:hint="eastAsia" w:ascii="Arial" w:hAnsi="Arial" w:eastAsia="仿宋_GB2312"/>
          <w:sz w:val="28"/>
          <w:highlight w:val="none"/>
        </w:rPr>
        <w:t>（万元）</w:t>
      </w:r>
    </w:p>
    <w:p w14:paraId="6C8E828D">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c）</w:t>
      </w:r>
      <w:r>
        <w:rPr>
          <w:rFonts w:hint="eastAsia" w:ascii="Arial" w:hAnsi="Arial" w:eastAsia="仿宋_GB2312"/>
          <w:sz w:val="28"/>
          <w:highlight w:val="none"/>
          <w:lang w:val="en-US" w:eastAsia="zh-CN"/>
        </w:rPr>
        <w:t>基础设施建设费</w:t>
      </w:r>
    </w:p>
    <w:p w14:paraId="32E37DCE">
      <w:pPr>
        <w:spacing w:line="300" w:lineRule="auto"/>
        <w:ind w:firstLine="560" w:firstLineChars="200"/>
        <w:jc w:val="both"/>
        <w:rPr>
          <w:rFonts w:hint="eastAsia" w:ascii="Arial" w:hAnsi="Arial" w:eastAsia="仿宋_GB2312"/>
          <w:sz w:val="28"/>
          <w:highlight w:val="none"/>
        </w:rPr>
      </w:pPr>
      <w:r>
        <w:rPr>
          <w:rFonts w:hint="eastAsia" w:ascii="仿宋_GB2312" w:eastAsia="仿宋_GB2312"/>
          <w:sz w:val="28"/>
          <w:highlight w:val="none"/>
        </w:rPr>
        <w:t>基础设施建设费是指建</w:t>
      </w:r>
      <w:r>
        <w:rPr>
          <w:rFonts w:hint="eastAsia" w:ascii="Arial" w:hAnsi="Arial" w:eastAsia="仿宋_GB2312"/>
          <w:sz w:val="28"/>
          <w:highlight w:val="none"/>
        </w:rPr>
        <w:t>筑物外墙外边线2m以外和项目红线范围内的道路、供水、供电、供气、通信、绿化、环卫、排水、室外照明等设施的建设费用，以及各项设施与市政千道、千管、干线等的接口费用，北京市房地产开发项目宗地内基础设施建设费一般为建安工程费的5%</w:t>
      </w:r>
      <w:r>
        <w:rPr>
          <w:rFonts w:hint="eastAsia" w:ascii="Arial" w:hAnsi="Arial" w:eastAsia="仿宋_GB2312"/>
          <w:sz w:val="28"/>
          <w:highlight w:val="none"/>
          <w:lang w:eastAsia="zh-CN"/>
        </w:rPr>
        <w:t>－</w:t>
      </w:r>
      <w:r>
        <w:rPr>
          <w:rFonts w:hint="eastAsia" w:ascii="Arial" w:hAnsi="Arial" w:eastAsia="仿宋_GB2312"/>
          <w:sz w:val="28"/>
          <w:highlight w:val="none"/>
        </w:rPr>
        <w:t>15%。根据估价人员现场调查，通过区域电力、燃气、暖气、上下水标准及室外绿化、道路等配套情况，同时结合估价对象所处位置、建设规模等情况，基础设施建设费取建筑安装工程费的1</w:t>
      </w:r>
      <w:r>
        <w:rPr>
          <w:rFonts w:hint="eastAsia" w:ascii="Arial" w:hAnsi="Arial" w:eastAsia="仿宋_GB2312"/>
          <w:sz w:val="28"/>
          <w:highlight w:val="none"/>
          <w:lang w:val="en-US" w:eastAsia="zh-CN"/>
        </w:rPr>
        <w:t>0</w:t>
      </w:r>
      <w:r>
        <w:rPr>
          <w:rFonts w:hint="eastAsia" w:ascii="Arial" w:hAnsi="Arial" w:eastAsia="仿宋_GB2312"/>
          <w:sz w:val="28"/>
          <w:highlight w:val="none"/>
        </w:rPr>
        <w:t>%</w:t>
      </w:r>
      <w:r>
        <w:rPr>
          <w:rFonts w:hint="eastAsia" w:ascii="Arial" w:hAnsi="Arial" w:eastAsia="仿宋_GB2312"/>
          <w:sz w:val="28"/>
          <w:highlight w:val="none"/>
          <w:lang w:val="en-US" w:eastAsia="zh-CN"/>
        </w:rPr>
        <w:t>,</w:t>
      </w:r>
      <w:r>
        <w:rPr>
          <w:rFonts w:hint="eastAsia" w:ascii="Arial" w:hAnsi="Arial" w:eastAsia="仿宋_GB2312"/>
          <w:sz w:val="28"/>
          <w:highlight w:val="none"/>
        </w:rPr>
        <w:t>则有：</w:t>
      </w:r>
    </w:p>
    <w:p w14:paraId="02682A0D">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lang w:val="en-US" w:eastAsia="zh-CN"/>
        </w:rPr>
        <w:t>基础设施建设费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14936067">
      <w:pPr>
        <w:spacing w:line="300" w:lineRule="auto"/>
        <w:ind w:firstLine="2520" w:firstLineChars="9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35586.2610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10</w:t>
      </w:r>
      <w:r>
        <w:rPr>
          <w:rFonts w:ascii="Arial" w:hAnsi="Arial" w:eastAsia="仿宋_GB2312"/>
          <w:sz w:val="28"/>
          <w:highlight w:val="none"/>
        </w:rPr>
        <w:t>%</w:t>
      </w:r>
    </w:p>
    <w:p w14:paraId="6FA20F65">
      <w:pPr>
        <w:spacing w:line="300" w:lineRule="auto"/>
        <w:ind w:firstLine="2520" w:firstLineChars="9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3558.6261</w:t>
      </w:r>
      <w:r>
        <w:rPr>
          <w:rFonts w:hint="eastAsia" w:ascii="Arial" w:hAnsi="Arial" w:eastAsia="仿宋_GB2312"/>
          <w:sz w:val="28"/>
          <w:highlight w:val="none"/>
        </w:rPr>
        <w:t>（万元）</w:t>
      </w:r>
    </w:p>
    <w:p w14:paraId="17668D35">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d</w:t>
      </w:r>
      <w:r>
        <w:rPr>
          <w:rFonts w:hint="eastAsia" w:ascii="Arial" w:hAnsi="Arial" w:eastAsia="仿宋_GB2312"/>
          <w:sz w:val="28"/>
          <w:highlight w:val="none"/>
        </w:rPr>
        <w:t>）</w:t>
      </w:r>
      <w:r>
        <w:rPr>
          <w:rFonts w:hint="eastAsia" w:ascii="仿宋_GB2312" w:eastAsia="仿宋_GB2312"/>
          <w:sz w:val="28"/>
          <w:highlight w:val="none"/>
        </w:rPr>
        <w:t>公共配套设施费用</w:t>
      </w:r>
    </w:p>
    <w:p w14:paraId="5443E73F">
      <w:pPr>
        <w:spacing w:before="50" w:after="50" w:line="300" w:lineRule="auto"/>
        <w:ind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公共配套设施建设费按照城市规划要求小区内配套的教育、医疗卫生、文化体育、社区服务等非营业性设施的建设费用。小区配套费用仅限于住宅小区开发时计取，一般按建安成本的2%</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10%计取。根据估价对象所在区域的一般公共配套设施建设费水平，结合本项目的具体公共配套设施建设状况，取</w:t>
      </w:r>
      <w:r>
        <w:rPr>
          <w:rFonts w:hint="eastAsia" w:ascii="Arial" w:hAnsi="Arial" w:eastAsia="仿宋_GB2312"/>
          <w:sz w:val="28"/>
          <w:highlight w:val="none"/>
        </w:rPr>
        <w:t>建筑安装工程费</w:t>
      </w:r>
      <w:r>
        <w:rPr>
          <w:rFonts w:hint="eastAsia" w:ascii="Arial" w:hAnsi="Arial" w:eastAsia="仿宋" w:cs="Arial"/>
          <w:sz w:val="28"/>
          <w:szCs w:val="28"/>
          <w:highlight w:val="none"/>
        </w:rPr>
        <w:t>的</w:t>
      </w:r>
      <w:r>
        <w:rPr>
          <w:rFonts w:hint="eastAsia" w:ascii="Arial" w:hAnsi="Arial" w:eastAsia="仿宋" w:cs="Arial"/>
          <w:sz w:val="28"/>
          <w:szCs w:val="28"/>
          <w:highlight w:val="none"/>
          <w:lang w:val="en-US" w:eastAsia="zh-CN"/>
        </w:rPr>
        <w:t>8</w:t>
      </w:r>
      <w:r>
        <w:rPr>
          <w:rFonts w:hint="eastAsia"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53A584B7">
      <w:pPr>
        <w:spacing w:line="300" w:lineRule="auto"/>
        <w:ind w:firstLine="560" w:firstLineChars="200"/>
        <w:jc w:val="both"/>
        <w:rPr>
          <w:rFonts w:hint="eastAsia" w:ascii="Arial" w:hAnsi="Arial" w:eastAsia="仿宋_GB2312"/>
          <w:sz w:val="28"/>
          <w:highlight w:val="none"/>
        </w:rPr>
      </w:pPr>
      <w:r>
        <w:rPr>
          <w:rFonts w:ascii="Arial" w:hAnsi="Arial" w:eastAsia="仿宋" w:cs="Arial"/>
          <w:sz w:val="28"/>
          <w:szCs w:val="28"/>
          <w:highlight w:val="none"/>
        </w:rPr>
        <w:t>公共配套设施费用</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5D341471">
      <w:pPr>
        <w:spacing w:line="300" w:lineRule="auto"/>
        <w:ind w:firstLine="2800" w:firstLineChars="10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35586.2610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8</w:t>
      </w:r>
      <w:r>
        <w:rPr>
          <w:rFonts w:ascii="Arial" w:hAnsi="Arial" w:eastAsia="仿宋_GB2312"/>
          <w:sz w:val="28"/>
          <w:highlight w:val="none"/>
        </w:rPr>
        <w:t>%</w:t>
      </w:r>
    </w:p>
    <w:p w14:paraId="1E72E552">
      <w:pPr>
        <w:spacing w:line="300" w:lineRule="auto"/>
        <w:ind w:firstLine="2800" w:firstLineChars="1000"/>
        <w:jc w:val="both"/>
        <w:rPr>
          <w:rFonts w:ascii="仿宋_GB2312"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2846.9009</w:t>
      </w:r>
      <w:r>
        <w:rPr>
          <w:rFonts w:hint="eastAsia" w:ascii="Arial" w:hAnsi="Arial" w:eastAsia="仿宋_GB2312"/>
          <w:sz w:val="28"/>
          <w:highlight w:val="none"/>
        </w:rPr>
        <w:t>（万元）</w:t>
      </w:r>
    </w:p>
    <w:p w14:paraId="38D43323">
      <w:pPr>
        <w:spacing w:line="300" w:lineRule="auto"/>
        <w:ind w:firstLine="560" w:firstLineChars="200"/>
        <w:jc w:val="both"/>
        <w:rPr>
          <w:rFonts w:hint="eastAsia" w:ascii="仿宋_GB2312" w:eastAsia="仿宋_GB2312"/>
          <w:sz w:val="28"/>
          <w:highlight w:val="none"/>
        </w:rPr>
      </w:pPr>
      <w:r>
        <w:rPr>
          <w:rFonts w:hint="eastAsia" w:ascii="Arial" w:hAnsi="Arial" w:eastAsia="仿宋_GB2312"/>
          <w:sz w:val="28"/>
          <w:highlight w:val="none"/>
        </w:rPr>
        <w:t>e）</w:t>
      </w:r>
      <w:r>
        <w:rPr>
          <w:rFonts w:hint="eastAsia" w:ascii="仿宋_GB2312" w:eastAsia="仿宋_GB2312"/>
          <w:sz w:val="28"/>
          <w:highlight w:val="none"/>
        </w:rPr>
        <w:t>开发期间税费</w:t>
      </w:r>
    </w:p>
    <w:p w14:paraId="40FE7D06">
      <w:pPr>
        <w:spacing w:before="50" w:after="50" w:line="300" w:lineRule="auto"/>
        <w:ind w:firstLine="560" w:firstLineChars="200"/>
        <w:jc w:val="both"/>
        <w:rPr>
          <w:rFonts w:hint="eastAsia" w:ascii="Arial" w:hAnsi="Arial" w:eastAsia="仿宋" w:cs="Arial"/>
          <w:sz w:val="28"/>
          <w:szCs w:val="28"/>
          <w:highlight w:val="none"/>
          <w:lang w:eastAsia="zh-CN"/>
        </w:rPr>
      </w:pPr>
      <w:r>
        <w:rPr>
          <w:rFonts w:hint="eastAsia" w:ascii="仿宋_GB2312" w:eastAsia="仿宋_GB2312"/>
          <w:sz w:val="28"/>
          <w:highlight w:val="none"/>
        </w:rPr>
        <w:t>主要</w:t>
      </w:r>
      <w:r>
        <w:rPr>
          <w:rFonts w:hint="eastAsia" w:ascii="Arial" w:hAnsi="Arial" w:eastAsia="仿宋" w:cs="Arial"/>
          <w:sz w:val="28"/>
          <w:szCs w:val="28"/>
          <w:highlight w:val="none"/>
        </w:rPr>
        <w:t>包括有关部门税收和地方政府或其他有关部门收取的费用，如工程监理费、竣工验收费、绿化建设费、人防工程费等</w:t>
      </w:r>
      <w:r>
        <w:rPr>
          <w:rFonts w:hint="eastAsia" w:ascii="Arial" w:hAnsi="Arial" w:eastAsia="仿宋" w:cs="Arial"/>
          <w:sz w:val="28"/>
          <w:szCs w:val="28"/>
          <w:highlight w:val="none"/>
          <w:lang w:eastAsia="zh-CN"/>
        </w:rPr>
        <w:t>。</w:t>
      </w:r>
      <w:r>
        <w:rPr>
          <w:rFonts w:hint="eastAsia" w:ascii="仿宋_GB2312" w:eastAsia="仿宋_GB2312"/>
          <w:sz w:val="28"/>
          <w:highlight w:val="none"/>
        </w:rPr>
        <w:t>开发期间税费</w:t>
      </w:r>
      <w:r>
        <w:rPr>
          <w:rFonts w:hint="eastAsia" w:ascii="Arial" w:hAnsi="Arial" w:eastAsia="仿宋_GB2312"/>
          <w:sz w:val="28"/>
          <w:highlight w:val="none"/>
        </w:rPr>
        <w:t>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 w:cs="Arial"/>
          <w:sz w:val="28"/>
          <w:szCs w:val="28"/>
          <w:highlight w:val="none"/>
        </w:rPr>
        <w:t>根据估价对象所处区域的一般情况，并结合估价对象的实际情况，按建筑安装工程费的2%测算</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5140AFC5">
      <w:pPr>
        <w:spacing w:line="300" w:lineRule="auto"/>
        <w:ind w:firstLine="560" w:firstLineChars="200"/>
        <w:jc w:val="both"/>
        <w:rPr>
          <w:rFonts w:hint="eastAsia" w:ascii="Arial" w:hAnsi="Arial" w:eastAsia="仿宋_GB2312"/>
          <w:sz w:val="28"/>
          <w:highlight w:val="none"/>
        </w:rPr>
      </w:pPr>
      <w:r>
        <w:rPr>
          <w:rFonts w:hint="eastAsia" w:ascii="Arial" w:hAnsi="Arial" w:eastAsia="仿宋" w:cs="Arial"/>
          <w:sz w:val="28"/>
          <w:szCs w:val="28"/>
          <w:highlight w:val="none"/>
        </w:rPr>
        <w:t>开发期间税费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66351FE5">
      <w:pPr>
        <w:spacing w:line="300" w:lineRule="auto"/>
        <w:ind w:firstLine="2240" w:firstLineChars="8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35586.2610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w:t>
      </w:r>
      <w:r>
        <w:rPr>
          <w:rFonts w:ascii="Arial" w:hAnsi="Arial" w:eastAsia="仿宋_GB2312"/>
          <w:sz w:val="28"/>
          <w:highlight w:val="none"/>
        </w:rPr>
        <w:t>%</w:t>
      </w:r>
    </w:p>
    <w:p w14:paraId="1638AEB4">
      <w:pPr>
        <w:spacing w:before="50" w:after="50" w:line="300" w:lineRule="auto"/>
        <w:ind w:firstLine="2240" w:firstLineChars="8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711.7252</w:t>
      </w:r>
      <w:r>
        <w:rPr>
          <w:rFonts w:hint="eastAsia" w:ascii="Arial" w:hAnsi="Arial" w:eastAsia="仿宋_GB2312"/>
          <w:sz w:val="28"/>
          <w:highlight w:val="none"/>
        </w:rPr>
        <w:t>（万元）</w:t>
      </w:r>
    </w:p>
    <w:p w14:paraId="00621E3F">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rPr>
        <w:t>f）</w:t>
      </w:r>
      <w:r>
        <w:rPr>
          <w:rFonts w:hint="eastAsia" w:ascii="Arial" w:hAnsi="Arial" w:eastAsia="仿宋_GB2312"/>
          <w:sz w:val="28"/>
          <w:highlight w:val="none"/>
          <w:lang w:val="en-US" w:eastAsia="zh-CN"/>
        </w:rPr>
        <w:t>其他工程费</w:t>
      </w:r>
    </w:p>
    <w:p w14:paraId="51B22F79">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其他工程费是指在工程建设中，除建筑安装工程费和设备、工具、器具购置费以外的费用。根据目前北京市房地产开发的情况</w:t>
      </w:r>
      <w:r>
        <w:rPr>
          <w:rFonts w:hint="eastAsia" w:ascii="Arial" w:hAnsi="Arial" w:eastAsia="仿宋_GB2312"/>
          <w:sz w:val="28"/>
          <w:highlight w:val="none"/>
          <w:lang w:eastAsia="zh-CN"/>
        </w:rPr>
        <w:t>。</w:t>
      </w:r>
      <w:r>
        <w:rPr>
          <w:rFonts w:hint="eastAsia" w:ascii="Arial" w:hAnsi="Arial" w:eastAsia="仿宋_GB2312"/>
          <w:sz w:val="28"/>
          <w:highlight w:val="none"/>
        </w:rPr>
        <w:t>其他工程费一般为建筑安装工程费用的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rPr>
        <w:t>确定以建筑安装工程费用为计费基础取5%</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0D67FE54">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205FE55B">
      <w:pPr>
        <w:spacing w:line="300" w:lineRule="auto"/>
        <w:ind w:firstLine="1960" w:firstLineChars="7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35586.2610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ascii="Arial" w:hAnsi="Arial" w:eastAsia="仿宋_GB2312"/>
          <w:sz w:val="28"/>
          <w:highlight w:val="none"/>
        </w:rPr>
        <w:t>%</w:t>
      </w:r>
    </w:p>
    <w:p w14:paraId="31B3C40F">
      <w:pPr>
        <w:spacing w:line="300" w:lineRule="auto"/>
        <w:ind w:firstLine="1960" w:firstLineChars="7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1779.3131</w:t>
      </w:r>
      <w:r>
        <w:rPr>
          <w:rFonts w:hint="eastAsia" w:ascii="Arial" w:hAnsi="Arial" w:eastAsia="仿宋_GB2312"/>
          <w:sz w:val="28"/>
          <w:highlight w:val="none"/>
        </w:rPr>
        <w:t>（万元）</w:t>
      </w:r>
    </w:p>
    <w:p w14:paraId="5EE3A01B">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hint="eastAsia" w:ascii="Arial" w:hAnsi="Arial" w:eastAsia="仿宋_GB2312"/>
          <w:sz w:val="28"/>
          <w:highlight w:val="none"/>
        </w:rPr>
        <w:t>）房屋建设成本</w:t>
      </w:r>
    </w:p>
    <w:p w14:paraId="5D821F46">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房屋建设成本</w:t>
      </w:r>
      <w:r>
        <w:rPr>
          <w:rFonts w:hint="eastAsia" w:ascii="仿宋_GB2312" w:eastAsia="仿宋_GB2312"/>
          <w:sz w:val="28"/>
          <w:highlight w:val="none"/>
        </w:rPr>
        <w:t>为上述</w:t>
      </w:r>
      <w:r>
        <w:rPr>
          <w:rFonts w:hint="eastAsia" w:ascii="Arial" w:hAnsi="Arial" w:eastAsia="仿宋_GB2312"/>
          <w:sz w:val="28"/>
          <w:highlight w:val="none"/>
          <w:lang w:val="en-US" w:eastAsia="zh-CN"/>
        </w:rPr>
        <w:t>6</w:t>
      </w:r>
      <w:r>
        <w:rPr>
          <w:rFonts w:hint="eastAsia" w:ascii="仿宋_GB2312" w:eastAsia="仿宋_GB2312"/>
          <w:sz w:val="28"/>
          <w:highlight w:val="none"/>
        </w:rPr>
        <w:t>项之和，则有：</w:t>
      </w:r>
    </w:p>
    <w:p w14:paraId="3BD5C0B2">
      <w:pPr>
        <w:spacing w:line="300" w:lineRule="auto"/>
        <w:ind w:firstLine="562" w:firstLineChars="201"/>
        <w:jc w:val="left"/>
        <w:rPr>
          <w:rFonts w:hint="eastAsia" w:ascii="Arial" w:hAnsi="Arial" w:eastAsia="仿宋_GB2312"/>
          <w:sz w:val="28"/>
          <w:highlight w:val="none"/>
        </w:rPr>
      </w:pPr>
      <w:r>
        <w:rPr>
          <w:rFonts w:hint="eastAsia" w:ascii="Arial" w:hAnsi="Arial" w:eastAsia="仿宋_GB2312"/>
          <w:sz w:val="28"/>
          <w:highlight w:val="none"/>
        </w:rPr>
        <w:t>房屋建设成本</w:t>
      </w:r>
    </w:p>
    <w:p w14:paraId="76B124CC">
      <w:pPr>
        <w:spacing w:line="300" w:lineRule="auto"/>
        <w:ind w:firstLine="562" w:firstLineChars="201"/>
        <w:jc w:val="left"/>
        <w:rPr>
          <w:rFonts w:hint="eastAsia"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 xml:space="preserve">前期费用＋建筑安装工程费＋基础设施建设费＋公共配套设施建设费＋开发期间税费＋其他工程费  </w:t>
      </w:r>
    </w:p>
    <w:p w14:paraId="01372952">
      <w:pPr>
        <w:spacing w:line="300" w:lineRule="auto"/>
        <w:ind w:firstLine="562" w:firstLineChars="201"/>
        <w:jc w:val="both"/>
        <w:rPr>
          <w:rFonts w:hint="eastAsia"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2846.9009＋35586.2610＋3558.6261＋2846.9009＋711.7252＋</w:t>
      </w:r>
    </w:p>
    <w:p w14:paraId="63F696BF">
      <w:pPr>
        <w:spacing w:line="300" w:lineRule="auto"/>
        <w:jc w:val="left"/>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1779.3131</w:t>
      </w:r>
    </w:p>
    <w:p w14:paraId="3F9A3948">
      <w:pPr>
        <w:spacing w:line="300" w:lineRule="auto"/>
        <w:ind w:firstLine="560" w:firstLineChars="200"/>
        <w:jc w:val="left"/>
        <w:rPr>
          <w:rFonts w:hint="default"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47329.7272</w:t>
      </w:r>
      <w:r>
        <w:rPr>
          <w:rFonts w:hint="eastAsia" w:ascii="Arial" w:hAnsi="Arial" w:eastAsia="仿宋_GB2312"/>
          <w:sz w:val="28"/>
          <w:highlight w:val="none"/>
        </w:rPr>
        <w:t>（万元）</w:t>
      </w:r>
    </w:p>
    <w:p w14:paraId="46FC3BB5">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w:t>
      </w:r>
      <w:r>
        <w:rPr>
          <w:rFonts w:hint="eastAsia" w:ascii="仿宋_GB2312" w:eastAsia="仿宋_GB2312"/>
          <w:sz w:val="28"/>
          <w:highlight w:val="none"/>
        </w:rPr>
        <w:t>管理费用</w:t>
      </w:r>
    </w:p>
    <w:p w14:paraId="558B6751">
      <w:pPr>
        <w:spacing w:line="300" w:lineRule="auto"/>
        <w:ind w:firstLine="560" w:firstLineChars="200"/>
        <w:jc w:val="both"/>
        <w:rPr>
          <w:rFonts w:ascii="仿宋_GB2312" w:eastAsia="仿宋_GB2312"/>
          <w:sz w:val="28"/>
          <w:highlight w:val="none"/>
        </w:rPr>
      </w:pPr>
      <w:r>
        <w:rPr>
          <w:rFonts w:hint="eastAsia" w:ascii="仿宋_GB2312" w:hAnsi="Arial" w:eastAsia="仿宋_GB2312"/>
          <w:sz w:val="28"/>
          <w:highlight w:val="none"/>
        </w:rPr>
        <w:t>管</w:t>
      </w:r>
      <w:r>
        <w:rPr>
          <w:rFonts w:hint="eastAsia" w:ascii="Arial" w:hAnsi="Arial" w:eastAsia="仿宋_GB2312"/>
          <w:sz w:val="28"/>
          <w:highlight w:val="none"/>
          <w:lang w:val="en-US" w:eastAsia="zh-CN"/>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sz w:val="28"/>
          <w:highlight w:val="none"/>
        </w:rPr>
        <w:t>则有：</w:t>
      </w:r>
    </w:p>
    <w:p w14:paraId="1B3CDC14">
      <w:pPr>
        <w:spacing w:line="300" w:lineRule="auto"/>
        <w:ind w:firstLine="560" w:firstLineChars="200"/>
        <w:jc w:val="both"/>
        <w:rPr>
          <w:rFonts w:hint="eastAsia" w:ascii="仿宋_GB2312" w:eastAsia="仿宋_GB2312"/>
          <w:sz w:val="28"/>
          <w:highlight w:val="none"/>
          <w:lang w:eastAsia="zh-CN"/>
        </w:rPr>
      </w:pPr>
      <w:r>
        <w:rPr>
          <w:rFonts w:hint="eastAsia" w:ascii="仿宋_GB2312" w:eastAsia="仿宋_GB2312"/>
          <w:sz w:val="28"/>
          <w:highlight w:val="none"/>
        </w:rPr>
        <w:t>管理费用</w:t>
      </w:r>
      <w:r>
        <w:rPr>
          <w:rFonts w:hint="eastAsia" w:ascii="仿宋_GB2312" w:eastAsia="仿宋_GB2312"/>
          <w:sz w:val="28"/>
          <w:highlight w:val="none"/>
          <w:lang w:eastAsia="zh-CN"/>
        </w:rPr>
        <w:t>＝</w:t>
      </w:r>
      <w:r>
        <w:rPr>
          <w:rFonts w:hint="eastAsia" w:ascii="Arial" w:hAnsi="Arial" w:eastAsia="仿宋_GB2312"/>
          <w:sz w:val="28"/>
          <w:highlight w:val="none"/>
        </w:rPr>
        <w:t>房屋建设成本</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管理费率</w:t>
      </w:r>
    </w:p>
    <w:p w14:paraId="08D3B320">
      <w:pPr>
        <w:spacing w:line="300" w:lineRule="auto"/>
        <w:ind w:firstLine="1680" w:firstLineChars="600"/>
        <w:jc w:val="both"/>
        <w:rPr>
          <w:rFonts w:hint="eastAsia" w:ascii="Arial" w:hAnsi="Arial" w:eastAsia="仿宋_GB2312"/>
          <w:sz w:val="28"/>
          <w:highlight w:val="none"/>
          <w:lang w:val="en-US" w:eastAsia="zh-CN"/>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47329.7272×3%</w:t>
      </w:r>
    </w:p>
    <w:p w14:paraId="3C8B8D85">
      <w:pPr>
        <w:spacing w:line="300" w:lineRule="auto"/>
        <w:ind w:firstLine="1680" w:firstLineChars="600"/>
        <w:jc w:val="both"/>
        <w:rPr>
          <w:rFonts w:ascii="仿宋_GB2312"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1419.8918</w:t>
      </w:r>
      <w:r>
        <w:rPr>
          <w:rFonts w:hint="eastAsia" w:ascii="Arial" w:hAnsi="Arial" w:eastAsia="仿宋_GB2312"/>
          <w:sz w:val="28"/>
          <w:highlight w:val="none"/>
        </w:rPr>
        <w:t>（</w:t>
      </w:r>
      <w:r>
        <w:rPr>
          <w:rFonts w:hint="eastAsia" w:ascii="仿宋_GB2312" w:eastAsia="仿宋_GB2312"/>
          <w:sz w:val="28"/>
          <w:highlight w:val="none"/>
        </w:rPr>
        <w:t>万元）</w:t>
      </w:r>
    </w:p>
    <w:p w14:paraId="50C0F850">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d.销售费用</w:t>
      </w:r>
    </w:p>
    <w:p w14:paraId="7919EE8E">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sz w:val="28"/>
          <w:highlight w:val="none"/>
        </w:rPr>
        <w:t>则有：</w:t>
      </w:r>
    </w:p>
    <w:p w14:paraId="4A43DE18">
      <w:pPr>
        <w:spacing w:line="300" w:lineRule="auto"/>
        <w:ind w:firstLine="560" w:firstLineChars="200"/>
        <w:jc w:val="both"/>
        <w:rPr>
          <w:rFonts w:hint="eastAsia" w:ascii="仿宋_GB2312" w:eastAsia="仿宋_GB2312"/>
          <w:sz w:val="28"/>
          <w:highlight w:val="none"/>
          <w:lang w:eastAsia="zh-CN"/>
        </w:rPr>
      </w:pPr>
      <w:r>
        <w:rPr>
          <w:rFonts w:hint="eastAsia" w:ascii="Arial" w:hAnsi="Arial" w:eastAsia="仿宋_GB2312"/>
          <w:sz w:val="28"/>
          <w:highlight w:val="none"/>
          <w:lang w:val="en-US" w:eastAsia="zh-CN"/>
        </w:rPr>
        <w:t>销售费用</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项目开发完成后不动产总价</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销售费率</w:t>
      </w:r>
    </w:p>
    <w:p w14:paraId="6A8D0474">
      <w:pPr>
        <w:spacing w:line="300" w:lineRule="auto"/>
        <w:ind w:firstLine="1680" w:firstLineChars="600"/>
        <w:jc w:val="both"/>
        <w:rPr>
          <w:rFonts w:hint="eastAsia" w:ascii="Arial" w:hAnsi="Arial" w:eastAsia="仿宋_GB2312"/>
          <w:sz w:val="28"/>
          <w:highlight w:val="none"/>
          <w:lang w:val="en-US" w:eastAsia="zh-CN"/>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205917.6285×3%</w:t>
      </w:r>
    </w:p>
    <w:p w14:paraId="2471AA57">
      <w:pPr>
        <w:spacing w:line="300" w:lineRule="auto"/>
        <w:ind w:firstLine="1680" w:firstLineChars="600"/>
        <w:jc w:val="both"/>
        <w:rPr>
          <w:rFonts w:hint="eastAsia" w:ascii="仿宋_GB2312" w:hAnsi="Arial"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6177.5289</w:t>
      </w:r>
      <w:r>
        <w:rPr>
          <w:rFonts w:hint="eastAsia" w:ascii="Arial" w:hAnsi="Arial" w:eastAsia="仿宋_GB2312"/>
          <w:sz w:val="28"/>
          <w:highlight w:val="none"/>
        </w:rPr>
        <w:t>（</w:t>
      </w:r>
      <w:r>
        <w:rPr>
          <w:rFonts w:hint="eastAsia" w:ascii="仿宋_GB2312" w:eastAsia="仿宋_GB2312"/>
          <w:sz w:val="28"/>
          <w:highlight w:val="none"/>
        </w:rPr>
        <w:t>万元）</w:t>
      </w:r>
    </w:p>
    <w:p w14:paraId="1DD41E6E">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e</w:t>
      </w:r>
      <w:r>
        <w:rPr>
          <w:rFonts w:hint="eastAsia" w:ascii="Arial" w:hAnsi="Arial" w:eastAsia="仿宋_GB2312"/>
          <w:sz w:val="28"/>
          <w:highlight w:val="none"/>
        </w:rPr>
        <w:t>.投资利息</w:t>
      </w:r>
    </w:p>
    <w:p w14:paraId="2E4A578F">
      <w:pPr>
        <w:spacing w:line="300" w:lineRule="auto"/>
        <w:ind w:firstLine="560" w:firstLineChars="200"/>
        <w:jc w:val="both"/>
        <w:rPr>
          <w:rFonts w:hint="eastAsia" w:ascii="Arial" w:hAnsi="Arial" w:eastAsia="仿宋_GB2312"/>
          <w:sz w:val="28"/>
          <w:highlight w:val="none"/>
          <w:lang w:val="en-US" w:eastAsia="zh-CN"/>
        </w:rPr>
      </w:pPr>
      <w:r>
        <w:rPr>
          <w:rFonts w:hint="eastAsia" w:ascii="仿宋_GB2312" w:eastAsia="仿宋_GB2312"/>
          <w:sz w:val="28"/>
          <w:highlight w:val="none"/>
        </w:rPr>
        <w:t>投资利息指在房地产开发完成或实现销售之前发生的所有必要费用应计算的利息。</w:t>
      </w:r>
    </w:p>
    <w:p w14:paraId="37FA09D0">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07A95892">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投资利息＝（估价对象土地价格＋购地税费）×〔（1＋年利率）</w:t>
      </w:r>
      <w:r>
        <w:rPr>
          <w:rFonts w:hint="eastAsia" w:ascii="Arial" w:hAnsi="Arial" w:eastAsia="仿宋_GB2312"/>
          <w:sz w:val="28"/>
          <w:highlight w:val="none"/>
          <w:vertAlign w:val="superscript"/>
          <w:lang w:val="en-US" w:eastAsia="zh-CN"/>
        </w:rPr>
        <w:t>项目开发周期</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〕＋（房屋建设成本＋管理费用＋销售费用）×〔（1＋年利率）</w:t>
      </w:r>
      <w:r>
        <w:rPr>
          <w:rFonts w:hint="eastAsia" w:ascii="Arial" w:hAnsi="Arial" w:eastAsia="仿宋_GB2312"/>
          <w:sz w:val="28"/>
          <w:highlight w:val="none"/>
          <w:vertAlign w:val="superscript"/>
          <w:lang w:val="en-US" w:eastAsia="zh-CN"/>
        </w:rPr>
        <w:t>（项目开发周期÷2）</w:t>
      </w:r>
      <w:r>
        <w:rPr>
          <w:rFonts w:hint="eastAsia" w:ascii="Arial" w:hAnsi="Arial" w:eastAsia="仿宋_GB2312"/>
          <w:sz w:val="28"/>
          <w:highlight w:val="none"/>
          <w:lang w:val="en-US" w:eastAsia="zh-CN"/>
        </w:rPr>
        <w:t>－1〕</w:t>
      </w:r>
    </w:p>
    <w:p w14:paraId="0447200F">
      <w:pPr>
        <w:spacing w:line="300" w:lineRule="auto"/>
        <w:ind w:firstLine="1680" w:firstLineChars="6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）×〔（1＋3.25%）</w:t>
      </w:r>
      <w:r>
        <w:rPr>
          <w:rFonts w:hint="eastAsia" w:ascii="Arial" w:hAnsi="Arial" w:eastAsia="仿宋_GB2312"/>
          <w:sz w:val="28"/>
          <w:highlight w:val="none"/>
          <w:vertAlign w:val="superscript"/>
          <w:lang w:val="en-US" w:eastAsia="zh-CN"/>
        </w:rPr>
        <w:t>3</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〕＋（47329.7272＋1419.8918＋6177.5289）×〔（1＋3.25%）</w:t>
      </w:r>
      <w:r>
        <w:rPr>
          <w:rFonts w:hint="eastAsia" w:ascii="Arial" w:hAnsi="Arial" w:eastAsia="仿宋_GB2312"/>
          <w:sz w:val="28"/>
          <w:highlight w:val="none"/>
          <w:vertAlign w:val="superscript"/>
          <w:lang w:val="en-US" w:eastAsia="zh-CN"/>
        </w:rPr>
        <w:t>（3÷2）</w:t>
      </w:r>
      <w:r>
        <w:rPr>
          <w:rFonts w:hint="eastAsia" w:ascii="Arial" w:hAnsi="Arial" w:eastAsia="仿宋_GB2312"/>
          <w:sz w:val="28"/>
          <w:highlight w:val="none"/>
          <w:lang w:val="en-US" w:eastAsia="zh-CN"/>
        </w:rPr>
        <w:t>－1〕</w:t>
      </w:r>
    </w:p>
    <w:p w14:paraId="655B5937">
      <w:pPr>
        <w:spacing w:line="300" w:lineRule="auto"/>
        <w:ind w:firstLine="1680" w:firstLineChars="600"/>
        <w:jc w:val="both"/>
        <w:rPr>
          <w:rFonts w:hint="eastAsia" w:ascii="仿宋_GB2312" w:eastAsia="仿宋_GB2312"/>
          <w:sz w:val="28"/>
          <w:highlight w:val="none"/>
        </w:rPr>
      </w:pPr>
      <w:r>
        <w:rPr>
          <w:rFonts w:hint="eastAsia" w:ascii="Arial" w:hAnsi="Arial" w:eastAsia="仿宋_GB2312"/>
          <w:sz w:val="28"/>
          <w:highlight w:val="none"/>
          <w:lang w:val="en-US" w:eastAsia="zh-CN"/>
        </w:rPr>
        <w:t>＝2699.3383＋0.1038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2DE1AFAB">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f</w:t>
      </w:r>
      <w:r>
        <w:rPr>
          <w:rFonts w:hint="eastAsia" w:ascii="Arial" w:hAnsi="Arial" w:eastAsia="仿宋_GB2312"/>
          <w:sz w:val="28"/>
          <w:highlight w:val="none"/>
        </w:rPr>
        <w:t>.销售税费</w:t>
      </w:r>
      <w:r>
        <w:rPr>
          <w:rFonts w:hint="eastAsia" w:ascii="Arial" w:hAnsi="Arial" w:eastAsia="仿宋_GB2312"/>
          <w:sz w:val="28"/>
          <w:highlight w:val="none"/>
        </w:rPr>
        <w:tab/>
      </w:r>
    </w:p>
    <w:p w14:paraId="3D873E85">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本</w:t>
      </w:r>
      <w:r>
        <w:rPr>
          <w:rFonts w:hint="eastAsia" w:ascii="Arial" w:hAnsi="Arial" w:eastAsia="仿宋_GB2312" w:cs="Arial"/>
          <w:sz w:val="28"/>
          <w:highlight w:val="none"/>
        </w:rPr>
        <w:t>处所指销售税费是指国家规定的相关销售税费。销售税费包括增值税及城市维护建设税、教育费附加和地方教育附加</w:t>
      </w:r>
      <w:r>
        <w:rPr>
          <w:rFonts w:hint="eastAsia" w:ascii="Arial" w:hAnsi="Arial" w:eastAsia="仿宋_GB2312" w:cs="Arial"/>
          <w:sz w:val="28"/>
          <w:highlight w:val="none"/>
          <w:lang w:eastAsia="zh-CN"/>
        </w:rPr>
        <w:t>。</w:t>
      </w:r>
    </w:p>
    <w:p w14:paraId="5F033912">
      <w:pPr>
        <w:spacing w:line="300" w:lineRule="auto"/>
        <w:ind w:firstLine="560" w:firstLineChars="200"/>
        <w:jc w:val="both"/>
        <w:rPr>
          <w:rFonts w:hint="default" w:ascii="Arial" w:hAnsi="Arial" w:eastAsia="仿宋_GB2312" w:cs="Arial"/>
          <w:sz w:val="28"/>
          <w:highlight w:val="none"/>
          <w:lang w:val="en-US"/>
        </w:rPr>
      </w:pPr>
      <w:r>
        <w:rPr>
          <w:rFonts w:hint="eastAsia" w:ascii="Arial" w:hAnsi="Arial" w:eastAsia="仿宋_GB2312" w:cs="Arial"/>
          <w:sz w:val="28"/>
          <w:highlight w:val="none"/>
        </w:rPr>
        <w:t>根据</w:t>
      </w:r>
      <w:r>
        <w:rPr>
          <w:rFonts w:hint="eastAsia" w:ascii="Arial" w:hAnsi="Arial" w:eastAsia="仿宋" w:cs="Arial"/>
          <w:sz w:val="28"/>
          <w:szCs w:val="28"/>
          <w:highlight w:val="none"/>
        </w:rPr>
        <w:t>《中华人民共和国增值税法》</w:t>
      </w:r>
      <w:r>
        <w:rPr>
          <w:rFonts w:hint="eastAsia" w:ascii="Arial" w:hAnsi="Arial" w:eastAsia="仿宋" w:cs="Arial"/>
          <w:sz w:val="28"/>
          <w:szCs w:val="28"/>
          <w:highlight w:val="none"/>
          <w:lang w:val="en-US" w:eastAsia="zh-CN"/>
        </w:rPr>
        <w:t>及</w:t>
      </w:r>
      <w:r>
        <w:rPr>
          <w:rFonts w:hint="eastAsia" w:ascii="Arial" w:hAnsi="Arial" w:eastAsia="仿宋" w:cs="Arial"/>
          <w:sz w:val="28"/>
          <w:szCs w:val="28"/>
          <w:highlight w:val="none"/>
        </w:rPr>
        <w:t>《中华人民共和国增值税法实施条例》</w:t>
      </w:r>
      <w:r>
        <w:rPr>
          <w:rFonts w:hint="eastAsia" w:ascii="Arial" w:hAnsi="Arial" w:eastAsia="仿宋_GB2312" w:cs="Arial"/>
          <w:sz w:val="28"/>
          <w:highlight w:val="none"/>
          <w:lang w:val="en-US" w:eastAsia="zh-CN"/>
        </w:rPr>
        <w:t>相关规定</w:t>
      </w:r>
      <w:r>
        <w:rPr>
          <w:rFonts w:hint="eastAsia" w:ascii="Arial" w:hAnsi="Arial" w:eastAsia="仿宋_GB2312" w:cs="Arial"/>
          <w:sz w:val="28"/>
          <w:highlight w:val="none"/>
          <w:lang w:eastAsia="zh-CN"/>
        </w:rPr>
        <w:t>，对于一般纳税人自行开发销售的新建项目，</w:t>
      </w:r>
      <w:r>
        <w:rPr>
          <w:rFonts w:hint="eastAsia" w:ascii="Arial" w:hAnsi="Arial" w:eastAsia="仿宋_GB2312" w:cs="Arial"/>
          <w:sz w:val="28"/>
          <w:highlight w:val="none"/>
        </w:rPr>
        <w:t>适宜采用一般计税方式测算增值税</w:t>
      </w:r>
      <w:r>
        <w:rPr>
          <w:rFonts w:hint="eastAsia" w:ascii="Arial" w:hAnsi="Arial" w:eastAsia="仿宋_GB2312" w:cs="Arial"/>
          <w:sz w:val="28"/>
          <w:highlight w:val="none"/>
          <w:lang w:eastAsia="zh-CN"/>
        </w:rPr>
        <w:t>。</w:t>
      </w:r>
      <w:r>
        <w:rPr>
          <w:rFonts w:hint="default" w:ascii="Arial" w:hAnsi="Arial" w:eastAsia="仿宋_GB2312" w:cs="Arial"/>
          <w:sz w:val="28"/>
          <w:highlight w:val="none"/>
          <w:lang w:val="en-US" w:eastAsia="zh-CN"/>
        </w:rPr>
        <w:t>销售不动产税率为9%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进项税额中建筑安装工程费、</w:t>
      </w:r>
      <w:r>
        <w:rPr>
          <w:rFonts w:hint="eastAsia" w:ascii="Arial" w:hAnsi="Arial" w:eastAsia="仿宋_GB2312" w:cs="Arial"/>
          <w:sz w:val="28"/>
          <w:highlight w:val="none"/>
          <w:lang w:val="en-US" w:eastAsia="zh-CN"/>
        </w:rPr>
        <w:t>基础设施建设费</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公共配套设施建设费</w:t>
      </w:r>
      <w:r>
        <w:rPr>
          <w:rFonts w:hint="default" w:ascii="Arial" w:hAnsi="Arial" w:eastAsia="仿宋_GB2312" w:cs="Arial"/>
          <w:sz w:val="28"/>
          <w:highlight w:val="none"/>
          <w:lang w:val="en-US" w:eastAsia="zh-CN"/>
        </w:rPr>
        <w:t>属于建筑行业，税率为9%；</w:t>
      </w:r>
      <w:r>
        <w:rPr>
          <w:rFonts w:hint="eastAsia" w:ascii="Arial" w:hAnsi="Arial" w:eastAsia="仿宋_GB2312" w:cs="Arial"/>
          <w:sz w:val="28"/>
          <w:highlight w:val="none"/>
          <w:lang w:val="en-US" w:eastAsia="zh-CN"/>
        </w:rPr>
        <w:t>前期费用</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其他工程费、</w:t>
      </w:r>
      <w:r>
        <w:rPr>
          <w:rFonts w:hint="default" w:ascii="Arial" w:hAnsi="Arial" w:eastAsia="仿宋_GB2312" w:cs="Arial"/>
          <w:sz w:val="28"/>
          <w:highlight w:val="none"/>
          <w:lang w:val="en-US" w:eastAsia="zh-CN"/>
        </w:rPr>
        <w:t>销售费用税率为6%</w:t>
      </w:r>
      <w:r>
        <w:rPr>
          <w:rFonts w:hint="eastAsia" w:ascii="Arial" w:hAnsi="Arial" w:eastAsia="仿宋_GB2312" w:cs="Arial"/>
          <w:sz w:val="28"/>
          <w:highlight w:val="none"/>
          <w:lang w:val="en-US" w:eastAsia="zh-CN"/>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7A2E3910">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增值税</w:t>
      </w:r>
      <w:r>
        <w:rPr>
          <w:rFonts w:hint="eastAsia" w:ascii="Arial" w:hAnsi="Arial" w:eastAsia="仿宋_GB2312" w:cs="Arial"/>
          <w:sz w:val="28"/>
          <w:highlight w:val="none"/>
        </w:rPr>
        <w:t>基本公式：增值税</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销项税额</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进项税额</w:t>
      </w:r>
    </w:p>
    <w:p w14:paraId="186B8DF1">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销项税额</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开发完成后</w:t>
      </w:r>
      <w:r>
        <w:rPr>
          <w:rFonts w:hint="default" w:ascii="Arial" w:hAnsi="Arial" w:eastAsia="仿宋_GB2312" w:cs="Arial"/>
          <w:sz w:val="28"/>
          <w:highlight w:val="none"/>
          <w:lang w:val="en-US" w:eastAsia="zh-CN"/>
        </w:rPr>
        <w:t>不动产总价</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土地使用权</w:t>
      </w:r>
      <w:r>
        <w:rPr>
          <w:rFonts w:hint="eastAsia" w:ascii="Arial" w:hAnsi="Arial" w:eastAsia="仿宋_GB2312"/>
          <w:sz w:val="28"/>
          <w:highlight w:val="none"/>
        </w:rPr>
        <w:t>总价</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p>
    <w:p w14:paraId="0ACA6FA0">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进项税额</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建筑安装工程费＋基础设施建设费＋公共配套设施建设费</w:t>
      </w:r>
      <w:r>
        <w:rPr>
          <w:rFonts w:hint="eastAsia" w:ascii="Arial" w:hAnsi="Arial" w:eastAsia="仿宋_GB2312" w:cs="Arial"/>
          <w:sz w:val="28"/>
          <w:highlight w:val="none"/>
          <w:lang w:val="en-US" w:eastAsia="zh-CN"/>
        </w:rPr>
        <w:t>＋开发期间税费）÷</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前期费用</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其他工程费＋</w:t>
      </w:r>
      <w:r>
        <w:rPr>
          <w:rFonts w:hint="default" w:ascii="Arial" w:hAnsi="Arial" w:eastAsia="仿宋_GB2312" w:cs="Arial"/>
          <w:sz w:val="28"/>
          <w:highlight w:val="none"/>
          <w:lang w:val="en-US" w:eastAsia="zh-CN"/>
        </w:rPr>
        <w:t>销售费用</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 xml:space="preserve">6%。 </w:t>
      </w:r>
    </w:p>
    <w:p w14:paraId="4B3F03F1">
      <w:pPr>
        <w:spacing w:line="300" w:lineRule="auto"/>
        <w:ind w:firstLine="560" w:firstLineChars="200"/>
        <w:jc w:val="left"/>
        <w:rPr>
          <w:rFonts w:hint="eastAsia" w:ascii="Arial" w:hAnsi="Arial" w:eastAsia="仿宋_GB2312" w:cs="Arial"/>
          <w:sz w:val="28"/>
          <w:highlight w:val="none"/>
          <w:lang w:val="en-US" w:eastAsia="zh-CN"/>
        </w:rPr>
      </w:pPr>
      <w:r>
        <w:rPr>
          <w:rFonts w:hint="eastAsia" w:ascii="Arial" w:hAnsi="Arial" w:eastAsia="仿宋_GB2312"/>
          <w:sz w:val="28"/>
          <w:highlight w:val="none"/>
        </w:rPr>
        <w:t>销售税费</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205917.6285－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35586.2610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3558.6261＋2846.9009</w:t>
      </w:r>
      <w:r>
        <w:rPr>
          <w:rFonts w:hint="eastAsia" w:ascii="Arial" w:hAnsi="Arial" w:eastAsia="仿宋_GB2312" w:cs="Arial"/>
          <w:sz w:val="28"/>
          <w:highlight w:val="none"/>
          <w:lang w:val="en-US" w:eastAsia="zh-CN"/>
        </w:rPr>
        <w:t>＋711.7252</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2846.9009</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1779.3131＋6177.5289</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}×（1＋5%＋3%＋2%）</w:t>
      </w:r>
    </w:p>
    <w:p w14:paraId="0E14593F">
      <w:pPr>
        <w:spacing w:line="300" w:lineRule="auto"/>
        <w:ind w:firstLine="1680" w:firstLineChars="600"/>
        <w:jc w:val="left"/>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＝14151.3484－</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r>
        <w:rPr>
          <w:rFonts w:hint="eastAsia" w:ascii="Arial" w:hAnsi="Arial" w:eastAsia="仿宋" w:cs="Arial"/>
          <w:bCs/>
          <w:sz w:val="21"/>
          <w:szCs w:val="21"/>
          <w:highlight w:val="none"/>
          <w:vertAlign w:val="subscript"/>
        </w:rPr>
        <w:t>土</w:t>
      </w:r>
      <w:r>
        <w:rPr>
          <w:rFonts w:hint="default" w:ascii="Arial" w:hAnsi="Arial" w:eastAsia="仿宋_GB2312" w:cs="Arial"/>
          <w:sz w:val="28"/>
          <w:highlight w:val="none"/>
          <w:lang w:val="en-US" w:eastAsia="zh-CN"/>
        </w:rPr>
        <w:t>（万元）</w:t>
      </w:r>
    </w:p>
    <w:p w14:paraId="74388569">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ascii="Arial" w:hAnsi="Arial" w:eastAsia="仿宋_GB2312"/>
          <w:sz w:val="28"/>
          <w:highlight w:val="none"/>
        </w:rPr>
        <w:t>.</w:t>
      </w:r>
      <w:r>
        <w:rPr>
          <w:rFonts w:hint="eastAsia" w:ascii="仿宋_GB2312" w:eastAsia="仿宋_GB2312"/>
          <w:sz w:val="28"/>
          <w:highlight w:val="none"/>
        </w:rPr>
        <w:t>开发成本</w:t>
      </w:r>
    </w:p>
    <w:p w14:paraId="3762F61F">
      <w:pPr>
        <w:spacing w:line="300" w:lineRule="auto"/>
        <w:ind w:firstLine="560" w:firstLineChars="200"/>
        <w:jc w:val="both"/>
        <w:rPr>
          <w:rFonts w:ascii="仿宋_GB2312" w:eastAsia="仿宋_GB2312"/>
          <w:sz w:val="28"/>
          <w:highlight w:val="none"/>
        </w:rPr>
      </w:pPr>
      <w:r>
        <w:rPr>
          <w:rFonts w:hint="eastAsia" w:ascii="仿宋_GB2312" w:eastAsia="仿宋_GB2312"/>
          <w:sz w:val="28"/>
          <w:highlight w:val="none"/>
        </w:rPr>
        <w:t>开发成本为上述</w:t>
      </w:r>
      <w:r>
        <w:rPr>
          <w:rFonts w:hint="eastAsia" w:ascii="Arial" w:hAnsi="Arial" w:eastAsia="仿宋_GB2312"/>
          <w:sz w:val="28"/>
          <w:highlight w:val="none"/>
          <w:lang w:val="en-US" w:eastAsia="zh-CN"/>
        </w:rPr>
        <w:t>6</w:t>
      </w:r>
      <w:r>
        <w:rPr>
          <w:rFonts w:hint="eastAsia" w:ascii="仿宋_GB2312" w:eastAsia="仿宋_GB2312"/>
          <w:sz w:val="28"/>
          <w:highlight w:val="none"/>
        </w:rPr>
        <w:t>项合计，则有：</w:t>
      </w:r>
    </w:p>
    <w:p w14:paraId="25479879">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w:t>
      </w:r>
    </w:p>
    <w:p w14:paraId="6A88C92B">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rPr>
        <w:t>购地税费</w:t>
      </w:r>
      <w:r>
        <w:rPr>
          <w:rFonts w:hint="eastAsia" w:ascii="Arial" w:hAnsi="Arial" w:eastAsia="仿宋_GB2312"/>
          <w:sz w:val="28"/>
          <w:highlight w:val="none"/>
          <w:lang w:eastAsia="zh-CN"/>
        </w:rPr>
        <w:t>＋</w:t>
      </w:r>
      <w:r>
        <w:rPr>
          <w:rFonts w:hint="eastAsia" w:ascii="Arial" w:hAnsi="Arial" w:eastAsia="仿宋_GB2312"/>
          <w:sz w:val="28"/>
          <w:highlight w:val="none"/>
        </w:rPr>
        <w:t>房屋建设成本</w:t>
      </w:r>
      <w:r>
        <w:rPr>
          <w:rFonts w:hint="eastAsia" w:ascii="Arial" w:hAnsi="Arial" w:eastAsia="仿宋_GB2312"/>
          <w:sz w:val="28"/>
          <w:highlight w:val="none"/>
          <w:lang w:eastAsia="zh-CN"/>
        </w:rPr>
        <w:t>＋</w:t>
      </w:r>
      <w:r>
        <w:rPr>
          <w:rFonts w:hint="eastAsia" w:ascii="Arial" w:hAnsi="Arial" w:eastAsia="仿宋_GB2312"/>
          <w:sz w:val="28"/>
          <w:highlight w:val="none"/>
        </w:rPr>
        <w:t>管理费用</w:t>
      </w:r>
      <w:r>
        <w:rPr>
          <w:rFonts w:hint="eastAsia" w:ascii="Arial" w:hAnsi="Arial" w:eastAsia="仿宋_GB2312"/>
          <w:sz w:val="28"/>
          <w:highlight w:val="none"/>
          <w:lang w:eastAsia="zh-CN"/>
        </w:rPr>
        <w:t>＋</w:t>
      </w:r>
      <w:r>
        <w:rPr>
          <w:rFonts w:hint="eastAsia" w:ascii="Arial" w:hAnsi="Arial" w:eastAsia="仿宋_GB2312"/>
          <w:sz w:val="28"/>
          <w:highlight w:val="none"/>
        </w:rPr>
        <w:t>销售费用</w:t>
      </w:r>
      <w:r>
        <w:rPr>
          <w:rFonts w:hint="eastAsia" w:ascii="Arial" w:hAnsi="Arial" w:eastAsia="仿宋_GB2312"/>
          <w:sz w:val="28"/>
          <w:highlight w:val="none"/>
          <w:lang w:eastAsia="zh-CN"/>
        </w:rPr>
        <w:t>＋</w:t>
      </w:r>
      <w:r>
        <w:rPr>
          <w:rFonts w:hint="eastAsia" w:ascii="Arial" w:hAnsi="Arial" w:eastAsia="仿宋_GB2312"/>
          <w:sz w:val="28"/>
          <w:highlight w:val="none"/>
        </w:rPr>
        <w:t>投资利息</w:t>
      </w:r>
      <w:r>
        <w:rPr>
          <w:rFonts w:hint="eastAsia" w:ascii="Arial" w:hAnsi="Arial" w:eastAsia="仿宋_GB2312"/>
          <w:sz w:val="28"/>
          <w:highlight w:val="none"/>
          <w:lang w:eastAsia="zh-CN"/>
        </w:rPr>
        <w:t>＋</w:t>
      </w:r>
      <w:r>
        <w:rPr>
          <w:rFonts w:hint="eastAsia" w:ascii="Arial" w:hAnsi="Arial" w:eastAsia="仿宋_GB2312"/>
          <w:sz w:val="28"/>
          <w:highlight w:val="none"/>
        </w:rPr>
        <w:t>销售税费</w:t>
      </w:r>
    </w:p>
    <w:p w14:paraId="2D266900">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cs="Arial"/>
          <w:sz w:val="28"/>
          <w:highlight w:val="none"/>
          <w:lang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47329.7272</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1419.8918</w:t>
      </w: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6177.5289</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2699.3383</w:t>
      </w:r>
    </w:p>
    <w:p w14:paraId="69C2515F">
      <w:pPr>
        <w:spacing w:line="300" w:lineRule="auto"/>
        <w:jc w:val="both"/>
        <w:rPr>
          <w:rFonts w:ascii="Arial" w:hAnsi="Arial" w:eastAsia="仿宋_GB2312" w:cs="Arial"/>
          <w:sz w:val="28"/>
          <w:highlight w:val="none"/>
        </w:rPr>
      </w:pPr>
      <w:r>
        <w:rPr>
          <w:rFonts w:hint="eastAsia" w:ascii="Arial" w:hAnsi="Arial" w:eastAsia="仿宋_GB2312"/>
          <w:sz w:val="28"/>
          <w:highlight w:val="none"/>
          <w:lang w:val="en-US" w:eastAsia="zh-CN"/>
        </w:rPr>
        <w:t>＋0.1038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14151.3484－</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p>
    <w:p w14:paraId="5EB8872C">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eastAsia="zh-CN"/>
        </w:rPr>
        <w:t>＝</w:t>
      </w:r>
      <w:r>
        <w:rPr>
          <w:rFonts w:hint="eastAsia" w:ascii="Arial" w:hAnsi="Arial" w:eastAsia="仿宋_GB2312"/>
          <w:sz w:val="28"/>
          <w:highlight w:val="none"/>
          <w:lang w:val="en-US" w:eastAsia="zh-CN"/>
        </w:rPr>
        <w:t>71777.8346</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0.0434</w:t>
      </w:r>
      <w:r>
        <w:rPr>
          <w:rFonts w:ascii="Arial" w:hAnsi="Arial" w:eastAsia="仿宋_GB2312"/>
          <w:sz w:val="28"/>
          <w:highlight w:val="none"/>
        </w:rPr>
        <w:t xml:space="preserve"> P</w:t>
      </w:r>
      <w:r>
        <w:rPr>
          <w:rFonts w:hint="eastAsia" w:ascii="仿宋_GB2312"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68267EC5">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D</w:t>
      </w:r>
      <w:r>
        <w:rPr>
          <w:rFonts w:ascii="Arial" w:hAnsi="Arial" w:eastAsia="仿宋_GB2312"/>
          <w:sz w:val="28"/>
          <w:highlight w:val="none"/>
        </w:rPr>
        <w:t>.</w:t>
      </w:r>
      <w:r>
        <w:rPr>
          <w:rFonts w:hint="eastAsia" w:ascii="仿宋_GB2312" w:eastAsia="仿宋_GB2312"/>
          <w:sz w:val="28"/>
          <w:highlight w:val="none"/>
        </w:rPr>
        <w:t>开发利润（投资利润）</w:t>
      </w:r>
    </w:p>
    <w:p w14:paraId="15283F48">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开发利润是指房地产开发商投资房地产开发项目应取得的资金报酬及承担</w:t>
      </w:r>
      <w:r>
        <w:rPr>
          <w:rFonts w:hint="eastAsia" w:ascii="Arial" w:hAnsi="Arial" w:eastAsia="仿宋_GB2312" w:cs="Arial"/>
          <w:sz w:val="28"/>
          <w:highlight w:val="none"/>
          <w:lang w:val="en-US" w:eastAsia="zh-CN"/>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157245F3">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根据《北京市国有建设用地使用权出让地价评估技术导则》（2026年2月10日实施），剩余法房地产开发投资利润率，参考区间值住宅用途为25%－35%。估价对象位于北京市顺义区，结合估价对象容积率等自身条件，本次取城镇住宅用地开发商投资利润率为30%。</w:t>
      </w:r>
      <w:r>
        <w:rPr>
          <w:rFonts w:hint="eastAsia" w:ascii="仿宋_GB2312" w:eastAsia="仿宋_GB2312"/>
          <w:sz w:val="28"/>
          <w:highlight w:val="none"/>
        </w:rPr>
        <w:t>则有：</w:t>
      </w:r>
    </w:p>
    <w:p w14:paraId="4F402737">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投资利润</w:t>
      </w:r>
    </w:p>
    <w:p w14:paraId="72D2D650">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＝（估价对象土地价格＋购地税费＋房屋建设成本＋管理费用＋销售费用）×投资利润率</w:t>
      </w:r>
    </w:p>
    <w:p w14:paraId="2BF23F83">
      <w:pPr>
        <w:spacing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w:t>
      </w:r>
      <w:r>
        <w:rPr>
          <w:rFonts w:hint="eastAsia" w:ascii="仿宋_GB2312" w:eastAsia="仿宋_GB2312"/>
          <w:sz w:val="28"/>
          <w:highlight w:val="none"/>
        </w:rPr>
        <w:t xml:space="preserve"> </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Arial" w:hAnsi="Arial" w:eastAsia="仿宋_GB2312" w:cs="Arial"/>
          <w:sz w:val="28"/>
          <w:highlight w:val="none"/>
          <w:lang w:val="en-US" w:eastAsia="zh-CN"/>
        </w:rPr>
        <w:t>＋3.05%</w:t>
      </w:r>
      <w:r>
        <w:rPr>
          <w:rFonts w:hint="eastAsia" w:ascii="仿宋_GB2312" w:eastAsia="仿宋_GB2312"/>
          <w:sz w:val="28"/>
          <w:highlight w:val="none"/>
        </w:rPr>
        <w:t xml:space="preserve"> </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47329.7272</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1419.8918</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6177.5289</w:t>
      </w:r>
      <w:r>
        <w:rPr>
          <w:rFonts w:hint="eastAsia" w:ascii="Arial" w:hAnsi="Arial" w:eastAsia="仿宋_GB2312" w:cs="Arial"/>
          <w:sz w:val="28"/>
          <w:highlight w:val="none"/>
          <w:lang w:val="en-US" w:eastAsia="zh-CN"/>
        </w:rPr>
        <w:t>）×30%</w:t>
      </w:r>
    </w:p>
    <w:p w14:paraId="204DB81F">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16478.1444</w:t>
      </w:r>
      <w:r>
        <w:rPr>
          <w:rFonts w:hint="eastAsia" w:ascii="Arial" w:hAnsi="Arial" w:eastAsia="仿宋" w:cs="Arial"/>
          <w:sz w:val="28"/>
          <w:highlight w:val="none"/>
          <w:lang w:eastAsia="zh-CN"/>
        </w:rPr>
        <w:t>＋</w:t>
      </w:r>
      <w:r>
        <w:rPr>
          <w:rFonts w:ascii="Arial" w:hAnsi="Arial" w:eastAsia="仿宋" w:cs="Arial"/>
          <w:sz w:val="28"/>
          <w:highlight w:val="none"/>
        </w:rPr>
        <w:t>0.3092</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仿宋_GB2312" w:eastAsia="仿宋_GB2312"/>
          <w:sz w:val="28"/>
          <w:highlight w:val="none"/>
        </w:rPr>
        <w:t>（万元）</w:t>
      </w:r>
    </w:p>
    <w:p w14:paraId="609D529A">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E</w:t>
      </w:r>
      <w:r>
        <w:rPr>
          <w:rFonts w:ascii="Arial" w:hAnsi="Arial" w:eastAsia="仿宋_GB2312"/>
          <w:sz w:val="28"/>
          <w:highlight w:val="none"/>
        </w:rPr>
        <w:t>.</w:t>
      </w:r>
      <w:r>
        <w:rPr>
          <w:rFonts w:hint="eastAsia" w:ascii="仿宋_GB2312" w:eastAsia="仿宋_GB2312"/>
          <w:sz w:val="28"/>
          <w:highlight w:val="none"/>
        </w:rPr>
        <w:t>求取估价对象土地价格</w:t>
      </w:r>
    </w:p>
    <w:p w14:paraId="0E76D9E1">
      <w:pPr>
        <w:spacing w:line="300" w:lineRule="auto"/>
        <w:ind w:firstLine="600" w:firstLineChars="200"/>
        <w:jc w:val="both"/>
        <w:rPr>
          <w:rFonts w:ascii="仿宋_GB2312" w:eastAsia="仿宋_GB2312"/>
          <w:spacing w:val="10"/>
          <w:sz w:val="28"/>
          <w:highlight w:val="none"/>
        </w:rPr>
      </w:pPr>
      <w:r>
        <w:rPr>
          <w:rFonts w:hint="eastAsia" w:ascii="仿宋_GB2312" w:eastAsia="仿宋_GB2312"/>
          <w:spacing w:val="10"/>
          <w:sz w:val="28"/>
          <w:highlight w:val="none"/>
        </w:rPr>
        <w:t>土地价格（</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仿宋_GB2312" w:eastAsia="仿宋_GB2312"/>
          <w:spacing w:val="10"/>
          <w:sz w:val="28"/>
          <w:highlight w:val="none"/>
        </w:rPr>
        <w:t>）</w:t>
      </w:r>
    </w:p>
    <w:p w14:paraId="009150DA">
      <w:pPr>
        <w:spacing w:line="300" w:lineRule="auto"/>
        <w:ind w:firstLine="560" w:firstLineChars="200"/>
        <w:jc w:val="both"/>
        <w:rPr>
          <w:rFonts w:ascii="仿宋_GB2312" w:eastAsia="仿宋_GB2312"/>
          <w:sz w:val="28"/>
          <w:highlight w:val="none"/>
        </w:rPr>
      </w:pPr>
      <w:r>
        <w:rPr>
          <w:rFonts w:hint="eastAsia" w:ascii="仿宋_GB2312" w:eastAsia="仿宋_GB2312"/>
          <w:sz w:val="28"/>
          <w:highlight w:val="none"/>
          <w:lang w:eastAsia="zh-CN"/>
        </w:rPr>
        <w:t>＝</w:t>
      </w:r>
      <w:r>
        <w:rPr>
          <w:rFonts w:hint="eastAsia" w:ascii="仿宋_GB2312" w:eastAsia="仿宋_GB2312"/>
          <w:sz w:val="28"/>
          <w:highlight w:val="none"/>
        </w:rPr>
        <w:t>开发完成后的不动产总价</w:t>
      </w:r>
      <w:r>
        <w:rPr>
          <w:rFonts w:hint="eastAsia" w:ascii="仿宋_GB2312" w:eastAsia="仿宋_GB2312"/>
          <w:sz w:val="28"/>
          <w:highlight w:val="none"/>
          <w:lang w:eastAsia="zh-CN"/>
        </w:rPr>
        <w:t>－</w:t>
      </w:r>
      <w:r>
        <w:rPr>
          <w:rFonts w:hint="eastAsia" w:ascii="仿宋_GB2312" w:eastAsia="仿宋_GB2312"/>
          <w:sz w:val="28"/>
          <w:highlight w:val="none"/>
        </w:rPr>
        <w:t>开发成本</w:t>
      </w:r>
      <w:r>
        <w:rPr>
          <w:rFonts w:hint="eastAsia" w:ascii="仿宋_GB2312" w:eastAsia="仿宋_GB2312"/>
          <w:sz w:val="28"/>
          <w:highlight w:val="none"/>
          <w:lang w:eastAsia="zh-CN"/>
        </w:rPr>
        <w:t>－</w:t>
      </w:r>
      <w:r>
        <w:rPr>
          <w:rFonts w:hint="eastAsia" w:ascii="仿宋_GB2312" w:eastAsia="仿宋_GB2312"/>
          <w:sz w:val="28"/>
          <w:highlight w:val="none"/>
        </w:rPr>
        <w:t>开发利润</w:t>
      </w:r>
    </w:p>
    <w:p w14:paraId="3EEADCB1">
      <w:pPr>
        <w:spacing w:line="300" w:lineRule="auto"/>
        <w:ind w:firstLine="560" w:firstLineChars="200"/>
        <w:jc w:val="both"/>
        <w:rPr>
          <w:rFonts w:hint="eastAsia" w:ascii="Arial" w:hAnsi="Arial" w:eastAsia="仿宋_GB2312"/>
          <w:sz w:val="28"/>
          <w:highlight w:val="none"/>
          <w:lang w:val="en-US" w:eastAsia="zh-CN"/>
        </w:rPr>
      </w:pPr>
      <w:r>
        <w:rPr>
          <w:rFonts w:hint="eastAsia" w:ascii="仿宋_GB2312" w:eastAsia="仿宋_GB2312"/>
          <w:sz w:val="28"/>
          <w:highlight w:val="none"/>
          <w:lang w:eastAsia="zh-CN"/>
        </w:rPr>
        <w:t>＝</w:t>
      </w:r>
      <w:r>
        <w:rPr>
          <w:rFonts w:hint="eastAsia" w:ascii="Arial" w:hAnsi="Arial" w:eastAsia="仿宋_GB2312" w:cs="Arial"/>
          <w:sz w:val="28"/>
          <w:highlight w:val="none"/>
          <w:lang w:val="en-US" w:eastAsia="zh-CN"/>
        </w:rPr>
        <w:t>205917.6285</w:t>
      </w:r>
      <w:r>
        <w:rPr>
          <w:rFonts w:hint="eastAsia" w:ascii="仿宋_GB2312" w:eastAsia="仿宋_GB2312"/>
          <w:sz w:val="28"/>
          <w:highlight w:val="none"/>
          <w:lang w:eastAsia="zh-CN"/>
        </w:rPr>
        <w:t>－</w:t>
      </w:r>
      <w:r>
        <w:rPr>
          <w:rFonts w:hint="eastAsia" w:ascii="Arial" w:hAnsi="Arial" w:eastAsia="仿宋_GB2312" w:cs="Arial"/>
          <w:sz w:val="28"/>
          <w:highlight w:val="none"/>
        </w:rPr>
        <w:t>（</w:t>
      </w:r>
      <w:r>
        <w:rPr>
          <w:rFonts w:hint="eastAsia" w:ascii="Arial" w:hAnsi="Arial" w:eastAsia="仿宋_GB2312"/>
          <w:sz w:val="28"/>
          <w:highlight w:val="none"/>
          <w:lang w:val="en-US" w:eastAsia="zh-CN"/>
        </w:rPr>
        <w:t>71777.8346</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0.0434</w:t>
      </w:r>
      <w:r>
        <w:rPr>
          <w:rFonts w:ascii="Arial" w:hAnsi="Arial" w:eastAsia="仿宋_GB2312"/>
          <w:sz w:val="28"/>
          <w:highlight w:val="none"/>
        </w:rPr>
        <w:t xml:space="preserve"> P</w:t>
      </w:r>
      <w:r>
        <w:rPr>
          <w:rFonts w:hint="eastAsia" w:ascii="仿宋_GB2312" w:eastAsia="仿宋_GB2312"/>
          <w:sz w:val="28"/>
          <w:highlight w:val="none"/>
          <w:vertAlign w:val="subscript"/>
        </w:rPr>
        <w:t>土</w:t>
      </w:r>
      <w:r>
        <w:rPr>
          <w:rFonts w:hint="eastAsia" w:ascii="Arial" w:hAnsi="Arial" w:eastAsia="仿宋_GB2312" w:cs="Arial"/>
          <w:sz w:val="28"/>
          <w:highlight w:val="none"/>
        </w:rPr>
        <w:t>）</w:t>
      </w:r>
      <w:r>
        <w:rPr>
          <w:rFonts w:hint="eastAsia" w:ascii="仿宋_GB2312" w:eastAsia="仿宋_GB2312"/>
          <w:sz w:val="28"/>
          <w:highlight w:val="none"/>
          <w:lang w:eastAsia="zh-CN"/>
        </w:rPr>
        <w:t>－</w:t>
      </w:r>
      <w:r>
        <w:rPr>
          <w:rFonts w:hint="eastAsia" w:ascii="仿宋_GB2312" w:eastAsia="仿宋_GB2312"/>
          <w:sz w:val="28"/>
          <w:highlight w:val="none"/>
        </w:rPr>
        <w:t>（</w:t>
      </w:r>
      <w:r>
        <w:rPr>
          <w:rFonts w:hint="eastAsia" w:ascii="Arial" w:hAnsi="Arial" w:eastAsia="仿宋_GB2312"/>
          <w:sz w:val="28"/>
          <w:highlight w:val="none"/>
          <w:lang w:val="en-US" w:eastAsia="zh-CN"/>
        </w:rPr>
        <w:t>16478.1444</w:t>
      </w:r>
    </w:p>
    <w:p w14:paraId="61D772F1">
      <w:pPr>
        <w:spacing w:line="300" w:lineRule="auto"/>
        <w:ind w:firstLine="560" w:firstLineChars="200"/>
        <w:jc w:val="both"/>
        <w:rPr>
          <w:rFonts w:ascii="Arial" w:hAnsi="Arial" w:eastAsia="仿宋_GB2312"/>
          <w:sz w:val="28"/>
          <w:highlight w:val="none"/>
        </w:rPr>
      </w:pPr>
      <w:r>
        <w:rPr>
          <w:rFonts w:hint="eastAsia" w:ascii="Arial" w:hAnsi="Arial" w:eastAsia="仿宋" w:cs="Arial"/>
          <w:sz w:val="28"/>
          <w:highlight w:val="none"/>
          <w:lang w:eastAsia="zh-CN"/>
        </w:rPr>
        <w:t>＋</w:t>
      </w:r>
      <w:r>
        <w:rPr>
          <w:rFonts w:ascii="Arial" w:hAnsi="Arial" w:eastAsia="仿宋" w:cs="Arial"/>
          <w:sz w:val="28"/>
          <w:highlight w:val="none"/>
        </w:rPr>
        <w:t>0.3092</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仿宋_GB2312" w:eastAsia="仿宋_GB2312"/>
          <w:sz w:val="28"/>
          <w:highlight w:val="none"/>
        </w:rPr>
        <w:t xml:space="preserve">） </w:t>
      </w:r>
    </w:p>
    <w:p w14:paraId="216166CA">
      <w:pPr>
        <w:spacing w:before="120" w:beforeLines="50" w:after="120" w:afterLines="50" w:line="300" w:lineRule="auto"/>
        <w:ind w:firstLine="560" w:firstLineChars="200"/>
        <w:rPr>
          <w:rFonts w:ascii="仿宋_GB2312"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86989.2426</w:t>
      </w:r>
      <w:r>
        <w:rPr>
          <w:rFonts w:hint="eastAsia" w:ascii="仿宋_GB2312" w:eastAsia="仿宋_GB2312"/>
          <w:sz w:val="28"/>
          <w:highlight w:val="none"/>
        </w:rPr>
        <w:t>（万元）</w:t>
      </w:r>
    </w:p>
    <w:p w14:paraId="30B10D27">
      <w:pPr>
        <w:spacing w:line="300" w:lineRule="auto"/>
        <w:ind w:firstLine="560" w:firstLineChars="200"/>
        <w:jc w:val="both"/>
        <w:rPr>
          <w:rFonts w:ascii="Arial" w:hAnsi="Arial" w:eastAsia="仿宋" w:cs="Arial"/>
          <w:sz w:val="28"/>
          <w:highlight w:val="none"/>
        </w:rPr>
      </w:pPr>
      <w:r>
        <w:rPr>
          <w:rFonts w:hint="eastAsia" w:ascii="Arial" w:hAnsi="Arial" w:eastAsia="仿宋" w:cs="Arial"/>
          <w:sz w:val="28"/>
          <w:highlight w:val="none"/>
          <w:lang w:eastAsia="zh-CN"/>
        </w:rPr>
        <w:t>楼面地价＝</w:t>
      </w:r>
      <w:r>
        <w:rPr>
          <w:rFonts w:ascii="Arial" w:hAnsi="Arial" w:eastAsia="仿宋" w:cs="Arial"/>
          <w:sz w:val="28"/>
          <w:highlight w:val="none"/>
        </w:rPr>
        <w:t>土地价格</w:t>
      </w:r>
      <w:r>
        <w:rPr>
          <w:rFonts w:hint="eastAsia" w:ascii="Arial" w:hAnsi="Arial" w:eastAsia="仿宋" w:cs="Arial"/>
          <w:sz w:val="28"/>
          <w:highlight w:val="none"/>
          <w:lang w:eastAsia="zh-CN"/>
        </w:rPr>
        <w:t>÷</w:t>
      </w:r>
      <w:r>
        <w:rPr>
          <w:rFonts w:hint="eastAsia" w:ascii="Arial" w:hAnsi="Arial" w:eastAsia="仿宋" w:cs="Arial"/>
          <w:sz w:val="28"/>
          <w:highlight w:val="none"/>
        </w:rPr>
        <w:t>住宅用房建筑</w:t>
      </w:r>
      <w:r>
        <w:rPr>
          <w:rFonts w:ascii="Arial" w:hAnsi="Arial" w:eastAsia="仿宋" w:cs="Arial"/>
          <w:sz w:val="28"/>
          <w:highlight w:val="none"/>
        </w:rPr>
        <w:t>面积</w:t>
      </w:r>
      <w:r>
        <w:rPr>
          <w:rFonts w:hint="eastAsia" w:ascii="Arial" w:hAnsi="Arial" w:eastAsia="仿宋" w:cs="Arial"/>
          <w:sz w:val="28"/>
          <w:highlight w:val="none"/>
          <w:lang w:eastAsia="zh-CN"/>
        </w:rPr>
        <w:t>×</w:t>
      </w:r>
      <w:r>
        <w:rPr>
          <w:rFonts w:ascii="Arial" w:hAnsi="Arial" w:eastAsia="仿宋" w:cs="Arial"/>
          <w:sz w:val="28"/>
          <w:highlight w:val="none"/>
        </w:rPr>
        <w:t>10000</w:t>
      </w:r>
    </w:p>
    <w:p w14:paraId="13526CBC">
      <w:pPr>
        <w:spacing w:line="300" w:lineRule="auto"/>
        <w:ind w:firstLine="560" w:firstLineChars="200"/>
        <w:jc w:val="both"/>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86989.2426</w:t>
      </w:r>
      <w:r>
        <w:rPr>
          <w:rFonts w:hint="eastAsia" w:ascii="Arial" w:hAnsi="Arial" w:eastAsia="仿宋" w:cs="Arial"/>
          <w:sz w:val="28"/>
          <w:highlight w:val="none"/>
          <w:lang w:eastAsia="zh-CN"/>
        </w:rPr>
        <w:t>÷</w:t>
      </w:r>
      <w:r>
        <w:rPr>
          <w:rFonts w:ascii="Arial" w:hAnsi="Arial" w:eastAsia="仿宋" w:cs="Arial"/>
          <w:sz w:val="28"/>
          <w:highlight w:val="none"/>
        </w:rPr>
        <w:t>68148.54</w:t>
      </w:r>
      <w:r>
        <w:rPr>
          <w:rFonts w:hint="eastAsia" w:ascii="Arial" w:hAnsi="Arial" w:eastAsia="仿宋" w:cs="Arial"/>
          <w:sz w:val="28"/>
          <w:highlight w:val="none"/>
          <w:lang w:eastAsia="zh-CN"/>
        </w:rPr>
        <w:t>×</w:t>
      </w:r>
      <w:r>
        <w:rPr>
          <w:rFonts w:ascii="Arial" w:hAnsi="Arial" w:eastAsia="仿宋" w:cs="Arial"/>
          <w:sz w:val="28"/>
          <w:highlight w:val="none"/>
        </w:rPr>
        <w:t>10000</w:t>
      </w:r>
    </w:p>
    <w:p w14:paraId="5C221A6C">
      <w:pPr>
        <w:spacing w:before="120" w:beforeLines="50" w:after="120" w:afterLines="50" w:line="300" w:lineRule="auto"/>
        <w:ind w:firstLine="560" w:firstLineChars="200"/>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12765</w:t>
      </w:r>
      <w:r>
        <w:rPr>
          <w:rFonts w:ascii="Arial" w:hAnsi="Arial" w:eastAsia="仿宋" w:cs="Arial"/>
          <w:sz w:val="28"/>
          <w:highlight w:val="none"/>
        </w:rPr>
        <w:t>（元/平方米）</w:t>
      </w:r>
    </w:p>
    <w:p w14:paraId="3A1D2310">
      <w:pPr>
        <w:spacing w:before="120" w:beforeLines="50" w:after="120" w:afterLines="50" w:line="300" w:lineRule="auto"/>
        <w:ind w:firstLine="560" w:firstLineChars="200"/>
        <w:rPr>
          <w:rFonts w:hint="eastAsia" w:ascii="Arial" w:hAnsi="Arial" w:eastAsia="仿宋" w:cs="Arial"/>
          <w:sz w:val="28"/>
          <w:highlight w:val="none"/>
          <w:lang w:eastAsia="zh-CN"/>
        </w:rPr>
      </w:pPr>
    </w:p>
    <w:p w14:paraId="235C8EEE">
      <w:pPr>
        <w:spacing w:before="50" w:after="50" w:line="300" w:lineRule="auto"/>
        <w:ind w:firstLine="562" w:firstLineChars="200"/>
        <w:rPr>
          <w:rFonts w:hint="default" w:ascii="Arial" w:hAnsi="Arial" w:eastAsia="仿宋_GB2312" w:cs="Arial"/>
          <w:b/>
          <w:bCs/>
          <w:sz w:val="28"/>
          <w:highlight w:val="none"/>
          <w:lang w:val="en-US" w:eastAsia="zh-CN"/>
        </w:rPr>
      </w:pPr>
      <w:r>
        <w:rPr>
          <w:rFonts w:hint="eastAsia" w:ascii="Arial" w:hAnsi="Arial" w:eastAsia="仿宋_GB2312" w:cs="Arial"/>
          <w:b/>
          <w:bCs/>
          <w:sz w:val="28"/>
          <w:highlight w:val="none"/>
          <w:lang w:val="en-US" w:eastAsia="zh-CN"/>
        </w:rPr>
        <w:t>不考虑A334托幼用地不出让建筑规模3359.98平方米的代建成本</w:t>
      </w:r>
    </w:p>
    <w:p w14:paraId="01F18DB6">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C.开发成本</w:t>
      </w:r>
    </w:p>
    <w:p w14:paraId="6BCE990B">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a.购地税费</w:t>
      </w:r>
    </w:p>
    <w:p w14:paraId="68B4C1C2">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rPr>
        <w:t>购地税费为3.05%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万元</w:t>
      </w:r>
      <w:r>
        <w:rPr>
          <w:rFonts w:hint="eastAsia" w:ascii="Arial" w:hAnsi="Arial" w:eastAsia="仿宋_GB2312"/>
          <w:sz w:val="28"/>
          <w:highlight w:val="none"/>
          <w:lang w:eastAsia="zh-CN"/>
        </w:rPr>
        <w:t>。</w:t>
      </w:r>
    </w:p>
    <w:p w14:paraId="6B1005AB">
      <w:pPr>
        <w:spacing w:line="300" w:lineRule="auto"/>
        <w:ind w:firstLine="560" w:firstLineChars="200"/>
        <w:jc w:val="both"/>
        <w:rPr>
          <w:rFonts w:hint="default" w:ascii="仿宋_GB2312" w:eastAsia="仿宋_GB2312"/>
          <w:sz w:val="28"/>
          <w:highlight w:val="none"/>
          <w:lang w:val="en-US" w:eastAsia="zh-CN"/>
        </w:rPr>
      </w:pPr>
      <w:r>
        <w:rPr>
          <w:rFonts w:hint="eastAsia" w:ascii="Arial" w:hAnsi="Arial" w:eastAsia="仿宋_GB2312"/>
          <w:sz w:val="28"/>
          <w:highlight w:val="none"/>
          <w:lang w:val="en-US" w:eastAsia="zh-CN"/>
        </w:rPr>
        <w:t>b</w:t>
      </w:r>
      <w:r>
        <w:rPr>
          <w:rFonts w:hint="eastAsia" w:ascii="Arial" w:hAnsi="Arial" w:eastAsia="仿宋_GB2312"/>
          <w:sz w:val="28"/>
          <w:highlight w:val="none"/>
        </w:rPr>
        <w:t>.</w:t>
      </w:r>
      <w:r>
        <w:rPr>
          <w:rFonts w:hint="eastAsia" w:ascii="仿宋_GB2312" w:eastAsia="仿宋_GB2312"/>
          <w:sz w:val="28"/>
          <w:highlight w:val="none"/>
          <w:lang w:val="en-US" w:eastAsia="zh-CN"/>
        </w:rPr>
        <w:t>房屋建设成本</w:t>
      </w:r>
    </w:p>
    <w:p w14:paraId="6842B27A">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a）</w:t>
      </w:r>
      <w:r>
        <w:rPr>
          <w:rFonts w:hint="eastAsia" w:ascii="Arial" w:hAnsi="Arial" w:eastAsia="仿宋_GB2312"/>
          <w:sz w:val="28"/>
          <w:highlight w:val="none"/>
          <w:lang w:val="en-US" w:eastAsia="zh-CN"/>
        </w:rPr>
        <w:t>建筑安装工程费</w:t>
      </w:r>
    </w:p>
    <w:p w14:paraId="31C069A4">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w:t>
      </w:r>
      <w:r>
        <w:rPr>
          <w:rFonts w:hint="eastAsia" w:ascii="Arial" w:hAnsi="Arial" w:eastAsia="仿宋_GB2312" w:cs="Arial"/>
          <w:sz w:val="28"/>
          <w:highlight w:val="none"/>
          <w:lang w:val="en-US" w:eastAsia="zh-CN"/>
        </w:rPr>
        <w:t>综合</w:t>
      </w:r>
      <w:r>
        <w:rPr>
          <w:rFonts w:hint="eastAsia" w:ascii="Arial" w:hAnsi="Arial" w:eastAsia="仿宋_GB2312" w:cs="Arial"/>
          <w:sz w:val="28"/>
          <w:highlight w:val="none"/>
        </w:rPr>
        <w:t>确定估价对象的建筑安装工程费用为5000元/平方米</w:t>
      </w:r>
    </w:p>
    <w:p w14:paraId="6DE0E59D">
      <w:pPr>
        <w:spacing w:line="300" w:lineRule="auto"/>
        <w:ind w:firstLine="560" w:firstLineChars="200"/>
        <w:jc w:val="both"/>
        <w:rPr>
          <w:rFonts w:ascii="Arial" w:hAnsi="Arial" w:eastAsia="仿宋_GB2312" w:cs="Arial"/>
          <w:sz w:val="28"/>
          <w:highlight w:val="none"/>
        </w:rPr>
      </w:pPr>
      <w:r>
        <w:rPr>
          <w:rFonts w:hint="eastAsia" w:ascii="Arial" w:hAnsi="Arial" w:eastAsia="仿宋_GB2312"/>
          <w:sz w:val="28"/>
          <w:highlight w:val="none"/>
          <w:lang w:val="en-US" w:eastAsia="zh-CN"/>
        </w:rPr>
        <w:t>建筑安装工程费＝50</w:t>
      </w:r>
      <w:r>
        <w:rPr>
          <w:rFonts w:ascii="Arial" w:hAnsi="Arial" w:eastAsia="仿宋_GB2312"/>
          <w:sz w:val="28"/>
          <w:highlight w:val="none"/>
        </w:rPr>
        <w:t>00</w:t>
      </w:r>
      <w:r>
        <w:rPr>
          <w:rFonts w:hint="eastAsia" w:ascii="仿宋_GB2312" w:eastAsia="仿宋_GB2312"/>
          <w:sz w:val="28"/>
          <w:highlight w:val="none"/>
          <w:lang w:eastAsia="zh-CN"/>
        </w:rPr>
        <w:t>×</w:t>
      </w:r>
      <w:r>
        <w:rPr>
          <w:rFonts w:ascii="Arial" w:hAnsi="Arial" w:eastAsia="仿宋_GB2312" w:cs="Arial"/>
          <w:sz w:val="28"/>
          <w:highlight w:val="none"/>
        </w:rPr>
        <w:t>68148.54</w:t>
      </w:r>
      <w:r>
        <w:rPr>
          <w:rFonts w:hint="eastAsia" w:ascii="Arial" w:hAnsi="Arial" w:eastAsia="仿宋_GB2312" w:cs="Arial"/>
          <w:sz w:val="28"/>
          <w:highlight w:val="none"/>
          <w:lang w:eastAsia="zh-CN"/>
        </w:rPr>
        <w:t>÷</w:t>
      </w:r>
      <w:r>
        <w:rPr>
          <w:rFonts w:ascii="Arial" w:hAnsi="Arial" w:eastAsia="仿宋_GB2312" w:cs="Arial"/>
          <w:sz w:val="28"/>
          <w:highlight w:val="none"/>
        </w:rPr>
        <w:t>10000</w:t>
      </w:r>
    </w:p>
    <w:p w14:paraId="3C70A2F6">
      <w:pPr>
        <w:spacing w:line="300" w:lineRule="auto"/>
        <w:ind w:firstLine="2520" w:firstLineChars="900"/>
        <w:jc w:val="both"/>
        <w:rPr>
          <w:rFonts w:hint="default" w:ascii="Arial" w:hAnsi="Arial" w:eastAsia="仿宋_GB2312"/>
          <w:sz w:val="28"/>
          <w:highlight w:val="none"/>
          <w:lang w:val="en-US" w:eastAsia="zh-CN"/>
        </w:rPr>
      </w:pP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34074.2700</w:t>
      </w:r>
      <w:r>
        <w:rPr>
          <w:rFonts w:hint="eastAsia" w:ascii="Arial" w:hAnsi="Arial" w:eastAsia="仿宋_GB2312" w:cs="Arial"/>
          <w:sz w:val="28"/>
          <w:highlight w:val="none"/>
        </w:rPr>
        <w:t>（</w:t>
      </w:r>
      <w:r>
        <w:rPr>
          <w:rFonts w:hint="eastAsia" w:ascii="Arial" w:hAnsi="Arial" w:eastAsia="仿宋_GB2312"/>
          <w:sz w:val="28"/>
          <w:highlight w:val="none"/>
        </w:rPr>
        <w:t>万元）</w:t>
      </w:r>
    </w:p>
    <w:p w14:paraId="4B2DBCA2">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rPr>
        <w:t>b）</w:t>
      </w:r>
      <w:r>
        <w:rPr>
          <w:rFonts w:hint="eastAsia" w:ascii="Arial" w:hAnsi="Arial" w:eastAsia="仿宋_GB2312"/>
          <w:sz w:val="28"/>
          <w:highlight w:val="none"/>
          <w:lang w:val="en-US" w:eastAsia="zh-CN"/>
        </w:rPr>
        <w:t>前期费用</w:t>
      </w:r>
    </w:p>
    <w:p w14:paraId="7E1B9A2A">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rPr>
        <w:t>勘察设计和前期工程费指建造商品房及附属工程过程中勘察、测量设计、市场调研等费用。目前北京市房地产开发中该类建筑物的勘察设计和前期工程费用一般为建造成本的5</w:t>
      </w:r>
      <w:r>
        <w:rPr>
          <w:rFonts w:hint="eastAsia" w:ascii="Arial" w:hAnsi="Arial" w:eastAsia="仿宋_GB2312"/>
          <w:sz w:val="28"/>
          <w:highlight w:val="none"/>
          <w:lang w:eastAsia="zh-CN"/>
        </w:rPr>
        <w:t>－</w:t>
      </w:r>
      <w:r>
        <w:rPr>
          <w:rFonts w:hint="eastAsia" w:ascii="Arial" w:hAnsi="Arial" w:eastAsia="仿宋_GB2312"/>
          <w:sz w:val="28"/>
          <w:highlight w:val="none"/>
        </w:rPr>
        <w:t>10%之间，根据估价对象自身状况，本次评估确定勘察设计和前期工程费以建筑安装工程费为计费基础取8%，则有：</w:t>
      </w:r>
    </w:p>
    <w:p w14:paraId="0B1EF4E9">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勘查设计和前期工程费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33703511">
      <w:pPr>
        <w:spacing w:line="300" w:lineRule="auto"/>
        <w:ind w:firstLine="3360" w:firstLineChars="12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34074.2700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8</w:t>
      </w:r>
      <w:r>
        <w:rPr>
          <w:rFonts w:ascii="Arial" w:hAnsi="Arial" w:eastAsia="仿宋_GB2312"/>
          <w:sz w:val="28"/>
          <w:highlight w:val="none"/>
        </w:rPr>
        <w:t>%</w:t>
      </w:r>
    </w:p>
    <w:p w14:paraId="479701B4">
      <w:pPr>
        <w:spacing w:line="300" w:lineRule="auto"/>
        <w:ind w:firstLine="3360" w:firstLineChars="12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2725.9416</w:t>
      </w:r>
      <w:r>
        <w:rPr>
          <w:rFonts w:hint="eastAsia" w:ascii="Arial" w:hAnsi="Arial" w:eastAsia="仿宋_GB2312"/>
          <w:sz w:val="28"/>
          <w:highlight w:val="none"/>
        </w:rPr>
        <w:t>（万元）</w:t>
      </w:r>
    </w:p>
    <w:p w14:paraId="4E70E4DF">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c）</w:t>
      </w:r>
      <w:r>
        <w:rPr>
          <w:rFonts w:hint="eastAsia" w:ascii="Arial" w:hAnsi="Arial" w:eastAsia="仿宋_GB2312"/>
          <w:sz w:val="28"/>
          <w:highlight w:val="none"/>
          <w:lang w:val="en-US" w:eastAsia="zh-CN"/>
        </w:rPr>
        <w:t>基础设施建设费</w:t>
      </w:r>
    </w:p>
    <w:p w14:paraId="65F79070">
      <w:pPr>
        <w:spacing w:line="300" w:lineRule="auto"/>
        <w:ind w:firstLine="560" w:firstLineChars="200"/>
        <w:jc w:val="both"/>
        <w:rPr>
          <w:rFonts w:hint="eastAsia" w:ascii="Arial" w:hAnsi="Arial" w:eastAsia="仿宋_GB2312"/>
          <w:sz w:val="28"/>
          <w:highlight w:val="none"/>
        </w:rPr>
      </w:pPr>
      <w:r>
        <w:rPr>
          <w:rFonts w:hint="eastAsia" w:ascii="仿宋_GB2312" w:eastAsia="仿宋_GB2312"/>
          <w:sz w:val="28"/>
          <w:highlight w:val="none"/>
        </w:rPr>
        <w:t>基础设施建设费是指建筑物外墙外边线2m以外和项目红线范围内的道路、供水、供电、</w:t>
      </w:r>
      <w:r>
        <w:rPr>
          <w:rFonts w:hint="eastAsia" w:ascii="Arial" w:hAnsi="Arial" w:eastAsia="仿宋_GB2312"/>
          <w:sz w:val="28"/>
          <w:highlight w:val="none"/>
        </w:rPr>
        <w:t>供气、通信、绿化、环卫、排水、室外照明等设施的建设费用，以及各项设施与市政千道、千管、干线等的接口费用，北京市房地产开发项目宗地内基础设施建设费一般为建安工程费的5%</w:t>
      </w:r>
      <w:r>
        <w:rPr>
          <w:rFonts w:hint="eastAsia" w:ascii="Arial" w:hAnsi="Arial" w:eastAsia="仿宋_GB2312"/>
          <w:sz w:val="28"/>
          <w:highlight w:val="none"/>
          <w:lang w:eastAsia="zh-CN"/>
        </w:rPr>
        <w:t>－</w:t>
      </w:r>
      <w:r>
        <w:rPr>
          <w:rFonts w:hint="eastAsia" w:ascii="Arial" w:hAnsi="Arial" w:eastAsia="仿宋_GB2312"/>
          <w:sz w:val="28"/>
          <w:highlight w:val="none"/>
        </w:rPr>
        <w:t>15%。根据估价人员现场调查，通过区域电力、燃气、暖气、上下水标准及室外绿化、道路等配套情况，同时结合估价对象所处位置、建设规模等情况，基础设施建设费取建筑安装工程费的1</w:t>
      </w:r>
      <w:r>
        <w:rPr>
          <w:rFonts w:hint="eastAsia" w:ascii="Arial" w:hAnsi="Arial" w:eastAsia="仿宋_GB2312"/>
          <w:sz w:val="28"/>
          <w:highlight w:val="none"/>
          <w:lang w:val="en-US" w:eastAsia="zh-CN"/>
        </w:rPr>
        <w:t>0</w:t>
      </w:r>
      <w:r>
        <w:rPr>
          <w:rFonts w:hint="eastAsia" w:ascii="Arial" w:hAnsi="Arial" w:eastAsia="仿宋_GB2312"/>
          <w:sz w:val="28"/>
          <w:highlight w:val="none"/>
        </w:rPr>
        <w:t>%</w:t>
      </w:r>
      <w:r>
        <w:rPr>
          <w:rFonts w:hint="eastAsia" w:ascii="Arial" w:hAnsi="Arial" w:eastAsia="仿宋_GB2312"/>
          <w:sz w:val="28"/>
          <w:highlight w:val="none"/>
          <w:lang w:val="en-US" w:eastAsia="zh-CN"/>
        </w:rPr>
        <w:t>,</w:t>
      </w:r>
      <w:r>
        <w:rPr>
          <w:rFonts w:hint="eastAsia" w:ascii="Arial" w:hAnsi="Arial" w:eastAsia="仿宋_GB2312"/>
          <w:sz w:val="28"/>
          <w:highlight w:val="none"/>
        </w:rPr>
        <w:t>则有：</w:t>
      </w:r>
    </w:p>
    <w:p w14:paraId="01DBB574">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lang w:val="en-US" w:eastAsia="zh-CN"/>
        </w:rPr>
        <w:t>基础设施建设费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2A48B04F">
      <w:pPr>
        <w:spacing w:line="300" w:lineRule="auto"/>
        <w:ind w:firstLine="2520" w:firstLineChars="9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34074.2700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10</w:t>
      </w:r>
      <w:r>
        <w:rPr>
          <w:rFonts w:ascii="Arial" w:hAnsi="Arial" w:eastAsia="仿宋_GB2312"/>
          <w:sz w:val="28"/>
          <w:highlight w:val="none"/>
        </w:rPr>
        <w:t>%</w:t>
      </w:r>
    </w:p>
    <w:p w14:paraId="02DA7FB2">
      <w:pPr>
        <w:spacing w:line="300" w:lineRule="auto"/>
        <w:ind w:firstLine="2520" w:firstLineChars="9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3407.4270</w:t>
      </w:r>
      <w:r>
        <w:rPr>
          <w:rFonts w:hint="eastAsia" w:ascii="Arial" w:hAnsi="Arial" w:eastAsia="仿宋_GB2312"/>
          <w:sz w:val="28"/>
          <w:highlight w:val="none"/>
        </w:rPr>
        <w:t>（万元）</w:t>
      </w:r>
    </w:p>
    <w:p w14:paraId="227DC4CB">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d</w:t>
      </w:r>
      <w:r>
        <w:rPr>
          <w:rFonts w:hint="eastAsia" w:ascii="Arial" w:hAnsi="Arial" w:eastAsia="仿宋_GB2312"/>
          <w:sz w:val="28"/>
          <w:highlight w:val="none"/>
        </w:rPr>
        <w:t>）</w:t>
      </w:r>
      <w:r>
        <w:rPr>
          <w:rFonts w:hint="eastAsia" w:ascii="仿宋_GB2312" w:eastAsia="仿宋_GB2312"/>
          <w:sz w:val="28"/>
          <w:highlight w:val="none"/>
        </w:rPr>
        <w:t>公共配套设施费用</w:t>
      </w:r>
    </w:p>
    <w:p w14:paraId="1E70132A">
      <w:pPr>
        <w:spacing w:before="50" w:after="50" w:line="300" w:lineRule="auto"/>
        <w:ind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rPr>
        <w:t>公共配套设施建设费按照城市规划要求小区内配套的教育、医疗卫生、文化体育、社区服务等非营业性设施的建设费用。小区配套费用仅限于住宅小区开发时计取，一般按建安成本的2%</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10%计取。根据估价对象所在区域的一般公共配套设施建设费水平，结合本项目的具体公共配套设施建设状况，取</w:t>
      </w:r>
      <w:r>
        <w:rPr>
          <w:rFonts w:hint="eastAsia" w:ascii="Arial" w:hAnsi="Arial" w:eastAsia="仿宋_GB2312"/>
          <w:sz w:val="28"/>
          <w:highlight w:val="none"/>
        </w:rPr>
        <w:t>建筑安装工程费</w:t>
      </w:r>
      <w:r>
        <w:rPr>
          <w:rFonts w:hint="eastAsia" w:ascii="Arial" w:hAnsi="Arial" w:eastAsia="仿宋" w:cs="Arial"/>
          <w:sz w:val="28"/>
          <w:szCs w:val="28"/>
          <w:highlight w:val="none"/>
        </w:rPr>
        <w:t>的</w:t>
      </w:r>
      <w:r>
        <w:rPr>
          <w:rFonts w:hint="eastAsia" w:ascii="Arial" w:hAnsi="Arial" w:eastAsia="仿宋" w:cs="Arial"/>
          <w:sz w:val="28"/>
          <w:szCs w:val="28"/>
          <w:highlight w:val="none"/>
          <w:lang w:val="en-US" w:eastAsia="zh-CN"/>
        </w:rPr>
        <w:t>8</w:t>
      </w:r>
      <w:r>
        <w:rPr>
          <w:rFonts w:hint="eastAsia"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131F1C53">
      <w:pPr>
        <w:spacing w:line="300" w:lineRule="auto"/>
        <w:ind w:firstLine="560" w:firstLineChars="200"/>
        <w:jc w:val="both"/>
        <w:rPr>
          <w:rFonts w:hint="eastAsia" w:ascii="Arial" w:hAnsi="Arial" w:eastAsia="仿宋_GB2312"/>
          <w:sz w:val="28"/>
          <w:highlight w:val="none"/>
        </w:rPr>
      </w:pPr>
      <w:r>
        <w:rPr>
          <w:rFonts w:ascii="Arial" w:hAnsi="Arial" w:eastAsia="仿宋" w:cs="Arial"/>
          <w:sz w:val="28"/>
          <w:szCs w:val="28"/>
          <w:highlight w:val="none"/>
        </w:rPr>
        <w:t>公共配套设施费用</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2A1B1CA9">
      <w:pPr>
        <w:spacing w:line="300" w:lineRule="auto"/>
        <w:ind w:firstLine="2800" w:firstLineChars="10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34074.2700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8</w:t>
      </w:r>
      <w:r>
        <w:rPr>
          <w:rFonts w:ascii="Arial" w:hAnsi="Arial" w:eastAsia="仿宋_GB2312"/>
          <w:sz w:val="28"/>
          <w:highlight w:val="none"/>
        </w:rPr>
        <w:t>%</w:t>
      </w:r>
    </w:p>
    <w:p w14:paraId="052C040D">
      <w:pPr>
        <w:spacing w:line="300" w:lineRule="auto"/>
        <w:ind w:firstLine="2800" w:firstLineChars="1000"/>
        <w:jc w:val="both"/>
        <w:rPr>
          <w:rFonts w:ascii="仿宋_GB2312"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2725.9416</w:t>
      </w:r>
      <w:r>
        <w:rPr>
          <w:rFonts w:hint="eastAsia" w:ascii="Arial" w:hAnsi="Arial" w:eastAsia="仿宋_GB2312"/>
          <w:sz w:val="28"/>
          <w:highlight w:val="none"/>
        </w:rPr>
        <w:t>（万元）</w:t>
      </w:r>
    </w:p>
    <w:p w14:paraId="1C26940F">
      <w:pPr>
        <w:spacing w:line="300" w:lineRule="auto"/>
        <w:ind w:firstLine="560" w:firstLineChars="200"/>
        <w:jc w:val="both"/>
        <w:rPr>
          <w:rFonts w:hint="eastAsia" w:ascii="仿宋_GB2312" w:eastAsia="仿宋_GB2312"/>
          <w:sz w:val="28"/>
          <w:highlight w:val="none"/>
        </w:rPr>
      </w:pPr>
      <w:r>
        <w:rPr>
          <w:rFonts w:hint="eastAsia" w:ascii="Arial" w:hAnsi="Arial" w:eastAsia="仿宋_GB2312"/>
          <w:sz w:val="28"/>
          <w:highlight w:val="none"/>
        </w:rPr>
        <w:t>e）</w:t>
      </w:r>
      <w:r>
        <w:rPr>
          <w:rFonts w:hint="eastAsia" w:ascii="仿宋_GB2312" w:eastAsia="仿宋_GB2312"/>
          <w:sz w:val="28"/>
          <w:highlight w:val="none"/>
        </w:rPr>
        <w:t>开发期间税费</w:t>
      </w:r>
    </w:p>
    <w:p w14:paraId="3CA881C1">
      <w:pPr>
        <w:spacing w:before="50" w:after="50" w:line="300" w:lineRule="auto"/>
        <w:ind w:firstLine="560" w:firstLineChars="200"/>
        <w:jc w:val="both"/>
        <w:rPr>
          <w:rFonts w:hint="eastAsia" w:ascii="Arial" w:hAnsi="Arial" w:eastAsia="仿宋" w:cs="Arial"/>
          <w:sz w:val="28"/>
          <w:szCs w:val="28"/>
          <w:highlight w:val="none"/>
          <w:lang w:eastAsia="zh-CN"/>
        </w:rPr>
      </w:pPr>
      <w:r>
        <w:rPr>
          <w:rFonts w:hint="eastAsia" w:ascii="仿宋_GB2312" w:eastAsia="仿宋_GB2312"/>
          <w:sz w:val="28"/>
          <w:highlight w:val="none"/>
        </w:rPr>
        <w:t>主要</w:t>
      </w:r>
      <w:r>
        <w:rPr>
          <w:rFonts w:hint="eastAsia" w:ascii="Arial" w:hAnsi="Arial" w:eastAsia="仿宋" w:cs="Arial"/>
          <w:sz w:val="28"/>
          <w:szCs w:val="28"/>
          <w:highlight w:val="none"/>
        </w:rPr>
        <w:t>包括有关部门税收和地方政府或其他有关部门收取的费用，如工程监理费、竣工验收费、绿化建设费、人防工程费等</w:t>
      </w:r>
      <w:r>
        <w:rPr>
          <w:rFonts w:hint="eastAsia" w:ascii="Arial" w:hAnsi="Arial" w:eastAsia="仿宋" w:cs="Arial"/>
          <w:sz w:val="28"/>
          <w:szCs w:val="28"/>
          <w:highlight w:val="none"/>
          <w:lang w:eastAsia="zh-CN"/>
        </w:rPr>
        <w:t>。</w:t>
      </w:r>
      <w:r>
        <w:rPr>
          <w:rFonts w:hint="eastAsia" w:ascii="仿宋_GB2312" w:eastAsia="仿宋_GB2312"/>
          <w:sz w:val="28"/>
          <w:highlight w:val="none"/>
        </w:rPr>
        <w:t>开发期间税费</w:t>
      </w:r>
      <w:r>
        <w:rPr>
          <w:rFonts w:hint="eastAsia" w:ascii="Arial" w:hAnsi="Arial" w:eastAsia="仿宋_GB2312"/>
          <w:sz w:val="28"/>
          <w:highlight w:val="none"/>
        </w:rPr>
        <w:t>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 w:cs="Arial"/>
          <w:sz w:val="28"/>
          <w:szCs w:val="28"/>
          <w:highlight w:val="none"/>
        </w:rPr>
        <w:t>根据估价对象所处区域的一般情况，并结合估价对象的实际情况，按建筑安装工程费的2%测算</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62FCF56F">
      <w:pPr>
        <w:spacing w:line="300" w:lineRule="auto"/>
        <w:ind w:firstLine="560" w:firstLineChars="200"/>
        <w:jc w:val="both"/>
        <w:rPr>
          <w:rFonts w:hint="eastAsia" w:ascii="Arial" w:hAnsi="Arial" w:eastAsia="仿宋_GB2312"/>
          <w:sz w:val="28"/>
          <w:highlight w:val="none"/>
        </w:rPr>
      </w:pPr>
      <w:r>
        <w:rPr>
          <w:rFonts w:hint="eastAsia" w:ascii="Arial" w:hAnsi="Arial" w:eastAsia="仿宋" w:cs="Arial"/>
          <w:sz w:val="28"/>
          <w:szCs w:val="28"/>
          <w:highlight w:val="none"/>
        </w:rPr>
        <w:t>开发期间税费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19755570">
      <w:pPr>
        <w:spacing w:line="300" w:lineRule="auto"/>
        <w:ind w:firstLine="2240" w:firstLineChars="8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34074.2700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w:t>
      </w:r>
      <w:r>
        <w:rPr>
          <w:rFonts w:ascii="Arial" w:hAnsi="Arial" w:eastAsia="仿宋_GB2312"/>
          <w:sz w:val="28"/>
          <w:highlight w:val="none"/>
        </w:rPr>
        <w:t>%</w:t>
      </w:r>
    </w:p>
    <w:p w14:paraId="4F10A2B2">
      <w:pPr>
        <w:spacing w:before="50" w:after="50" w:line="300" w:lineRule="auto"/>
        <w:ind w:firstLine="2240" w:firstLineChars="8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681.4854</w:t>
      </w:r>
      <w:r>
        <w:rPr>
          <w:rFonts w:hint="eastAsia" w:ascii="Arial" w:hAnsi="Arial" w:eastAsia="仿宋_GB2312"/>
          <w:sz w:val="28"/>
          <w:highlight w:val="none"/>
        </w:rPr>
        <w:t>（万元）</w:t>
      </w:r>
    </w:p>
    <w:p w14:paraId="490426F7">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rPr>
        <w:t>f）</w:t>
      </w:r>
      <w:r>
        <w:rPr>
          <w:rFonts w:hint="eastAsia" w:ascii="Arial" w:hAnsi="Arial" w:eastAsia="仿宋_GB2312"/>
          <w:sz w:val="28"/>
          <w:highlight w:val="none"/>
          <w:lang w:val="en-US" w:eastAsia="zh-CN"/>
        </w:rPr>
        <w:t>其他工程费</w:t>
      </w:r>
    </w:p>
    <w:p w14:paraId="6A24D598">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其他工程费是指在工程建设中，除建筑安装工程费和设备、工具、器具购置费以外的费用。根据目前北京市房地产开发的情况</w:t>
      </w:r>
      <w:r>
        <w:rPr>
          <w:rFonts w:hint="eastAsia" w:ascii="Arial" w:hAnsi="Arial" w:eastAsia="仿宋_GB2312"/>
          <w:sz w:val="28"/>
          <w:highlight w:val="none"/>
          <w:lang w:eastAsia="zh-CN"/>
        </w:rPr>
        <w:t>。</w:t>
      </w:r>
      <w:r>
        <w:rPr>
          <w:rFonts w:hint="eastAsia" w:ascii="Arial" w:hAnsi="Arial" w:eastAsia="仿宋_GB2312"/>
          <w:sz w:val="28"/>
          <w:highlight w:val="none"/>
        </w:rPr>
        <w:t>其他工程费一般为建筑安装工程费用的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rPr>
        <w:t>确定以建筑安装工程费用为计费基础取5%</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3CE09ED8">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0D3753DA">
      <w:pPr>
        <w:spacing w:line="300" w:lineRule="auto"/>
        <w:ind w:firstLine="1960" w:firstLineChars="7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34074.2700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ascii="Arial" w:hAnsi="Arial" w:eastAsia="仿宋_GB2312"/>
          <w:sz w:val="28"/>
          <w:highlight w:val="none"/>
        </w:rPr>
        <w:t>%</w:t>
      </w:r>
    </w:p>
    <w:p w14:paraId="43EACDC4">
      <w:pPr>
        <w:spacing w:line="300" w:lineRule="auto"/>
        <w:ind w:firstLine="1960" w:firstLineChars="7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1703.7135</w:t>
      </w:r>
      <w:r>
        <w:rPr>
          <w:rFonts w:hint="eastAsia" w:ascii="Arial" w:hAnsi="Arial" w:eastAsia="仿宋_GB2312"/>
          <w:sz w:val="28"/>
          <w:highlight w:val="none"/>
        </w:rPr>
        <w:t>（万元）</w:t>
      </w:r>
    </w:p>
    <w:p w14:paraId="1094885F">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hint="eastAsia" w:ascii="Arial" w:hAnsi="Arial" w:eastAsia="仿宋_GB2312"/>
          <w:sz w:val="28"/>
          <w:highlight w:val="none"/>
        </w:rPr>
        <w:t>）房屋建设成本</w:t>
      </w:r>
    </w:p>
    <w:p w14:paraId="40551E89">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房屋建设成本</w:t>
      </w:r>
      <w:r>
        <w:rPr>
          <w:rFonts w:hint="eastAsia" w:ascii="仿宋_GB2312" w:eastAsia="仿宋_GB2312"/>
          <w:sz w:val="28"/>
          <w:highlight w:val="none"/>
        </w:rPr>
        <w:t>为上述</w:t>
      </w:r>
      <w:r>
        <w:rPr>
          <w:rFonts w:hint="eastAsia" w:ascii="仿宋_GB2312" w:eastAsia="仿宋_GB2312"/>
          <w:sz w:val="28"/>
          <w:highlight w:val="none"/>
          <w:lang w:val="en-US" w:eastAsia="zh-CN"/>
        </w:rPr>
        <w:t>6</w:t>
      </w:r>
      <w:r>
        <w:rPr>
          <w:rFonts w:hint="eastAsia" w:ascii="仿宋_GB2312" w:eastAsia="仿宋_GB2312"/>
          <w:sz w:val="28"/>
          <w:highlight w:val="none"/>
        </w:rPr>
        <w:t>项之和，则有：</w:t>
      </w:r>
    </w:p>
    <w:p w14:paraId="3860FE18">
      <w:pPr>
        <w:spacing w:line="300" w:lineRule="auto"/>
        <w:ind w:firstLine="562" w:firstLineChars="201"/>
        <w:jc w:val="left"/>
        <w:rPr>
          <w:rFonts w:hint="eastAsia" w:ascii="Arial" w:hAnsi="Arial" w:eastAsia="仿宋_GB2312"/>
          <w:sz w:val="28"/>
          <w:highlight w:val="none"/>
        </w:rPr>
      </w:pPr>
      <w:r>
        <w:rPr>
          <w:rFonts w:hint="eastAsia" w:ascii="Arial" w:hAnsi="Arial" w:eastAsia="仿宋_GB2312"/>
          <w:sz w:val="28"/>
          <w:highlight w:val="none"/>
        </w:rPr>
        <w:t>房屋建设成本</w:t>
      </w:r>
    </w:p>
    <w:p w14:paraId="01F5BF00">
      <w:pPr>
        <w:spacing w:line="300" w:lineRule="auto"/>
        <w:ind w:firstLine="562" w:firstLineChars="201"/>
        <w:jc w:val="left"/>
        <w:rPr>
          <w:rFonts w:hint="eastAsia"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 xml:space="preserve">前期费用＋建筑安装工程费＋基础设施建设费＋公共配套设施建设费＋开发期间税费＋其他工程费  </w:t>
      </w:r>
    </w:p>
    <w:p w14:paraId="1380F3F1">
      <w:pPr>
        <w:spacing w:line="300" w:lineRule="auto"/>
        <w:ind w:firstLine="562" w:firstLineChars="201"/>
        <w:jc w:val="both"/>
        <w:rPr>
          <w:rFonts w:hint="eastAsia"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2725.9416＋34074.2700＋3407.4270＋2725.9416＋681.4854＋</w:t>
      </w:r>
    </w:p>
    <w:p w14:paraId="02F74A16">
      <w:pPr>
        <w:spacing w:line="300" w:lineRule="auto"/>
        <w:jc w:val="left"/>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1703.7135</w:t>
      </w:r>
    </w:p>
    <w:p w14:paraId="79390B24">
      <w:pPr>
        <w:spacing w:line="300" w:lineRule="auto"/>
        <w:ind w:firstLine="560" w:firstLineChars="200"/>
        <w:jc w:val="left"/>
        <w:rPr>
          <w:rFonts w:hint="default"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45318.7791</w:t>
      </w:r>
      <w:r>
        <w:rPr>
          <w:rFonts w:hint="eastAsia" w:ascii="Arial" w:hAnsi="Arial" w:eastAsia="仿宋_GB2312"/>
          <w:sz w:val="28"/>
          <w:highlight w:val="none"/>
        </w:rPr>
        <w:t>（万元）</w:t>
      </w:r>
    </w:p>
    <w:p w14:paraId="765FA569">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w:t>
      </w:r>
      <w:r>
        <w:rPr>
          <w:rFonts w:hint="eastAsia" w:ascii="仿宋_GB2312" w:eastAsia="仿宋_GB2312"/>
          <w:sz w:val="28"/>
          <w:highlight w:val="none"/>
        </w:rPr>
        <w:t>管理费用</w:t>
      </w:r>
    </w:p>
    <w:p w14:paraId="1C15FCF1">
      <w:pPr>
        <w:spacing w:line="300" w:lineRule="auto"/>
        <w:ind w:firstLine="560" w:firstLineChars="200"/>
        <w:jc w:val="both"/>
        <w:rPr>
          <w:rFonts w:ascii="仿宋_GB2312" w:eastAsia="仿宋_GB2312"/>
          <w:sz w:val="28"/>
          <w:highlight w:val="none"/>
        </w:rPr>
      </w:pPr>
      <w:r>
        <w:rPr>
          <w:rFonts w:hint="eastAsia" w:ascii="仿宋_GB2312" w:hAnsi="Arial" w:eastAsia="仿宋_GB2312"/>
          <w:sz w:val="28"/>
          <w:highlight w:val="none"/>
        </w:rPr>
        <w:t>管</w:t>
      </w:r>
      <w:r>
        <w:rPr>
          <w:rFonts w:hint="eastAsia" w:ascii="Arial" w:hAnsi="Arial" w:eastAsia="仿宋_GB2312"/>
          <w:sz w:val="28"/>
          <w:highlight w:val="none"/>
          <w:lang w:val="en-US" w:eastAsia="zh-CN"/>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sz w:val="28"/>
          <w:highlight w:val="none"/>
        </w:rPr>
        <w:t>则有：</w:t>
      </w:r>
    </w:p>
    <w:p w14:paraId="6EDE23F4">
      <w:pPr>
        <w:spacing w:line="300" w:lineRule="auto"/>
        <w:ind w:firstLine="560" w:firstLineChars="200"/>
        <w:jc w:val="both"/>
        <w:rPr>
          <w:rFonts w:hint="eastAsia" w:ascii="仿宋_GB2312" w:eastAsia="仿宋_GB2312"/>
          <w:sz w:val="28"/>
          <w:highlight w:val="none"/>
          <w:lang w:eastAsia="zh-CN"/>
        </w:rPr>
      </w:pPr>
      <w:r>
        <w:rPr>
          <w:rFonts w:hint="eastAsia" w:ascii="仿宋_GB2312" w:eastAsia="仿宋_GB2312"/>
          <w:sz w:val="28"/>
          <w:highlight w:val="none"/>
        </w:rPr>
        <w:t>管理费用</w:t>
      </w:r>
      <w:r>
        <w:rPr>
          <w:rFonts w:hint="eastAsia" w:ascii="仿宋_GB2312" w:eastAsia="仿宋_GB2312"/>
          <w:sz w:val="28"/>
          <w:highlight w:val="none"/>
          <w:lang w:eastAsia="zh-CN"/>
        </w:rPr>
        <w:t>＝</w:t>
      </w:r>
      <w:r>
        <w:rPr>
          <w:rFonts w:hint="eastAsia" w:ascii="Arial" w:hAnsi="Arial" w:eastAsia="仿宋_GB2312"/>
          <w:sz w:val="28"/>
          <w:highlight w:val="none"/>
        </w:rPr>
        <w:t>房屋建设成本</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管理费率</w:t>
      </w:r>
    </w:p>
    <w:p w14:paraId="4A011E0B">
      <w:pPr>
        <w:spacing w:line="300" w:lineRule="auto"/>
        <w:ind w:firstLine="1680" w:firstLineChars="600"/>
        <w:jc w:val="both"/>
        <w:rPr>
          <w:rFonts w:hint="eastAsia" w:ascii="Arial" w:hAnsi="Arial" w:eastAsia="仿宋_GB2312"/>
          <w:sz w:val="28"/>
          <w:highlight w:val="none"/>
          <w:lang w:val="en-US" w:eastAsia="zh-CN"/>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45318.7791×3%</w:t>
      </w:r>
    </w:p>
    <w:p w14:paraId="72ADFCAE">
      <w:pPr>
        <w:spacing w:line="300" w:lineRule="auto"/>
        <w:ind w:firstLine="1680" w:firstLineChars="600"/>
        <w:jc w:val="both"/>
        <w:rPr>
          <w:rFonts w:ascii="仿宋_GB2312"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1359.5634</w:t>
      </w:r>
      <w:r>
        <w:rPr>
          <w:rFonts w:hint="eastAsia" w:ascii="Arial" w:hAnsi="Arial" w:eastAsia="仿宋_GB2312"/>
          <w:sz w:val="28"/>
          <w:highlight w:val="none"/>
        </w:rPr>
        <w:t>（</w:t>
      </w:r>
      <w:r>
        <w:rPr>
          <w:rFonts w:hint="eastAsia" w:ascii="仿宋_GB2312" w:eastAsia="仿宋_GB2312"/>
          <w:sz w:val="28"/>
          <w:highlight w:val="none"/>
        </w:rPr>
        <w:t>万元）</w:t>
      </w:r>
    </w:p>
    <w:p w14:paraId="4AD72FC4">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d.销售费用</w:t>
      </w:r>
    </w:p>
    <w:p w14:paraId="4727C226">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sz w:val="28"/>
          <w:highlight w:val="none"/>
        </w:rPr>
        <w:t>则有：</w:t>
      </w:r>
    </w:p>
    <w:p w14:paraId="2B59B9F1">
      <w:pPr>
        <w:spacing w:line="300" w:lineRule="auto"/>
        <w:ind w:firstLine="560" w:firstLineChars="200"/>
        <w:jc w:val="both"/>
        <w:rPr>
          <w:rFonts w:hint="eastAsia" w:ascii="仿宋_GB2312" w:eastAsia="仿宋_GB2312"/>
          <w:sz w:val="28"/>
          <w:highlight w:val="none"/>
          <w:lang w:eastAsia="zh-CN"/>
        </w:rPr>
      </w:pPr>
      <w:r>
        <w:rPr>
          <w:rFonts w:hint="eastAsia" w:ascii="Arial" w:hAnsi="Arial" w:eastAsia="仿宋_GB2312"/>
          <w:sz w:val="28"/>
          <w:highlight w:val="none"/>
          <w:lang w:val="en-US" w:eastAsia="zh-CN"/>
        </w:rPr>
        <w:t>销售费用</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项目开发完成后不动产总价</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销售费率</w:t>
      </w:r>
    </w:p>
    <w:p w14:paraId="3987AC71">
      <w:pPr>
        <w:spacing w:line="300" w:lineRule="auto"/>
        <w:ind w:firstLine="1680" w:firstLineChars="600"/>
        <w:jc w:val="both"/>
        <w:rPr>
          <w:rFonts w:hint="eastAsia" w:ascii="Arial" w:hAnsi="Arial" w:eastAsia="仿宋_GB2312"/>
          <w:sz w:val="28"/>
          <w:highlight w:val="none"/>
          <w:lang w:val="en-US" w:eastAsia="zh-CN"/>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205917.6285×3%</w:t>
      </w:r>
    </w:p>
    <w:p w14:paraId="2619FECF">
      <w:pPr>
        <w:spacing w:line="300" w:lineRule="auto"/>
        <w:ind w:firstLine="1680" w:firstLineChars="600"/>
        <w:jc w:val="both"/>
        <w:rPr>
          <w:rFonts w:hint="eastAsia" w:ascii="仿宋_GB2312" w:hAnsi="Arial"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6177.5289</w:t>
      </w:r>
      <w:r>
        <w:rPr>
          <w:rFonts w:hint="eastAsia" w:ascii="Arial" w:hAnsi="Arial" w:eastAsia="仿宋_GB2312"/>
          <w:sz w:val="28"/>
          <w:highlight w:val="none"/>
        </w:rPr>
        <w:t>（</w:t>
      </w:r>
      <w:r>
        <w:rPr>
          <w:rFonts w:hint="eastAsia" w:ascii="仿宋_GB2312" w:eastAsia="仿宋_GB2312"/>
          <w:sz w:val="28"/>
          <w:highlight w:val="none"/>
        </w:rPr>
        <w:t>万元）</w:t>
      </w:r>
    </w:p>
    <w:p w14:paraId="165DD856">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e</w:t>
      </w:r>
      <w:r>
        <w:rPr>
          <w:rFonts w:hint="eastAsia" w:ascii="Arial" w:hAnsi="Arial" w:eastAsia="仿宋_GB2312"/>
          <w:sz w:val="28"/>
          <w:highlight w:val="none"/>
        </w:rPr>
        <w:t>.投资利息</w:t>
      </w:r>
    </w:p>
    <w:p w14:paraId="7F4DC518">
      <w:pPr>
        <w:spacing w:line="300" w:lineRule="auto"/>
        <w:ind w:firstLine="560" w:firstLineChars="200"/>
        <w:jc w:val="both"/>
        <w:rPr>
          <w:rFonts w:hint="eastAsia" w:ascii="Arial" w:hAnsi="Arial" w:eastAsia="仿宋_GB2312"/>
          <w:sz w:val="28"/>
          <w:highlight w:val="none"/>
          <w:lang w:val="en-US" w:eastAsia="zh-CN"/>
        </w:rPr>
      </w:pPr>
      <w:r>
        <w:rPr>
          <w:rFonts w:hint="eastAsia" w:ascii="仿宋_GB2312" w:eastAsia="仿宋_GB2312"/>
          <w:sz w:val="28"/>
          <w:highlight w:val="none"/>
        </w:rPr>
        <w:t>投资利息指在房地产开发完成或实现销售之前发生的所有必要费用应计算的利息。</w:t>
      </w:r>
    </w:p>
    <w:p w14:paraId="0FC71401">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7EE31BE4">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投资利息＝（估价对象土地价格＋购地税费）×〔（1＋年利率）</w:t>
      </w:r>
      <w:r>
        <w:rPr>
          <w:rFonts w:hint="eastAsia" w:ascii="Arial" w:hAnsi="Arial" w:eastAsia="仿宋_GB2312"/>
          <w:sz w:val="28"/>
          <w:highlight w:val="none"/>
          <w:vertAlign w:val="superscript"/>
          <w:lang w:val="en-US" w:eastAsia="zh-CN"/>
        </w:rPr>
        <w:t>项目开发周期</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〕＋（房屋建设成本＋管理费用＋销售费用）×〔（1＋年利率）</w:t>
      </w:r>
      <w:r>
        <w:rPr>
          <w:rFonts w:hint="eastAsia" w:ascii="Arial" w:hAnsi="Arial" w:eastAsia="仿宋_GB2312"/>
          <w:sz w:val="28"/>
          <w:highlight w:val="none"/>
          <w:vertAlign w:val="superscript"/>
          <w:lang w:val="en-US" w:eastAsia="zh-CN"/>
        </w:rPr>
        <w:t>（项目开发周期÷2）</w:t>
      </w:r>
      <w:r>
        <w:rPr>
          <w:rFonts w:hint="eastAsia" w:ascii="Arial" w:hAnsi="Arial" w:eastAsia="仿宋_GB2312"/>
          <w:sz w:val="28"/>
          <w:highlight w:val="none"/>
          <w:lang w:val="en-US" w:eastAsia="zh-CN"/>
        </w:rPr>
        <w:t>－1〕</w:t>
      </w:r>
    </w:p>
    <w:p w14:paraId="690F7A12">
      <w:pPr>
        <w:spacing w:line="300" w:lineRule="auto"/>
        <w:ind w:firstLine="1680" w:firstLineChars="6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）×〔（1＋3.25%）</w:t>
      </w:r>
      <w:r>
        <w:rPr>
          <w:rFonts w:hint="eastAsia" w:ascii="Arial" w:hAnsi="Arial" w:eastAsia="仿宋_GB2312"/>
          <w:sz w:val="28"/>
          <w:highlight w:val="none"/>
          <w:vertAlign w:val="superscript"/>
          <w:lang w:val="en-US" w:eastAsia="zh-CN"/>
        </w:rPr>
        <w:t>3</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〕＋（45318.7791＋1359.5634＋6177.5289）×〔（1＋3.25%）</w:t>
      </w:r>
      <w:r>
        <w:rPr>
          <w:rFonts w:hint="eastAsia" w:ascii="Arial" w:hAnsi="Arial" w:eastAsia="仿宋_GB2312"/>
          <w:sz w:val="28"/>
          <w:highlight w:val="none"/>
          <w:vertAlign w:val="superscript"/>
          <w:lang w:val="en-US" w:eastAsia="zh-CN"/>
        </w:rPr>
        <w:t>（3÷2）</w:t>
      </w:r>
      <w:r>
        <w:rPr>
          <w:rFonts w:hint="eastAsia" w:ascii="Arial" w:hAnsi="Arial" w:eastAsia="仿宋_GB2312"/>
          <w:sz w:val="28"/>
          <w:highlight w:val="none"/>
          <w:lang w:val="en-US" w:eastAsia="zh-CN"/>
        </w:rPr>
        <w:t>－1〕</w:t>
      </w:r>
    </w:p>
    <w:p w14:paraId="3645216D">
      <w:pPr>
        <w:spacing w:line="300" w:lineRule="auto"/>
        <w:ind w:firstLine="1680" w:firstLineChars="600"/>
        <w:jc w:val="both"/>
        <w:rPr>
          <w:rFonts w:hint="eastAsia" w:ascii="仿宋_GB2312" w:eastAsia="仿宋_GB2312"/>
          <w:sz w:val="28"/>
          <w:highlight w:val="none"/>
        </w:rPr>
      </w:pPr>
      <w:r>
        <w:rPr>
          <w:rFonts w:hint="eastAsia" w:ascii="Arial" w:hAnsi="Arial" w:eastAsia="仿宋_GB2312"/>
          <w:sz w:val="28"/>
          <w:highlight w:val="none"/>
          <w:lang w:val="en-US" w:eastAsia="zh-CN"/>
        </w:rPr>
        <w:t>＝2597.5476＋0.1038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303AEB28">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f</w:t>
      </w:r>
      <w:r>
        <w:rPr>
          <w:rFonts w:hint="eastAsia" w:ascii="Arial" w:hAnsi="Arial" w:eastAsia="仿宋_GB2312"/>
          <w:sz w:val="28"/>
          <w:highlight w:val="none"/>
        </w:rPr>
        <w:t>.销售税费</w:t>
      </w:r>
      <w:r>
        <w:rPr>
          <w:rFonts w:hint="eastAsia" w:ascii="Arial" w:hAnsi="Arial" w:eastAsia="仿宋_GB2312"/>
          <w:sz w:val="28"/>
          <w:highlight w:val="none"/>
        </w:rPr>
        <w:tab/>
      </w:r>
    </w:p>
    <w:p w14:paraId="497EFEF7">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本</w:t>
      </w:r>
      <w:r>
        <w:rPr>
          <w:rFonts w:hint="eastAsia" w:ascii="Arial" w:hAnsi="Arial" w:eastAsia="仿宋_GB2312" w:cs="Arial"/>
          <w:sz w:val="28"/>
          <w:highlight w:val="none"/>
        </w:rPr>
        <w:t>处所指销售税费是指国家规定的相关销售税费。销售税费包括增值税及城市维护建设税、教育费附加和地方教育附加</w:t>
      </w:r>
      <w:r>
        <w:rPr>
          <w:rFonts w:hint="eastAsia" w:ascii="Arial" w:hAnsi="Arial" w:eastAsia="仿宋_GB2312" w:cs="Arial"/>
          <w:sz w:val="28"/>
          <w:highlight w:val="none"/>
          <w:lang w:eastAsia="zh-CN"/>
        </w:rPr>
        <w:t>。</w:t>
      </w:r>
    </w:p>
    <w:p w14:paraId="3CBD65D7">
      <w:pPr>
        <w:spacing w:line="300" w:lineRule="auto"/>
        <w:ind w:firstLine="560" w:firstLineChars="200"/>
        <w:jc w:val="both"/>
        <w:rPr>
          <w:rFonts w:hint="default" w:ascii="Arial" w:hAnsi="Arial" w:eastAsia="仿宋_GB2312" w:cs="Arial"/>
          <w:sz w:val="28"/>
          <w:highlight w:val="none"/>
          <w:lang w:val="en-US"/>
        </w:rPr>
      </w:pPr>
      <w:r>
        <w:rPr>
          <w:rFonts w:hint="eastAsia" w:ascii="Arial" w:hAnsi="Arial" w:eastAsia="仿宋_GB2312" w:cs="Arial"/>
          <w:sz w:val="28"/>
          <w:highlight w:val="none"/>
        </w:rPr>
        <w:t>根据</w:t>
      </w:r>
      <w:r>
        <w:rPr>
          <w:rFonts w:hint="eastAsia" w:ascii="Arial" w:hAnsi="Arial" w:eastAsia="仿宋" w:cs="Arial"/>
          <w:sz w:val="28"/>
          <w:szCs w:val="28"/>
          <w:highlight w:val="none"/>
        </w:rPr>
        <w:t>《中华人民共和国增值税法》</w:t>
      </w:r>
      <w:r>
        <w:rPr>
          <w:rFonts w:hint="eastAsia" w:ascii="Arial" w:hAnsi="Arial" w:eastAsia="仿宋" w:cs="Arial"/>
          <w:sz w:val="28"/>
          <w:szCs w:val="28"/>
          <w:highlight w:val="none"/>
          <w:lang w:val="en-US" w:eastAsia="zh-CN"/>
        </w:rPr>
        <w:t>及</w:t>
      </w:r>
      <w:r>
        <w:rPr>
          <w:rFonts w:hint="eastAsia" w:ascii="Arial" w:hAnsi="Arial" w:eastAsia="仿宋" w:cs="Arial"/>
          <w:sz w:val="28"/>
          <w:szCs w:val="28"/>
          <w:highlight w:val="none"/>
        </w:rPr>
        <w:t>《中华人民共和国增值税法实施条例》</w:t>
      </w:r>
      <w:r>
        <w:rPr>
          <w:rFonts w:hint="eastAsia" w:ascii="Arial" w:hAnsi="Arial" w:eastAsia="仿宋_GB2312" w:cs="Arial"/>
          <w:sz w:val="28"/>
          <w:highlight w:val="none"/>
          <w:lang w:val="en-US" w:eastAsia="zh-CN"/>
        </w:rPr>
        <w:t>相关规定</w:t>
      </w:r>
      <w:r>
        <w:rPr>
          <w:rFonts w:hint="eastAsia" w:ascii="Arial" w:hAnsi="Arial" w:eastAsia="仿宋_GB2312" w:cs="Arial"/>
          <w:sz w:val="28"/>
          <w:highlight w:val="none"/>
          <w:lang w:eastAsia="zh-CN"/>
        </w:rPr>
        <w:t>，对于一般纳税人自行开发销售的新建项目，</w:t>
      </w:r>
      <w:r>
        <w:rPr>
          <w:rFonts w:hint="eastAsia" w:ascii="Arial" w:hAnsi="Arial" w:eastAsia="仿宋_GB2312" w:cs="Arial"/>
          <w:sz w:val="28"/>
          <w:highlight w:val="none"/>
        </w:rPr>
        <w:t>适宜采用一般计税方式测算增值税</w:t>
      </w:r>
      <w:r>
        <w:rPr>
          <w:rFonts w:hint="eastAsia" w:ascii="Arial" w:hAnsi="Arial" w:eastAsia="仿宋_GB2312" w:cs="Arial"/>
          <w:sz w:val="28"/>
          <w:highlight w:val="none"/>
          <w:lang w:eastAsia="zh-CN"/>
        </w:rPr>
        <w:t>。</w:t>
      </w:r>
      <w:r>
        <w:rPr>
          <w:rFonts w:hint="default" w:ascii="Arial" w:hAnsi="Arial" w:eastAsia="仿宋_GB2312" w:cs="Arial"/>
          <w:sz w:val="28"/>
          <w:highlight w:val="none"/>
          <w:lang w:val="en-US" w:eastAsia="zh-CN"/>
        </w:rPr>
        <w:t>销售不动产税率为9%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进项税额中建筑安装工程费、</w:t>
      </w:r>
      <w:r>
        <w:rPr>
          <w:rFonts w:hint="eastAsia" w:ascii="Arial" w:hAnsi="Arial" w:eastAsia="仿宋_GB2312" w:cs="Arial"/>
          <w:sz w:val="28"/>
          <w:highlight w:val="none"/>
          <w:lang w:val="en-US" w:eastAsia="zh-CN"/>
        </w:rPr>
        <w:t>基础设施建设费</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公共配套设施建设费</w:t>
      </w:r>
      <w:r>
        <w:rPr>
          <w:rFonts w:hint="default" w:ascii="Arial" w:hAnsi="Arial" w:eastAsia="仿宋_GB2312" w:cs="Arial"/>
          <w:sz w:val="28"/>
          <w:highlight w:val="none"/>
          <w:lang w:val="en-US" w:eastAsia="zh-CN"/>
        </w:rPr>
        <w:t>属于建筑行业，税率为9%；</w:t>
      </w:r>
      <w:r>
        <w:rPr>
          <w:rFonts w:hint="eastAsia" w:ascii="Arial" w:hAnsi="Arial" w:eastAsia="仿宋_GB2312" w:cs="Arial"/>
          <w:sz w:val="28"/>
          <w:highlight w:val="none"/>
          <w:lang w:val="en-US" w:eastAsia="zh-CN"/>
        </w:rPr>
        <w:t>前期费用</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其他工程费、</w:t>
      </w:r>
      <w:r>
        <w:rPr>
          <w:rFonts w:hint="default" w:ascii="Arial" w:hAnsi="Arial" w:eastAsia="仿宋_GB2312" w:cs="Arial"/>
          <w:sz w:val="28"/>
          <w:highlight w:val="none"/>
          <w:lang w:val="en-US" w:eastAsia="zh-CN"/>
        </w:rPr>
        <w:t>销售费用税率为6%</w:t>
      </w:r>
      <w:r>
        <w:rPr>
          <w:rFonts w:hint="eastAsia" w:ascii="Arial" w:hAnsi="Arial" w:eastAsia="仿宋_GB2312" w:cs="Arial"/>
          <w:sz w:val="28"/>
          <w:highlight w:val="none"/>
          <w:lang w:val="en-US" w:eastAsia="zh-CN"/>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574A8A58">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增值税</w:t>
      </w:r>
      <w:r>
        <w:rPr>
          <w:rFonts w:hint="eastAsia" w:ascii="Arial" w:hAnsi="Arial" w:eastAsia="仿宋_GB2312" w:cs="Arial"/>
          <w:sz w:val="28"/>
          <w:highlight w:val="none"/>
        </w:rPr>
        <w:t>基本公式：增值税</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销项税额</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进项税额</w:t>
      </w:r>
    </w:p>
    <w:p w14:paraId="1D9D8BF4">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销项税额</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开发完成后</w:t>
      </w:r>
      <w:r>
        <w:rPr>
          <w:rFonts w:hint="default" w:ascii="Arial" w:hAnsi="Arial" w:eastAsia="仿宋_GB2312" w:cs="Arial"/>
          <w:sz w:val="28"/>
          <w:highlight w:val="none"/>
          <w:lang w:val="en-US" w:eastAsia="zh-CN"/>
        </w:rPr>
        <w:t>不动产总价</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土地使用权</w:t>
      </w:r>
      <w:r>
        <w:rPr>
          <w:rFonts w:hint="eastAsia" w:ascii="Arial" w:hAnsi="Arial" w:eastAsia="仿宋_GB2312"/>
          <w:sz w:val="28"/>
          <w:highlight w:val="none"/>
        </w:rPr>
        <w:t>总价</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p>
    <w:p w14:paraId="3CAFCEF5">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进项税额</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建筑安装工程费＋基础设施建设费＋公共配套设施建设费</w:t>
      </w:r>
      <w:r>
        <w:rPr>
          <w:rFonts w:hint="eastAsia" w:ascii="Arial" w:hAnsi="Arial" w:eastAsia="仿宋_GB2312" w:cs="Arial"/>
          <w:sz w:val="28"/>
          <w:highlight w:val="none"/>
          <w:lang w:val="en-US" w:eastAsia="zh-CN"/>
        </w:rPr>
        <w:t>＋开发期间税费）÷</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前期费用</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其他工程费＋</w:t>
      </w:r>
      <w:r>
        <w:rPr>
          <w:rFonts w:hint="default" w:ascii="Arial" w:hAnsi="Arial" w:eastAsia="仿宋_GB2312" w:cs="Arial"/>
          <w:sz w:val="28"/>
          <w:highlight w:val="none"/>
          <w:lang w:val="en-US" w:eastAsia="zh-CN"/>
        </w:rPr>
        <w:t>销售费用</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 xml:space="preserve">6%。 </w:t>
      </w:r>
    </w:p>
    <w:p w14:paraId="5EA62EEE">
      <w:pPr>
        <w:spacing w:line="300" w:lineRule="auto"/>
        <w:ind w:firstLine="560" w:firstLineChars="200"/>
        <w:jc w:val="left"/>
        <w:rPr>
          <w:rFonts w:hint="eastAsia" w:ascii="Arial" w:hAnsi="Arial" w:eastAsia="仿宋_GB2312" w:cs="Arial"/>
          <w:sz w:val="28"/>
          <w:highlight w:val="none"/>
          <w:lang w:val="en-US" w:eastAsia="zh-CN"/>
        </w:rPr>
      </w:pPr>
      <w:r>
        <w:rPr>
          <w:rFonts w:hint="eastAsia" w:ascii="Arial" w:hAnsi="Arial" w:eastAsia="仿宋_GB2312"/>
          <w:sz w:val="28"/>
          <w:highlight w:val="none"/>
        </w:rPr>
        <w:t>销售税费</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205917.6285－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34074.2700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3407.4270＋2725.9416</w:t>
      </w:r>
      <w:r>
        <w:rPr>
          <w:rFonts w:hint="eastAsia" w:ascii="Arial" w:hAnsi="Arial" w:eastAsia="仿宋_GB2312" w:cs="Arial"/>
          <w:sz w:val="28"/>
          <w:highlight w:val="none"/>
          <w:lang w:val="en-US" w:eastAsia="zh-CN"/>
        </w:rPr>
        <w:t>＋681.4854</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2725.9416</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1703.7135＋6177.5289</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}×（1＋5%＋3%＋2%）</w:t>
      </w:r>
    </w:p>
    <w:p w14:paraId="3A7D265A">
      <w:pPr>
        <w:spacing w:line="300" w:lineRule="auto"/>
        <w:ind w:firstLine="1680" w:firstLineChars="600"/>
        <w:jc w:val="left"/>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＝14328.3802－</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r>
        <w:rPr>
          <w:rFonts w:hint="eastAsia" w:ascii="Arial" w:hAnsi="Arial" w:eastAsia="仿宋" w:cs="Arial"/>
          <w:bCs/>
          <w:sz w:val="21"/>
          <w:szCs w:val="21"/>
          <w:highlight w:val="none"/>
          <w:vertAlign w:val="subscript"/>
        </w:rPr>
        <w:t>土</w:t>
      </w:r>
      <w:r>
        <w:rPr>
          <w:rFonts w:hint="default" w:ascii="Arial" w:hAnsi="Arial" w:eastAsia="仿宋_GB2312" w:cs="Arial"/>
          <w:sz w:val="28"/>
          <w:highlight w:val="none"/>
          <w:lang w:val="en-US" w:eastAsia="zh-CN"/>
        </w:rPr>
        <w:t>（万元）</w:t>
      </w:r>
    </w:p>
    <w:p w14:paraId="0EF1A594">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ascii="Arial" w:hAnsi="Arial" w:eastAsia="仿宋_GB2312"/>
          <w:sz w:val="28"/>
          <w:highlight w:val="none"/>
        </w:rPr>
        <w:t>.</w:t>
      </w:r>
      <w:r>
        <w:rPr>
          <w:rFonts w:hint="eastAsia" w:ascii="仿宋_GB2312" w:eastAsia="仿宋_GB2312"/>
          <w:sz w:val="28"/>
          <w:highlight w:val="none"/>
        </w:rPr>
        <w:t>开发成本</w:t>
      </w:r>
    </w:p>
    <w:p w14:paraId="5217A33D">
      <w:pPr>
        <w:spacing w:line="300" w:lineRule="auto"/>
        <w:ind w:firstLine="560" w:firstLineChars="200"/>
        <w:jc w:val="both"/>
        <w:rPr>
          <w:rFonts w:ascii="仿宋_GB2312" w:eastAsia="仿宋_GB2312"/>
          <w:sz w:val="28"/>
          <w:highlight w:val="none"/>
        </w:rPr>
      </w:pPr>
      <w:r>
        <w:rPr>
          <w:rFonts w:hint="eastAsia" w:ascii="仿宋_GB2312" w:eastAsia="仿宋_GB2312"/>
          <w:sz w:val="28"/>
          <w:highlight w:val="none"/>
        </w:rPr>
        <w:t>开发成本为上述</w:t>
      </w:r>
      <w:r>
        <w:rPr>
          <w:rFonts w:hint="eastAsia" w:ascii="Arial" w:hAnsi="Arial" w:eastAsia="仿宋_GB2312"/>
          <w:sz w:val="28"/>
          <w:highlight w:val="none"/>
          <w:lang w:val="en-US" w:eastAsia="zh-CN"/>
        </w:rPr>
        <w:t>6</w:t>
      </w:r>
      <w:r>
        <w:rPr>
          <w:rFonts w:hint="eastAsia" w:ascii="仿宋_GB2312" w:eastAsia="仿宋_GB2312"/>
          <w:sz w:val="28"/>
          <w:highlight w:val="none"/>
        </w:rPr>
        <w:t>项合计，则有：</w:t>
      </w:r>
    </w:p>
    <w:p w14:paraId="7B58B662">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w:t>
      </w:r>
    </w:p>
    <w:p w14:paraId="36C8F736">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rPr>
        <w:t>购地税费</w:t>
      </w:r>
      <w:r>
        <w:rPr>
          <w:rFonts w:hint="eastAsia" w:ascii="Arial" w:hAnsi="Arial" w:eastAsia="仿宋_GB2312"/>
          <w:sz w:val="28"/>
          <w:highlight w:val="none"/>
          <w:lang w:eastAsia="zh-CN"/>
        </w:rPr>
        <w:t>＋</w:t>
      </w:r>
      <w:r>
        <w:rPr>
          <w:rFonts w:hint="eastAsia" w:ascii="Arial" w:hAnsi="Arial" w:eastAsia="仿宋_GB2312"/>
          <w:sz w:val="28"/>
          <w:highlight w:val="none"/>
        </w:rPr>
        <w:t>房屋建设成本</w:t>
      </w:r>
      <w:r>
        <w:rPr>
          <w:rFonts w:hint="eastAsia" w:ascii="Arial" w:hAnsi="Arial" w:eastAsia="仿宋_GB2312"/>
          <w:sz w:val="28"/>
          <w:highlight w:val="none"/>
          <w:lang w:eastAsia="zh-CN"/>
        </w:rPr>
        <w:t>＋</w:t>
      </w:r>
      <w:r>
        <w:rPr>
          <w:rFonts w:hint="eastAsia" w:ascii="Arial" w:hAnsi="Arial" w:eastAsia="仿宋_GB2312"/>
          <w:sz w:val="28"/>
          <w:highlight w:val="none"/>
        </w:rPr>
        <w:t>管理费用</w:t>
      </w:r>
      <w:r>
        <w:rPr>
          <w:rFonts w:hint="eastAsia" w:ascii="Arial" w:hAnsi="Arial" w:eastAsia="仿宋_GB2312"/>
          <w:sz w:val="28"/>
          <w:highlight w:val="none"/>
          <w:lang w:eastAsia="zh-CN"/>
        </w:rPr>
        <w:t>＋</w:t>
      </w:r>
      <w:r>
        <w:rPr>
          <w:rFonts w:hint="eastAsia" w:ascii="Arial" w:hAnsi="Arial" w:eastAsia="仿宋_GB2312"/>
          <w:sz w:val="28"/>
          <w:highlight w:val="none"/>
        </w:rPr>
        <w:t>销售费用</w:t>
      </w:r>
      <w:r>
        <w:rPr>
          <w:rFonts w:hint="eastAsia" w:ascii="Arial" w:hAnsi="Arial" w:eastAsia="仿宋_GB2312"/>
          <w:sz w:val="28"/>
          <w:highlight w:val="none"/>
          <w:lang w:eastAsia="zh-CN"/>
        </w:rPr>
        <w:t>＋</w:t>
      </w:r>
      <w:r>
        <w:rPr>
          <w:rFonts w:hint="eastAsia" w:ascii="Arial" w:hAnsi="Arial" w:eastAsia="仿宋_GB2312"/>
          <w:sz w:val="28"/>
          <w:highlight w:val="none"/>
        </w:rPr>
        <w:t>投资利息</w:t>
      </w:r>
      <w:r>
        <w:rPr>
          <w:rFonts w:hint="eastAsia" w:ascii="Arial" w:hAnsi="Arial" w:eastAsia="仿宋_GB2312"/>
          <w:sz w:val="28"/>
          <w:highlight w:val="none"/>
          <w:lang w:eastAsia="zh-CN"/>
        </w:rPr>
        <w:t>＋</w:t>
      </w:r>
      <w:r>
        <w:rPr>
          <w:rFonts w:hint="eastAsia" w:ascii="Arial" w:hAnsi="Arial" w:eastAsia="仿宋_GB2312"/>
          <w:sz w:val="28"/>
          <w:highlight w:val="none"/>
        </w:rPr>
        <w:t>销售税费</w:t>
      </w:r>
    </w:p>
    <w:p w14:paraId="47C22B6E">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cs="Arial"/>
          <w:sz w:val="28"/>
          <w:highlight w:val="none"/>
          <w:lang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45318.7791</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1359.5634</w:t>
      </w: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6177.5289</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2597.5476</w:t>
      </w:r>
    </w:p>
    <w:p w14:paraId="2A37E6E0">
      <w:pPr>
        <w:spacing w:line="300" w:lineRule="auto"/>
        <w:ind w:firstLine="560" w:firstLineChars="200"/>
        <w:jc w:val="both"/>
        <w:rPr>
          <w:rFonts w:ascii="Arial" w:hAnsi="Arial" w:eastAsia="仿宋_GB2312" w:cs="Arial"/>
          <w:sz w:val="28"/>
          <w:highlight w:val="none"/>
        </w:rPr>
      </w:pPr>
      <w:r>
        <w:rPr>
          <w:rFonts w:hint="eastAsia" w:ascii="Arial" w:hAnsi="Arial" w:eastAsia="仿宋_GB2312"/>
          <w:sz w:val="28"/>
          <w:highlight w:val="none"/>
          <w:lang w:val="en-US" w:eastAsia="zh-CN"/>
        </w:rPr>
        <w:t>＋0.1038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14328.3802－</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p>
    <w:p w14:paraId="6C887E1E">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eastAsia="zh-CN"/>
        </w:rPr>
        <w:t>＝</w:t>
      </w:r>
      <w:r>
        <w:rPr>
          <w:rFonts w:hint="eastAsia" w:ascii="Arial" w:hAnsi="Arial" w:eastAsia="仿宋_GB2312"/>
          <w:sz w:val="28"/>
          <w:highlight w:val="none"/>
          <w:lang w:val="en-US" w:eastAsia="zh-CN"/>
        </w:rPr>
        <w:t>69781.7992</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0.0434</w:t>
      </w:r>
      <w:r>
        <w:rPr>
          <w:rFonts w:ascii="Arial" w:hAnsi="Arial" w:eastAsia="仿宋_GB2312"/>
          <w:sz w:val="28"/>
          <w:highlight w:val="none"/>
        </w:rPr>
        <w:t xml:space="preserve"> P</w:t>
      </w:r>
      <w:r>
        <w:rPr>
          <w:rFonts w:hint="eastAsia" w:ascii="仿宋_GB2312"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79A0F1E9">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D</w:t>
      </w:r>
      <w:r>
        <w:rPr>
          <w:rFonts w:ascii="Arial" w:hAnsi="Arial" w:eastAsia="仿宋_GB2312"/>
          <w:sz w:val="28"/>
          <w:highlight w:val="none"/>
        </w:rPr>
        <w:t>.</w:t>
      </w:r>
      <w:r>
        <w:rPr>
          <w:rFonts w:hint="eastAsia" w:ascii="仿宋_GB2312" w:eastAsia="仿宋_GB2312"/>
          <w:sz w:val="28"/>
          <w:highlight w:val="none"/>
        </w:rPr>
        <w:t>开发利润（投资利润）</w:t>
      </w:r>
    </w:p>
    <w:p w14:paraId="4C9CF63D">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开发利润是指房地产开发商投资房地产开发项目应取得的资金报酬及承担</w:t>
      </w:r>
      <w:r>
        <w:rPr>
          <w:rFonts w:hint="eastAsia" w:ascii="Arial" w:hAnsi="Arial" w:eastAsia="仿宋_GB2312" w:cs="Arial"/>
          <w:sz w:val="28"/>
          <w:highlight w:val="none"/>
          <w:lang w:val="en-US" w:eastAsia="zh-CN"/>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59A7764E">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根据《北京市国有建设用地使用权出让地价评估技术导则》（2026年2月10日实施），剩余法房地产开发投资利润率，参考区间值住宅用途为25%－35%。估价对象位于北京市顺义区，结合估价对象容积率等自身条件，本次取城镇住宅用地开发商投资利润率为30%。</w:t>
      </w:r>
      <w:r>
        <w:rPr>
          <w:rFonts w:hint="eastAsia" w:ascii="仿宋_GB2312" w:eastAsia="仿宋_GB2312"/>
          <w:sz w:val="28"/>
          <w:highlight w:val="none"/>
        </w:rPr>
        <w:t>则有：</w:t>
      </w:r>
    </w:p>
    <w:p w14:paraId="5469279C">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投资利润</w:t>
      </w:r>
    </w:p>
    <w:p w14:paraId="4FC528CD">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＝（估价对象土地价格＋购地税费＋房屋建设成本＋管理费用＋销售费用）×投资利润率</w:t>
      </w:r>
    </w:p>
    <w:p w14:paraId="46DD5CC4">
      <w:pPr>
        <w:spacing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w:t>
      </w:r>
      <w:r>
        <w:rPr>
          <w:rFonts w:hint="eastAsia" w:ascii="仿宋_GB2312" w:eastAsia="仿宋_GB2312"/>
          <w:sz w:val="28"/>
          <w:highlight w:val="none"/>
        </w:rPr>
        <w:t xml:space="preserve"> </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Arial" w:hAnsi="Arial" w:eastAsia="仿宋_GB2312" w:cs="Arial"/>
          <w:sz w:val="28"/>
          <w:highlight w:val="none"/>
          <w:lang w:val="en-US" w:eastAsia="zh-CN"/>
        </w:rPr>
        <w:t>＋3.05%</w:t>
      </w:r>
      <w:r>
        <w:rPr>
          <w:rFonts w:hint="eastAsia" w:ascii="仿宋_GB2312" w:eastAsia="仿宋_GB2312"/>
          <w:sz w:val="28"/>
          <w:highlight w:val="none"/>
        </w:rPr>
        <w:t xml:space="preserve"> </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45318.7791</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1359.5634</w:t>
      </w: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6177.5289</w:t>
      </w:r>
      <w:r>
        <w:rPr>
          <w:rFonts w:hint="eastAsia" w:ascii="Arial" w:hAnsi="Arial" w:eastAsia="仿宋_GB2312" w:cs="Arial"/>
          <w:sz w:val="28"/>
          <w:highlight w:val="none"/>
          <w:lang w:val="en-US" w:eastAsia="zh-CN"/>
        </w:rPr>
        <w:t>）×30%</w:t>
      </w:r>
    </w:p>
    <w:p w14:paraId="563B410B">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15856.7614</w:t>
      </w:r>
      <w:r>
        <w:rPr>
          <w:rFonts w:hint="eastAsia" w:ascii="Arial" w:hAnsi="Arial" w:eastAsia="仿宋" w:cs="Arial"/>
          <w:sz w:val="28"/>
          <w:highlight w:val="none"/>
          <w:lang w:eastAsia="zh-CN"/>
        </w:rPr>
        <w:t>＋</w:t>
      </w:r>
      <w:r>
        <w:rPr>
          <w:rFonts w:ascii="Arial" w:hAnsi="Arial" w:eastAsia="仿宋" w:cs="Arial"/>
          <w:sz w:val="28"/>
          <w:highlight w:val="none"/>
        </w:rPr>
        <w:t>0.3092</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仿宋_GB2312" w:eastAsia="仿宋_GB2312"/>
          <w:sz w:val="28"/>
          <w:highlight w:val="none"/>
        </w:rPr>
        <w:t>（万元）</w:t>
      </w:r>
    </w:p>
    <w:p w14:paraId="092C720E">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E</w:t>
      </w:r>
      <w:r>
        <w:rPr>
          <w:rFonts w:ascii="Arial" w:hAnsi="Arial" w:eastAsia="仿宋_GB2312"/>
          <w:sz w:val="28"/>
          <w:highlight w:val="none"/>
        </w:rPr>
        <w:t>.</w:t>
      </w:r>
      <w:r>
        <w:rPr>
          <w:rFonts w:hint="eastAsia" w:ascii="仿宋_GB2312" w:eastAsia="仿宋_GB2312"/>
          <w:sz w:val="28"/>
          <w:highlight w:val="none"/>
        </w:rPr>
        <w:t>求取估价对象土地价格</w:t>
      </w:r>
    </w:p>
    <w:p w14:paraId="1E97B3E0">
      <w:pPr>
        <w:spacing w:line="300" w:lineRule="auto"/>
        <w:ind w:firstLine="600" w:firstLineChars="200"/>
        <w:jc w:val="both"/>
        <w:rPr>
          <w:rFonts w:ascii="仿宋_GB2312" w:eastAsia="仿宋_GB2312"/>
          <w:spacing w:val="10"/>
          <w:sz w:val="28"/>
          <w:highlight w:val="none"/>
        </w:rPr>
      </w:pPr>
      <w:r>
        <w:rPr>
          <w:rFonts w:hint="eastAsia" w:ascii="仿宋_GB2312" w:eastAsia="仿宋_GB2312"/>
          <w:spacing w:val="10"/>
          <w:sz w:val="28"/>
          <w:highlight w:val="none"/>
        </w:rPr>
        <w:t>土地价格（</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仿宋_GB2312" w:eastAsia="仿宋_GB2312"/>
          <w:spacing w:val="10"/>
          <w:sz w:val="28"/>
          <w:highlight w:val="none"/>
        </w:rPr>
        <w:t>）</w:t>
      </w:r>
    </w:p>
    <w:p w14:paraId="4574181B">
      <w:pPr>
        <w:spacing w:line="300" w:lineRule="auto"/>
        <w:ind w:firstLine="560" w:firstLineChars="200"/>
        <w:jc w:val="both"/>
        <w:rPr>
          <w:rFonts w:ascii="仿宋_GB2312" w:eastAsia="仿宋_GB2312"/>
          <w:sz w:val="28"/>
          <w:highlight w:val="none"/>
        </w:rPr>
      </w:pPr>
      <w:r>
        <w:rPr>
          <w:rFonts w:hint="eastAsia" w:ascii="仿宋_GB2312" w:eastAsia="仿宋_GB2312"/>
          <w:sz w:val="28"/>
          <w:highlight w:val="none"/>
          <w:lang w:eastAsia="zh-CN"/>
        </w:rPr>
        <w:t>＝</w:t>
      </w:r>
      <w:r>
        <w:rPr>
          <w:rFonts w:hint="eastAsia" w:ascii="仿宋_GB2312" w:eastAsia="仿宋_GB2312"/>
          <w:sz w:val="28"/>
          <w:highlight w:val="none"/>
        </w:rPr>
        <w:t>开发完成后的不动产总价</w:t>
      </w:r>
      <w:r>
        <w:rPr>
          <w:rFonts w:hint="eastAsia" w:ascii="仿宋_GB2312" w:eastAsia="仿宋_GB2312"/>
          <w:sz w:val="28"/>
          <w:highlight w:val="none"/>
          <w:lang w:eastAsia="zh-CN"/>
        </w:rPr>
        <w:t>－</w:t>
      </w:r>
      <w:r>
        <w:rPr>
          <w:rFonts w:hint="eastAsia" w:ascii="仿宋_GB2312" w:eastAsia="仿宋_GB2312"/>
          <w:sz w:val="28"/>
          <w:highlight w:val="none"/>
        </w:rPr>
        <w:t>开发成本</w:t>
      </w:r>
      <w:r>
        <w:rPr>
          <w:rFonts w:hint="eastAsia" w:ascii="仿宋_GB2312" w:eastAsia="仿宋_GB2312"/>
          <w:sz w:val="28"/>
          <w:highlight w:val="none"/>
          <w:lang w:eastAsia="zh-CN"/>
        </w:rPr>
        <w:t>－</w:t>
      </w:r>
      <w:r>
        <w:rPr>
          <w:rFonts w:hint="eastAsia" w:ascii="仿宋_GB2312" w:eastAsia="仿宋_GB2312"/>
          <w:sz w:val="28"/>
          <w:highlight w:val="none"/>
        </w:rPr>
        <w:t>开发利润</w:t>
      </w:r>
    </w:p>
    <w:p w14:paraId="6C2D3BF2">
      <w:pPr>
        <w:spacing w:line="300" w:lineRule="auto"/>
        <w:ind w:firstLine="560" w:firstLineChars="200"/>
        <w:jc w:val="left"/>
        <w:rPr>
          <w:rFonts w:ascii="Arial" w:hAnsi="Arial"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cs="Arial"/>
          <w:sz w:val="28"/>
          <w:highlight w:val="none"/>
          <w:lang w:val="en-US" w:eastAsia="zh-CN"/>
        </w:rPr>
        <w:t>205917.6285</w:t>
      </w:r>
      <w:r>
        <w:rPr>
          <w:rFonts w:hint="eastAsia" w:ascii="仿宋_GB2312" w:eastAsia="仿宋_GB2312"/>
          <w:sz w:val="28"/>
          <w:highlight w:val="none"/>
          <w:lang w:eastAsia="zh-CN"/>
        </w:rPr>
        <w:t>－</w:t>
      </w:r>
      <w:r>
        <w:rPr>
          <w:rFonts w:hint="eastAsia" w:ascii="Arial" w:hAnsi="Arial" w:eastAsia="仿宋_GB2312" w:cs="Arial"/>
          <w:sz w:val="28"/>
          <w:highlight w:val="none"/>
        </w:rPr>
        <w:t>（</w:t>
      </w:r>
      <w:r>
        <w:rPr>
          <w:rFonts w:hint="eastAsia" w:ascii="Arial" w:hAnsi="Arial" w:eastAsia="仿宋_GB2312"/>
          <w:sz w:val="28"/>
          <w:highlight w:val="none"/>
          <w:lang w:val="en-US" w:eastAsia="zh-CN"/>
        </w:rPr>
        <w:t>69781.7992</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0.0434</w:t>
      </w:r>
      <w:r>
        <w:rPr>
          <w:rFonts w:ascii="Arial" w:hAnsi="Arial" w:eastAsia="仿宋_GB2312"/>
          <w:sz w:val="28"/>
          <w:highlight w:val="none"/>
        </w:rPr>
        <w:t xml:space="preserve"> P</w:t>
      </w:r>
      <w:r>
        <w:rPr>
          <w:rFonts w:hint="eastAsia" w:ascii="仿宋_GB2312" w:eastAsia="仿宋_GB2312"/>
          <w:sz w:val="28"/>
          <w:highlight w:val="none"/>
          <w:vertAlign w:val="subscript"/>
        </w:rPr>
        <w:t>土</w:t>
      </w:r>
      <w:r>
        <w:rPr>
          <w:rFonts w:hint="eastAsia" w:ascii="Arial" w:hAnsi="Arial" w:eastAsia="仿宋_GB2312" w:cs="Arial"/>
          <w:sz w:val="28"/>
          <w:highlight w:val="none"/>
        </w:rPr>
        <w:t>）</w:t>
      </w:r>
      <w:r>
        <w:rPr>
          <w:rFonts w:hint="eastAsia" w:ascii="Arial" w:hAnsi="Arial" w:eastAsia="仿宋_GB2312" w:cs="Arial"/>
          <w:sz w:val="28"/>
          <w:highlight w:val="none"/>
          <w:lang w:val="en-US" w:eastAsia="zh-CN"/>
        </w:rPr>
        <w:t>－</w:t>
      </w:r>
      <w:r>
        <w:rPr>
          <w:rFonts w:hint="eastAsia" w:ascii="Arial" w:hAnsi="Arial" w:eastAsia="仿宋_GB2312" w:cs="Arial"/>
          <w:sz w:val="28"/>
          <w:highlight w:val="none"/>
          <w:lang w:eastAsia="zh-CN"/>
        </w:rPr>
        <w:t>（</w:t>
      </w:r>
      <w:r>
        <w:rPr>
          <w:rFonts w:hint="eastAsia" w:ascii="Arial" w:hAnsi="Arial" w:eastAsia="仿宋_GB2312"/>
          <w:sz w:val="28"/>
          <w:highlight w:val="none"/>
          <w:lang w:val="en-US" w:eastAsia="zh-CN"/>
        </w:rPr>
        <w:t>15856.7614</w:t>
      </w:r>
      <w:r>
        <w:rPr>
          <w:rFonts w:hint="eastAsia" w:ascii="Arial" w:hAnsi="Arial" w:eastAsia="仿宋" w:cs="Arial"/>
          <w:sz w:val="28"/>
          <w:highlight w:val="none"/>
          <w:lang w:eastAsia="zh-CN"/>
        </w:rPr>
        <w:t>＋</w:t>
      </w:r>
      <w:r>
        <w:rPr>
          <w:rFonts w:ascii="Arial" w:hAnsi="Arial" w:eastAsia="仿宋" w:cs="Arial"/>
          <w:sz w:val="28"/>
          <w:highlight w:val="none"/>
        </w:rPr>
        <w:t>0.3092</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仿宋_GB2312" w:eastAsia="仿宋_GB2312"/>
          <w:sz w:val="28"/>
          <w:highlight w:val="none"/>
        </w:rPr>
        <w:t xml:space="preserve">） </w:t>
      </w:r>
    </w:p>
    <w:p w14:paraId="029A6948">
      <w:pPr>
        <w:spacing w:before="120" w:beforeLines="50" w:after="120" w:afterLines="50" w:line="300" w:lineRule="auto"/>
        <w:ind w:firstLine="560" w:firstLineChars="200"/>
        <w:rPr>
          <w:rFonts w:ascii="仿宋_GB2312"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88924.3442</w:t>
      </w:r>
      <w:r>
        <w:rPr>
          <w:rFonts w:hint="eastAsia" w:ascii="仿宋_GB2312" w:eastAsia="仿宋_GB2312"/>
          <w:sz w:val="28"/>
          <w:highlight w:val="none"/>
        </w:rPr>
        <w:t>（万元）</w:t>
      </w:r>
    </w:p>
    <w:p w14:paraId="6541666C">
      <w:pPr>
        <w:spacing w:line="300" w:lineRule="auto"/>
        <w:ind w:firstLine="560" w:firstLineChars="200"/>
        <w:jc w:val="both"/>
        <w:rPr>
          <w:rFonts w:ascii="Arial" w:hAnsi="Arial" w:eastAsia="仿宋" w:cs="Arial"/>
          <w:sz w:val="28"/>
          <w:highlight w:val="none"/>
        </w:rPr>
      </w:pPr>
      <w:r>
        <w:rPr>
          <w:rFonts w:hint="eastAsia" w:ascii="Arial" w:hAnsi="Arial" w:eastAsia="仿宋" w:cs="Arial"/>
          <w:sz w:val="28"/>
          <w:highlight w:val="none"/>
          <w:lang w:eastAsia="zh-CN"/>
        </w:rPr>
        <w:t>楼面地价＝</w:t>
      </w:r>
      <w:r>
        <w:rPr>
          <w:rFonts w:ascii="Arial" w:hAnsi="Arial" w:eastAsia="仿宋" w:cs="Arial"/>
          <w:sz w:val="28"/>
          <w:highlight w:val="none"/>
        </w:rPr>
        <w:t>土地价格</w:t>
      </w:r>
      <w:r>
        <w:rPr>
          <w:rFonts w:hint="eastAsia" w:ascii="Arial" w:hAnsi="Arial" w:eastAsia="仿宋" w:cs="Arial"/>
          <w:sz w:val="28"/>
          <w:highlight w:val="none"/>
          <w:lang w:eastAsia="zh-CN"/>
        </w:rPr>
        <w:t>÷</w:t>
      </w:r>
      <w:r>
        <w:rPr>
          <w:rFonts w:hint="eastAsia" w:ascii="Arial" w:hAnsi="Arial" w:eastAsia="仿宋" w:cs="Arial"/>
          <w:sz w:val="28"/>
          <w:highlight w:val="none"/>
        </w:rPr>
        <w:t>住宅用房建筑</w:t>
      </w:r>
      <w:r>
        <w:rPr>
          <w:rFonts w:ascii="Arial" w:hAnsi="Arial" w:eastAsia="仿宋" w:cs="Arial"/>
          <w:sz w:val="28"/>
          <w:highlight w:val="none"/>
        </w:rPr>
        <w:t>面积</w:t>
      </w:r>
      <w:r>
        <w:rPr>
          <w:rFonts w:hint="eastAsia" w:ascii="Arial" w:hAnsi="Arial" w:eastAsia="仿宋" w:cs="Arial"/>
          <w:sz w:val="28"/>
          <w:highlight w:val="none"/>
          <w:lang w:eastAsia="zh-CN"/>
        </w:rPr>
        <w:t>×</w:t>
      </w:r>
      <w:r>
        <w:rPr>
          <w:rFonts w:ascii="Arial" w:hAnsi="Arial" w:eastAsia="仿宋" w:cs="Arial"/>
          <w:sz w:val="28"/>
          <w:highlight w:val="none"/>
        </w:rPr>
        <w:t>10000</w:t>
      </w:r>
    </w:p>
    <w:p w14:paraId="4576553C">
      <w:pPr>
        <w:spacing w:line="300" w:lineRule="auto"/>
        <w:ind w:firstLine="560" w:firstLineChars="200"/>
        <w:jc w:val="both"/>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88924.3442</w:t>
      </w:r>
      <w:r>
        <w:rPr>
          <w:rFonts w:hint="eastAsia" w:ascii="Arial" w:hAnsi="Arial" w:eastAsia="仿宋" w:cs="Arial"/>
          <w:sz w:val="28"/>
          <w:highlight w:val="none"/>
          <w:lang w:eastAsia="zh-CN"/>
        </w:rPr>
        <w:t>÷</w:t>
      </w:r>
      <w:r>
        <w:rPr>
          <w:rFonts w:ascii="Arial" w:hAnsi="Arial" w:eastAsia="仿宋" w:cs="Arial"/>
          <w:sz w:val="28"/>
          <w:highlight w:val="none"/>
        </w:rPr>
        <w:t>68148.54</w:t>
      </w:r>
      <w:r>
        <w:rPr>
          <w:rFonts w:hint="eastAsia" w:ascii="Arial" w:hAnsi="Arial" w:eastAsia="仿宋" w:cs="Arial"/>
          <w:sz w:val="28"/>
          <w:highlight w:val="none"/>
          <w:lang w:eastAsia="zh-CN"/>
        </w:rPr>
        <w:t>×</w:t>
      </w:r>
      <w:r>
        <w:rPr>
          <w:rFonts w:ascii="Arial" w:hAnsi="Arial" w:eastAsia="仿宋" w:cs="Arial"/>
          <w:sz w:val="28"/>
          <w:highlight w:val="none"/>
        </w:rPr>
        <w:t>10000</w:t>
      </w:r>
    </w:p>
    <w:p w14:paraId="079F7FB1">
      <w:pPr>
        <w:spacing w:before="120" w:beforeLines="50" w:after="120" w:afterLines="50" w:line="300" w:lineRule="auto"/>
        <w:ind w:firstLine="560" w:firstLineChars="200"/>
        <w:rPr>
          <w:rFonts w:hint="default" w:ascii="Arial" w:hAnsi="Arial" w:eastAsia="仿宋_GB2312" w:cs="Arial"/>
          <w:sz w:val="28"/>
          <w:highlight w:val="none"/>
          <w:lang w:val="en-US" w:eastAsia="zh-CN"/>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13049</w:t>
      </w:r>
      <w:r>
        <w:rPr>
          <w:rFonts w:ascii="Arial" w:hAnsi="Arial" w:eastAsia="仿宋" w:cs="Arial"/>
          <w:sz w:val="28"/>
          <w:highlight w:val="none"/>
        </w:rPr>
        <w:t>（元/平方米）</w:t>
      </w:r>
    </w:p>
    <w:p w14:paraId="29D1E35A">
      <w:pPr>
        <w:spacing w:before="50" w:after="50" w:line="300" w:lineRule="auto"/>
        <w:ind w:firstLine="560" w:firstLineChars="200"/>
        <w:jc w:val="both"/>
        <w:rPr>
          <w:rFonts w:hint="default" w:ascii="Arial" w:hAnsi="Arial" w:eastAsia="仿宋" w:cs="Arial"/>
          <w:sz w:val="28"/>
          <w:highlight w:val="none"/>
          <w:lang w:val="en-US" w:eastAsia="zh-CN"/>
        </w:rPr>
      </w:pPr>
      <w:r>
        <w:rPr>
          <w:rFonts w:hint="eastAsia" w:ascii="Arial" w:hAnsi="Arial" w:eastAsia="仿宋_GB2312" w:cs="Arial"/>
          <w:sz w:val="28"/>
          <w:highlight w:val="none"/>
          <w:lang w:val="en-US" w:eastAsia="zh-CN"/>
        </w:rPr>
        <w:t>考虑代建成本的</w:t>
      </w:r>
      <w:r>
        <w:rPr>
          <w:rFonts w:hint="eastAsia" w:ascii="Arial" w:hAnsi="Arial" w:eastAsia="仿宋" w:cs="Arial"/>
          <w:sz w:val="28"/>
          <w:highlight w:val="none"/>
          <w:lang w:eastAsia="zh-CN"/>
        </w:rPr>
        <w:t>楼面地价</w:t>
      </w:r>
      <w:r>
        <w:rPr>
          <w:rFonts w:hint="eastAsia" w:ascii="Arial" w:hAnsi="Arial" w:eastAsia="仿宋" w:cs="Arial"/>
          <w:sz w:val="28"/>
          <w:highlight w:val="none"/>
          <w:lang w:val="en-US" w:eastAsia="zh-CN"/>
        </w:rPr>
        <w:t>＝12765</w:t>
      </w:r>
      <w:r>
        <w:rPr>
          <w:rFonts w:ascii="Arial" w:hAnsi="Arial" w:eastAsia="仿宋" w:cs="Arial"/>
          <w:sz w:val="28"/>
          <w:highlight w:val="none"/>
        </w:rPr>
        <w:t>（元/平方米）</w:t>
      </w:r>
    </w:p>
    <w:p w14:paraId="1705571D">
      <w:pPr>
        <w:spacing w:before="50" w:after="50" w:line="300" w:lineRule="auto"/>
        <w:ind w:firstLine="560" w:firstLineChars="200"/>
        <w:jc w:val="both"/>
        <w:rPr>
          <w:rFonts w:hint="default" w:ascii="Arial" w:hAnsi="Arial" w:eastAsia="仿宋" w:cs="Arial"/>
          <w:sz w:val="28"/>
          <w:highlight w:val="none"/>
          <w:lang w:val="en-US" w:eastAsia="zh-CN"/>
        </w:rPr>
      </w:pPr>
      <w:r>
        <w:rPr>
          <w:rFonts w:hint="eastAsia" w:ascii="Arial" w:hAnsi="Arial" w:eastAsia="仿宋_GB2312" w:cs="Arial"/>
          <w:sz w:val="28"/>
          <w:highlight w:val="none"/>
          <w:lang w:val="en-US" w:eastAsia="zh-CN"/>
        </w:rPr>
        <w:t>不考虑代建成本的</w:t>
      </w:r>
      <w:r>
        <w:rPr>
          <w:rFonts w:hint="eastAsia" w:ascii="Arial" w:hAnsi="Arial" w:eastAsia="仿宋" w:cs="Arial"/>
          <w:sz w:val="28"/>
          <w:highlight w:val="none"/>
          <w:lang w:eastAsia="zh-CN"/>
        </w:rPr>
        <w:t>楼面地价</w:t>
      </w:r>
      <w:r>
        <w:rPr>
          <w:rFonts w:hint="eastAsia" w:ascii="Arial" w:hAnsi="Arial" w:eastAsia="仿宋" w:cs="Arial"/>
          <w:sz w:val="28"/>
          <w:highlight w:val="none"/>
          <w:lang w:val="en-US" w:eastAsia="zh-CN"/>
        </w:rPr>
        <w:t>＝13049</w:t>
      </w:r>
      <w:r>
        <w:rPr>
          <w:rFonts w:ascii="Arial" w:hAnsi="Arial" w:eastAsia="仿宋" w:cs="Arial"/>
          <w:sz w:val="28"/>
          <w:highlight w:val="none"/>
        </w:rPr>
        <w:t>（元/平方米）</w:t>
      </w:r>
    </w:p>
    <w:p w14:paraId="51D0AE00">
      <w:pPr>
        <w:spacing w:before="50" w:after="50" w:line="300" w:lineRule="auto"/>
        <w:ind w:firstLine="560" w:firstLineChars="200"/>
        <w:jc w:val="both"/>
        <w:rPr>
          <w:rFonts w:hint="default" w:ascii="Arial" w:hAnsi="Arial" w:eastAsia="仿宋_GB2312" w:cs="Arial"/>
          <w:sz w:val="28"/>
          <w:highlight w:val="none"/>
          <w:lang w:val="en-US" w:eastAsia="zh-CN"/>
        </w:rPr>
      </w:pPr>
    </w:p>
    <w:p w14:paraId="464ED789">
      <w:pPr>
        <w:spacing w:before="50" w:after="50" w:line="300" w:lineRule="auto"/>
        <w:ind w:firstLine="560" w:firstLineChars="200"/>
        <w:jc w:val="both"/>
        <w:rPr>
          <w:rFonts w:hint="default" w:ascii="Arial" w:hAnsi="Arial" w:eastAsia="仿宋_GB2312" w:cs="Arial"/>
          <w:sz w:val="28"/>
          <w:highlight w:val="none"/>
          <w:lang w:val="en-US" w:eastAsia="zh-CN"/>
        </w:rPr>
      </w:pPr>
    </w:p>
    <w:p w14:paraId="30E4174E">
      <w:pPr>
        <w:spacing w:before="50" w:after="50" w:line="300" w:lineRule="auto"/>
        <w:ind w:firstLine="560" w:firstLineChars="200"/>
        <w:jc w:val="center"/>
        <w:rPr>
          <w:rFonts w:ascii="Arial" w:hAnsi="Arial" w:eastAsia="仿宋_GB2312" w:cs="Arial"/>
          <w:sz w:val="28"/>
          <w:highlight w:val="none"/>
        </w:rPr>
      </w:pPr>
      <w:r>
        <w:rPr>
          <w:rFonts w:ascii="Arial" w:hAnsi="Arial" w:eastAsia="仿宋_GB2312" w:cs="Arial"/>
          <w:sz w:val="28"/>
          <w:highlight w:val="none"/>
        </w:rPr>
        <w:br w:type="page"/>
      </w:r>
      <w:r>
        <w:rPr>
          <w:rFonts w:ascii="Arial" w:hAnsi="Arial" w:eastAsia="仿宋_GB2312" w:cs="Arial"/>
          <w:sz w:val="28"/>
          <w:highlight w:val="none"/>
        </w:rPr>
        <w:t>剩余法测算表（住宅）</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1"/>
        <w:gridCol w:w="2497"/>
        <w:gridCol w:w="1890"/>
        <w:gridCol w:w="1462"/>
        <w:gridCol w:w="2944"/>
      </w:tblGrid>
      <w:tr w14:paraId="297E32B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395ED2D1">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序号</w:t>
            </w:r>
          </w:p>
        </w:tc>
        <w:tc>
          <w:tcPr>
            <w:tcW w:w="1327" w:type="pct"/>
            <w:shd w:val="clear" w:color="auto" w:fill="auto"/>
            <w:noWrap/>
            <w:vAlign w:val="center"/>
          </w:tcPr>
          <w:p w14:paraId="05CA80B5">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项目名称</w:t>
            </w:r>
          </w:p>
        </w:tc>
        <w:tc>
          <w:tcPr>
            <w:tcW w:w="1004" w:type="pct"/>
            <w:shd w:val="clear" w:color="auto" w:fill="auto"/>
            <w:noWrap/>
            <w:vAlign w:val="center"/>
          </w:tcPr>
          <w:p w14:paraId="44B85EFE">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总额</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万元）</w:t>
            </w:r>
          </w:p>
        </w:tc>
        <w:tc>
          <w:tcPr>
            <w:tcW w:w="777" w:type="pct"/>
            <w:shd w:val="clear" w:color="auto" w:fill="auto"/>
            <w:noWrap/>
            <w:vAlign w:val="center"/>
          </w:tcPr>
          <w:p w14:paraId="41346608">
            <w:pPr>
              <w:widowControl/>
              <w:adjustRightInd/>
              <w:spacing w:line="240" w:lineRule="exact"/>
              <w:textAlignment w:val="auto"/>
              <w:rPr>
                <w:rFonts w:hint="default" w:ascii="Arial" w:hAnsi="Arial" w:eastAsia="仿宋" w:cs="Arial"/>
                <w:bCs/>
                <w:sz w:val="21"/>
                <w:szCs w:val="21"/>
                <w:highlight w:val="none"/>
                <w:lang w:val="en-US" w:eastAsia="zh-CN"/>
              </w:rPr>
            </w:pPr>
            <w:r>
              <w:rPr>
                <w:rFonts w:ascii="Arial" w:hAnsi="Arial" w:eastAsia="仿宋" w:cs="Arial"/>
                <w:bCs/>
                <w:sz w:val="21"/>
                <w:szCs w:val="21"/>
                <w:highlight w:val="none"/>
              </w:rPr>
              <w:t>单价</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元/㎡）</w:t>
            </w:r>
          </w:p>
        </w:tc>
        <w:tc>
          <w:tcPr>
            <w:tcW w:w="1565" w:type="pct"/>
          </w:tcPr>
          <w:p w14:paraId="01D6D38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备注</w:t>
            </w:r>
          </w:p>
        </w:tc>
      </w:tr>
      <w:tr w14:paraId="591330A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96C91A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p>
        </w:tc>
        <w:tc>
          <w:tcPr>
            <w:tcW w:w="1327" w:type="pct"/>
            <w:shd w:val="clear" w:color="auto" w:fill="auto"/>
            <w:noWrap/>
            <w:vAlign w:val="center"/>
          </w:tcPr>
          <w:p w14:paraId="051D08E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开发完成后不动产总价</w:t>
            </w:r>
          </w:p>
        </w:tc>
        <w:tc>
          <w:tcPr>
            <w:tcW w:w="1833" w:type="dxa"/>
            <w:shd w:val="clear" w:color="auto" w:fill="auto"/>
            <w:noWrap/>
            <w:vAlign w:val="center"/>
          </w:tcPr>
          <w:p w14:paraId="45EBD0E6">
            <w:pPr>
              <w:widowControl/>
              <w:adjustRightInd/>
              <w:spacing w:line="240" w:lineRule="exact"/>
              <w:textAlignment w:val="auto"/>
              <w:rPr>
                <w:rFonts w:hint="eastAsia" w:ascii="Arial" w:hAnsi="Arial" w:eastAsia="仿宋" w:cs="Arial"/>
                <w:bCs/>
                <w:sz w:val="21"/>
                <w:szCs w:val="21"/>
                <w:highlight w:val="none"/>
                <w:lang w:eastAsia="zh-CN"/>
              </w:rPr>
            </w:pPr>
            <w:r>
              <w:rPr>
                <w:rFonts w:hint="default" w:ascii="Arial" w:hAnsi="Arial" w:eastAsia="仿宋" w:cs="Arial"/>
                <w:bCs/>
                <w:sz w:val="21"/>
                <w:szCs w:val="21"/>
                <w:highlight w:val="none"/>
                <w:lang w:val="en-US" w:eastAsia="zh-CN"/>
              </w:rPr>
              <w:t xml:space="preserve">205917.6285 </w:t>
            </w:r>
          </w:p>
        </w:tc>
        <w:tc>
          <w:tcPr>
            <w:tcW w:w="1418" w:type="dxa"/>
            <w:shd w:val="clear" w:color="auto" w:fill="auto"/>
            <w:noWrap/>
            <w:vAlign w:val="center"/>
          </w:tcPr>
          <w:p w14:paraId="30678D19">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30216</w:t>
            </w:r>
          </w:p>
        </w:tc>
        <w:tc>
          <w:tcPr>
            <w:tcW w:w="1565" w:type="pct"/>
          </w:tcPr>
          <w:p w14:paraId="0AFAF845">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销售价格</w:t>
            </w:r>
            <w:r>
              <w:rPr>
                <w:rFonts w:hint="eastAsia" w:ascii="Arial" w:hAnsi="Arial" w:eastAsia="仿宋" w:cs="Arial"/>
                <w:bCs/>
                <w:sz w:val="21"/>
                <w:szCs w:val="21"/>
                <w:highlight w:val="none"/>
                <w:lang w:val="en-US" w:eastAsia="zh-CN"/>
              </w:rPr>
              <w:t>×</w:t>
            </w:r>
            <w:r>
              <w:rPr>
                <w:rFonts w:ascii="Arial" w:hAnsi="Arial" w:eastAsia="仿宋" w:cs="Arial"/>
                <w:bCs/>
                <w:sz w:val="21"/>
                <w:szCs w:val="21"/>
                <w:highlight w:val="none"/>
              </w:rPr>
              <w:t>可收益建筑面积</w:t>
            </w:r>
          </w:p>
        </w:tc>
      </w:tr>
      <w:tr w14:paraId="5710D80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503D67D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2</w:t>
            </w:r>
          </w:p>
        </w:tc>
        <w:tc>
          <w:tcPr>
            <w:tcW w:w="1327" w:type="pct"/>
            <w:shd w:val="clear" w:color="auto" w:fill="auto"/>
            <w:noWrap/>
            <w:vAlign w:val="center"/>
          </w:tcPr>
          <w:p w14:paraId="5EC60E74">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开发成本</w:t>
            </w:r>
          </w:p>
        </w:tc>
        <w:tc>
          <w:tcPr>
            <w:tcW w:w="1833" w:type="dxa"/>
            <w:shd w:val="clear" w:color="auto" w:fill="auto"/>
            <w:noWrap/>
            <w:vAlign w:val="center"/>
          </w:tcPr>
          <w:p w14:paraId="6F25666F">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75553.1677 </w:t>
            </w:r>
          </w:p>
        </w:tc>
        <w:tc>
          <w:tcPr>
            <w:tcW w:w="1418" w:type="dxa"/>
            <w:shd w:val="clear" w:color="auto" w:fill="auto"/>
            <w:noWrap/>
            <w:vAlign w:val="center"/>
          </w:tcPr>
          <w:p w14:paraId="5204262C">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10566 </w:t>
            </w:r>
          </w:p>
        </w:tc>
        <w:tc>
          <w:tcPr>
            <w:tcW w:w="1565" w:type="pct"/>
          </w:tcPr>
          <w:p w14:paraId="26744F3F">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6</w:t>
            </w:r>
            <w:r>
              <w:rPr>
                <w:rFonts w:ascii="Arial" w:hAnsi="Arial" w:eastAsia="仿宋" w:cs="Arial"/>
                <w:bCs/>
                <w:sz w:val="21"/>
                <w:szCs w:val="21"/>
                <w:highlight w:val="none"/>
              </w:rPr>
              <w:t>）之和</w:t>
            </w:r>
          </w:p>
        </w:tc>
      </w:tr>
      <w:tr w14:paraId="19D67C7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FF29660">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p>
        </w:tc>
        <w:tc>
          <w:tcPr>
            <w:tcW w:w="1327" w:type="pct"/>
            <w:shd w:val="clear" w:color="auto" w:fill="auto"/>
            <w:noWrap/>
            <w:vAlign w:val="center"/>
          </w:tcPr>
          <w:p w14:paraId="4383EBCB">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购地税费</w:t>
            </w:r>
          </w:p>
        </w:tc>
        <w:tc>
          <w:tcPr>
            <w:tcW w:w="1833" w:type="dxa"/>
            <w:shd w:val="clear" w:color="auto" w:fill="auto"/>
            <w:noWrap/>
            <w:vAlign w:val="center"/>
          </w:tcPr>
          <w:p w14:paraId="6B144323">
            <w:pPr>
              <w:widowControl/>
              <w:adjustRightInd/>
              <w:spacing w:line="240" w:lineRule="exact"/>
              <w:textAlignment w:val="auto"/>
              <w:rPr>
                <w:rFonts w:hint="default" w:ascii="Arial" w:hAnsi="Arial" w:eastAsia="仿宋" w:cs="Arial"/>
                <w:bCs/>
                <w:sz w:val="21"/>
                <w:szCs w:val="21"/>
                <w:highlight w:val="none"/>
                <w:lang w:val="en-US"/>
              </w:rPr>
            </w:pPr>
            <w:r>
              <w:rPr>
                <w:rFonts w:hint="default" w:ascii="Arial" w:hAnsi="Arial" w:eastAsia="仿宋" w:cs="Arial"/>
                <w:bCs/>
                <w:sz w:val="21"/>
                <w:szCs w:val="21"/>
                <w:highlight w:val="none"/>
                <w:lang w:val="en-US" w:eastAsia="zh-CN"/>
              </w:rPr>
              <w:t xml:space="preserve">2653.1719 </w:t>
            </w:r>
          </w:p>
        </w:tc>
        <w:tc>
          <w:tcPr>
            <w:tcW w:w="1418" w:type="dxa"/>
            <w:shd w:val="clear" w:color="auto" w:fill="auto"/>
            <w:noWrap/>
            <w:vAlign w:val="center"/>
          </w:tcPr>
          <w:p w14:paraId="7C39018D">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371 </w:t>
            </w:r>
          </w:p>
        </w:tc>
        <w:tc>
          <w:tcPr>
            <w:tcW w:w="1565" w:type="pct"/>
          </w:tcPr>
          <w:p w14:paraId="2CA52E42">
            <w:pPr>
              <w:widowControl/>
              <w:adjustRightInd/>
              <w:spacing w:line="240" w:lineRule="exact"/>
              <w:textAlignment w:val="auto"/>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r>
      <w:tr w14:paraId="1D32694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C3CBB4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2</w:t>
            </w:r>
            <w:r>
              <w:rPr>
                <w:rFonts w:ascii="Arial" w:hAnsi="Arial" w:eastAsia="仿宋" w:cs="Arial"/>
                <w:bCs/>
                <w:sz w:val="21"/>
                <w:szCs w:val="21"/>
                <w:highlight w:val="none"/>
              </w:rPr>
              <w:t>）</w:t>
            </w:r>
          </w:p>
        </w:tc>
        <w:tc>
          <w:tcPr>
            <w:tcW w:w="1327" w:type="pct"/>
            <w:shd w:val="clear" w:color="auto" w:fill="auto"/>
            <w:noWrap/>
            <w:vAlign w:val="center"/>
          </w:tcPr>
          <w:p w14:paraId="00EA06EA">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房屋建设成本</w:t>
            </w:r>
          </w:p>
        </w:tc>
        <w:tc>
          <w:tcPr>
            <w:tcW w:w="1833" w:type="dxa"/>
            <w:shd w:val="clear" w:color="auto" w:fill="auto"/>
            <w:noWrap/>
            <w:vAlign w:val="center"/>
          </w:tcPr>
          <w:p w14:paraId="2D17EA3E">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47329.7272 </w:t>
            </w:r>
          </w:p>
        </w:tc>
        <w:tc>
          <w:tcPr>
            <w:tcW w:w="1418" w:type="dxa"/>
            <w:shd w:val="clear" w:color="auto" w:fill="auto"/>
            <w:noWrap/>
            <w:vAlign w:val="center"/>
          </w:tcPr>
          <w:p w14:paraId="5FEA07C3">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6619 </w:t>
            </w:r>
          </w:p>
        </w:tc>
        <w:tc>
          <w:tcPr>
            <w:tcW w:w="1565" w:type="pct"/>
          </w:tcPr>
          <w:p w14:paraId="070D1D8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下述</w:t>
            </w:r>
            <w:r>
              <w:rPr>
                <w:rFonts w:hint="eastAsia" w:ascii="Arial" w:hAnsi="Arial" w:eastAsia="仿宋" w:cs="Arial"/>
                <w:sz w:val="21"/>
                <w:szCs w:val="21"/>
                <w:highlight w:val="none"/>
                <w:lang w:val="en-US" w:eastAsia="zh-CN"/>
              </w:rPr>
              <w:t>6</w:t>
            </w:r>
            <w:r>
              <w:rPr>
                <w:rFonts w:ascii="Arial" w:hAnsi="Arial" w:eastAsia="仿宋" w:cs="Arial"/>
                <w:sz w:val="21"/>
                <w:szCs w:val="21"/>
                <w:highlight w:val="none"/>
              </w:rPr>
              <w:t>项之和</w:t>
            </w:r>
          </w:p>
        </w:tc>
      </w:tr>
      <w:tr w14:paraId="002C483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1FDD39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c>
          <w:tcPr>
            <w:tcW w:w="1327" w:type="pct"/>
            <w:shd w:val="clear" w:color="auto" w:fill="auto"/>
            <w:noWrap/>
            <w:vAlign w:val="center"/>
          </w:tcPr>
          <w:p w14:paraId="71A9FE12">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建筑安装工程费</w:t>
            </w:r>
          </w:p>
        </w:tc>
        <w:tc>
          <w:tcPr>
            <w:tcW w:w="1833" w:type="dxa"/>
            <w:shd w:val="clear" w:color="auto" w:fill="auto"/>
            <w:noWrap/>
            <w:vAlign w:val="center"/>
          </w:tcPr>
          <w:p w14:paraId="2184F2AD">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35586.2610 </w:t>
            </w:r>
          </w:p>
        </w:tc>
        <w:tc>
          <w:tcPr>
            <w:tcW w:w="1418" w:type="dxa"/>
            <w:shd w:val="clear" w:color="auto" w:fill="auto"/>
            <w:noWrap/>
            <w:vAlign w:val="center"/>
          </w:tcPr>
          <w:p w14:paraId="3A605EA7">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4977 </w:t>
            </w:r>
          </w:p>
        </w:tc>
        <w:tc>
          <w:tcPr>
            <w:tcW w:w="1565" w:type="pct"/>
          </w:tcPr>
          <w:p w14:paraId="326C4F55">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考虑托幼用地建设成本</w:t>
            </w:r>
          </w:p>
        </w:tc>
      </w:tr>
      <w:tr w14:paraId="36837B2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DDB6C1A">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w:t>
            </w:r>
          </w:p>
        </w:tc>
        <w:tc>
          <w:tcPr>
            <w:tcW w:w="1327" w:type="pct"/>
            <w:shd w:val="clear" w:color="auto" w:fill="auto"/>
            <w:noWrap/>
            <w:vAlign w:val="center"/>
          </w:tcPr>
          <w:p w14:paraId="25CF0088">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前期费用</w:t>
            </w:r>
          </w:p>
        </w:tc>
        <w:tc>
          <w:tcPr>
            <w:tcW w:w="1833" w:type="dxa"/>
            <w:shd w:val="clear" w:color="auto" w:fill="auto"/>
            <w:noWrap/>
            <w:vAlign w:val="center"/>
          </w:tcPr>
          <w:p w14:paraId="11543687">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2846.9009 </w:t>
            </w:r>
          </w:p>
        </w:tc>
        <w:tc>
          <w:tcPr>
            <w:tcW w:w="1418" w:type="dxa"/>
            <w:shd w:val="clear" w:color="auto" w:fill="auto"/>
            <w:noWrap/>
            <w:vAlign w:val="center"/>
          </w:tcPr>
          <w:p w14:paraId="6C618539">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398 </w:t>
            </w:r>
          </w:p>
        </w:tc>
        <w:tc>
          <w:tcPr>
            <w:tcW w:w="1565" w:type="pct"/>
          </w:tcPr>
          <w:p w14:paraId="77BA05F5">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建筑安装工程费×8%</w:t>
            </w:r>
          </w:p>
        </w:tc>
      </w:tr>
      <w:tr w14:paraId="39A9793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D190180">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w:t>
            </w:r>
          </w:p>
        </w:tc>
        <w:tc>
          <w:tcPr>
            <w:tcW w:w="1327" w:type="pct"/>
            <w:shd w:val="clear" w:color="auto" w:fill="auto"/>
            <w:noWrap/>
            <w:vAlign w:val="center"/>
          </w:tcPr>
          <w:p w14:paraId="735B8661">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基础设施建设费</w:t>
            </w:r>
          </w:p>
        </w:tc>
        <w:tc>
          <w:tcPr>
            <w:tcW w:w="1833" w:type="dxa"/>
            <w:shd w:val="clear" w:color="auto" w:fill="auto"/>
            <w:noWrap/>
            <w:vAlign w:val="center"/>
          </w:tcPr>
          <w:p w14:paraId="193F333F">
            <w:pPr>
              <w:widowControl/>
              <w:adjustRightInd/>
              <w:spacing w:line="240" w:lineRule="exact"/>
              <w:textAlignment w:val="auto"/>
              <w:rPr>
                <w:rFonts w:ascii="Arial" w:hAnsi="Arial" w:eastAsia="仿宋" w:cs="Arial"/>
                <w:bCs/>
                <w:sz w:val="21"/>
                <w:szCs w:val="21"/>
                <w:highlight w:val="none"/>
              </w:rPr>
            </w:pPr>
            <w:r>
              <w:rPr>
                <w:rFonts w:hint="default" w:ascii="Arial" w:hAnsi="Arial" w:eastAsia="仿宋" w:cs="Arial"/>
                <w:bCs/>
                <w:sz w:val="21"/>
                <w:szCs w:val="21"/>
                <w:highlight w:val="none"/>
                <w:lang w:val="en-US" w:eastAsia="zh-CN"/>
              </w:rPr>
              <w:t xml:space="preserve">3558.6261 </w:t>
            </w:r>
          </w:p>
        </w:tc>
        <w:tc>
          <w:tcPr>
            <w:tcW w:w="1418" w:type="dxa"/>
            <w:shd w:val="clear" w:color="auto" w:fill="auto"/>
            <w:noWrap/>
            <w:vAlign w:val="center"/>
          </w:tcPr>
          <w:p w14:paraId="47503797">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498 </w:t>
            </w:r>
          </w:p>
        </w:tc>
        <w:tc>
          <w:tcPr>
            <w:tcW w:w="1565" w:type="pct"/>
          </w:tcPr>
          <w:p w14:paraId="7AFC3C7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建筑安装工程费×8%</w:t>
            </w:r>
          </w:p>
        </w:tc>
      </w:tr>
      <w:tr w14:paraId="58545AC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59C7C9D">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4）</w:t>
            </w:r>
          </w:p>
        </w:tc>
        <w:tc>
          <w:tcPr>
            <w:tcW w:w="1327" w:type="pct"/>
            <w:shd w:val="clear" w:color="auto" w:fill="auto"/>
            <w:noWrap/>
            <w:vAlign w:val="center"/>
          </w:tcPr>
          <w:p w14:paraId="4F656502">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公共配套设施费用</w:t>
            </w:r>
          </w:p>
        </w:tc>
        <w:tc>
          <w:tcPr>
            <w:tcW w:w="1833" w:type="dxa"/>
            <w:shd w:val="clear" w:color="auto" w:fill="auto"/>
            <w:noWrap/>
            <w:vAlign w:val="center"/>
          </w:tcPr>
          <w:p w14:paraId="7FE0CC9F">
            <w:pPr>
              <w:widowControl/>
              <w:adjustRightInd/>
              <w:spacing w:line="240" w:lineRule="exact"/>
              <w:textAlignment w:val="auto"/>
              <w:rPr>
                <w:rFonts w:ascii="Arial" w:hAnsi="Arial" w:eastAsia="仿宋" w:cs="Arial"/>
                <w:bCs/>
                <w:sz w:val="21"/>
                <w:szCs w:val="21"/>
                <w:highlight w:val="none"/>
              </w:rPr>
            </w:pPr>
            <w:r>
              <w:rPr>
                <w:rFonts w:hint="default" w:ascii="Arial" w:hAnsi="Arial" w:eastAsia="仿宋" w:cs="Arial"/>
                <w:bCs/>
                <w:sz w:val="21"/>
                <w:szCs w:val="21"/>
                <w:highlight w:val="none"/>
                <w:lang w:val="en-US" w:eastAsia="zh-CN"/>
              </w:rPr>
              <w:t xml:space="preserve">2846.9009 </w:t>
            </w:r>
          </w:p>
        </w:tc>
        <w:tc>
          <w:tcPr>
            <w:tcW w:w="1418" w:type="dxa"/>
            <w:shd w:val="clear" w:color="auto" w:fill="auto"/>
            <w:noWrap/>
            <w:vAlign w:val="center"/>
          </w:tcPr>
          <w:p w14:paraId="028A76B0">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398 </w:t>
            </w:r>
          </w:p>
        </w:tc>
        <w:tc>
          <w:tcPr>
            <w:tcW w:w="1565" w:type="pct"/>
          </w:tcPr>
          <w:p w14:paraId="0887AF15">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建筑安装工程费×10%</w:t>
            </w:r>
          </w:p>
        </w:tc>
      </w:tr>
      <w:tr w14:paraId="14E92E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72C175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327" w:type="pct"/>
            <w:shd w:val="clear" w:color="auto" w:fill="auto"/>
            <w:noWrap/>
            <w:vAlign w:val="center"/>
          </w:tcPr>
          <w:p w14:paraId="3188D055">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开发期间税费</w:t>
            </w:r>
          </w:p>
        </w:tc>
        <w:tc>
          <w:tcPr>
            <w:tcW w:w="1833" w:type="dxa"/>
            <w:shd w:val="clear" w:color="auto" w:fill="auto"/>
            <w:noWrap/>
            <w:vAlign w:val="center"/>
          </w:tcPr>
          <w:p w14:paraId="68AD1149">
            <w:pPr>
              <w:widowControl/>
              <w:adjustRightInd/>
              <w:spacing w:line="240" w:lineRule="exact"/>
              <w:textAlignment w:val="auto"/>
              <w:rPr>
                <w:rFonts w:ascii="Arial" w:hAnsi="Arial" w:eastAsia="仿宋" w:cs="Arial"/>
                <w:bCs/>
                <w:sz w:val="21"/>
                <w:szCs w:val="21"/>
                <w:highlight w:val="none"/>
              </w:rPr>
            </w:pPr>
            <w:r>
              <w:rPr>
                <w:rFonts w:hint="default" w:ascii="Arial" w:hAnsi="Arial" w:eastAsia="仿宋" w:cs="Arial"/>
                <w:bCs/>
                <w:sz w:val="21"/>
                <w:szCs w:val="21"/>
                <w:highlight w:val="none"/>
                <w:lang w:val="en-US" w:eastAsia="zh-CN"/>
              </w:rPr>
              <w:t xml:space="preserve">711.7252 </w:t>
            </w:r>
          </w:p>
        </w:tc>
        <w:tc>
          <w:tcPr>
            <w:tcW w:w="1418" w:type="dxa"/>
            <w:shd w:val="clear" w:color="auto" w:fill="auto"/>
            <w:noWrap/>
            <w:vAlign w:val="center"/>
          </w:tcPr>
          <w:p w14:paraId="23FB7E9D">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100 </w:t>
            </w:r>
          </w:p>
        </w:tc>
        <w:tc>
          <w:tcPr>
            <w:tcW w:w="1565" w:type="pct"/>
            <w:vAlign w:val="center"/>
          </w:tcPr>
          <w:p w14:paraId="4B945762">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bCs/>
                <w:sz w:val="21"/>
                <w:szCs w:val="21"/>
                <w:highlight w:val="none"/>
                <w:lang w:val="en-US" w:eastAsia="zh-CN"/>
              </w:rPr>
              <w:t>建筑安装工程费×2%</w:t>
            </w:r>
          </w:p>
        </w:tc>
      </w:tr>
      <w:tr w14:paraId="4665E96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67926EF">
            <w:pPr>
              <w:widowControl/>
              <w:adjustRightInd/>
              <w:spacing w:line="240" w:lineRule="exact"/>
              <w:textAlignment w:val="auto"/>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6）</w:t>
            </w:r>
          </w:p>
        </w:tc>
        <w:tc>
          <w:tcPr>
            <w:tcW w:w="1327" w:type="pct"/>
            <w:shd w:val="clear" w:color="auto" w:fill="auto"/>
            <w:noWrap/>
            <w:vAlign w:val="center"/>
          </w:tcPr>
          <w:p w14:paraId="47648028">
            <w:pPr>
              <w:widowControl/>
              <w:adjustRightInd/>
              <w:spacing w:line="240" w:lineRule="exact"/>
              <w:textAlignment w:val="auto"/>
              <w:rPr>
                <w:rFonts w:hint="eastAsia" w:ascii="Arial" w:hAnsi="Arial" w:eastAsia="仿宋" w:cs="Arial"/>
                <w:sz w:val="21"/>
                <w:szCs w:val="21"/>
                <w:highlight w:val="none"/>
              </w:rPr>
            </w:pPr>
            <w:r>
              <w:rPr>
                <w:rFonts w:hint="eastAsia" w:ascii="Arial" w:hAnsi="Arial" w:eastAsia="仿宋" w:cs="Arial"/>
                <w:sz w:val="21"/>
                <w:szCs w:val="21"/>
                <w:highlight w:val="none"/>
              </w:rPr>
              <w:t>其他工程费</w:t>
            </w:r>
          </w:p>
        </w:tc>
        <w:tc>
          <w:tcPr>
            <w:tcW w:w="1833" w:type="dxa"/>
            <w:shd w:val="clear" w:color="auto" w:fill="auto"/>
            <w:noWrap/>
            <w:vAlign w:val="center"/>
          </w:tcPr>
          <w:p w14:paraId="34B340FD">
            <w:pPr>
              <w:widowControl/>
              <w:adjustRightInd/>
              <w:spacing w:line="240" w:lineRule="exact"/>
              <w:textAlignment w:val="auto"/>
              <w:rPr>
                <w:rFonts w:hint="eastAsia" w:ascii="Arial" w:hAnsi="Arial" w:eastAsia="仿宋" w:cs="Arial"/>
                <w:bCs/>
                <w:sz w:val="21"/>
                <w:szCs w:val="21"/>
                <w:highlight w:val="none"/>
                <w:lang w:eastAsia="zh-CN"/>
              </w:rPr>
            </w:pPr>
            <w:r>
              <w:rPr>
                <w:rFonts w:hint="default" w:ascii="Arial" w:hAnsi="Arial" w:eastAsia="仿宋" w:cs="Arial"/>
                <w:bCs/>
                <w:sz w:val="21"/>
                <w:szCs w:val="21"/>
                <w:highlight w:val="none"/>
                <w:lang w:val="en-US" w:eastAsia="zh-CN"/>
              </w:rPr>
              <w:t xml:space="preserve">1779.3131 </w:t>
            </w:r>
          </w:p>
        </w:tc>
        <w:tc>
          <w:tcPr>
            <w:tcW w:w="1418" w:type="dxa"/>
            <w:shd w:val="clear" w:color="auto" w:fill="auto"/>
            <w:noWrap/>
            <w:vAlign w:val="center"/>
          </w:tcPr>
          <w:p w14:paraId="6C483439">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249 </w:t>
            </w:r>
          </w:p>
        </w:tc>
        <w:tc>
          <w:tcPr>
            <w:tcW w:w="1565" w:type="pct"/>
            <w:vAlign w:val="center"/>
          </w:tcPr>
          <w:p w14:paraId="08630597">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bCs/>
                <w:sz w:val="21"/>
                <w:szCs w:val="21"/>
                <w:highlight w:val="none"/>
                <w:lang w:val="en-US" w:eastAsia="zh-CN"/>
              </w:rPr>
              <w:t>建筑安装工程费×5%</w:t>
            </w:r>
          </w:p>
        </w:tc>
      </w:tr>
      <w:tr w14:paraId="704F32C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09ABB0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3</w:t>
            </w:r>
            <w:r>
              <w:rPr>
                <w:rFonts w:ascii="Arial" w:hAnsi="Arial" w:eastAsia="仿宋" w:cs="Arial"/>
                <w:bCs/>
                <w:sz w:val="21"/>
                <w:szCs w:val="21"/>
                <w:highlight w:val="none"/>
              </w:rPr>
              <w:t>）</w:t>
            </w:r>
          </w:p>
        </w:tc>
        <w:tc>
          <w:tcPr>
            <w:tcW w:w="1327" w:type="pct"/>
            <w:shd w:val="clear" w:color="auto" w:fill="auto"/>
            <w:noWrap/>
            <w:vAlign w:val="center"/>
          </w:tcPr>
          <w:p w14:paraId="5B066AC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管理费用</w:t>
            </w:r>
          </w:p>
        </w:tc>
        <w:tc>
          <w:tcPr>
            <w:tcW w:w="1833" w:type="dxa"/>
            <w:shd w:val="clear" w:color="auto" w:fill="auto"/>
            <w:noWrap/>
            <w:vAlign w:val="center"/>
          </w:tcPr>
          <w:p w14:paraId="203BA066">
            <w:pPr>
              <w:widowControl/>
              <w:adjustRightInd/>
              <w:spacing w:line="240" w:lineRule="exact"/>
              <w:textAlignment w:val="auto"/>
              <w:rPr>
                <w:rFonts w:hint="eastAsia" w:ascii="Arial" w:hAnsi="Arial" w:eastAsia="仿宋" w:cs="Arial"/>
                <w:bCs/>
                <w:sz w:val="21"/>
                <w:szCs w:val="21"/>
                <w:highlight w:val="none"/>
                <w:lang w:eastAsia="zh-CN"/>
              </w:rPr>
            </w:pPr>
            <w:r>
              <w:rPr>
                <w:rFonts w:hint="default" w:ascii="Arial" w:hAnsi="Arial" w:eastAsia="仿宋" w:cs="Arial"/>
                <w:bCs/>
                <w:sz w:val="21"/>
                <w:szCs w:val="21"/>
                <w:highlight w:val="none"/>
                <w:lang w:val="en-US" w:eastAsia="zh-CN"/>
              </w:rPr>
              <w:t xml:space="preserve">1419.8918 </w:t>
            </w:r>
          </w:p>
        </w:tc>
        <w:tc>
          <w:tcPr>
            <w:tcW w:w="1418" w:type="dxa"/>
            <w:shd w:val="clear" w:color="auto" w:fill="auto"/>
            <w:noWrap/>
            <w:vAlign w:val="center"/>
          </w:tcPr>
          <w:p w14:paraId="542DAAD4">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199 </w:t>
            </w:r>
          </w:p>
        </w:tc>
        <w:tc>
          <w:tcPr>
            <w:tcW w:w="1565" w:type="pct"/>
          </w:tcPr>
          <w:p w14:paraId="41979C2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房屋建设成本</w:t>
            </w:r>
            <w:r>
              <w:rPr>
                <w:rFonts w:hint="eastAsia" w:ascii="Arial" w:hAnsi="Arial" w:eastAsia="仿宋" w:cs="Arial"/>
                <w:bCs/>
                <w:sz w:val="21"/>
                <w:szCs w:val="21"/>
                <w:highlight w:val="none"/>
                <w:lang w:val="en-US" w:eastAsia="zh-CN"/>
              </w:rPr>
              <w:t>×3%</w:t>
            </w:r>
          </w:p>
        </w:tc>
      </w:tr>
      <w:tr w14:paraId="5B62B60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95CD51D">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4</w:t>
            </w:r>
            <w:r>
              <w:rPr>
                <w:rFonts w:ascii="Arial" w:hAnsi="Arial" w:eastAsia="仿宋" w:cs="Arial"/>
                <w:bCs/>
                <w:sz w:val="21"/>
                <w:szCs w:val="21"/>
                <w:highlight w:val="none"/>
              </w:rPr>
              <w:t>）</w:t>
            </w:r>
          </w:p>
        </w:tc>
        <w:tc>
          <w:tcPr>
            <w:tcW w:w="1327" w:type="pct"/>
            <w:shd w:val="clear" w:color="auto" w:fill="auto"/>
            <w:noWrap/>
            <w:vAlign w:val="center"/>
          </w:tcPr>
          <w:p w14:paraId="69689013">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销售费用</w:t>
            </w:r>
          </w:p>
        </w:tc>
        <w:tc>
          <w:tcPr>
            <w:tcW w:w="1833" w:type="dxa"/>
            <w:shd w:val="clear" w:color="auto" w:fill="auto"/>
            <w:noWrap/>
            <w:vAlign w:val="center"/>
          </w:tcPr>
          <w:p w14:paraId="6B6C213C">
            <w:pPr>
              <w:widowControl/>
              <w:adjustRightInd/>
              <w:spacing w:line="240" w:lineRule="exact"/>
              <w:textAlignment w:val="auto"/>
              <w:rPr>
                <w:rFonts w:ascii="Arial" w:hAnsi="Arial" w:eastAsia="仿宋" w:cs="Arial"/>
                <w:bCs/>
                <w:sz w:val="21"/>
                <w:szCs w:val="21"/>
                <w:highlight w:val="none"/>
              </w:rPr>
            </w:pPr>
            <w:r>
              <w:rPr>
                <w:rFonts w:hint="default" w:ascii="Arial" w:hAnsi="Arial" w:eastAsia="仿宋" w:cs="Arial"/>
                <w:bCs/>
                <w:sz w:val="21"/>
                <w:szCs w:val="21"/>
                <w:highlight w:val="none"/>
                <w:lang w:val="en-US" w:eastAsia="zh-CN"/>
              </w:rPr>
              <w:t xml:space="preserve">6177.5289 </w:t>
            </w:r>
          </w:p>
        </w:tc>
        <w:tc>
          <w:tcPr>
            <w:tcW w:w="1418" w:type="dxa"/>
            <w:shd w:val="clear" w:color="auto" w:fill="auto"/>
            <w:noWrap/>
            <w:vAlign w:val="center"/>
          </w:tcPr>
          <w:p w14:paraId="7F5D53A0">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864 </w:t>
            </w:r>
          </w:p>
        </w:tc>
        <w:tc>
          <w:tcPr>
            <w:tcW w:w="1565" w:type="pct"/>
          </w:tcPr>
          <w:p w14:paraId="4759CEE3">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开发完成后不动产总价</w:t>
            </w:r>
            <w:r>
              <w:rPr>
                <w:rFonts w:hint="eastAsia" w:ascii="Arial" w:hAnsi="Arial" w:eastAsia="仿宋" w:cs="Arial"/>
                <w:bCs/>
                <w:sz w:val="21"/>
                <w:szCs w:val="21"/>
                <w:highlight w:val="none"/>
                <w:lang w:val="en-US" w:eastAsia="zh-CN"/>
              </w:rPr>
              <w:t>×3%</w:t>
            </w:r>
          </w:p>
        </w:tc>
      </w:tr>
      <w:tr w14:paraId="7EF17F7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8F320EC">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5</w:t>
            </w:r>
            <w:r>
              <w:rPr>
                <w:rFonts w:ascii="Arial" w:hAnsi="Arial" w:eastAsia="仿宋" w:cs="Arial"/>
                <w:bCs/>
                <w:sz w:val="21"/>
                <w:szCs w:val="21"/>
                <w:highlight w:val="none"/>
              </w:rPr>
              <w:t>）</w:t>
            </w:r>
          </w:p>
        </w:tc>
        <w:tc>
          <w:tcPr>
            <w:tcW w:w="1327" w:type="pct"/>
            <w:shd w:val="clear" w:color="auto" w:fill="auto"/>
            <w:noWrap/>
            <w:vAlign w:val="center"/>
          </w:tcPr>
          <w:p w14:paraId="4242C045">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投资利息</w:t>
            </w:r>
          </w:p>
        </w:tc>
        <w:tc>
          <w:tcPr>
            <w:tcW w:w="1833" w:type="dxa"/>
            <w:shd w:val="clear" w:color="auto" w:fill="auto"/>
            <w:noWrap/>
            <w:vAlign w:val="center"/>
          </w:tcPr>
          <w:p w14:paraId="15D6FC4C">
            <w:pPr>
              <w:widowControl/>
              <w:adjustRightInd/>
              <w:spacing w:line="240" w:lineRule="exact"/>
              <w:textAlignment w:val="auto"/>
              <w:rPr>
                <w:rFonts w:hint="default" w:ascii="Arial" w:hAnsi="Arial" w:eastAsia="仿宋" w:cs="Arial"/>
                <w:bCs/>
                <w:sz w:val="21"/>
                <w:szCs w:val="21"/>
                <w:highlight w:val="none"/>
                <w:lang w:val="en-US"/>
              </w:rPr>
            </w:pPr>
            <w:r>
              <w:rPr>
                <w:rFonts w:hint="default" w:ascii="Arial" w:hAnsi="Arial" w:eastAsia="仿宋" w:cs="Arial"/>
                <w:bCs/>
                <w:sz w:val="21"/>
                <w:szCs w:val="21"/>
                <w:highlight w:val="none"/>
                <w:lang w:val="en-US" w:eastAsia="zh-CN"/>
              </w:rPr>
              <w:t xml:space="preserve">11728.8217 </w:t>
            </w:r>
          </w:p>
        </w:tc>
        <w:tc>
          <w:tcPr>
            <w:tcW w:w="1418" w:type="dxa"/>
            <w:shd w:val="clear" w:color="auto" w:fill="auto"/>
            <w:noWrap/>
            <w:vAlign w:val="center"/>
          </w:tcPr>
          <w:p w14:paraId="6A59DA69">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1640 </w:t>
            </w:r>
          </w:p>
        </w:tc>
        <w:tc>
          <w:tcPr>
            <w:tcW w:w="1565" w:type="pct"/>
          </w:tcPr>
          <w:p w14:paraId="303F1410">
            <w:pPr>
              <w:widowControl/>
              <w:adjustRightInd/>
              <w:spacing w:line="240" w:lineRule="exact"/>
              <w:textAlignment w:val="auto"/>
              <w:rPr>
                <w:rFonts w:hint="eastAsia" w:ascii="Arial" w:hAnsi="Arial" w:eastAsia="仿宋" w:cs="Arial"/>
                <w:sz w:val="21"/>
                <w:szCs w:val="21"/>
                <w:highlight w:val="none"/>
                <w:lang w:eastAsia="zh-CN"/>
              </w:rPr>
            </w:pPr>
            <w:r>
              <w:rPr>
                <w:rFonts w:hint="eastAsia" w:ascii="Arial" w:hAnsi="Arial" w:eastAsia="仿宋" w:cs="Arial"/>
                <w:sz w:val="21"/>
                <w:szCs w:val="21"/>
                <w:highlight w:val="none"/>
              </w:rPr>
              <w:t>地价款和购地税费全周期计息，房屋建设成本、管理费用、销售费用等预付资本应根据开发周期均匀投入计息</w:t>
            </w:r>
            <w:r>
              <w:rPr>
                <w:rFonts w:hint="eastAsia" w:ascii="Arial" w:hAnsi="Arial" w:eastAsia="仿宋" w:cs="Arial"/>
                <w:sz w:val="21"/>
                <w:szCs w:val="21"/>
                <w:highlight w:val="none"/>
                <w:lang w:eastAsia="zh-CN"/>
              </w:rPr>
              <w:t>，贷款利率取3.25%</w:t>
            </w:r>
          </w:p>
        </w:tc>
      </w:tr>
      <w:tr w14:paraId="68C71EE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EE37D8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6</w:t>
            </w:r>
            <w:r>
              <w:rPr>
                <w:rFonts w:ascii="Arial" w:hAnsi="Arial" w:eastAsia="仿宋" w:cs="Arial"/>
                <w:bCs/>
                <w:sz w:val="21"/>
                <w:szCs w:val="21"/>
                <w:highlight w:val="none"/>
              </w:rPr>
              <w:t>）</w:t>
            </w:r>
          </w:p>
        </w:tc>
        <w:tc>
          <w:tcPr>
            <w:tcW w:w="1327" w:type="pct"/>
            <w:shd w:val="clear" w:color="auto" w:fill="auto"/>
            <w:noWrap/>
            <w:vAlign w:val="center"/>
          </w:tcPr>
          <w:p w14:paraId="78538645">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销售税费</w:t>
            </w:r>
          </w:p>
        </w:tc>
        <w:tc>
          <w:tcPr>
            <w:tcW w:w="1833" w:type="dxa"/>
            <w:shd w:val="clear" w:color="auto" w:fill="auto"/>
            <w:noWrap/>
            <w:vAlign w:val="center"/>
          </w:tcPr>
          <w:p w14:paraId="37530A5D">
            <w:pPr>
              <w:widowControl/>
              <w:adjustRightInd/>
              <w:spacing w:line="240" w:lineRule="exact"/>
              <w:textAlignment w:val="auto"/>
              <w:rPr>
                <w:rFonts w:hint="default" w:ascii="Arial" w:hAnsi="Arial" w:eastAsia="仿宋" w:cs="Arial"/>
                <w:bCs/>
                <w:sz w:val="21"/>
                <w:szCs w:val="21"/>
                <w:highlight w:val="none"/>
                <w:lang w:val="en-US"/>
              </w:rPr>
            </w:pPr>
            <w:r>
              <w:rPr>
                <w:rFonts w:hint="default" w:ascii="Arial" w:hAnsi="Arial" w:eastAsia="仿宋" w:cs="Arial"/>
                <w:bCs/>
                <w:sz w:val="21"/>
                <w:szCs w:val="21"/>
                <w:highlight w:val="none"/>
                <w:lang w:val="en-US" w:eastAsia="zh-CN"/>
              </w:rPr>
              <w:t xml:space="preserve">22058.6706 </w:t>
            </w:r>
          </w:p>
        </w:tc>
        <w:tc>
          <w:tcPr>
            <w:tcW w:w="1418" w:type="dxa"/>
            <w:shd w:val="clear" w:color="auto" w:fill="auto"/>
            <w:noWrap/>
            <w:vAlign w:val="center"/>
          </w:tcPr>
          <w:p w14:paraId="2319A17D">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3085 </w:t>
            </w:r>
          </w:p>
        </w:tc>
        <w:tc>
          <w:tcPr>
            <w:tcW w:w="1565" w:type="pct"/>
          </w:tcPr>
          <w:p w14:paraId="3B5FE453">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以“开发完成后不动产总价/（1</w:t>
            </w:r>
            <w:r>
              <w:rPr>
                <w:rFonts w:hint="eastAsia" w:ascii="Arial" w:hAnsi="Arial" w:eastAsia="仿宋" w:cs="Arial"/>
                <w:sz w:val="21"/>
                <w:szCs w:val="21"/>
                <w:highlight w:val="none"/>
                <w:lang w:eastAsia="zh-CN"/>
              </w:rPr>
              <w:t>＋</w:t>
            </w:r>
            <w:r>
              <w:rPr>
                <w:rFonts w:ascii="Arial" w:hAnsi="Arial" w:eastAsia="仿宋" w:cs="Arial"/>
                <w:sz w:val="21"/>
                <w:szCs w:val="21"/>
                <w:highlight w:val="none"/>
              </w:rPr>
              <w:t>5%）”为基数计取</w:t>
            </w:r>
          </w:p>
        </w:tc>
      </w:tr>
      <w:tr w14:paraId="283BB6B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39F8E965">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3</w:t>
            </w:r>
          </w:p>
        </w:tc>
        <w:tc>
          <w:tcPr>
            <w:tcW w:w="1327" w:type="pct"/>
            <w:shd w:val="clear" w:color="auto" w:fill="auto"/>
            <w:vAlign w:val="center"/>
          </w:tcPr>
          <w:p w14:paraId="1D1E95FE">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投资利润</w:t>
            </w:r>
          </w:p>
        </w:tc>
        <w:tc>
          <w:tcPr>
            <w:tcW w:w="1833" w:type="dxa"/>
            <w:shd w:val="clear" w:color="auto" w:fill="auto"/>
            <w:vAlign w:val="center"/>
          </w:tcPr>
          <w:p w14:paraId="396D03FF">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43375.2182 </w:t>
            </w:r>
          </w:p>
        </w:tc>
        <w:tc>
          <w:tcPr>
            <w:tcW w:w="1418" w:type="dxa"/>
            <w:shd w:val="clear" w:color="auto" w:fill="auto"/>
            <w:noWrap/>
            <w:vAlign w:val="center"/>
          </w:tcPr>
          <w:p w14:paraId="5D286407">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6066 </w:t>
            </w:r>
          </w:p>
        </w:tc>
        <w:tc>
          <w:tcPr>
            <w:tcW w:w="1565" w:type="pct"/>
          </w:tcPr>
          <w:p w14:paraId="16432052">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以全部预付资本的一定比例计算，</w:t>
            </w:r>
            <w:r>
              <w:rPr>
                <w:rFonts w:hint="eastAsia" w:ascii="Arial" w:hAnsi="Arial" w:eastAsia="仿宋" w:cs="Arial"/>
                <w:sz w:val="21"/>
                <w:szCs w:val="21"/>
                <w:highlight w:val="none"/>
                <w:lang w:val="en-US" w:eastAsia="zh-CN"/>
              </w:rPr>
              <w:t>利润率</w:t>
            </w:r>
            <w:r>
              <w:rPr>
                <w:rFonts w:hint="eastAsia" w:ascii="Arial" w:hAnsi="Arial" w:eastAsia="仿宋" w:cs="Arial"/>
                <w:sz w:val="21"/>
                <w:szCs w:val="21"/>
                <w:highlight w:val="none"/>
              </w:rPr>
              <w:t xml:space="preserve">取30% </w:t>
            </w:r>
          </w:p>
        </w:tc>
      </w:tr>
      <w:tr w14:paraId="363162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56E8EBEF">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4 .土地价格</w:t>
            </w:r>
          </w:p>
        </w:tc>
        <w:tc>
          <w:tcPr>
            <w:tcW w:w="1833" w:type="dxa"/>
            <w:shd w:val="clear" w:color="auto" w:fill="auto"/>
            <w:noWrap/>
            <w:vAlign w:val="center"/>
          </w:tcPr>
          <w:p w14:paraId="40B00744">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86989.2426 </w:t>
            </w:r>
          </w:p>
        </w:tc>
        <w:tc>
          <w:tcPr>
            <w:tcW w:w="1418" w:type="dxa"/>
            <w:shd w:val="clear" w:color="auto" w:fill="auto"/>
            <w:noWrap/>
            <w:vAlign w:val="center"/>
          </w:tcPr>
          <w:p w14:paraId="563768D9">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12765 </w:t>
            </w:r>
          </w:p>
        </w:tc>
        <w:tc>
          <w:tcPr>
            <w:tcW w:w="1565" w:type="pct"/>
          </w:tcPr>
          <w:p w14:paraId="6A14ACAD">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2</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3</w:t>
            </w:r>
          </w:p>
        </w:tc>
      </w:tr>
    </w:tbl>
    <w:p w14:paraId="077CC6A0">
      <w:pPr>
        <w:spacing w:before="50" w:after="50" w:line="300" w:lineRule="auto"/>
        <w:rPr>
          <w:rFonts w:ascii="Arial" w:hAnsi="Arial" w:eastAsia="仿宋" w:cs="Arial"/>
          <w:sz w:val="21"/>
          <w:szCs w:val="21"/>
          <w:highlight w:val="none"/>
        </w:rPr>
      </w:pPr>
      <w:r>
        <w:rPr>
          <w:rFonts w:ascii="Arial" w:hAnsi="Arial" w:eastAsia="仿宋" w:cs="Arial"/>
          <w:sz w:val="21"/>
          <w:szCs w:val="21"/>
          <w:highlight w:val="none"/>
        </w:rPr>
        <w:t>单位：万元、元/平方米</w:t>
      </w:r>
    </w:p>
    <w:p w14:paraId="5CB5E3FA">
      <w:pPr>
        <w:rPr>
          <w:rFonts w:ascii="Arial" w:hAnsi="Arial" w:eastAsia="仿宋" w:cs="Arial"/>
          <w:bCs/>
          <w:sz w:val="28"/>
          <w:highlight w:val="none"/>
        </w:rPr>
      </w:pPr>
      <w:r>
        <w:rPr>
          <w:rFonts w:ascii="Arial" w:hAnsi="Arial" w:eastAsia="仿宋" w:cs="Arial"/>
          <w:bCs/>
          <w:sz w:val="28"/>
          <w:highlight w:val="none"/>
        </w:rPr>
        <w:br w:type="page"/>
      </w:r>
    </w:p>
    <w:p w14:paraId="58DCA3FE">
      <w:pPr>
        <w:spacing w:before="50" w:after="50" w:line="300" w:lineRule="auto"/>
        <w:ind w:firstLine="562" w:firstLineChars="200"/>
        <w:rPr>
          <w:rFonts w:hint="eastAsia" w:ascii="Arial" w:hAnsi="Arial" w:eastAsia="仿宋" w:cs="Arial"/>
          <w:b/>
          <w:bCs w:val="0"/>
          <w:sz w:val="28"/>
          <w:highlight w:val="none"/>
          <w:lang w:eastAsia="zh-CN"/>
        </w:rPr>
      </w:pPr>
      <w:r>
        <w:rPr>
          <w:rFonts w:ascii="Arial" w:hAnsi="Arial" w:eastAsia="仿宋" w:cs="Arial"/>
          <w:b/>
          <w:bCs w:val="0"/>
          <w:sz w:val="28"/>
          <w:highlight w:val="none"/>
        </w:rPr>
        <w:t>（2）求取估价对象</w:t>
      </w:r>
      <w:r>
        <w:rPr>
          <w:rFonts w:hint="eastAsia" w:ascii="Arial" w:hAnsi="Arial" w:eastAsia="仿宋" w:cs="Arial"/>
          <w:b/>
          <w:bCs w:val="0"/>
          <w:sz w:val="28"/>
          <w:highlight w:val="none"/>
          <w:lang w:eastAsia="zh-CN"/>
        </w:rPr>
        <w:t>其他商业服务业用地</w:t>
      </w:r>
      <w:r>
        <w:rPr>
          <w:rFonts w:ascii="Arial" w:hAnsi="Arial" w:eastAsia="仿宋" w:cs="Arial"/>
          <w:b/>
          <w:bCs w:val="0"/>
          <w:sz w:val="28"/>
          <w:szCs w:val="28"/>
          <w:highlight w:val="none"/>
        </w:rPr>
        <w:t>用途</w:t>
      </w:r>
      <w:r>
        <w:rPr>
          <w:rFonts w:hint="eastAsia" w:ascii="Arial" w:hAnsi="Arial" w:eastAsia="仿宋" w:cs="Arial"/>
          <w:b/>
          <w:bCs w:val="0"/>
          <w:sz w:val="28"/>
          <w:szCs w:val="28"/>
          <w:highlight w:val="none"/>
          <w:lang w:eastAsia="zh-CN"/>
        </w:rPr>
        <w:t>楼面地价</w:t>
      </w:r>
    </w:p>
    <w:p w14:paraId="238C2622">
      <w:pPr>
        <w:spacing w:line="300" w:lineRule="auto"/>
        <w:ind w:firstLine="560" w:firstLineChars="200"/>
        <w:rPr>
          <w:rFonts w:ascii="Arial" w:hAnsi="Arial" w:eastAsia="仿宋" w:cs="Arial"/>
          <w:bCs/>
          <w:sz w:val="28"/>
          <w:highlight w:val="none"/>
        </w:rPr>
      </w:pPr>
      <w:r>
        <w:rPr>
          <w:rFonts w:ascii="Arial" w:hAnsi="Arial" w:eastAsia="仿宋" w:cs="Arial"/>
          <w:bCs/>
          <w:sz w:val="28"/>
          <w:highlight w:val="none"/>
        </w:rPr>
        <w:t>A.土地最有效利用方式</w:t>
      </w:r>
    </w:p>
    <w:p w14:paraId="529FBE8B">
      <w:pPr>
        <w:snapToGrid w:val="0"/>
        <w:spacing w:line="300" w:lineRule="auto"/>
        <w:ind w:firstLine="560" w:firstLineChars="200"/>
        <w:jc w:val="both"/>
        <w:rPr>
          <w:rFonts w:ascii="Arial" w:hAnsi="Arial" w:eastAsia="仿宋" w:cs="Arial"/>
          <w:sz w:val="28"/>
          <w:szCs w:val="28"/>
          <w:highlight w:val="none"/>
        </w:rPr>
      </w:pPr>
      <w:r>
        <w:rPr>
          <w:rFonts w:hint="eastAsia" w:ascii="Arial" w:hAnsi="Arial" w:eastAsia="仿宋" w:cs="Arial"/>
          <w:sz w:val="28"/>
          <w:szCs w:val="28"/>
          <w:highlight w:val="none"/>
          <w:lang w:val="en-US" w:eastAsia="zh-CN"/>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复印件及本次评估目的</w:t>
      </w:r>
      <w:r>
        <w:rPr>
          <w:rFonts w:ascii="Arial" w:hAnsi="Arial" w:eastAsia="仿宋" w:cs="Arial"/>
          <w:sz w:val="28"/>
          <w:szCs w:val="28"/>
          <w:highlight w:val="none"/>
        </w:rPr>
        <w:t>，本次评估设定如下：</w:t>
      </w:r>
    </w:p>
    <w:p w14:paraId="555DAC51">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a.设定估价对象能够顺利完成预期的开发建设目标；</w:t>
      </w:r>
    </w:p>
    <w:p w14:paraId="05A886C1">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b.本项目建筑物建设周期为</w:t>
      </w:r>
      <w:r>
        <w:rPr>
          <w:rFonts w:hint="eastAsia" w:ascii="Arial" w:hAnsi="Arial" w:eastAsia="仿宋" w:cs="Arial"/>
          <w:snapToGrid w:val="0"/>
          <w:sz w:val="28"/>
          <w:highlight w:val="none"/>
          <w:lang w:val="en-US" w:eastAsia="zh-CN"/>
        </w:rPr>
        <w:t>3</w:t>
      </w:r>
      <w:r>
        <w:rPr>
          <w:rFonts w:ascii="Arial" w:hAnsi="Arial" w:eastAsia="仿宋" w:cs="Arial"/>
          <w:snapToGrid w:val="0"/>
          <w:sz w:val="28"/>
          <w:highlight w:val="none"/>
        </w:rPr>
        <w:t>年；</w:t>
      </w:r>
    </w:p>
    <w:p w14:paraId="2D466019">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c.建安费用在项目周期内均匀投入，利息按复利计算；</w:t>
      </w:r>
    </w:p>
    <w:p w14:paraId="7FE16B95">
      <w:pPr>
        <w:spacing w:line="300" w:lineRule="auto"/>
        <w:ind w:right="14" w:firstLine="560" w:firstLineChars="200"/>
        <w:rPr>
          <w:rFonts w:ascii="Arial" w:hAnsi="Arial" w:eastAsia="仿宋" w:cs="Arial"/>
          <w:snapToGrid w:val="0"/>
          <w:sz w:val="28"/>
          <w:highlight w:val="none"/>
        </w:rPr>
      </w:pPr>
      <w:r>
        <w:rPr>
          <w:rFonts w:ascii="Arial" w:hAnsi="Arial" w:eastAsia="仿宋" w:cs="Arial"/>
          <w:snapToGrid w:val="0"/>
          <w:sz w:val="28"/>
          <w:highlight w:val="none"/>
        </w:rPr>
        <w:t>d.在开发建设期间，房地产市场不会发生大的变化；</w:t>
      </w:r>
    </w:p>
    <w:p w14:paraId="05E91E6E">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e.本项目最佳用途为</w:t>
      </w:r>
      <w:r>
        <w:rPr>
          <w:rFonts w:hint="eastAsia" w:ascii="Arial" w:hAnsi="Arial" w:eastAsia="仿宋" w:cs="Arial"/>
          <w:snapToGrid w:val="0"/>
          <w:sz w:val="28"/>
          <w:highlight w:val="none"/>
          <w:lang w:eastAsia="zh-CN"/>
        </w:rPr>
        <w:t>其他商业服务业用地</w:t>
      </w:r>
      <w:r>
        <w:rPr>
          <w:rFonts w:ascii="Arial" w:hAnsi="Arial" w:eastAsia="仿宋" w:cs="Arial"/>
          <w:snapToGrid w:val="0"/>
          <w:sz w:val="28"/>
          <w:highlight w:val="none"/>
        </w:rPr>
        <w:t>；</w:t>
      </w:r>
    </w:p>
    <w:p w14:paraId="5B4119A2">
      <w:pPr>
        <w:spacing w:line="300" w:lineRule="auto"/>
        <w:ind w:left="560" w:right="14"/>
        <w:rPr>
          <w:rFonts w:ascii="Arial" w:hAnsi="Arial" w:eastAsia="仿宋" w:cs="Arial"/>
          <w:snapToGrid w:val="0"/>
          <w:sz w:val="28"/>
          <w:highlight w:val="none"/>
        </w:rPr>
      </w:pPr>
      <w:r>
        <w:rPr>
          <w:rFonts w:ascii="Arial" w:hAnsi="Arial" w:eastAsia="仿宋" w:cs="Arial"/>
          <w:snapToGrid w:val="0"/>
          <w:sz w:val="28"/>
          <w:highlight w:val="none"/>
        </w:rPr>
        <w:t>f.该项目在建成后即销售完毕；</w:t>
      </w:r>
    </w:p>
    <w:p w14:paraId="6B81341D">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g.在开发过程中或有调整规划用途情况建议参照本估价结果价值水平。</w:t>
      </w:r>
    </w:p>
    <w:p w14:paraId="56B93BB0">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剩余法是在预计开发完成后不动产正常交易价格的基础上，扣除预计的正常开发成本及有关专业费用、利息、利润和税收等，以价格余额来估算估价对象价格的一种方法。</w:t>
      </w:r>
    </w:p>
    <w:p w14:paraId="1B33B238">
      <w:pPr>
        <w:spacing w:after="51"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剩余法基本公式如下：</w:t>
      </w:r>
    </w:p>
    <w:p w14:paraId="2948DBAC">
      <w:pPr>
        <w:spacing w:before="50" w:after="50" w:line="300" w:lineRule="auto"/>
        <w:ind w:firstLine="560" w:firstLineChars="200"/>
        <w:rPr>
          <w:rFonts w:ascii="Arial" w:hAnsi="Arial" w:eastAsia="仿宋" w:cs="Arial"/>
          <w:b/>
          <w:sz w:val="28"/>
          <w:highlight w:val="none"/>
        </w:rPr>
      </w:pPr>
      <w:r>
        <w:rPr>
          <w:rFonts w:ascii="Arial" w:hAnsi="Arial" w:eastAsia="仿宋" w:cs="Arial"/>
          <w:snapToGrid w:val="0"/>
          <w:sz w:val="28"/>
          <w:highlight w:val="none"/>
        </w:rPr>
        <w:t>熟地价值：</w:t>
      </w:r>
      <w:r>
        <w:rPr>
          <w:rFonts w:ascii="Arial" w:hAnsi="Arial" w:eastAsia="仿宋" w:cs="Arial"/>
          <w:sz w:val="28"/>
          <w:highlight w:val="none"/>
        </w:rPr>
        <w:t>待估宗地价格</w:t>
      </w:r>
      <w:r>
        <w:rPr>
          <w:rFonts w:hint="eastAsia" w:ascii="Arial" w:hAnsi="Arial" w:eastAsia="仿宋" w:cs="Arial"/>
          <w:sz w:val="28"/>
          <w:highlight w:val="none"/>
          <w:lang w:eastAsia="zh-CN"/>
        </w:rPr>
        <w:t>＝</w:t>
      </w:r>
      <w:r>
        <w:rPr>
          <w:rFonts w:ascii="Arial" w:hAnsi="Arial" w:eastAsia="仿宋" w:cs="Arial"/>
          <w:sz w:val="28"/>
          <w:highlight w:val="none"/>
        </w:rPr>
        <w:t>不动产总价</w:t>
      </w:r>
      <w:r>
        <w:rPr>
          <w:rFonts w:hint="eastAsia" w:ascii="Arial" w:hAnsi="Arial" w:eastAsia="仿宋" w:cs="Arial"/>
          <w:sz w:val="28"/>
          <w:highlight w:val="none"/>
          <w:lang w:eastAsia="zh-CN"/>
        </w:rPr>
        <w:t>－</w:t>
      </w:r>
      <w:r>
        <w:rPr>
          <w:rFonts w:ascii="Arial" w:hAnsi="Arial" w:eastAsia="仿宋" w:cs="Arial"/>
          <w:sz w:val="28"/>
          <w:highlight w:val="none"/>
        </w:rPr>
        <w:t>开发项目整体的开发成本</w:t>
      </w:r>
      <w:r>
        <w:rPr>
          <w:rFonts w:hint="eastAsia" w:ascii="Arial" w:hAnsi="Arial" w:eastAsia="仿宋" w:cs="Arial"/>
          <w:sz w:val="28"/>
          <w:highlight w:val="none"/>
          <w:lang w:eastAsia="zh-CN"/>
        </w:rPr>
        <w:t>－</w:t>
      </w:r>
      <w:r>
        <w:rPr>
          <w:rFonts w:ascii="Arial" w:hAnsi="Arial" w:eastAsia="仿宋" w:cs="Arial"/>
          <w:sz w:val="28"/>
          <w:highlight w:val="none"/>
        </w:rPr>
        <w:t>客观开发利润</w:t>
      </w:r>
    </w:p>
    <w:p w14:paraId="6B201A57">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B.开发完成后商业用途房地产价值的确定</w:t>
      </w:r>
    </w:p>
    <w:p w14:paraId="499F7909">
      <w:pPr>
        <w:spacing w:after="26" w:line="300" w:lineRule="auto"/>
        <w:ind w:firstLine="560" w:firstLineChars="200"/>
        <w:jc w:val="both"/>
        <w:rPr>
          <w:rFonts w:ascii="Arial" w:hAnsi="Arial" w:eastAsia="仿宋" w:cs="Arial"/>
          <w:snapToGrid w:val="0"/>
          <w:sz w:val="28"/>
          <w:highlight w:val="none"/>
        </w:rPr>
      </w:pPr>
      <w:r>
        <w:rPr>
          <w:rFonts w:ascii="Arial" w:hAnsi="Arial" w:eastAsia="仿宋" w:cs="Arial"/>
          <w:snapToGrid w:val="0"/>
          <w:sz w:val="28"/>
          <w:highlight w:val="none"/>
        </w:rPr>
        <w:t>假设建造商业用房，预计施工进度、施工计划及预计装修标准、设备设施情况等事项以周边类似房地产项目为参考。</w:t>
      </w:r>
    </w:p>
    <w:p w14:paraId="05F32ACF">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综合分析估价对象的规划利用和管理限制条件，结合估价对象周边的业态、基础设施及公共配套设施状况，确定商业为最佳利用方式。</w:t>
      </w:r>
    </w:p>
    <w:p w14:paraId="5CBE0730">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根据项目的整体建筑规模和预期设备、装修标准，预计本项目建筑物建设周期为</w:t>
      </w:r>
      <w:r>
        <w:rPr>
          <w:rFonts w:hint="eastAsia" w:ascii="Arial" w:hAnsi="Arial" w:eastAsia="仿宋" w:cs="Arial"/>
          <w:snapToGrid w:val="0"/>
          <w:sz w:val="28"/>
          <w:highlight w:val="none"/>
          <w:lang w:val="en-US" w:eastAsia="zh-CN"/>
        </w:rPr>
        <w:t>3</w:t>
      </w:r>
      <w:r>
        <w:rPr>
          <w:rFonts w:ascii="Arial" w:hAnsi="Arial" w:eastAsia="仿宋" w:cs="Arial"/>
          <w:snapToGrid w:val="0"/>
          <w:sz w:val="28"/>
          <w:highlight w:val="none"/>
        </w:rPr>
        <w:t>年。</w:t>
      </w:r>
    </w:p>
    <w:p w14:paraId="0CAB5860">
      <w:pPr>
        <w:spacing w:after="26" w:line="300" w:lineRule="auto"/>
        <w:ind w:firstLine="560" w:firstLineChars="200"/>
        <w:jc w:val="both"/>
        <w:rPr>
          <w:rFonts w:hint="eastAsia" w:ascii="Arial" w:hAnsi="Arial" w:eastAsia="仿宋" w:cs="Arial"/>
          <w:snapToGrid w:val="0"/>
          <w:sz w:val="28"/>
          <w:highlight w:val="none"/>
          <w:lang w:val="en-US" w:eastAsia="zh-CN"/>
        </w:rPr>
      </w:pPr>
      <w:r>
        <w:rPr>
          <w:rFonts w:ascii="Arial" w:hAnsi="Arial" w:eastAsia="仿宋" w:cs="Arial"/>
          <w:snapToGrid w:val="0"/>
          <w:sz w:val="28"/>
          <w:highlight w:val="none"/>
        </w:rPr>
        <w:t>由于项目未来可能涉及</w:t>
      </w:r>
      <w:r>
        <w:rPr>
          <w:rFonts w:hint="eastAsia" w:ascii="Arial" w:hAnsi="Arial" w:eastAsia="仿宋" w:cs="Arial"/>
          <w:snapToGrid w:val="0"/>
          <w:sz w:val="28"/>
          <w:highlight w:val="none"/>
          <w:lang w:eastAsia="zh-CN"/>
        </w:rPr>
        <w:t>其他商业服务业用地</w:t>
      </w:r>
      <w:r>
        <w:rPr>
          <w:rFonts w:ascii="Arial" w:hAnsi="Arial" w:eastAsia="仿宋" w:cs="Arial"/>
          <w:snapToGrid w:val="0"/>
          <w:sz w:val="28"/>
          <w:highlight w:val="none"/>
        </w:rPr>
        <w:t>、公共服务用途，</w:t>
      </w:r>
      <w:r>
        <w:rPr>
          <w:rFonts w:hint="eastAsia" w:ascii="Arial" w:hAnsi="Arial" w:eastAsia="仿宋" w:cs="Arial"/>
          <w:snapToGrid w:val="0"/>
          <w:sz w:val="28"/>
          <w:highlight w:val="none"/>
        </w:rPr>
        <w:t>根据北京市人民政府《关于印发〈北京市居住公共服务设施配置指标〉和〈北京市居住公共服务设施配置指标实施意见〉的通知》（京政发〔2025〕25号）</w:t>
      </w:r>
      <w:r>
        <w:rPr>
          <w:rFonts w:hint="eastAsia" w:ascii="Arial" w:hAnsi="Arial" w:eastAsia="仿宋" w:cs="Arial"/>
          <w:snapToGrid w:val="0"/>
          <w:sz w:val="28"/>
          <w:highlight w:val="none"/>
          <w:lang w:eastAsia="zh-CN"/>
        </w:rPr>
        <w:t>，</w:t>
      </w:r>
      <w:r>
        <w:rPr>
          <w:rFonts w:hint="eastAsia" w:ascii="Arial" w:hAnsi="Arial" w:eastAsia="仿宋" w:cs="Arial"/>
          <w:snapToGrid w:val="0"/>
          <w:sz w:val="28"/>
          <w:highlight w:val="none"/>
        </w:rPr>
        <w:t>按照户均人口2.31人/户、人均建筑面积35平方米/人计算</w:t>
      </w:r>
      <w:r>
        <w:rPr>
          <w:rFonts w:hint="eastAsia" w:ascii="Arial" w:hAnsi="Arial" w:eastAsia="仿宋" w:cs="Arial"/>
          <w:snapToGrid w:val="0"/>
          <w:sz w:val="28"/>
          <w:highlight w:val="none"/>
          <w:lang w:eastAsia="zh-CN"/>
        </w:rPr>
        <w:t>，</w:t>
      </w:r>
      <w:r>
        <w:rPr>
          <w:rFonts w:hint="eastAsia" w:ascii="Arial" w:hAnsi="Arial" w:eastAsia="仿宋" w:cs="Arial"/>
          <w:snapToGrid w:val="0"/>
          <w:sz w:val="28"/>
          <w:highlight w:val="none"/>
        </w:rPr>
        <w:t>配套商业建筑面积约为</w:t>
      </w:r>
      <w:r>
        <w:rPr>
          <w:rFonts w:hint="eastAsia" w:ascii="Arial" w:hAnsi="Arial" w:eastAsia="仿宋" w:cs="Arial"/>
          <w:snapToGrid w:val="0"/>
          <w:sz w:val="28"/>
          <w:highlight w:val="none"/>
          <w:lang w:val="en-US" w:eastAsia="zh-CN"/>
        </w:rPr>
        <w:t>176</w:t>
      </w:r>
      <w:r>
        <w:rPr>
          <w:rFonts w:hint="eastAsia" w:ascii="Arial" w:hAnsi="Arial" w:eastAsia="仿宋" w:cs="Arial"/>
          <w:snapToGrid w:val="0"/>
          <w:sz w:val="28"/>
          <w:highlight w:val="none"/>
        </w:rPr>
        <w:t>平方米</w:t>
      </w:r>
      <w:r>
        <w:rPr>
          <w:rFonts w:hint="eastAsia" w:ascii="Arial" w:hAnsi="Arial" w:eastAsia="仿宋" w:cs="Arial"/>
          <w:snapToGrid w:val="0"/>
          <w:sz w:val="28"/>
          <w:highlight w:val="none"/>
          <w:lang w:eastAsia="zh-CN"/>
        </w:rPr>
        <w:t>，</w:t>
      </w:r>
      <w:r>
        <w:rPr>
          <w:rFonts w:hint="eastAsia" w:ascii="Arial" w:hAnsi="Arial" w:eastAsia="仿宋" w:cs="Arial"/>
          <w:snapToGrid w:val="0"/>
          <w:sz w:val="28"/>
          <w:highlight w:val="none"/>
        </w:rPr>
        <w:t>即其他商业服务业用途按照地上建筑面积</w:t>
      </w:r>
      <w:r>
        <w:rPr>
          <w:rFonts w:hint="eastAsia" w:ascii="Arial" w:hAnsi="Arial" w:eastAsia="仿宋" w:cs="Arial"/>
          <w:snapToGrid w:val="0"/>
          <w:sz w:val="28"/>
          <w:highlight w:val="none"/>
          <w:lang w:val="en-US" w:eastAsia="zh-CN"/>
        </w:rPr>
        <w:t>176</w:t>
      </w:r>
      <w:r>
        <w:rPr>
          <w:rFonts w:hint="eastAsia" w:ascii="Arial" w:hAnsi="Arial" w:eastAsia="仿宋" w:cs="Arial"/>
          <w:snapToGrid w:val="0"/>
          <w:sz w:val="28"/>
          <w:highlight w:val="none"/>
        </w:rPr>
        <w:t>平方米计算</w:t>
      </w:r>
      <w:r>
        <w:rPr>
          <w:rFonts w:hint="eastAsia" w:ascii="Arial" w:hAnsi="Arial" w:eastAsia="仿宋" w:cs="Arial"/>
          <w:snapToGrid w:val="0"/>
          <w:sz w:val="28"/>
          <w:highlight w:val="none"/>
          <w:lang w:eastAsia="zh-CN"/>
        </w:rPr>
        <w:t>。</w:t>
      </w:r>
    </w:p>
    <w:p w14:paraId="41876495">
      <w:pPr>
        <w:spacing w:after="26" w:line="300" w:lineRule="auto"/>
        <w:ind w:firstLine="560" w:firstLineChars="200"/>
        <w:jc w:val="both"/>
        <w:rPr>
          <w:rFonts w:hint="eastAsia" w:ascii="Arial" w:hAnsi="Arial" w:eastAsia="仿宋" w:cs="Arial"/>
          <w:sz w:val="28"/>
          <w:highlight w:val="none"/>
          <w:lang w:eastAsia="zh-CN"/>
        </w:rPr>
      </w:pPr>
      <w:r>
        <w:rPr>
          <w:rFonts w:ascii="Arial" w:hAnsi="Arial" w:eastAsia="仿宋" w:cs="Arial"/>
          <w:snapToGrid w:val="0"/>
          <w:sz w:val="28"/>
          <w:highlight w:val="none"/>
        </w:rPr>
        <w:t>开发完成后的房地产价值的确定根据评估专业人员的市场调查及</w:t>
      </w:r>
      <w:r>
        <w:rPr>
          <w:rFonts w:ascii="Arial" w:hAnsi="Arial" w:eastAsia="仿宋" w:cs="Arial"/>
          <w:sz w:val="28"/>
          <w:szCs w:val="28"/>
          <w:highlight w:val="none"/>
        </w:rPr>
        <w:t>查询中指数据、建委网站等网上发布信息，</w:t>
      </w:r>
      <w:r>
        <w:rPr>
          <w:rFonts w:ascii="Arial" w:hAnsi="Arial" w:eastAsia="仿宋" w:cs="Arial"/>
          <w:sz w:val="28"/>
          <w:highlight w:val="none"/>
        </w:rPr>
        <w:t>采用房地产交易中的替代原则，选取与估价对象类似用途的案例，并分别进行交易情况、交易时间、用途、土地使用年限、区域因素、个别因素的修正。详见下表</w:t>
      </w:r>
      <w:r>
        <w:rPr>
          <w:rFonts w:hint="eastAsia" w:ascii="Arial" w:hAnsi="Arial" w:eastAsia="仿宋" w:cs="Arial"/>
          <w:sz w:val="28"/>
          <w:highlight w:val="none"/>
          <w:lang w:eastAsia="zh-CN"/>
        </w:rPr>
        <w:t>：</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07026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90" w:hRule="atLeast"/>
        </w:trPr>
        <w:tc>
          <w:tcPr>
            <w:tcW w:w="2325" w:type="dxa"/>
            <w:shd w:val="clear" w:color="auto" w:fill="auto"/>
            <w:noWrap w:val="0"/>
            <w:vAlign w:val="top"/>
          </w:tcPr>
          <w:p w14:paraId="6CC2C7AC">
            <w:pPr>
              <w:widowControl/>
              <w:adjustRightInd/>
              <w:spacing w:line="240" w:lineRule="auto"/>
              <w:jc w:val="center"/>
              <w:textAlignment w:val="auto"/>
              <w:rPr>
                <w:rFonts w:hint="eastAsia" w:ascii="Arial" w:hAnsi="Arial" w:eastAsia="仿宋_GB2312" w:cs="Arial"/>
                <w:sz w:val="18"/>
                <w:szCs w:val="18"/>
                <w:highlight w:val="none"/>
              </w:rPr>
            </w:pPr>
          </w:p>
        </w:tc>
        <w:tc>
          <w:tcPr>
            <w:tcW w:w="2324" w:type="dxa"/>
            <w:shd w:val="clear" w:color="auto" w:fill="auto"/>
            <w:noWrap w:val="0"/>
            <w:vAlign w:val="top"/>
          </w:tcPr>
          <w:p w14:paraId="71B1B202">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rPr>
              <w:t>案例</w:t>
            </w:r>
            <w:r>
              <w:rPr>
                <w:rFonts w:hint="eastAsia" w:ascii="Arial" w:hAnsi="Arial" w:eastAsia="仿宋_GB2312" w:cs="Arial"/>
                <w:sz w:val="18"/>
                <w:szCs w:val="18"/>
                <w:highlight w:val="none"/>
                <w:lang w:val="en-US" w:eastAsia="zh-CN"/>
              </w:rPr>
              <w:t>D</w:t>
            </w:r>
          </w:p>
        </w:tc>
        <w:tc>
          <w:tcPr>
            <w:tcW w:w="2325" w:type="dxa"/>
            <w:shd w:val="clear" w:color="auto" w:fill="auto"/>
            <w:noWrap w:val="0"/>
            <w:vAlign w:val="top"/>
          </w:tcPr>
          <w:p w14:paraId="0424E027">
            <w:pPr>
              <w:widowControl/>
              <w:adjustRightInd/>
              <w:spacing w:line="240" w:lineRule="auto"/>
              <w:jc w:val="center"/>
              <w:textAlignment w:val="auto"/>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rPr>
              <w:t>案例</w:t>
            </w:r>
            <w:r>
              <w:rPr>
                <w:rFonts w:hint="eastAsia" w:ascii="Arial" w:hAnsi="Arial" w:eastAsia="仿宋_GB2312" w:cs="Arial"/>
                <w:sz w:val="18"/>
                <w:szCs w:val="18"/>
                <w:highlight w:val="none"/>
                <w:lang w:val="en-US" w:eastAsia="zh-CN"/>
              </w:rPr>
              <w:t>E</w:t>
            </w:r>
          </w:p>
        </w:tc>
        <w:tc>
          <w:tcPr>
            <w:tcW w:w="2325" w:type="dxa"/>
            <w:shd w:val="clear" w:color="auto" w:fill="auto"/>
            <w:noWrap w:val="0"/>
            <w:vAlign w:val="top"/>
          </w:tcPr>
          <w:p w14:paraId="6564DB4B">
            <w:pPr>
              <w:widowControl/>
              <w:adjustRightInd/>
              <w:spacing w:line="240" w:lineRule="auto"/>
              <w:jc w:val="center"/>
              <w:textAlignment w:val="auto"/>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rPr>
              <w:t>案例</w:t>
            </w:r>
            <w:r>
              <w:rPr>
                <w:rFonts w:hint="eastAsia" w:ascii="Arial" w:hAnsi="Arial" w:eastAsia="仿宋_GB2312" w:cs="Arial"/>
                <w:sz w:val="18"/>
                <w:szCs w:val="18"/>
                <w:highlight w:val="none"/>
                <w:lang w:val="en-US" w:eastAsia="zh-CN"/>
              </w:rPr>
              <w:t>F</w:t>
            </w:r>
          </w:p>
        </w:tc>
      </w:tr>
      <w:tr w14:paraId="65F76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noWrap w:val="0"/>
            <w:vAlign w:val="top"/>
          </w:tcPr>
          <w:p w14:paraId="34C6C6D2">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项目名称</w:t>
            </w:r>
          </w:p>
        </w:tc>
        <w:tc>
          <w:tcPr>
            <w:tcW w:w="2324" w:type="dxa"/>
            <w:shd w:val="clear" w:color="auto" w:fill="auto"/>
            <w:noWrap w:val="0"/>
            <w:vAlign w:val="top"/>
          </w:tcPr>
          <w:p w14:paraId="3E6D28A9">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 w:cs="Arial"/>
                <w:snapToGrid w:val="0"/>
                <w:sz w:val="18"/>
                <w:szCs w:val="21"/>
                <w:highlight w:val="none"/>
              </w:rPr>
              <w:t>顺义</w:t>
            </w:r>
            <w:r>
              <w:rPr>
                <w:rFonts w:hint="eastAsia" w:ascii="Arial" w:hAnsi="Arial" w:eastAsia="仿宋" w:cs="Arial"/>
                <w:snapToGrid w:val="0"/>
                <w:sz w:val="18"/>
                <w:szCs w:val="21"/>
                <w:highlight w:val="none"/>
                <w:lang w:val="en-US" w:eastAsia="zh-CN"/>
              </w:rPr>
              <w:t>绿地启航国际</w:t>
            </w:r>
            <w:r>
              <w:rPr>
                <w:rFonts w:hint="eastAsia" w:ascii="Arial" w:hAnsi="Arial" w:eastAsia="仿宋" w:cs="Arial"/>
                <w:snapToGrid w:val="0"/>
                <w:sz w:val="18"/>
                <w:szCs w:val="21"/>
                <w:highlight w:val="none"/>
              </w:rPr>
              <w:t>商铺</w:t>
            </w:r>
          </w:p>
        </w:tc>
        <w:tc>
          <w:tcPr>
            <w:tcW w:w="2325" w:type="dxa"/>
            <w:shd w:val="clear" w:color="auto" w:fill="auto"/>
            <w:noWrap w:val="0"/>
            <w:vAlign w:val="top"/>
          </w:tcPr>
          <w:p w14:paraId="53F34EC5">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 w:cs="Arial"/>
                <w:snapToGrid w:val="0"/>
                <w:sz w:val="18"/>
                <w:szCs w:val="21"/>
                <w:highlight w:val="none"/>
              </w:rPr>
              <w:t>中粮祥云小镇商铺</w:t>
            </w:r>
          </w:p>
        </w:tc>
        <w:tc>
          <w:tcPr>
            <w:tcW w:w="2325" w:type="dxa"/>
            <w:shd w:val="clear" w:color="auto" w:fill="auto"/>
            <w:noWrap w:val="0"/>
            <w:vAlign w:val="top"/>
          </w:tcPr>
          <w:p w14:paraId="251611E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 w:cs="Arial"/>
                <w:snapToGrid w:val="0"/>
                <w:sz w:val="18"/>
                <w:szCs w:val="21"/>
                <w:highlight w:val="none"/>
              </w:rPr>
              <w:t>府前西街商铺</w:t>
            </w:r>
          </w:p>
        </w:tc>
      </w:tr>
      <w:tr w14:paraId="6D267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5B1A55C0">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数据来源</w:t>
            </w:r>
          </w:p>
        </w:tc>
        <w:tc>
          <w:tcPr>
            <w:tcW w:w="2324" w:type="dxa"/>
            <w:shd w:val="clear" w:color="auto" w:fill="auto"/>
            <w:noWrap w:val="0"/>
            <w:vAlign w:val="top"/>
          </w:tcPr>
          <w:p w14:paraId="54F8C74A">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网络调查、电话及现场核实</w:t>
            </w:r>
          </w:p>
        </w:tc>
        <w:tc>
          <w:tcPr>
            <w:tcW w:w="2325" w:type="dxa"/>
            <w:shd w:val="clear" w:color="auto" w:fill="auto"/>
            <w:noWrap w:val="0"/>
            <w:vAlign w:val="top"/>
          </w:tcPr>
          <w:p w14:paraId="1E557A5C">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网络调查、电话及现场核实</w:t>
            </w:r>
          </w:p>
        </w:tc>
        <w:tc>
          <w:tcPr>
            <w:tcW w:w="2325" w:type="dxa"/>
            <w:shd w:val="clear" w:color="auto" w:fill="auto"/>
            <w:noWrap w:val="0"/>
            <w:vAlign w:val="top"/>
          </w:tcPr>
          <w:p w14:paraId="53EC5D91">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网络调查、电话及现场核实</w:t>
            </w:r>
          </w:p>
        </w:tc>
      </w:tr>
      <w:tr w14:paraId="05830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54DA46FD">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交易价格（元/㎡）</w:t>
            </w:r>
          </w:p>
        </w:tc>
        <w:tc>
          <w:tcPr>
            <w:tcW w:w="2324" w:type="dxa"/>
            <w:shd w:val="clear" w:color="auto" w:fill="auto"/>
            <w:noWrap w:val="0"/>
            <w:vAlign w:val="top"/>
          </w:tcPr>
          <w:p w14:paraId="3D344E4E">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20000</w:t>
            </w:r>
          </w:p>
        </w:tc>
        <w:tc>
          <w:tcPr>
            <w:tcW w:w="2325" w:type="dxa"/>
            <w:shd w:val="clear" w:color="auto" w:fill="auto"/>
            <w:noWrap w:val="0"/>
            <w:vAlign w:val="top"/>
          </w:tcPr>
          <w:p w14:paraId="4F378859">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20000</w:t>
            </w:r>
          </w:p>
        </w:tc>
        <w:tc>
          <w:tcPr>
            <w:tcW w:w="2325" w:type="dxa"/>
            <w:shd w:val="clear" w:color="auto" w:fill="auto"/>
            <w:noWrap w:val="0"/>
            <w:vAlign w:val="top"/>
          </w:tcPr>
          <w:p w14:paraId="69E82EC1">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21000</w:t>
            </w:r>
          </w:p>
        </w:tc>
      </w:tr>
      <w:tr w14:paraId="26DDE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5719FD8D">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成交日期</w:t>
            </w:r>
          </w:p>
        </w:tc>
        <w:tc>
          <w:tcPr>
            <w:tcW w:w="2324" w:type="dxa"/>
            <w:shd w:val="clear" w:color="auto" w:fill="auto"/>
            <w:noWrap w:val="0"/>
            <w:vAlign w:val="top"/>
          </w:tcPr>
          <w:p w14:paraId="15AFCBDE">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2026年3月</w:t>
            </w:r>
          </w:p>
        </w:tc>
        <w:tc>
          <w:tcPr>
            <w:tcW w:w="2325" w:type="dxa"/>
            <w:shd w:val="clear" w:color="auto" w:fill="auto"/>
            <w:noWrap w:val="0"/>
            <w:vAlign w:val="top"/>
          </w:tcPr>
          <w:p w14:paraId="29DDA987">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2026年3月</w:t>
            </w:r>
          </w:p>
        </w:tc>
        <w:tc>
          <w:tcPr>
            <w:tcW w:w="2325" w:type="dxa"/>
            <w:shd w:val="clear" w:color="auto" w:fill="auto"/>
            <w:noWrap w:val="0"/>
            <w:vAlign w:val="top"/>
          </w:tcPr>
          <w:p w14:paraId="0A7EFC5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2026年3月</w:t>
            </w:r>
          </w:p>
        </w:tc>
      </w:tr>
      <w:tr w14:paraId="6C38F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380A584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用途</w:t>
            </w:r>
          </w:p>
        </w:tc>
        <w:tc>
          <w:tcPr>
            <w:tcW w:w="2324" w:type="dxa"/>
            <w:shd w:val="clear" w:color="auto" w:fill="auto"/>
            <w:noWrap w:val="0"/>
            <w:vAlign w:val="top"/>
          </w:tcPr>
          <w:p w14:paraId="0C80A082">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商业</w:t>
            </w:r>
          </w:p>
        </w:tc>
        <w:tc>
          <w:tcPr>
            <w:tcW w:w="2325" w:type="dxa"/>
            <w:shd w:val="clear" w:color="auto" w:fill="auto"/>
            <w:noWrap w:val="0"/>
            <w:vAlign w:val="top"/>
          </w:tcPr>
          <w:p w14:paraId="01262C2D">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商业</w:t>
            </w:r>
          </w:p>
        </w:tc>
        <w:tc>
          <w:tcPr>
            <w:tcW w:w="2325" w:type="dxa"/>
            <w:shd w:val="clear" w:color="auto" w:fill="auto"/>
            <w:noWrap w:val="0"/>
            <w:vAlign w:val="top"/>
          </w:tcPr>
          <w:p w14:paraId="25FB6FCF">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商业</w:t>
            </w:r>
          </w:p>
        </w:tc>
      </w:tr>
      <w:tr w14:paraId="35951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51DBECB3">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交易情况</w:t>
            </w:r>
          </w:p>
        </w:tc>
        <w:tc>
          <w:tcPr>
            <w:tcW w:w="2324" w:type="dxa"/>
            <w:shd w:val="clear" w:color="auto" w:fill="auto"/>
            <w:noWrap w:val="0"/>
            <w:vAlign w:val="top"/>
          </w:tcPr>
          <w:p w14:paraId="5744CDA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c>
          <w:tcPr>
            <w:tcW w:w="2325" w:type="dxa"/>
            <w:shd w:val="clear" w:color="auto" w:fill="auto"/>
            <w:noWrap w:val="0"/>
            <w:vAlign w:val="top"/>
          </w:tcPr>
          <w:p w14:paraId="7C232A5B">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c>
          <w:tcPr>
            <w:tcW w:w="2325" w:type="dxa"/>
            <w:shd w:val="clear" w:color="auto" w:fill="auto"/>
            <w:noWrap w:val="0"/>
            <w:vAlign w:val="top"/>
          </w:tcPr>
          <w:p w14:paraId="756A769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r>
      <w:tr w14:paraId="7E976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1C377115">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建筑结构</w:t>
            </w:r>
          </w:p>
        </w:tc>
        <w:tc>
          <w:tcPr>
            <w:tcW w:w="2324" w:type="dxa"/>
            <w:shd w:val="clear" w:color="auto" w:fill="auto"/>
            <w:noWrap w:val="0"/>
            <w:vAlign w:val="top"/>
          </w:tcPr>
          <w:p w14:paraId="11CC9EB5">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钢混</w:t>
            </w:r>
          </w:p>
        </w:tc>
        <w:tc>
          <w:tcPr>
            <w:tcW w:w="2325" w:type="dxa"/>
            <w:shd w:val="clear" w:color="auto" w:fill="auto"/>
            <w:noWrap w:val="0"/>
            <w:vAlign w:val="top"/>
          </w:tcPr>
          <w:p w14:paraId="5B757F41">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钢混</w:t>
            </w:r>
          </w:p>
        </w:tc>
        <w:tc>
          <w:tcPr>
            <w:tcW w:w="2325" w:type="dxa"/>
            <w:shd w:val="clear" w:color="auto" w:fill="auto"/>
            <w:noWrap w:val="0"/>
            <w:vAlign w:val="top"/>
          </w:tcPr>
          <w:p w14:paraId="7E3CD35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钢混</w:t>
            </w:r>
          </w:p>
        </w:tc>
      </w:tr>
      <w:tr w14:paraId="3410A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06A138EF">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商业类型</w:t>
            </w:r>
          </w:p>
        </w:tc>
        <w:tc>
          <w:tcPr>
            <w:tcW w:w="2324" w:type="dxa"/>
            <w:shd w:val="clear" w:color="auto" w:fill="auto"/>
            <w:noWrap w:val="0"/>
            <w:vAlign w:val="top"/>
          </w:tcPr>
          <w:p w14:paraId="0F3A28A6">
            <w:pPr>
              <w:widowControl/>
              <w:adjustRightInd/>
              <w:spacing w:line="240" w:lineRule="auto"/>
              <w:jc w:val="both"/>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 xml:space="preserve">        临街商铺</w:t>
            </w:r>
          </w:p>
        </w:tc>
        <w:tc>
          <w:tcPr>
            <w:tcW w:w="2325" w:type="dxa"/>
            <w:shd w:val="clear" w:color="auto" w:fill="auto"/>
            <w:noWrap w:val="0"/>
            <w:vAlign w:val="top"/>
          </w:tcPr>
          <w:p w14:paraId="66983355">
            <w:pPr>
              <w:widowControl/>
              <w:adjustRightInd/>
              <w:spacing w:line="240" w:lineRule="auto"/>
              <w:jc w:val="center"/>
              <w:textAlignment w:val="auto"/>
              <w:rPr>
                <w:rFonts w:hint="default" w:ascii="Arial" w:hAnsi="Arial" w:eastAsia="仿宋_GB2312" w:cs="Arial"/>
                <w:sz w:val="18"/>
                <w:szCs w:val="18"/>
                <w:highlight w:val="none"/>
                <w:lang w:val="en-US"/>
              </w:rPr>
            </w:pPr>
            <w:r>
              <w:rPr>
                <w:rFonts w:hint="eastAsia" w:ascii="Arial" w:hAnsi="Arial" w:eastAsia="仿宋_GB2312" w:cs="Arial"/>
                <w:sz w:val="18"/>
                <w:szCs w:val="18"/>
                <w:highlight w:val="none"/>
                <w:lang w:val="en-US" w:eastAsia="zh-CN"/>
              </w:rPr>
              <w:t>临街商铺</w:t>
            </w:r>
          </w:p>
        </w:tc>
        <w:tc>
          <w:tcPr>
            <w:tcW w:w="2325" w:type="dxa"/>
            <w:shd w:val="clear" w:color="auto" w:fill="auto"/>
            <w:noWrap w:val="0"/>
            <w:vAlign w:val="top"/>
          </w:tcPr>
          <w:p w14:paraId="1CB7B28D">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临街商铺</w:t>
            </w:r>
          </w:p>
        </w:tc>
      </w:tr>
    </w:tbl>
    <w:p w14:paraId="72D20F0C">
      <w:pPr>
        <w:rPr>
          <w:rFonts w:hint="eastAsia" w:ascii="Arial" w:hAnsi="Arial" w:eastAsia="仿宋" w:cs="Arial"/>
          <w:sz w:val="28"/>
          <w:highlight w:val="none"/>
          <w:lang w:eastAsia="zh-CN"/>
        </w:rPr>
      </w:pPr>
      <w:r>
        <w:rPr>
          <w:rFonts w:hint="eastAsia" w:ascii="Arial" w:hAnsi="Arial" w:eastAsia="仿宋" w:cs="Arial"/>
          <w:sz w:val="28"/>
          <w:highlight w:val="none"/>
          <w:lang w:eastAsia="zh-CN"/>
        </w:rPr>
        <w:br w:type="page"/>
      </w:r>
    </w:p>
    <w:p w14:paraId="1B70F03E">
      <w:pPr>
        <w:spacing w:after="26" w:line="300" w:lineRule="auto"/>
        <w:ind w:firstLine="560" w:firstLineChars="200"/>
        <w:jc w:val="both"/>
        <w:rPr>
          <w:rFonts w:hint="eastAsia" w:ascii="Arial" w:hAnsi="Arial" w:eastAsia="仿宋" w:cs="Arial"/>
          <w:sz w:val="28"/>
          <w:highlight w:val="none"/>
          <w:lang w:eastAsia="zh-CN"/>
        </w:rPr>
      </w:pP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325292BE">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noWrap w:val="0"/>
            <w:vAlign w:val="top"/>
          </w:tcPr>
          <w:p w14:paraId="24C8C002">
            <w:pPr>
              <w:widowControl/>
              <w:adjustRightInd/>
              <w:spacing w:line="240" w:lineRule="auto"/>
              <w:jc w:val="center"/>
              <w:textAlignment w:val="auto"/>
              <w:rPr>
                <w:rFonts w:ascii="华文细黑" w:hAnsi="华文细黑" w:eastAsia="华文细黑"/>
                <w:highlight w:val="none"/>
              </w:rPr>
            </w:pPr>
            <w:r>
              <w:rPr>
                <w:rFonts w:hint="eastAsia" w:ascii="Arial" w:hAnsi="Arial" w:eastAsia="仿宋_GB2312" w:cs="Arial"/>
                <w:sz w:val="24"/>
                <w:szCs w:val="24"/>
                <w:highlight w:val="none"/>
                <w:lang w:val="en-US" w:eastAsia="zh-CN"/>
              </w:rPr>
              <w:t>案例位置示意图及照片</w:t>
            </w:r>
          </w:p>
        </w:tc>
      </w:tr>
      <w:tr w14:paraId="23421EAD">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noWrap w:val="0"/>
            <w:vAlign w:val="top"/>
          </w:tcPr>
          <w:p w14:paraId="3AE47E44">
            <w:pPr>
              <w:jc w:val="center"/>
              <w:rPr>
                <w:rFonts w:hint="eastAsia"/>
                <w:highlight w:val="none"/>
              </w:rPr>
            </w:pPr>
            <w:r>
              <w:rPr>
                <w:highlight w:val="none"/>
              </w:rPr>
              <mc:AlternateContent>
                <mc:Choice Requires="wps">
                  <w:drawing>
                    <wp:anchor distT="0" distB="0" distL="114300" distR="114300" simplePos="0" relativeHeight="251678720" behindDoc="0" locked="0" layoutInCell="1" allowOverlap="1">
                      <wp:simplePos x="0" y="0"/>
                      <wp:positionH relativeFrom="column">
                        <wp:posOffset>596900</wp:posOffset>
                      </wp:positionH>
                      <wp:positionV relativeFrom="paragraph">
                        <wp:posOffset>2994660</wp:posOffset>
                      </wp:positionV>
                      <wp:extent cx="758825" cy="407670"/>
                      <wp:effectExtent l="12700" t="12700" r="386715" b="158750"/>
                      <wp:wrapNone/>
                      <wp:docPr id="42" name="线形标注 1 42"/>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135358"/>
                                  <a:gd name="adj2" fmla="val 149623"/>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50FFF36B">
                                  <w:pPr>
                                    <w:jc w:val="center"/>
                                    <w:rPr>
                                      <w:rFonts w:hint="eastAsia" w:eastAsia="宋体"/>
                                      <w:b/>
                                      <w:color w:val="FFFFFF"/>
                                      <w:lang w:val="en-US" w:eastAsia="zh-CN"/>
                                    </w:rPr>
                                  </w:pPr>
                                  <w:r>
                                    <w:rPr>
                                      <w:rFonts w:hint="eastAsia"/>
                                      <w:b/>
                                      <w:color w:val="FFFFFF"/>
                                    </w:rPr>
                                    <w:t>案例</w:t>
                                  </w:r>
                                  <w:r>
                                    <w:rPr>
                                      <w:rFonts w:hint="eastAsia"/>
                                      <w:b/>
                                      <w:color w:val="FFFFFF"/>
                                      <w:lang w:val="en-US" w:eastAsia="zh-CN"/>
                                    </w:rPr>
                                    <w:t>E</w:t>
                                  </w:r>
                                </w:p>
                              </w:txbxContent>
                            </wps:txbx>
                            <wps:bodyPr anchor="ctr" anchorCtr="0" upright="1"/>
                          </wps:wsp>
                        </a:graphicData>
                      </a:graphic>
                    </wp:anchor>
                  </w:drawing>
                </mc:Choice>
                <mc:Fallback>
                  <w:pict>
                    <v:shape id="_x0000_s1026" o:spid="_x0000_s1026" o:spt="47" type="#_x0000_t47" style="position:absolute;left:0pt;margin-left:47pt;margin-top:235.8pt;height:32.1pt;width:59.75pt;z-index:251678720;v-text-anchor:middle;mso-width-relative:page;mso-height-relative:page;" fillcolor="#558ED5" filled="t" stroked="t" coordsize="21600,21600" o:gfxdata="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h4Cfh2gAAAAoBAAAPAAAAAAAAAAEAIAAAACIAAABkcnMvZG93bnJldi54bWxQSwEC&#10;FAAUAAAACACHTuJAMeSybGQCAAD0BAAADgAAAAAAAAABACAAAAApAQAAZHJzL2Uyb0RvYy54bWxQ&#10;SwUGAAAAAAYABgBZAQAA/wUAAAAA&#10;" adj="9905,23114,32319,29237">
                      <v:fill on="t" focussize="0,0"/>
                      <v:stroke weight="2pt" color="#385D8A" joinstyle="miter"/>
                      <v:imagedata o:title=""/>
                      <o:lock v:ext="edit" aspectratio="f"/>
                      <v:textbox>
                        <w:txbxContent>
                          <w:p w14:paraId="50FFF36B">
                            <w:pPr>
                              <w:jc w:val="center"/>
                              <w:rPr>
                                <w:rFonts w:hint="eastAsia" w:eastAsia="宋体"/>
                                <w:b/>
                                <w:color w:val="FFFFFF"/>
                                <w:lang w:val="en-US" w:eastAsia="zh-CN"/>
                              </w:rPr>
                            </w:pPr>
                            <w:r>
                              <w:rPr>
                                <w:rFonts w:hint="eastAsia"/>
                                <w:b/>
                                <w:color w:val="FFFFFF"/>
                              </w:rPr>
                              <w:t>案例</w:t>
                            </w:r>
                            <w:r>
                              <w:rPr>
                                <w:rFonts w:hint="eastAsia"/>
                                <w:b/>
                                <w:color w:val="FFFFFF"/>
                                <w:lang w:val="en-US" w:eastAsia="zh-CN"/>
                              </w:rPr>
                              <w:t>E</w:t>
                            </w:r>
                          </w:p>
                        </w:txbxContent>
                      </v:textbox>
                    </v:shape>
                  </w:pict>
                </mc:Fallback>
              </mc:AlternateContent>
            </w:r>
            <w:r>
              <w:rPr>
                <w:highlight w:val="none"/>
              </w:rPr>
              <mc:AlternateContent>
                <mc:Choice Requires="wps">
                  <w:drawing>
                    <wp:anchor distT="0" distB="0" distL="114300" distR="114300" simplePos="0" relativeHeight="251673600" behindDoc="0" locked="0" layoutInCell="1" allowOverlap="1">
                      <wp:simplePos x="0" y="0"/>
                      <wp:positionH relativeFrom="column">
                        <wp:posOffset>1610360</wp:posOffset>
                      </wp:positionH>
                      <wp:positionV relativeFrom="paragraph">
                        <wp:posOffset>1706880</wp:posOffset>
                      </wp:positionV>
                      <wp:extent cx="758825" cy="407670"/>
                      <wp:effectExtent l="12700" t="12700" r="20955" b="631190"/>
                      <wp:wrapNone/>
                      <wp:docPr id="89" name="线形标注 1 89"/>
                      <wp:cNvGraphicFramePr/>
                      <a:graphic xmlns:a="http://schemas.openxmlformats.org/drawingml/2006/main">
                        <a:graphicData uri="http://schemas.microsoft.com/office/word/2010/wordprocessingShape">
                          <wps:wsp>
                            <wps:cNvSpPr/>
                            <wps:spPr>
                              <a:xfrm>
                                <a:off x="0" y="0"/>
                                <a:ext cx="758825" cy="407670"/>
                              </a:xfrm>
                              <a:prstGeom prst="borderCallout1">
                                <a:avLst>
                                  <a:gd name="adj1" fmla="val 251246"/>
                                  <a:gd name="adj2" fmla="val 74309"/>
                                  <a:gd name="adj3" fmla="val 107009"/>
                                  <a:gd name="adj4" fmla="val 45857"/>
                                </a:avLst>
                              </a:prstGeom>
                              <a:solidFill>
                                <a:srgbClr val="558ED5"/>
                              </a:solidFill>
                              <a:ln w="25400" cap="flat" cmpd="sng">
                                <a:solidFill>
                                  <a:srgbClr val="385D8A"/>
                                </a:solidFill>
                                <a:prstDash val="solid"/>
                                <a:miter/>
                                <a:headEnd type="none" w="med" len="med"/>
                                <a:tailEnd type="none" w="med" len="med"/>
                              </a:ln>
                            </wps:spPr>
                            <wps:txbx>
                              <w:txbxContent>
                                <w:p w14:paraId="6E28FF39">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D</w:t>
                                  </w:r>
                                </w:p>
                              </w:txbxContent>
                            </wps:txbx>
                            <wps:bodyPr anchor="ctr" anchorCtr="0" upright="1"/>
                          </wps:wsp>
                        </a:graphicData>
                      </a:graphic>
                    </wp:anchor>
                  </w:drawing>
                </mc:Choice>
                <mc:Fallback>
                  <w:pict>
                    <v:shape id="_x0000_s1026" o:spid="_x0000_s1026" o:spt="47" type="#_x0000_t47" style="position:absolute;left:0pt;margin-left:126.8pt;margin-top:134.4pt;height:32.1pt;width:59.75pt;z-index:251673600;v-text-anchor:middle;mso-width-relative:page;mso-height-relative:page;" fillcolor="#558ED5" filled="t" stroked="t" coordsize="21600,21600" o:gfxdata="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zZUOLWAAAACwEAAA8AAAAAAAAAAQAgAAAAIgAAAGRycy9kb3ducmV2LnhtbFBLAQIUABQA&#10;AAAIAIdO4kCKnloZZAIAAPMEAAAOAAAAAAAAAAEAIAAAACUBAABkcnMvZTJvRG9jLnhtbFBLBQYA&#10;AAAABgAGAFkBAAD7BQAAAAA=&#10;" adj="9905,23114,16051,54269">
                      <v:fill on="t" focussize="0,0"/>
                      <v:stroke weight="2pt" color="#385D8A" joinstyle="miter"/>
                      <v:imagedata o:title=""/>
                      <o:lock v:ext="edit" aspectratio="f"/>
                      <v:textbox>
                        <w:txbxContent>
                          <w:p w14:paraId="6E28FF39">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D</w:t>
                            </w:r>
                          </w:p>
                        </w:txbxContent>
                      </v:textbox>
                    </v:shape>
                  </w:pict>
                </mc:Fallback>
              </mc:AlternateContent>
            </w:r>
            <w:r>
              <w:rPr>
                <w:highlight w:val="none"/>
              </w:rPr>
              <mc:AlternateContent>
                <mc:Choice Requires="wps">
                  <w:drawing>
                    <wp:anchor distT="0" distB="0" distL="114300" distR="114300" simplePos="0" relativeHeight="251672576" behindDoc="0" locked="0" layoutInCell="1" allowOverlap="1">
                      <wp:simplePos x="0" y="0"/>
                      <wp:positionH relativeFrom="column">
                        <wp:posOffset>4773295</wp:posOffset>
                      </wp:positionH>
                      <wp:positionV relativeFrom="paragraph">
                        <wp:posOffset>2679700</wp:posOffset>
                      </wp:positionV>
                      <wp:extent cx="739140" cy="414020"/>
                      <wp:effectExtent l="353695" t="492125" r="19685" b="23495"/>
                      <wp:wrapNone/>
                      <wp:docPr id="91" name="线形标注 1 91"/>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116564"/>
                                  <a:gd name="adj4" fmla="val -46735"/>
                                </a:avLst>
                              </a:prstGeom>
                              <a:solidFill>
                                <a:srgbClr val="1F497D">
                                  <a:lumMod val="60000"/>
                                  <a:lumOff val="40000"/>
                                </a:srgbClr>
                              </a:solidFill>
                              <a:ln w="25400" cap="flat" cmpd="sng" algn="ctr">
                                <a:solidFill>
                                  <a:srgbClr val="4F81BD">
                                    <a:shade val="50000"/>
                                  </a:srgbClr>
                                </a:solidFill>
                                <a:prstDash val="solid"/>
                              </a:ln>
                              <a:effectLst/>
                            </wps:spPr>
                            <wps:txbx>
                              <w:txbxContent>
                                <w:p w14:paraId="349ED354">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F</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75.85pt;margin-top:211pt;height:32.6pt;width:58.2pt;z-index:251672576;v-text-anchor:middle;mso-width-relative:page;mso-height-relative:page;" fillcolor="#558ED5" filled="t" stroked="t" coordsize="21600,21600" o:gfxdata="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" adj="-10095,-25178,7311,397">
                      <v:fill on="t" focussize="0,0"/>
                      <v:stroke weight="2pt" color="#385D8A" joinstyle="round"/>
                      <v:imagedata o:title=""/>
                      <o:lock v:ext="edit" aspectratio="f"/>
                      <v:textbox>
                        <w:txbxContent>
                          <w:p w14:paraId="349ED354">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F</w:t>
                            </w:r>
                          </w:p>
                        </w:txbxContent>
                      </v:textbox>
                    </v:shape>
                  </w:pict>
                </mc:Fallback>
              </mc:AlternateContent>
            </w:r>
            <w:r>
              <w:rPr>
                <w:highlight w:val="none"/>
              </w:rPr>
              <w:drawing>
                <wp:anchor distT="0" distB="0" distL="114300" distR="114300" simplePos="0" relativeHeight="251671552" behindDoc="0" locked="0" layoutInCell="1" allowOverlap="1">
                  <wp:simplePos x="0" y="0"/>
                  <wp:positionH relativeFrom="column">
                    <wp:posOffset>2032635</wp:posOffset>
                  </wp:positionH>
                  <wp:positionV relativeFrom="paragraph">
                    <wp:posOffset>729615</wp:posOffset>
                  </wp:positionV>
                  <wp:extent cx="996315" cy="556895"/>
                  <wp:effectExtent l="0" t="0" r="0" b="0"/>
                  <wp:wrapNone/>
                  <wp:docPr id="92"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4" descr="说明: 估价对象tag-L"/>
                          <pic:cNvPicPr>
                            <a:picLocks noChangeAspect="1"/>
                          </pic:cNvPicPr>
                        </pic:nvPicPr>
                        <pic:blipFill>
                          <a:blip r:embed="rId65"/>
                          <a:stretch>
                            <a:fillRect/>
                          </a:stretch>
                        </pic:blipFill>
                        <pic:spPr>
                          <a:xfrm>
                            <a:off x="0" y="0"/>
                            <a:ext cx="996315" cy="556895"/>
                          </a:xfrm>
                          <a:prstGeom prst="rect">
                            <a:avLst/>
                          </a:prstGeom>
                          <a:noFill/>
                          <a:ln>
                            <a:noFill/>
                          </a:ln>
                        </pic:spPr>
                      </pic:pic>
                    </a:graphicData>
                  </a:graphic>
                </wp:anchor>
              </w:drawing>
            </w:r>
            <w:r>
              <w:rPr>
                <w:highlight w:val="none"/>
              </w:rPr>
              <w:drawing>
                <wp:inline distT="0" distB="0" distL="114300" distR="114300">
                  <wp:extent cx="5787390" cy="4692650"/>
                  <wp:effectExtent l="0" t="0" r="3810" b="127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70"/>
                          <a:stretch>
                            <a:fillRect/>
                          </a:stretch>
                        </pic:blipFill>
                        <pic:spPr>
                          <a:xfrm>
                            <a:off x="0" y="0"/>
                            <a:ext cx="5787390" cy="4692650"/>
                          </a:xfrm>
                          <a:prstGeom prst="rect">
                            <a:avLst/>
                          </a:prstGeom>
                          <a:noFill/>
                          <a:ln w="9525">
                            <a:noFill/>
                          </a:ln>
                        </pic:spPr>
                      </pic:pic>
                    </a:graphicData>
                  </a:graphic>
                </wp:inline>
              </w:drawing>
            </w:r>
          </w:p>
        </w:tc>
      </w:tr>
      <w:tr w14:paraId="325D718D">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noWrap w:val="0"/>
            <w:vAlign w:val="top"/>
          </w:tcPr>
          <w:p w14:paraId="3B7FA283">
            <w:pPr>
              <w:widowControl/>
              <w:adjustRightInd/>
              <w:spacing w:line="240" w:lineRule="auto"/>
              <w:jc w:val="center"/>
              <w:textAlignment w:val="auto"/>
              <w:rPr>
                <w:rFonts w:hint="eastAsia" w:ascii="华文细黑" w:hAnsi="华文细黑" w:eastAsia="华文细黑"/>
                <w:highlight w:val="none"/>
              </w:rPr>
            </w:pPr>
            <w:r>
              <w:rPr>
                <w:rFonts w:hint="eastAsia" w:ascii="Arial" w:hAnsi="Arial" w:eastAsia="仿宋_GB2312" w:cs="Arial"/>
                <w:sz w:val="24"/>
                <w:szCs w:val="24"/>
                <w:highlight w:val="none"/>
                <w:lang w:val="en-US" w:eastAsia="zh-CN"/>
              </w:rPr>
              <w:t>案例照片</w:t>
            </w:r>
          </w:p>
        </w:tc>
      </w:tr>
      <w:tr w14:paraId="4CB5548D">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noWrap w:val="0"/>
            <w:vAlign w:val="top"/>
          </w:tcPr>
          <w:p w14:paraId="150A9466">
            <w:pPr>
              <w:widowControl/>
              <w:adjustRightInd/>
              <w:spacing w:line="240" w:lineRule="auto"/>
              <w:jc w:val="center"/>
              <w:textAlignment w:val="auto"/>
              <w:rPr>
                <w:rFonts w:hint="default"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案例D</w:t>
            </w:r>
          </w:p>
        </w:tc>
        <w:tc>
          <w:tcPr>
            <w:tcW w:w="3100" w:type="dxa"/>
            <w:tcBorders>
              <w:bottom w:val="dotted" w:color="404040" w:sz="2" w:space="0"/>
            </w:tcBorders>
            <w:noWrap w:val="0"/>
            <w:vAlign w:val="top"/>
          </w:tcPr>
          <w:p w14:paraId="60B95CE2">
            <w:pPr>
              <w:widowControl/>
              <w:adjustRightInd/>
              <w:spacing w:line="240" w:lineRule="auto"/>
              <w:jc w:val="center"/>
              <w:textAlignment w:val="auto"/>
              <w:rPr>
                <w:rFonts w:hint="eastAsia"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案例E</w:t>
            </w:r>
          </w:p>
        </w:tc>
        <w:tc>
          <w:tcPr>
            <w:tcW w:w="3100" w:type="dxa"/>
            <w:tcBorders>
              <w:bottom w:val="dotted" w:color="404040" w:sz="2" w:space="0"/>
            </w:tcBorders>
            <w:noWrap w:val="0"/>
            <w:vAlign w:val="top"/>
          </w:tcPr>
          <w:p w14:paraId="2C524B48">
            <w:pPr>
              <w:widowControl/>
              <w:adjustRightInd/>
              <w:spacing w:line="240" w:lineRule="auto"/>
              <w:jc w:val="center"/>
              <w:textAlignment w:val="auto"/>
              <w:rPr>
                <w:rFonts w:hint="eastAsia"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案例F</w:t>
            </w:r>
          </w:p>
        </w:tc>
      </w:tr>
      <w:tr w14:paraId="0B856C28">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3670" w:hRule="atLeast"/>
          <w:jc w:val="center"/>
        </w:trPr>
        <w:tc>
          <w:tcPr>
            <w:tcW w:w="3099" w:type="dxa"/>
            <w:noWrap w:val="0"/>
            <w:vAlign w:val="top"/>
          </w:tcPr>
          <w:p w14:paraId="0E0B451E">
            <w:pPr>
              <w:jc w:val="center"/>
              <w:rPr>
                <w:rFonts w:hint="eastAsia" w:eastAsia="宋体"/>
                <w:highlight w:val="none"/>
                <w:lang w:eastAsia="zh-CN"/>
              </w:rPr>
            </w:pPr>
            <w:r>
              <w:rPr>
                <w:highlight w:val="none"/>
              </w:rPr>
              <w:drawing>
                <wp:inline distT="0" distB="0" distL="114300" distR="114300">
                  <wp:extent cx="1816100" cy="2196465"/>
                  <wp:effectExtent l="0" t="0" r="12700" b="13335"/>
                  <wp:docPr id="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0"/>
                          <pic:cNvPicPr>
                            <a:picLocks noChangeAspect="1"/>
                          </pic:cNvPicPr>
                        </pic:nvPicPr>
                        <pic:blipFill>
                          <a:blip r:embed="rId71"/>
                          <a:stretch>
                            <a:fillRect/>
                          </a:stretch>
                        </pic:blipFill>
                        <pic:spPr>
                          <a:xfrm>
                            <a:off x="0" y="0"/>
                            <a:ext cx="1816100" cy="2196465"/>
                          </a:xfrm>
                          <a:prstGeom prst="rect">
                            <a:avLst/>
                          </a:prstGeom>
                          <a:noFill/>
                          <a:ln>
                            <a:noFill/>
                          </a:ln>
                        </pic:spPr>
                      </pic:pic>
                    </a:graphicData>
                  </a:graphic>
                </wp:inline>
              </w:drawing>
            </w:r>
          </w:p>
        </w:tc>
        <w:tc>
          <w:tcPr>
            <w:tcW w:w="3100" w:type="dxa"/>
            <w:noWrap w:val="0"/>
            <w:vAlign w:val="top"/>
          </w:tcPr>
          <w:p w14:paraId="121A6F53">
            <w:pPr>
              <w:jc w:val="center"/>
              <w:rPr>
                <w:rFonts w:hint="eastAsia" w:eastAsia="宋体"/>
                <w:highlight w:val="none"/>
                <w:lang w:eastAsia="zh-CN"/>
              </w:rPr>
            </w:pPr>
            <w:r>
              <w:rPr>
                <w:highlight w:val="none"/>
              </w:rPr>
              <w:drawing>
                <wp:inline distT="0" distB="0" distL="114300" distR="114300">
                  <wp:extent cx="1849120" cy="2202815"/>
                  <wp:effectExtent l="0" t="0" r="10160" b="6985"/>
                  <wp:docPr id="6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2"/>
                          <pic:cNvPicPr>
                            <a:picLocks noChangeAspect="1"/>
                          </pic:cNvPicPr>
                        </pic:nvPicPr>
                        <pic:blipFill>
                          <a:blip r:embed="rId72"/>
                          <a:stretch>
                            <a:fillRect/>
                          </a:stretch>
                        </pic:blipFill>
                        <pic:spPr>
                          <a:xfrm>
                            <a:off x="0" y="0"/>
                            <a:ext cx="1849120" cy="2202815"/>
                          </a:xfrm>
                          <a:prstGeom prst="rect">
                            <a:avLst/>
                          </a:prstGeom>
                          <a:noFill/>
                          <a:ln>
                            <a:noFill/>
                          </a:ln>
                        </pic:spPr>
                      </pic:pic>
                    </a:graphicData>
                  </a:graphic>
                </wp:inline>
              </w:drawing>
            </w:r>
          </w:p>
        </w:tc>
        <w:tc>
          <w:tcPr>
            <w:tcW w:w="3100" w:type="dxa"/>
            <w:noWrap w:val="0"/>
            <w:vAlign w:val="top"/>
          </w:tcPr>
          <w:p w14:paraId="32856A51">
            <w:pPr>
              <w:jc w:val="center"/>
              <w:rPr>
                <w:rFonts w:hint="eastAsia"/>
                <w:highlight w:val="none"/>
              </w:rPr>
            </w:pPr>
            <w:r>
              <w:rPr>
                <w:highlight w:val="none"/>
              </w:rPr>
              <w:drawing>
                <wp:inline distT="0" distB="0" distL="0" distR="0">
                  <wp:extent cx="1746250" cy="2215515"/>
                  <wp:effectExtent l="0" t="0" r="6350" b="9525"/>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1746250" cy="2215515"/>
                          </a:xfrm>
                          <a:prstGeom prst="rect">
                            <a:avLst/>
                          </a:prstGeom>
                          <a:noFill/>
                          <a:ln>
                            <a:noFill/>
                          </a:ln>
                        </pic:spPr>
                      </pic:pic>
                    </a:graphicData>
                  </a:graphic>
                </wp:inline>
              </w:drawing>
            </w:r>
          </w:p>
        </w:tc>
      </w:tr>
    </w:tbl>
    <w:p w14:paraId="022A900F">
      <w:pPr>
        <w:tabs>
          <w:tab w:val="left" w:pos="3261"/>
        </w:tabs>
        <w:spacing w:before="50" w:after="50" w:line="300" w:lineRule="auto"/>
        <w:jc w:val="center"/>
        <w:rPr>
          <w:rFonts w:ascii="Arial" w:hAnsi="Arial" w:cs="Arial"/>
          <w:highlight w:val="none"/>
        </w:rPr>
      </w:pPr>
    </w:p>
    <w:p w14:paraId="36E6740A">
      <w:pPr>
        <w:spacing w:after="26" w:line="36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br w:type="page"/>
      </w:r>
    </w:p>
    <w:p w14:paraId="41FE8291">
      <w:pPr>
        <w:spacing w:line="360" w:lineRule="auto"/>
        <w:jc w:val="center"/>
        <w:rPr>
          <w:rFonts w:ascii="Arial" w:hAnsi="Arial" w:eastAsia="仿宋" w:cs="Arial"/>
          <w:sz w:val="28"/>
          <w:szCs w:val="28"/>
          <w:highlight w:val="none"/>
        </w:rPr>
      </w:pPr>
      <w:r>
        <w:rPr>
          <w:rFonts w:ascii="Arial" w:hAnsi="Arial" w:eastAsia="仿宋" w:cs="Arial"/>
          <w:b/>
          <w:bCs/>
          <w:sz w:val="28"/>
          <w:szCs w:val="28"/>
          <w:highlight w:val="none"/>
        </w:rPr>
        <w:t>表3：比较因素条件说明及指数表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378"/>
        <w:gridCol w:w="787"/>
        <w:gridCol w:w="1457"/>
        <w:gridCol w:w="582"/>
        <w:gridCol w:w="1602"/>
        <w:gridCol w:w="584"/>
        <w:gridCol w:w="1446"/>
        <w:gridCol w:w="496"/>
        <w:gridCol w:w="1553"/>
        <w:gridCol w:w="584"/>
      </w:tblGrid>
      <w:tr w14:paraId="34848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tblHeader/>
          <w:jc w:val="center"/>
        </w:trPr>
        <w:tc>
          <w:tcPr>
            <w:tcW w:w="615" w:type="pct"/>
            <w:gridSpan w:val="2"/>
            <w:vMerge w:val="restart"/>
            <w:tcBorders>
              <w:tl2br w:val="single" w:color="auto" w:sz="4" w:space="0"/>
            </w:tcBorders>
            <w:vAlign w:val="center"/>
          </w:tcPr>
          <w:p w14:paraId="5BE3D3D5">
            <w:pPr>
              <w:widowControl/>
              <w:adjustRightInd/>
              <w:spacing w:line="240" w:lineRule="exact"/>
              <w:jc w:val="right"/>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估价对象及</w:t>
            </w:r>
          </w:p>
          <w:p w14:paraId="4E428671">
            <w:pPr>
              <w:widowControl/>
              <w:adjustRightInd/>
              <w:spacing w:line="240" w:lineRule="exact"/>
              <w:jc w:val="right"/>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可比案例</w:t>
            </w:r>
          </w:p>
          <w:p w14:paraId="692C84C0">
            <w:pPr>
              <w:widowControl/>
              <w:adjustRightInd/>
              <w:spacing w:line="240" w:lineRule="exact"/>
              <w:jc w:val="center"/>
              <w:textAlignment w:val="auto"/>
              <w:rPr>
                <w:rFonts w:ascii="Arial" w:hAnsi="Arial" w:eastAsia="仿宋" w:cs="Arial"/>
                <w:snapToGrid w:val="0"/>
                <w:sz w:val="18"/>
                <w:szCs w:val="21"/>
                <w:highlight w:val="none"/>
              </w:rPr>
            </w:pPr>
          </w:p>
          <w:p w14:paraId="6BEDA293">
            <w:pPr>
              <w:widowControl/>
              <w:adjustRightInd/>
              <w:spacing w:line="240" w:lineRule="exact"/>
              <w:jc w:val="center"/>
              <w:textAlignment w:val="auto"/>
              <w:rPr>
                <w:rFonts w:ascii="Arial" w:hAnsi="Arial" w:eastAsia="仿宋" w:cs="Arial"/>
                <w:snapToGrid w:val="0"/>
                <w:sz w:val="18"/>
                <w:szCs w:val="21"/>
                <w:highlight w:val="none"/>
              </w:rPr>
            </w:pPr>
          </w:p>
          <w:p w14:paraId="1682BFAA">
            <w:pPr>
              <w:widowControl/>
              <w:adjustRightInd/>
              <w:spacing w:line="240" w:lineRule="exact"/>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比较因素</w:t>
            </w:r>
          </w:p>
          <w:p w14:paraId="30FFA3B7">
            <w:pPr>
              <w:widowControl/>
              <w:adjustRightInd/>
              <w:spacing w:line="240" w:lineRule="exact"/>
              <w:jc w:val="center"/>
              <w:textAlignment w:val="auto"/>
              <w:rPr>
                <w:rFonts w:ascii="Arial" w:hAnsi="Arial" w:eastAsia="仿宋" w:cs="Arial"/>
                <w:snapToGrid w:val="0"/>
                <w:sz w:val="18"/>
                <w:szCs w:val="21"/>
                <w:highlight w:val="none"/>
              </w:rPr>
            </w:pPr>
          </w:p>
        </w:tc>
        <w:tc>
          <w:tcPr>
            <w:tcW w:w="1076" w:type="pct"/>
            <w:gridSpan w:val="2"/>
            <w:vAlign w:val="center"/>
          </w:tcPr>
          <w:p w14:paraId="5A387DD8">
            <w:pPr>
              <w:widowControl/>
              <w:adjustRightInd/>
              <w:spacing w:line="240" w:lineRule="exact"/>
              <w:jc w:val="both"/>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估价对象</w:t>
            </w:r>
          </w:p>
        </w:tc>
        <w:tc>
          <w:tcPr>
            <w:tcW w:w="1154" w:type="pct"/>
            <w:gridSpan w:val="2"/>
            <w:vAlign w:val="center"/>
          </w:tcPr>
          <w:p w14:paraId="4440A38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案例D</w:t>
            </w:r>
          </w:p>
        </w:tc>
        <w:tc>
          <w:tcPr>
            <w:tcW w:w="1025" w:type="pct"/>
            <w:gridSpan w:val="2"/>
            <w:vAlign w:val="center"/>
          </w:tcPr>
          <w:p w14:paraId="7ECF617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案例E</w:t>
            </w:r>
          </w:p>
        </w:tc>
        <w:tc>
          <w:tcPr>
            <w:tcW w:w="1128" w:type="pct"/>
            <w:gridSpan w:val="2"/>
            <w:vAlign w:val="center"/>
          </w:tcPr>
          <w:p w14:paraId="74DBEF9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案例F</w:t>
            </w:r>
          </w:p>
        </w:tc>
      </w:tr>
      <w:tr w14:paraId="258CA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tblHeader/>
          <w:jc w:val="center"/>
        </w:trPr>
        <w:tc>
          <w:tcPr>
            <w:tcW w:w="615" w:type="pct"/>
            <w:gridSpan w:val="2"/>
            <w:vMerge w:val="continue"/>
            <w:tcBorders>
              <w:tl2br w:val="single" w:color="auto" w:sz="4" w:space="0"/>
            </w:tcBorders>
            <w:vAlign w:val="center"/>
          </w:tcPr>
          <w:p w14:paraId="5A3AE635">
            <w:pPr>
              <w:widowControl/>
              <w:adjustRightInd/>
              <w:spacing w:line="240" w:lineRule="exact"/>
              <w:jc w:val="center"/>
              <w:textAlignment w:val="auto"/>
              <w:rPr>
                <w:rFonts w:ascii="Arial" w:hAnsi="Arial" w:eastAsia="仿宋" w:cs="Arial"/>
                <w:snapToGrid w:val="0"/>
                <w:sz w:val="18"/>
                <w:szCs w:val="21"/>
                <w:highlight w:val="none"/>
              </w:rPr>
            </w:pPr>
          </w:p>
        </w:tc>
        <w:tc>
          <w:tcPr>
            <w:tcW w:w="769" w:type="pct"/>
            <w:vAlign w:val="center"/>
          </w:tcPr>
          <w:p w14:paraId="209E7019">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lang w:eastAsia="zh-Hans"/>
              </w:rPr>
              <w:t>北京市顺义区高丽营副中心区SY02</w:t>
            </w:r>
            <w:r>
              <w:rPr>
                <w:rFonts w:hint="eastAsia" w:ascii="Arial" w:hAnsi="Arial" w:eastAsia="仿宋" w:cs="Arial"/>
                <w:snapToGrid w:val="0"/>
                <w:sz w:val="18"/>
                <w:szCs w:val="21"/>
                <w:highlight w:val="none"/>
                <w:lang w:eastAsia="zh-CN"/>
              </w:rPr>
              <w:t>－</w:t>
            </w:r>
            <w:r>
              <w:rPr>
                <w:rFonts w:ascii="Arial" w:hAnsi="Arial" w:eastAsia="仿宋" w:cs="Arial"/>
                <w:snapToGrid w:val="0"/>
                <w:sz w:val="18"/>
                <w:szCs w:val="21"/>
                <w:highlight w:val="none"/>
                <w:lang w:eastAsia="zh-Hans"/>
              </w:rPr>
              <w:t>0102</w:t>
            </w:r>
            <w:r>
              <w:rPr>
                <w:rFonts w:hint="eastAsia" w:ascii="Arial" w:hAnsi="Arial" w:eastAsia="仿宋" w:cs="Arial"/>
                <w:snapToGrid w:val="0"/>
                <w:sz w:val="18"/>
                <w:szCs w:val="21"/>
                <w:highlight w:val="none"/>
                <w:lang w:eastAsia="zh-CN"/>
              </w:rPr>
              <w:t>－</w:t>
            </w:r>
            <w:r>
              <w:rPr>
                <w:rFonts w:ascii="Arial" w:hAnsi="Arial" w:eastAsia="仿宋" w:cs="Arial"/>
                <w:snapToGrid w:val="0"/>
                <w:sz w:val="18"/>
                <w:szCs w:val="21"/>
                <w:highlight w:val="none"/>
                <w:lang w:eastAsia="zh-Hans"/>
              </w:rPr>
              <w:t>6003号地块</w:t>
            </w:r>
          </w:p>
        </w:tc>
        <w:tc>
          <w:tcPr>
            <w:tcW w:w="307" w:type="pct"/>
            <w:vAlign w:val="center"/>
          </w:tcPr>
          <w:p w14:paraId="793F37AF">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系数</w:t>
            </w:r>
          </w:p>
        </w:tc>
        <w:tc>
          <w:tcPr>
            <w:tcW w:w="846" w:type="pct"/>
            <w:vAlign w:val="center"/>
          </w:tcPr>
          <w:p w14:paraId="09483528">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顺义</w:t>
            </w:r>
            <w:r>
              <w:rPr>
                <w:rFonts w:hint="eastAsia" w:ascii="Arial" w:hAnsi="Arial" w:eastAsia="仿宋" w:cs="Arial"/>
                <w:snapToGrid w:val="0"/>
                <w:sz w:val="18"/>
                <w:szCs w:val="21"/>
                <w:highlight w:val="none"/>
                <w:lang w:val="en-US" w:eastAsia="zh-CN"/>
              </w:rPr>
              <w:t>绿地启航国际</w:t>
            </w:r>
            <w:r>
              <w:rPr>
                <w:rFonts w:hint="eastAsia" w:ascii="Arial" w:hAnsi="Arial" w:eastAsia="仿宋" w:cs="Arial"/>
                <w:snapToGrid w:val="0"/>
                <w:sz w:val="18"/>
                <w:szCs w:val="21"/>
                <w:highlight w:val="none"/>
              </w:rPr>
              <w:t>商铺</w:t>
            </w:r>
          </w:p>
        </w:tc>
        <w:tc>
          <w:tcPr>
            <w:tcW w:w="308" w:type="pct"/>
            <w:vAlign w:val="center"/>
          </w:tcPr>
          <w:p w14:paraId="322BE752">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系数</w:t>
            </w:r>
          </w:p>
        </w:tc>
        <w:tc>
          <w:tcPr>
            <w:tcW w:w="763" w:type="pct"/>
            <w:vAlign w:val="center"/>
          </w:tcPr>
          <w:p w14:paraId="5955F992">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中粮祥云小镇商铺</w:t>
            </w:r>
          </w:p>
        </w:tc>
        <w:tc>
          <w:tcPr>
            <w:tcW w:w="261" w:type="pct"/>
            <w:vAlign w:val="center"/>
          </w:tcPr>
          <w:p w14:paraId="52544C80">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系数</w:t>
            </w:r>
          </w:p>
        </w:tc>
        <w:tc>
          <w:tcPr>
            <w:tcW w:w="819" w:type="pct"/>
            <w:vAlign w:val="center"/>
          </w:tcPr>
          <w:p w14:paraId="0707AB03">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府前西街商铺</w:t>
            </w:r>
          </w:p>
        </w:tc>
        <w:tc>
          <w:tcPr>
            <w:tcW w:w="308" w:type="pct"/>
            <w:vAlign w:val="center"/>
          </w:tcPr>
          <w:p w14:paraId="4C3843C4">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系数</w:t>
            </w:r>
          </w:p>
        </w:tc>
      </w:tr>
      <w:tr w14:paraId="22258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90" w:hRule="atLeast"/>
          <w:jc w:val="center"/>
        </w:trPr>
        <w:tc>
          <w:tcPr>
            <w:tcW w:w="615" w:type="pct"/>
            <w:gridSpan w:val="2"/>
            <w:vAlign w:val="center"/>
          </w:tcPr>
          <w:p w14:paraId="1EF44B59">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交易时间</w:t>
            </w:r>
          </w:p>
        </w:tc>
        <w:tc>
          <w:tcPr>
            <w:tcW w:w="769" w:type="pct"/>
            <w:vAlign w:val="center"/>
          </w:tcPr>
          <w:p w14:paraId="1CFB5A91">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lang w:eastAsia="zh-CN"/>
              </w:rPr>
              <w:t>2026</w:t>
            </w:r>
            <w:r>
              <w:rPr>
                <w:rFonts w:hint="eastAsia" w:ascii="Arial" w:hAnsi="Arial" w:eastAsia="仿宋" w:cs="Arial"/>
                <w:snapToGrid w:val="0"/>
                <w:sz w:val="18"/>
                <w:szCs w:val="21"/>
                <w:highlight w:val="none"/>
                <w:lang w:val="en-US" w:eastAsia="zh-CN"/>
              </w:rPr>
              <w:t>.3.26</w:t>
            </w:r>
          </w:p>
        </w:tc>
        <w:tc>
          <w:tcPr>
            <w:tcW w:w="307" w:type="pct"/>
            <w:vAlign w:val="center"/>
          </w:tcPr>
          <w:p w14:paraId="71CE403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1082927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202</w:t>
            </w:r>
            <w:r>
              <w:rPr>
                <w:rFonts w:hint="eastAsia" w:ascii="Arial" w:hAnsi="Arial" w:eastAsia="仿宋" w:cs="Arial"/>
                <w:snapToGrid w:val="0"/>
                <w:sz w:val="18"/>
                <w:szCs w:val="21"/>
                <w:highlight w:val="none"/>
                <w:lang w:val="en-US" w:eastAsia="zh-CN"/>
              </w:rPr>
              <w:t>6.3</w:t>
            </w:r>
          </w:p>
        </w:tc>
        <w:tc>
          <w:tcPr>
            <w:tcW w:w="308" w:type="pct"/>
            <w:vAlign w:val="center"/>
          </w:tcPr>
          <w:p w14:paraId="7C3A9FD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763" w:type="pct"/>
            <w:vAlign w:val="center"/>
          </w:tcPr>
          <w:p w14:paraId="70132AE2">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202</w:t>
            </w:r>
            <w:r>
              <w:rPr>
                <w:rFonts w:hint="eastAsia" w:ascii="Arial" w:hAnsi="Arial" w:eastAsia="仿宋" w:cs="Arial"/>
                <w:snapToGrid w:val="0"/>
                <w:sz w:val="18"/>
                <w:szCs w:val="21"/>
                <w:highlight w:val="none"/>
                <w:lang w:val="en-US" w:eastAsia="zh-CN"/>
              </w:rPr>
              <w:t>6.3</w:t>
            </w:r>
          </w:p>
        </w:tc>
        <w:tc>
          <w:tcPr>
            <w:tcW w:w="261" w:type="pct"/>
            <w:vAlign w:val="center"/>
          </w:tcPr>
          <w:p w14:paraId="2A61256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6BE49949">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202</w:t>
            </w:r>
            <w:r>
              <w:rPr>
                <w:rFonts w:hint="eastAsia" w:ascii="Arial" w:hAnsi="Arial" w:eastAsia="仿宋" w:cs="Arial"/>
                <w:snapToGrid w:val="0"/>
                <w:sz w:val="18"/>
                <w:szCs w:val="21"/>
                <w:highlight w:val="none"/>
                <w:lang w:val="en-US" w:eastAsia="zh-CN"/>
              </w:rPr>
              <w:t>6.3</w:t>
            </w:r>
          </w:p>
        </w:tc>
        <w:tc>
          <w:tcPr>
            <w:tcW w:w="308" w:type="pct"/>
            <w:vAlign w:val="center"/>
          </w:tcPr>
          <w:p w14:paraId="3BD9808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r>
      <w:tr w14:paraId="29CCD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90" w:hRule="atLeast"/>
          <w:jc w:val="center"/>
        </w:trPr>
        <w:tc>
          <w:tcPr>
            <w:tcW w:w="615" w:type="pct"/>
            <w:gridSpan w:val="2"/>
            <w:vAlign w:val="center"/>
          </w:tcPr>
          <w:p w14:paraId="146A556B">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交易情况</w:t>
            </w:r>
          </w:p>
        </w:tc>
        <w:tc>
          <w:tcPr>
            <w:tcW w:w="769" w:type="pct"/>
            <w:vAlign w:val="center"/>
          </w:tcPr>
          <w:p w14:paraId="4E5B9601">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正常</w:t>
            </w:r>
          </w:p>
        </w:tc>
        <w:tc>
          <w:tcPr>
            <w:tcW w:w="307" w:type="pct"/>
            <w:vAlign w:val="center"/>
          </w:tcPr>
          <w:p w14:paraId="2A967DA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6A60437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正常</w:t>
            </w:r>
          </w:p>
        </w:tc>
        <w:tc>
          <w:tcPr>
            <w:tcW w:w="308" w:type="pct"/>
            <w:vAlign w:val="center"/>
          </w:tcPr>
          <w:p w14:paraId="0A092279">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763" w:type="pct"/>
            <w:vAlign w:val="center"/>
          </w:tcPr>
          <w:p w14:paraId="1B7C2133">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正常</w:t>
            </w:r>
          </w:p>
        </w:tc>
        <w:tc>
          <w:tcPr>
            <w:tcW w:w="261" w:type="pct"/>
            <w:vAlign w:val="center"/>
          </w:tcPr>
          <w:p w14:paraId="04125F92">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4FE926C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正常</w:t>
            </w:r>
          </w:p>
        </w:tc>
        <w:tc>
          <w:tcPr>
            <w:tcW w:w="308" w:type="pct"/>
            <w:vAlign w:val="center"/>
          </w:tcPr>
          <w:p w14:paraId="3E825A3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r>
      <w:tr w14:paraId="385D1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80" w:hRule="atLeast"/>
          <w:jc w:val="center"/>
        </w:trPr>
        <w:tc>
          <w:tcPr>
            <w:tcW w:w="615" w:type="pct"/>
            <w:gridSpan w:val="2"/>
            <w:vAlign w:val="center"/>
          </w:tcPr>
          <w:p w14:paraId="32B5BA8B">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用途</w:t>
            </w:r>
          </w:p>
        </w:tc>
        <w:tc>
          <w:tcPr>
            <w:tcW w:w="769" w:type="pct"/>
            <w:vAlign w:val="center"/>
          </w:tcPr>
          <w:p w14:paraId="00C23CB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商业</w:t>
            </w:r>
          </w:p>
        </w:tc>
        <w:tc>
          <w:tcPr>
            <w:tcW w:w="307" w:type="pct"/>
            <w:vAlign w:val="center"/>
          </w:tcPr>
          <w:p w14:paraId="36A0FB1F">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58CEB3A5">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商业</w:t>
            </w:r>
          </w:p>
        </w:tc>
        <w:tc>
          <w:tcPr>
            <w:tcW w:w="308" w:type="pct"/>
            <w:vAlign w:val="center"/>
          </w:tcPr>
          <w:p w14:paraId="0CCEAF04">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763" w:type="pct"/>
            <w:vAlign w:val="center"/>
          </w:tcPr>
          <w:p w14:paraId="701CD96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商业</w:t>
            </w:r>
          </w:p>
        </w:tc>
        <w:tc>
          <w:tcPr>
            <w:tcW w:w="261" w:type="pct"/>
            <w:vAlign w:val="center"/>
          </w:tcPr>
          <w:p w14:paraId="1DCD6A63">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6C771853">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商业</w:t>
            </w:r>
          </w:p>
        </w:tc>
        <w:tc>
          <w:tcPr>
            <w:tcW w:w="308" w:type="pct"/>
            <w:vAlign w:val="center"/>
          </w:tcPr>
          <w:p w14:paraId="2FED297B">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r>
      <w:tr w14:paraId="58FEB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1375" w:hRule="atLeast"/>
          <w:jc w:val="center"/>
        </w:trPr>
        <w:tc>
          <w:tcPr>
            <w:tcW w:w="199" w:type="pct"/>
            <w:vMerge w:val="restart"/>
            <w:vAlign w:val="center"/>
          </w:tcPr>
          <w:p w14:paraId="66DF5F6C">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区域</w:t>
            </w:r>
          </w:p>
          <w:p w14:paraId="225CA434">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因素</w:t>
            </w:r>
          </w:p>
          <w:p w14:paraId="57141CEE">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39A6BF96">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商业繁华度</w:t>
            </w:r>
          </w:p>
        </w:tc>
        <w:tc>
          <w:tcPr>
            <w:tcW w:w="769" w:type="pct"/>
            <w:vAlign w:val="center"/>
          </w:tcPr>
          <w:p w14:paraId="4D10B143">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估价对象位于北京市顺义区高丽营镇夏县营村，周边</w:t>
            </w:r>
            <w:r>
              <w:rPr>
                <w:rFonts w:ascii="Arial" w:hAnsi="Arial" w:eastAsia="仿宋" w:cs="Arial"/>
                <w:snapToGrid w:val="0"/>
                <w:sz w:val="18"/>
                <w:szCs w:val="21"/>
                <w:highlight w:val="none"/>
              </w:rPr>
              <w:t>2</w:t>
            </w:r>
            <w:r>
              <w:rPr>
                <w:rFonts w:hint="eastAsia" w:ascii="Arial" w:hAnsi="Arial" w:eastAsia="仿宋" w:cs="Arial"/>
                <w:snapToGrid w:val="0"/>
                <w:sz w:val="18"/>
                <w:szCs w:val="21"/>
                <w:highlight w:val="none"/>
              </w:rPr>
              <w:t>公里范围内有社区商业街，北京超天商贸中心、隆华购物中心以及零星临街商铺，无大型购物中心，商业繁华度较差。</w:t>
            </w:r>
          </w:p>
        </w:tc>
        <w:tc>
          <w:tcPr>
            <w:tcW w:w="307" w:type="pct"/>
            <w:vAlign w:val="center"/>
          </w:tcPr>
          <w:p w14:paraId="146D3407">
            <w:pPr>
              <w:spacing w:line="240" w:lineRule="exact"/>
              <w:jc w:val="center"/>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3C71BE78">
            <w:pPr>
              <w:spacing w:line="240" w:lineRule="exact"/>
              <w:jc w:val="center"/>
              <w:rPr>
                <w:rFonts w:hint="eastAsia"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rPr>
              <w:t>案例D周边2公里范围内有</w:t>
            </w:r>
            <w:r>
              <w:rPr>
                <w:rFonts w:hint="eastAsia" w:ascii="Arial" w:hAnsi="Arial" w:eastAsia="仿宋" w:cs="Arial"/>
                <w:snapToGrid w:val="0"/>
                <w:sz w:val="18"/>
                <w:szCs w:val="21"/>
                <w:highlight w:val="none"/>
                <w:lang w:val="en-US" w:eastAsia="zh-CN"/>
              </w:rPr>
              <w:t>山姆会员店、朗姿女装购物广场</w:t>
            </w:r>
            <w:r>
              <w:rPr>
                <w:rFonts w:hint="eastAsia" w:ascii="Arial" w:hAnsi="Arial" w:eastAsia="仿宋" w:cs="Arial"/>
                <w:snapToGrid w:val="0"/>
                <w:sz w:val="18"/>
                <w:szCs w:val="21"/>
                <w:highlight w:val="none"/>
              </w:rPr>
              <w:t>等购物广场，商业繁华度一般</w:t>
            </w:r>
            <w:r>
              <w:rPr>
                <w:rFonts w:hint="eastAsia" w:ascii="Arial" w:hAnsi="Arial" w:eastAsia="仿宋" w:cs="Arial"/>
                <w:snapToGrid w:val="0"/>
                <w:sz w:val="18"/>
                <w:szCs w:val="21"/>
                <w:highlight w:val="none"/>
                <w:lang w:eastAsia="zh-CN"/>
              </w:rPr>
              <w:t>。</w:t>
            </w:r>
          </w:p>
        </w:tc>
        <w:tc>
          <w:tcPr>
            <w:tcW w:w="308" w:type="pct"/>
            <w:vAlign w:val="center"/>
          </w:tcPr>
          <w:p w14:paraId="72A4D7D5">
            <w:pPr>
              <w:spacing w:line="240" w:lineRule="exact"/>
              <w:jc w:val="center"/>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2</w:t>
            </w:r>
          </w:p>
        </w:tc>
        <w:tc>
          <w:tcPr>
            <w:tcW w:w="763" w:type="pct"/>
            <w:vAlign w:val="center"/>
          </w:tcPr>
          <w:p w14:paraId="38F90934">
            <w:pPr>
              <w:spacing w:line="240" w:lineRule="exact"/>
              <w:jc w:val="center"/>
              <w:rPr>
                <w:rFonts w:hint="eastAsia" w:ascii="Arial" w:hAnsi="Arial" w:eastAsia="仿宋" w:cs="Arial"/>
                <w:snapToGrid w:val="0"/>
                <w:sz w:val="18"/>
                <w:szCs w:val="21"/>
                <w:highlight w:val="none"/>
                <w:lang w:eastAsia="zh-CN"/>
              </w:rPr>
            </w:pPr>
            <w:r>
              <w:rPr>
                <w:rFonts w:hint="eastAsia" w:ascii="Arial" w:hAnsi="Arial" w:eastAsia="仿宋" w:cs="Arial"/>
                <w:snapToGrid w:val="0"/>
                <w:sz w:val="18"/>
                <w:szCs w:val="21"/>
                <w:highlight w:val="none"/>
              </w:rPr>
              <w:t>案例E周边2公里范围内有中粮祥云小镇商业街、艾迪城等购物广场及临街商业，商业繁华度一般</w:t>
            </w:r>
            <w:r>
              <w:rPr>
                <w:rFonts w:hint="eastAsia" w:ascii="Arial" w:hAnsi="Arial" w:eastAsia="仿宋" w:cs="Arial"/>
                <w:snapToGrid w:val="0"/>
                <w:sz w:val="18"/>
                <w:szCs w:val="21"/>
                <w:highlight w:val="none"/>
                <w:lang w:eastAsia="zh-CN"/>
              </w:rPr>
              <w:t>。</w:t>
            </w:r>
          </w:p>
        </w:tc>
        <w:tc>
          <w:tcPr>
            <w:tcW w:w="261" w:type="pct"/>
            <w:vAlign w:val="center"/>
          </w:tcPr>
          <w:p w14:paraId="44E2EF6D">
            <w:pPr>
              <w:spacing w:line="240" w:lineRule="exact"/>
              <w:jc w:val="center"/>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2</w:t>
            </w:r>
          </w:p>
        </w:tc>
        <w:tc>
          <w:tcPr>
            <w:tcW w:w="819" w:type="pct"/>
            <w:vAlign w:val="center"/>
          </w:tcPr>
          <w:p w14:paraId="5107F2C7">
            <w:pPr>
              <w:spacing w:line="240" w:lineRule="exact"/>
              <w:jc w:val="center"/>
              <w:rPr>
                <w:rFonts w:hint="eastAsia" w:ascii="Arial" w:hAnsi="Arial" w:eastAsia="仿宋" w:cs="Arial"/>
                <w:snapToGrid w:val="0"/>
                <w:sz w:val="18"/>
                <w:szCs w:val="21"/>
                <w:highlight w:val="none"/>
                <w:lang w:eastAsia="zh-CN"/>
              </w:rPr>
            </w:pPr>
            <w:r>
              <w:rPr>
                <w:rFonts w:hint="eastAsia" w:ascii="Arial" w:hAnsi="Arial" w:eastAsia="仿宋" w:cs="Arial"/>
                <w:snapToGrid w:val="0"/>
                <w:sz w:val="18"/>
                <w:szCs w:val="21"/>
                <w:highlight w:val="none"/>
              </w:rPr>
              <w:t>案例F周边2公里范围内有北京华联顺义金街购物中心、新世界百货（新顺南大街千姿店）、国泰百货（新顺南大街店）等购物广场，商业繁华度较好</w:t>
            </w:r>
            <w:r>
              <w:rPr>
                <w:rFonts w:hint="eastAsia" w:ascii="Arial" w:hAnsi="Arial" w:eastAsia="仿宋" w:cs="Arial"/>
                <w:snapToGrid w:val="0"/>
                <w:sz w:val="18"/>
                <w:szCs w:val="21"/>
                <w:highlight w:val="none"/>
                <w:lang w:eastAsia="zh-CN"/>
              </w:rPr>
              <w:t>。</w:t>
            </w:r>
          </w:p>
        </w:tc>
        <w:tc>
          <w:tcPr>
            <w:tcW w:w="308" w:type="pct"/>
            <w:vAlign w:val="center"/>
          </w:tcPr>
          <w:p w14:paraId="38F98F64">
            <w:pPr>
              <w:spacing w:line="240" w:lineRule="exact"/>
              <w:jc w:val="center"/>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4</w:t>
            </w:r>
          </w:p>
        </w:tc>
      </w:tr>
      <w:tr w14:paraId="3E297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2520" w:hRule="atLeast"/>
          <w:jc w:val="center"/>
        </w:trPr>
        <w:tc>
          <w:tcPr>
            <w:tcW w:w="199" w:type="pct"/>
            <w:vMerge w:val="continue"/>
            <w:vAlign w:val="center"/>
          </w:tcPr>
          <w:p w14:paraId="3E3F4D69">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1D898805">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交通便捷度</w:t>
            </w:r>
          </w:p>
        </w:tc>
        <w:tc>
          <w:tcPr>
            <w:tcW w:w="769" w:type="pct"/>
            <w:vAlign w:val="center"/>
          </w:tcPr>
          <w:p w14:paraId="4033D73F">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估价对象属于北京市顺义区高丽营镇夏县营村，估价对象紧临城市主干道——火寺路、周边</w:t>
            </w:r>
            <w:r>
              <w:rPr>
                <w:rFonts w:ascii="Arial" w:hAnsi="Arial" w:eastAsia="仿宋" w:cs="Arial"/>
                <w:snapToGrid w:val="0"/>
                <w:sz w:val="18"/>
                <w:szCs w:val="21"/>
                <w:highlight w:val="none"/>
              </w:rPr>
              <w:t>1</w:t>
            </w:r>
            <w:r>
              <w:rPr>
                <w:rFonts w:hint="eastAsia" w:ascii="Arial" w:hAnsi="Arial" w:eastAsia="仿宋" w:cs="Arial"/>
                <w:snapToGrid w:val="0"/>
                <w:sz w:val="18"/>
                <w:szCs w:val="21"/>
                <w:highlight w:val="none"/>
              </w:rPr>
              <w:t>公里范围内有顺</w:t>
            </w:r>
            <w:r>
              <w:rPr>
                <w:rFonts w:ascii="Arial" w:hAnsi="Arial" w:eastAsia="仿宋" w:cs="Arial"/>
                <w:snapToGrid w:val="0"/>
                <w:sz w:val="18"/>
                <w:szCs w:val="21"/>
                <w:highlight w:val="none"/>
              </w:rPr>
              <w:t>25</w:t>
            </w:r>
            <w:r>
              <w:rPr>
                <w:rFonts w:hint="eastAsia" w:ascii="Arial" w:hAnsi="Arial" w:eastAsia="仿宋" w:cs="Arial"/>
                <w:snapToGrid w:val="0"/>
                <w:sz w:val="18"/>
                <w:szCs w:val="21"/>
                <w:highlight w:val="none"/>
              </w:rPr>
              <w:t>路、顺</w:t>
            </w:r>
            <w:r>
              <w:rPr>
                <w:rFonts w:ascii="Arial" w:hAnsi="Arial" w:eastAsia="仿宋" w:cs="Arial"/>
                <w:snapToGrid w:val="0"/>
                <w:sz w:val="18"/>
                <w:szCs w:val="21"/>
                <w:highlight w:val="none"/>
              </w:rPr>
              <w:t>42</w:t>
            </w:r>
            <w:r>
              <w:rPr>
                <w:rFonts w:hint="eastAsia" w:ascii="Arial" w:hAnsi="Arial" w:eastAsia="仿宋" w:cs="Arial"/>
                <w:snapToGrid w:val="0"/>
                <w:sz w:val="18"/>
                <w:szCs w:val="21"/>
                <w:highlight w:val="none"/>
              </w:rPr>
              <w:t>路、顺</w:t>
            </w:r>
            <w:r>
              <w:rPr>
                <w:rFonts w:ascii="Arial" w:hAnsi="Arial" w:eastAsia="仿宋" w:cs="Arial"/>
                <w:snapToGrid w:val="0"/>
                <w:sz w:val="18"/>
                <w:szCs w:val="21"/>
                <w:highlight w:val="none"/>
              </w:rPr>
              <w:t>49</w:t>
            </w:r>
            <w:r>
              <w:rPr>
                <w:rFonts w:hint="eastAsia" w:ascii="Arial" w:hAnsi="Arial" w:eastAsia="仿宋" w:cs="Arial"/>
                <w:snapToGrid w:val="0"/>
                <w:sz w:val="18"/>
                <w:szCs w:val="21"/>
                <w:highlight w:val="none"/>
              </w:rPr>
              <w:t>路、顺</w:t>
            </w:r>
            <w:r>
              <w:rPr>
                <w:rFonts w:ascii="Arial" w:hAnsi="Arial" w:eastAsia="仿宋" w:cs="Arial"/>
                <w:snapToGrid w:val="0"/>
                <w:sz w:val="18"/>
                <w:szCs w:val="21"/>
                <w:highlight w:val="none"/>
              </w:rPr>
              <w:t>69</w:t>
            </w:r>
            <w:r>
              <w:rPr>
                <w:rFonts w:hint="eastAsia" w:ascii="Arial" w:hAnsi="Arial" w:eastAsia="仿宋" w:cs="Arial"/>
                <w:snapToGrid w:val="0"/>
                <w:sz w:val="18"/>
                <w:szCs w:val="21"/>
                <w:highlight w:val="none"/>
              </w:rPr>
              <w:t>路等公交线路，区域内交通一般，区域间通达性较差，综合评价交通便捷度较差。</w:t>
            </w:r>
          </w:p>
        </w:tc>
        <w:tc>
          <w:tcPr>
            <w:tcW w:w="307" w:type="pct"/>
            <w:vAlign w:val="center"/>
          </w:tcPr>
          <w:p w14:paraId="1FD564E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588CC3AA">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案例D周边1公里范围内有顺</w:t>
            </w:r>
            <w:r>
              <w:rPr>
                <w:rFonts w:hint="eastAsia" w:ascii="Arial" w:hAnsi="Arial" w:eastAsia="仿宋" w:cs="Arial"/>
                <w:snapToGrid w:val="0"/>
                <w:sz w:val="18"/>
                <w:szCs w:val="21"/>
                <w:highlight w:val="none"/>
                <w:lang w:val="en-US" w:eastAsia="zh-CN"/>
              </w:rPr>
              <w:t>57</w:t>
            </w:r>
            <w:r>
              <w:rPr>
                <w:rFonts w:hint="eastAsia" w:ascii="Arial" w:hAnsi="Arial" w:eastAsia="仿宋" w:cs="Arial"/>
                <w:snapToGrid w:val="0"/>
                <w:sz w:val="18"/>
                <w:szCs w:val="21"/>
                <w:highlight w:val="none"/>
              </w:rPr>
              <w:t>路、顺</w:t>
            </w:r>
            <w:r>
              <w:rPr>
                <w:rFonts w:hint="eastAsia" w:ascii="Arial" w:hAnsi="Arial" w:eastAsia="仿宋" w:cs="Arial"/>
                <w:snapToGrid w:val="0"/>
                <w:sz w:val="18"/>
                <w:szCs w:val="21"/>
                <w:highlight w:val="none"/>
                <w:lang w:val="en-US" w:eastAsia="zh-CN"/>
              </w:rPr>
              <w:t>58</w:t>
            </w:r>
            <w:r>
              <w:rPr>
                <w:rFonts w:hint="eastAsia" w:ascii="Arial" w:hAnsi="Arial" w:eastAsia="仿宋" w:cs="Arial"/>
                <w:snapToGrid w:val="0"/>
                <w:sz w:val="18"/>
                <w:szCs w:val="21"/>
                <w:highlight w:val="none"/>
              </w:rPr>
              <w:t>路、顺5</w:t>
            </w:r>
            <w:r>
              <w:rPr>
                <w:rFonts w:hint="eastAsia" w:ascii="Arial" w:hAnsi="Arial" w:eastAsia="仿宋" w:cs="Arial"/>
                <w:snapToGrid w:val="0"/>
                <w:sz w:val="18"/>
                <w:szCs w:val="21"/>
                <w:highlight w:val="none"/>
                <w:lang w:val="en-US" w:eastAsia="zh-CN"/>
              </w:rPr>
              <w:t>9</w:t>
            </w:r>
            <w:r>
              <w:rPr>
                <w:rFonts w:hint="eastAsia" w:ascii="Arial" w:hAnsi="Arial" w:eastAsia="仿宋" w:cs="Arial"/>
                <w:snapToGrid w:val="0"/>
                <w:sz w:val="18"/>
                <w:szCs w:val="21"/>
                <w:highlight w:val="none"/>
              </w:rPr>
              <w:t>路、顺6</w:t>
            </w:r>
            <w:r>
              <w:rPr>
                <w:rFonts w:hint="eastAsia" w:ascii="Arial" w:hAnsi="Arial" w:eastAsia="仿宋" w:cs="Arial"/>
                <w:snapToGrid w:val="0"/>
                <w:sz w:val="18"/>
                <w:szCs w:val="21"/>
                <w:highlight w:val="none"/>
                <w:lang w:val="en-US" w:eastAsia="zh-CN"/>
              </w:rPr>
              <w:t>9</w:t>
            </w:r>
            <w:r>
              <w:rPr>
                <w:rFonts w:hint="eastAsia" w:ascii="Arial" w:hAnsi="Arial" w:eastAsia="仿宋" w:cs="Arial"/>
                <w:snapToGrid w:val="0"/>
                <w:sz w:val="18"/>
                <w:szCs w:val="21"/>
                <w:highlight w:val="none"/>
              </w:rPr>
              <w:t>路、顺</w:t>
            </w:r>
            <w:r>
              <w:rPr>
                <w:rFonts w:hint="eastAsia" w:ascii="Arial" w:hAnsi="Arial" w:eastAsia="仿宋" w:cs="Arial"/>
                <w:snapToGrid w:val="0"/>
                <w:sz w:val="18"/>
                <w:szCs w:val="21"/>
                <w:highlight w:val="none"/>
                <w:lang w:val="en-US" w:eastAsia="zh-CN"/>
              </w:rPr>
              <w:t>71</w:t>
            </w:r>
            <w:r>
              <w:rPr>
                <w:rFonts w:hint="eastAsia" w:ascii="Arial" w:hAnsi="Arial" w:eastAsia="仿宋" w:cs="Arial"/>
                <w:snapToGrid w:val="0"/>
                <w:sz w:val="18"/>
                <w:szCs w:val="21"/>
                <w:highlight w:val="none"/>
              </w:rPr>
              <w:t>路、顺7</w:t>
            </w:r>
            <w:r>
              <w:rPr>
                <w:rFonts w:hint="eastAsia" w:ascii="Arial" w:hAnsi="Arial" w:eastAsia="仿宋" w:cs="Arial"/>
                <w:snapToGrid w:val="0"/>
                <w:sz w:val="18"/>
                <w:szCs w:val="21"/>
                <w:highlight w:val="none"/>
                <w:lang w:val="en-US" w:eastAsia="zh-CN"/>
              </w:rPr>
              <w:t>2</w:t>
            </w:r>
            <w:r>
              <w:rPr>
                <w:rFonts w:hint="eastAsia" w:ascii="Arial" w:hAnsi="Arial" w:eastAsia="仿宋" w:cs="Arial"/>
                <w:snapToGrid w:val="0"/>
                <w:sz w:val="18"/>
                <w:szCs w:val="21"/>
                <w:highlight w:val="none"/>
              </w:rPr>
              <w:t>路等多条公交线路，距离地铁15号线</w:t>
            </w:r>
            <w:r>
              <w:rPr>
                <w:rFonts w:hint="eastAsia" w:ascii="Arial" w:hAnsi="Arial" w:eastAsia="仿宋" w:cs="Arial"/>
                <w:snapToGrid w:val="0"/>
                <w:sz w:val="18"/>
                <w:szCs w:val="21"/>
                <w:highlight w:val="none"/>
                <w:lang w:val="en-US" w:eastAsia="zh-CN"/>
              </w:rPr>
              <w:t>后沙峪</w:t>
            </w:r>
            <w:r>
              <w:rPr>
                <w:rFonts w:hint="eastAsia" w:ascii="Arial" w:hAnsi="Arial" w:eastAsia="仿宋" w:cs="Arial"/>
                <w:snapToGrid w:val="0"/>
                <w:sz w:val="18"/>
                <w:szCs w:val="21"/>
                <w:highlight w:val="none"/>
              </w:rPr>
              <w:t>站</w:t>
            </w:r>
            <w:r>
              <w:rPr>
                <w:rFonts w:hint="eastAsia" w:ascii="Arial" w:hAnsi="Arial" w:eastAsia="仿宋" w:cs="Arial"/>
                <w:snapToGrid w:val="0"/>
                <w:sz w:val="18"/>
                <w:szCs w:val="21"/>
                <w:highlight w:val="none"/>
                <w:lang w:val="en-US" w:eastAsia="zh-CN"/>
              </w:rPr>
              <w:t>700米</w:t>
            </w:r>
            <w:r>
              <w:rPr>
                <w:rFonts w:hint="eastAsia" w:ascii="Arial" w:hAnsi="Arial" w:eastAsia="仿宋" w:cs="Arial"/>
                <w:snapToGrid w:val="0"/>
                <w:sz w:val="18"/>
                <w:szCs w:val="21"/>
                <w:highlight w:val="none"/>
              </w:rPr>
              <w:t>左右，区域内交通较好，区域间通达性较好，综合评价交通便捷度较好。</w:t>
            </w:r>
          </w:p>
        </w:tc>
        <w:tc>
          <w:tcPr>
            <w:tcW w:w="308" w:type="pct"/>
            <w:vAlign w:val="center"/>
          </w:tcPr>
          <w:p w14:paraId="2B3B311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104</w:t>
            </w:r>
          </w:p>
        </w:tc>
        <w:tc>
          <w:tcPr>
            <w:tcW w:w="763" w:type="pct"/>
            <w:vAlign w:val="center"/>
          </w:tcPr>
          <w:p w14:paraId="18D81601">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案例E周边1公里范围内有顺22路、顺28路、顺58路、顺62路、顺65路、顺71路等多条公交线路，距离地铁15号线花梨坎站2公里左右，区域内交通一般，区域间通达性一般，综合评价交通便捷度一般</w:t>
            </w:r>
          </w:p>
        </w:tc>
        <w:tc>
          <w:tcPr>
            <w:tcW w:w="261" w:type="pct"/>
            <w:vAlign w:val="center"/>
          </w:tcPr>
          <w:p w14:paraId="34D0F07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102</w:t>
            </w:r>
          </w:p>
        </w:tc>
        <w:tc>
          <w:tcPr>
            <w:tcW w:w="819" w:type="pct"/>
            <w:vAlign w:val="center"/>
          </w:tcPr>
          <w:p w14:paraId="4EA6DA3B">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案例F周边1公里范围内有顺12路、顺14路、顺15路、顺16路、顺17路、顺18路、顺22路、顺39路等多条公交线路，距离地铁15号线顺义站500米左右，区域内交通较好，区域间通达性较好，综合评价交通便捷度较好。</w:t>
            </w:r>
          </w:p>
        </w:tc>
        <w:tc>
          <w:tcPr>
            <w:tcW w:w="308" w:type="pct"/>
            <w:vAlign w:val="center"/>
          </w:tcPr>
          <w:p w14:paraId="720ED5B5">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104</w:t>
            </w:r>
          </w:p>
        </w:tc>
      </w:tr>
      <w:tr w14:paraId="01DD2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1454" w:hRule="atLeast"/>
          <w:jc w:val="center"/>
        </w:trPr>
        <w:tc>
          <w:tcPr>
            <w:tcW w:w="199" w:type="pct"/>
            <w:vMerge w:val="continue"/>
            <w:vAlign w:val="center"/>
          </w:tcPr>
          <w:p w14:paraId="58C0CEB3">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77C68722">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公共配套设施</w:t>
            </w:r>
          </w:p>
        </w:tc>
        <w:tc>
          <w:tcPr>
            <w:tcW w:w="769" w:type="pct"/>
            <w:vAlign w:val="center"/>
          </w:tcPr>
          <w:p w14:paraId="163B28F4">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估价对象周边</w:t>
            </w:r>
            <w:r>
              <w:rPr>
                <w:rFonts w:ascii="Arial" w:hAnsi="Arial" w:eastAsia="仿宋" w:cs="Arial"/>
                <w:snapToGrid w:val="0"/>
                <w:sz w:val="18"/>
                <w:szCs w:val="21"/>
                <w:highlight w:val="none"/>
              </w:rPr>
              <w:t>2</w:t>
            </w:r>
            <w:r>
              <w:rPr>
                <w:rFonts w:hint="eastAsia" w:ascii="Arial" w:hAnsi="Arial" w:eastAsia="仿宋" w:cs="Arial"/>
                <w:snapToGrid w:val="0"/>
                <w:sz w:val="18"/>
                <w:szCs w:val="21"/>
                <w:highlight w:val="none"/>
              </w:rPr>
              <w:t>公里范围内</w:t>
            </w:r>
            <w:r>
              <w:rPr>
                <w:rFonts w:hint="eastAsia" w:ascii="Arial" w:hAnsi="Arial" w:eastAsia="仿宋" w:cs="Arial"/>
                <w:snapToGrid w:val="0"/>
                <w:sz w:val="18"/>
                <w:szCs w:val="21"/>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 w:cs="Arial"/>
                <w:snapToGrid w:val="0"/>
                <w:sz w:val="18"/>
                <w:szCs w:val="21"/>
                <w:highlight w:val="none"/>
              </w:rPr>
              <w:t>，公共配套设施齐备情况一般。</w:t>
            </w:r>
          </w:p>
        </w:tc>
        <w:tc>
          <w:tcPr>
            <w:tcW w:w="307" w:type="pct"/>
            <w:vAlign w:val="center"/>
          </w:tcPr>
          <w:p w14:paraId="769EC705">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4445F55D">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rPr>
              <w:t>案例D周边2公里范围内有</w:t>
            </w:r>
            <w:r>
              <w:rPr>
                <w:rFonts w:hint="eastAsia" w:ascii="Arial" w:hAnsi="Arial" w:eastAsia="仿宋" w:cs="Arial"/>
                <w:snapToGrid w:val="0"/>
                <w:sz w:val="18"/>
                <w:szCs w:val="21"/>
                <w:highlight w:val="none"/>
                <w:lang w:val="en-US" w:eastAsia="zh-CN"/>
              </w:rPr>
              <w:t>山姆会员店、朗姿女装购物广场</w:t>
            </w:r>
            <w:r>
              <w:rPr>
                <w:rFonts w:hint="eastAsia" w:ascii="Arial" w:hAnsi="Arial" w:eastAsia="仿宋" w:cs="Arial"/>
                <w:snapToGrid w:val="0"/>
                <w:sz w:val="18"/>
                <w:szCs w:val="21"/>
                <w:highlight w:val="none"/>
              </w:rPr>
              <w:t>等商业服务设施；</w:t>
            </w:r>
            <w:r>
              <w:rPr>
                <w:rFonts w:hint="eastAsia" w:ascii="Arial" w:hAnsi="Arial" w:eastAsia="仿宋" w:cs="Arial"/>
                <w:snapToGrid w:val="0"/>
                <w:sz w:val="18"/>
                <w:szCs w:val="21"/>
                <w:highlight w:val="none"/>
                <w:lang w:val="en-US" w:eastAsia="zh-CN"/>
              </w:rPr>
              <w:t>华夏支行</w:t>
            </w:r>
            <w:r>
              <w:rPr>
                <w:rFonts w:hint="eastAsia" w:ascii="Arial" w:hAnsi="Arial" w:eastAsia="仿宋" w:cs="Arial"/>
                <w:snapToGrid w:val="0"/>
                <w:sz w:val="18"/>
                <w:szCs w:val="21"/>
                <w:highlight w:val="none"/>
              </w:rPr>
              <w:t>（北京</w:t>
            </w:r>
            <w:r>
              <w:rPr>
                <w:rFonts w:hint="eastAsia" w:ascii="Arial" w:hAnsi="Arial" w:eastAsia="仿宋" w:cs="Arial"/>
                <w:snapToGrid w:val="0"/>
                <w:sz w:val="18"/>
                <w:szCs w:val="21"/>
                <w:highlight w:val="none"/>
                <w:lang w:val="en-US" w:eastAsia="zh-CN"/>
              </w:rPr>
              <w:t>自贸试验区后沙峪支行</w:t>
            </w:r>
            <w:r>
              <w:rPr>
                <w:rFonts w:hint="eastAsia" w:ascii="Arial" w:hAnsi="Arial" w:eastAsia="仿宋" w:cs="Arial"/>
                <w:snapToGrid w:val="0"/>
                <w:sz w:val="18"/>
                <w:szCs w:val="21"/>
                <w:highlight w:val="none"/>
              </w:rPr>
              <w:t>）、</w:t>
            </w:r>
            <w:r>
              <w:rPr>
                <w:rFonts w:hint="eastAsia" w:ascii="Arial" w:hAnsi="Arial" w:eastAsia="仿宋" w:cs="Arial"/>
                <w:snapToGrid w:val="0"/>
                <w:sz w:val="18"/>
                <w:szCs w:val="21"/>
                <w:highlight w:val="none"/>
                <w:lang w:val="en-US" w:eastAsia="zh-CN"/>
              </w:rPr>
              <w:t>杭州</w:t>
            </w:r>
            <w:r>
              <w:rPr>
                <w:rFonts w:hint="eastAsia" w:ascii="Arial" w:hAnsi="Arial" w:eastAsia="仿宋" w:cs="Arial"/>
                <w:snapToGrid w:val="0"/>
                <w:sz w:val="18"/>
                <w:szCs w:val="21"/>
                <w:highlight w:val="none"/>
              </w:rPr>
              <w:t>银行（北京</w:t>
            </w:r>
            <w:r>
              <w:rPr>
                <w:rFonts w:hint="eastAsia" w:ascii="Arial" w:hAnsi="Arial" w:eastAsia="仿宋" w:cs="Arial"/>
                <w:snapToGrid w:val="0"/>
                <w:sz w:val="18"/>
                <w:szCs w:val="21"/>
                <w:highlight w:val="none"/>
                <w:lang w:val="en-US" w:eastAsia="zh-CN"/>
              </w:rPr>
              <w:t>自贸试验区后沙峪支行</w:t>
            </w:r>
            <w:r>
              <w:rPr>
                <w:rFonts w:hint="eastAsia" w:ascii="Arial" w:hAnsi="Arial" w:eastAsia="仿宋" w:cs="Arial"/>
                <w:snapToGrid w:val="0"/>
                <w:sz w:val="18"/>
                <w:szCs w:val="21"/>
                <w:highlight w:val="none"/>
              </w:rPr>
              <w:t>）、</w:t>
            </w:r>
            <w:r>
              <w:rPr>
                <w:rFonts w:hint="eastAsia" w:ascii="Arial" w:hAnsi="Arial" w:eastAsia="仿宋" w:cs="Arial"/>
                <w:snapToGrid w:val="0"/>
                <w:sz w:val="18"/>
                <w:szCs w:val="21"/>
                <w:highlight w:val="none"/>
                <w:lang w:val="en-US" w:eastAsia="zh-CN"/>
              </w:rPr>
              <w:t>上海银行</w:t>
            </w:r>
            <w:r>
              <w:rPr>
                <w:rFonts w:hint="eastAsia" w:ascii="Arial" w:hAnsi="Arial" w:eastAsia="仿宋" w:cs="Arial"/>
                <w:snapToGrid w:val="0"/>
                <w:sz w:val="18"/>
                <w:szCs w:val="21"/>
                <w:highlight w:val="none"/>
              </w:rPr>
              <w:t>（顺义支行）、中国</w:t>
            </w:r>
            <w:r>
              <w:rPr>
                <w:rFonts w:hint="eastAsia" w:ascii="Arial" w:hAnsi="Arial" w:eastAsia="仿宋" w:cs="Arial"/>
                <w:snapToGrid w:val="0"/>
                <w:sz w:val="18"/>
                <w:szCs w:val="21"/>
                <w:highlight w:val="none"/>
                <w:lang w:val="en-US" w:eastAsia="zh-CN"/>
              </w:rPr>
              <w:t>光大银</w:t>
            </w:r>
            <w:r>
              <w:rPr>
                <w:rFonts w:hint="eastAsia" w:ascii="Arial" w:hAnsi="Arial" w:eastAsia="仿宋" w:cs="Arial"/>
                <w:snapToGrid w:val="0"/>
                <w:sz w:val="18"/>
                <w:szCs w:val="21"/>
                <w:highlight w:val="none"/>
              </w:rPr>
              <w:t>行（北京</w:t>
            </w:r>
            <w:r>
              <w:rPr>
                <w:rFonts w:hint="eastAsia" w:ascii="Arial" w:hAnsi="Arial" w:eastAsia="仿宋" w:cs="Arial"/>
                <w:snapToGrid w:val="0"/>
                <w:sz w:val="18"/>
                <w:szCs w:val="21"/>
                <w:highlight w:val="none"/>
                <w:lang w:val="en-US" w:eastAsia="zh-CN"/>
              </w:rPr>
              <w:t>后沙峪</w:t>
            </w:r>
            <w:r>
              <w:rPr>
                <w:rFonts w:hint="eastAsia" w:ascii="Arial" w:hAnsi="Arial" w:eastAsia="仿宋" w:cs="Arial"/>
                <w:snapToGrid w:val="0"/>
                <w:sz w:val="18"/>
                <w:szCs w:val="21"/>
                <w:highlight w:val="none"/>
              </w:rPr>
              <w:t>支行）等金融机构；</w:t>
            </w:r>
            <w:r>
              <w:rPr>
                <w:rFonts w:hint="eastAsia" w:ascii="Arial" w:hAnsi="Arial" w:eastAsia="仿宋" w:cs="Arial"/>
                <w:snapToGrid w:val="0"/>
                <w:sz w:val="18"/>
                <w:szCs w:val="21"/>
                <w:highlight w:val="none"/>
                <w:lang w:val="en-US" w:eastAsia="zh-CN"/>
              </w:rPr>
              <w:t>北京市鼎石学校、北京市第四中学、后沙峪中心小学</w:t>
            </w:r>
            <w:r>
              <w:rPr>
                <w:rFonts w:hint="eastAsia" w:ascii="Arial" w:hAnsi="Arial" w:eastAsia="仿宋" w:cs="Arial"/>
                <w:snapToGrid w:val="0"/>
                <w:sz w:val="18"/>
                <w:szCs w:val="21"/>
                <w:highlight w:val="none"/>
              </w:rPr>
              <w:t>等教育资源；</w:t>
            </w:r>
            <w:r>
              <w:rPr>
                <w:rFonts w:hint="eastAsia" w:ascii="Arial" w:hAnsi="Arial" w:eastAsia="仿宋" w:cs="Arial"/>
                <w:snapToGrid w:val="0"/>
                <w:sz w:val="18"/>
                <w:szCs w:val="21"/>
                <w:highlight w:val="none"/>
                <w:lang w:val="en-US" w:eastAsia="zh-CN"/>
              </w:rPr>
              <w:t>北京杏园金方国医医院</w:t>
            </w:r>
            <w:r>
              <w:rPr>
                <w:rFonts w:hint="eastAsia" w:ascii="Arial" w:hAnsi="Arial" w:eastAsia="仿宋" w:cs="Arial"/>
                <w:snapToGrid w:val="0"/>
                <w:sz w:val="18"/>
                <w:szCs w:val="21"/>
                <w:highlight w:val="none"/>
              </w:rPr>
              <w:t>等医疗设施，公共配套设施齐备情况</w:t>
            </w:r>
            <w:r>
              <w:rPr>
                <w:rFonts w:hint="eastAsia" w:ascii="Arial" w:hAnsi="Arial" w:eastAsia="仿宋" w:cs="Arial"/>
                <w:snapToGrid w:val="0"/>
                <w:sz w:val="18"/>
                <w:szCs w:val="21"/>
                <w:highlight w:val="none"/>
                <w:lang w:val="en-US" w:eastAsia="zh-CN"/>
              </w:rPr>
              <w:t>一般。</w:t>
            </w:r>
          </w:p>
        </w:tc>
        <w:tc>
          <w:tcPr>
            <w:tcW w:w="308" w:type="pct"/>
            <w:vAlign w:val="center"/>
          </w:tcPr>
          <w:p w14:paraId="4AE2D603">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0</w:t>
            </w:r>
          </w:p>
        </w:tc>
        <w:tc>
          <w:tcPr>
            <w:tcW w:w="763" w:type="pct"/>
            <w:vAlign w:val="center"/>
          </w:tcPr>
          <w:p w14:paraId="7B391A23">
            <w:pPr>
              <w:widowControl/>
              <w:adjustRightInd/>
              <w:spacing w:line="240" w:lineRule="exact"/>
              <w:jc w:val="center"/>
              <w:textAlignment w:val="auto"/>
              <w:rPr>
                <w:rFonts w:hint="eastAsia" w:ascii="Arial" w:hAnsi="Arial" w:eastAsia="仿宋" w:cs="Arial"/>
                <w:snapToGrid w:val="0"/>
                <w:sz w:val="18"/>
                <w:szCs w:val="21"/>
                <w:highlight w:val="none"/>
                <w:lang w:eastAsia="zh-CN"/>
              </w:rPr>
            </w:pPr>
            <w:r>
              <w:rPr>
                <w:rFonts w:hint="eastAsia" w:ascii="Arial" w:hAnsi="Arial" w:eastAsia="仿宋" w:cs="Arial"/>
                <w:snapToGrid w:val="0"/>
                <w:sz w:val="18"/>
                <w:szCs w:val="21"/>
                <w:highlight w:val="none"/>
              </w:rPr>
              <w:t>案例E周边2公里范围内有中粮祥云小镇商业街、艾迪城、临街商业等商业服务设施；中国工商银行、中国建设银行（北京自贸试验区临空经济核心区支行）、招商银行24小时自助银行（北京自贸试验区祥云小镇支行）等金融机构；北京市顺义区空港小学、北京顺义国际学校等教育资源；北京市顺义区空港医院、北京瀚洁吉源医院等医疗设施，公共配套设施齐备情况一般</w:t>
            </w:r>
            <w:r>
              <w:rPr>
                <w:rFonts w:hint="eastAsia" w:ascii="Arial" w:hAnsi="Arial" w:eastAsia="仿宋" w:cs="Arial"/>
                <w:snapToGrid w:val="0"/>
                <w:sz w:val="18"/>
                <w:szCs w:val="21"/>
                <w:highlight w:val="none"/>
                <w:lang w:eastAsia="zh-CN"/>
              </w:rPr>
              <w:t>。</w:t>
            </w:r>
          </w:p>
        </w:tc>
        <w:tc>
          <w:tcPr>
            <w:tcW w:w="261" w:type="pct"/>
            <w:vAlign w:val="center"/>
          </w:tcPr>
          <w:p w14:paraId="58ACA3E1">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7217CF9E">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rPr>
              <w:t>案例F周边2公里范围内有北京华联顺义金街购物中心、新世界百货（新顺南大街千姿店）、国泰百货（新顺南大街店）等商业服务设施；广发银行（北京顺义支行）、招商银行（北京顺义支行）、中国农业银行（北京顺义支行营业部）、中国银行（北京顺义支行）等金融机构；仁和中学、顺义区第三中学、东风小学、北京市顺义区第四中学等教育资源；北京市顺义中医医院、北京市顺义区医院、北京京顺医院、中国人民解放军六六0五五等医疗设施，公共配套设施齐备情况较好</w:t>
            </w:r>
            <w:r>
              <w:rPr>
                <w:rFonts w:hint="eastAsia" w:ascii="Arial" w:hAnsi="Arial" w:eastAsia="仿宋" w:cs="Arial"/>
                <w:snapToGrid w:val="0"/>
                <w:sz w:val="18"/>
                <w:szCs w:val="21"/>
                <w:highlight w:val="none"/>
                <w:lang w:eastAsia="zh-CN"/>
              </w:rPr>
              <w:t>。</w:t>
            </w:r>
          </w:p>
        </w:tc>
        <w:tc>
          <w:tcPr>
            <w:tcW w:w="308" w:type="pct"/>
            <w:vAlign w:val="center"/>
          </w:tcPr>
          <w:p w14:paraId="1684DB49">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1</w:t>
            </w:r>
          </w:p>
        </w:tc>
      </w:tr>
      <w:tr w14:paraId="2FA76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840" w:hRule="atLeast"/>
          <w:jc w:val="center"/>
        </w:trPr>
        <w:tc>
          <w:tcPr>
            <w:tcW w:w="199" w:type="pct"/>
            <w:vMerge w:val="continue"/>
            <w:vAlign w:val="center"/>
          </w:tcPr>
          <w:p w14:paraId="1D59398E">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0301B03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基础设施水平</w:t>
            </w:r>
          </w:p>
        </w:tc>
        <w:tc>
          <w:tcPr>
            <w:tcW w:w="769" w:type="pct"/>
            <w:vAlign w:val="center"/>
          </w:tcPr>
          <w:p w14:paraId="72D1FE3A">
            <w:pPr>
              <w:widowControl/>
              <w:adjustRightInd/>
              <w:spacing w:line="240" w:lineRule="auto"/>
              <w:jc w:val="center"/>
              <w:textAlignment w:val="auto"/>
              <w:rPr>
                <w:rFonts w:ascii="仿宋" w:hAnsi="仿宋" w:eastAsia="仿宋"/>
                <w:color w:val="000000"/>
                <w:sz w:val="18"/>
                <w:szCs w:val="21"/>
                <w:highlight w:val="none"/>
              </w:rPr>
            </w:pPr>
            <w:r>
              <w:rPr>
                <w:rFonts w:hint="eastAsia" w:ascii="仿宋" w:hAnsi="仿宋" w:eastAsia="仿宋"/>
                <w:color w:val="000000"/>
                <w:sz w:val="18"/>
                <w:szCs w:val="21"/>
                <w:highlight w:val="none"/>
              </w:rPr>
              <w:t>估价对象所在区域基础设施水平达到七通。</w:t>
            </w:r>
          </w:p>
        </w:tc>
        <w:tc>
          <w:tcPr>
            <w:tcW w:w="307" w:type="pct"/>
            <w:vAlign w:val="center"/>
          </w:tcPr>
          <w:p w14:paraId="7D12E583">
            <w:pPr>
              <w:jc w:val="center"/>
              <w:rPr>
                <w:rFonts w:ascii="Arial" w:hAnsi="Arial" w:cs="Arial"/>
                <w:color w:val="000000"/>
                <w:sz w:val="18"/>
                <w:szCs w:val="21"/>
                <w:highlight w:val="none"/>
              </w:rPr>
            </w:pPr>
            <w:r>
              <w:rPr>
                <w:rFonts w:ascii="Arial" w:hAnsi="Arial" w:cs="Arial"/>
                <w:color w:val="000000"/>
                <w:sz w:val="18"/>
                <w:szCs w:val="21"/>
                <w:highlight w:val="none"/>
              </w:rPr>
              <w:t>100</w:t>
            </w:r>
          </w:p>
        </w:tc>
        <w:tc>
          <w:tcPr>
            <w:tcW w:w="846" w:type="pct"/>
            <w:vAlign w:val="center"/>
          </w:tcPr>
          <w:p w14:paraId="58FBDFD4">
            <w:pPr>
              <w:widowControl/>
              <w:adjustRightInd/>
              <w:spacing w:line="240" w:lineRule="exact"/>
              <w:jc w:val="center"/>
              <w:textAlignment w:val="auto"/>
              <w:rPr>
                <w:rFonts w:hint="eastAsia" w:ascii="Arial" w:hAnsi="Arial" w:eastAsia="仿宋" w:cs="Arial"/>
                <w:snapToGrid w:val="0"/>
                <w:sz w:val="18"/>
                <w:szCs w:val="21"/>
                <w:highlight w:val="none"/>
              </w:rPr>
            </w:pPr>
            <w:r>
              <w:rPr>
                <w:rFonts w:hint="eastAsia" w:ascii="Arial" w:hAnsi="Arial" w:eastAsia="仿宋" w:cs="Arial"/>
                <w:snapToGrid w:val="0"/>
                <w:sz w:val="18"/>
                <w:szCs w:val="21"/>
                <w:highlight w:val="none"/>
              </w:rPr>
              <w:t>所在区域基础设施水平达到七通。</w:t>
            </w:r>
          </w:p>
        </w:tc>
        <w:tc>
          <w:tcPr>
            <w:tcW w:w="308" w:type="pct"/>
            <w:vAlign w:val="center"/>
          </w:tcPr>
          <w:p w14:paraId="51C6B0FD">
            <w:pPr>
              <w:widowControl/>
              <w:adjustRightInd/>
              <w:spacing w:line="240" w:lineRule="exact"/>
              <w:jc w:val="center"/>
              <w:textAlignment w:val="auto"/>
              <w:rPr>
                <w:rFonts w:hint="eastAsia" w:ascii="Arial" w:hAnsi="Arial" w:eastAsia="仿宋" w:cs="Arial"/>
                <w:snapToGrid w:val="0"/>
                <w:sz w:val="18"/>
                <w:szCs w:val="21"/>
                <w:highlight w:val="none"/>
              </w:rPr>
            </w:pPr>
            <w:r>
              <w:rPr>
                <w:rFonts w:hint="eastAsia" w:ascii="Arial" w:hAnsi="Arial" w:eastAsia="仿宋" w:cs="Arial"/>
                <w:snapToGrid w:val="0"/>
                <w:sz w:val="18"/>
                <w:szCs w:val="21"/>
                <w:highlight w:val="none"/>
              </w:rPr>
              <w:t>100</w:t>
            </w:r>
          </w:p>
        </w:tc>
        <w:tc>
          <w:tcPr>
            <w:tcW w:w="763" w:type="pct"/>
            <w:vAlign w:val="center"/>
          </w:tcPr>
          <w:p w14:paraId="4E80C61B">
            <w:pPr>
              <w:widowControl/>
              <w:adjustRightInd/>
              <w:spacing w:line="240" w:lineRule="exact"/>
              <w:jc w:val="center"/>
              <w:textAlignment w:val="auto"/>
              <w:rPr>
                <w:rFonts w:hint="eastAsia" w:ascii="Arial" w:hAnsi="Arial" w:eastAsia="仿宋" w:cs="Arial"/>
                <w:snapToGrid w:val="0"/>
                <w:sz w:val="18"/>
                <w:szCs w:val="21"/>
                <w:highlight w:val="none"/>
              </w:rPr>
            </w:pPr>
            <w:r>
              <w:rPr>
                <w:rFonts w:hint="eastAsia" w:ascii="Arial" w:hAnsi="Arial" w:eastAsia="仿宋" w:cs="Arial"/>
                <w:snapToGrid w:val="0"/>
                <w:sz w:val="18"/>
                <w:szCs w:val="21"/>
                <w:highlight w:val="none"/>
              </w:rPr>
              <w:t>所在区域基础设施水平达到七通。</w:t>
            </w:r>
          </w:p>
        </w:tc>
        <w:tc>
          <w:tcPr>
            <w:tcW w:w="261" w:type="pct"/>
            <w:vAlign w:val="center"/>
          </w:tcPr>
          <w:p w14:paraId="3D3CDEBD">
            <w:pPr>
              <w:widowControl/>
              <w:adjustRightInd/>
              <w:spacing w:line="240" w:lineRule="exact"/>
              <w:jc w:val="center"/>
              <w:textAlignment w:val="auto"/>
              <w:rPr>
                <w:rFonts w:hint="eastAsia" w:ascii="Arial" w:hAnsi="Arial" w:eastAsia="仿宋" w:cs="Arial"/>
                <w:snapToGrid w:val="0"/>
                <w:sz w:val="18"/>
                <w:szCs w:val="21"/>
                <w:highlight w:val="none"/>
              </w:rPr>
            </w:pPr>
            <w:r>
              <w:rPr>
                <w:rFonts w:hint="eastAsia" w:ascii="Arial" w:hAnsi="Arial" w:eastAsia="仿宋" w:cs="Arial"/>
                <w:snapToGrid w:val="0"/>
                <w:sz w:val="18"/>
                <w:szCs w:val="21"/>
                <w:highlight w:val="none"/>
              </w:rPr>
              <w:t>100</w:t>
            </w:r>
          </w:p>
        </w:tc>
        <w:tc>
          <w:tcPr>
            <w:tcW w:w="819" w:type="pct"/>
            <w:vAlign w:val="center"/>
          </w:tcPr>
          <w:p w14:paraId="6339C5D6">
            <w:pPr>
              <w:widowControl/>
              <w:adjustRightInd/>
              <w:spacing w:line="240" w:lineRule="exact"/>
              <w:jc w:val="center"/>
              <w:textAlignment w:val="auto"/>
              <w:rPr>
                <w:rFonts w:hint="eastAsia" w:ascii="Arial" w:hAnsi="Arial" w:eastAsia="仿宋" w:cs="Arial"/>
                <w:snapToGrid w:val="0"/>
                <w:sz w:val="18"/>
                <w:szCs w:val="21"/>
                <w:highlight w:val="none"/>
              </w:rPr>
            </w:pPr>
            <w:r>
              <w:rPr>
                <w:rFonts w:hint="eastAsia" w:ascii="Arial" w:hAnsi="Arial" w:eastAsia="仿宋" w:cs="Arial"/>
                <w:snapToGrid w:val="0"/>
                <w:sz w:val="18"/>
                <w:szCs w:val="21"/>
                <w:highlight w:val="none"/>
              </w:rPr>
              <w:t>所在区域基础设施水平达到七通。</w:t>
            </w:r>
          </w:p>
        </w:tc>
        <w:tc>
          <w:tcPr>
            <w:tcW w:w="308" w:type="pct"/>
            <w:vAlign w:val="center"/>
          </w:tcPr>
          <w:p w14:paraId="3A678007">
            <w:pPr>
              <w:widowControl/>
              <w:adjustRightInd/>
              <w:spacing w:line="240" w:lineRule="exact"/>
              <w:jc w:val="center"/>
              <w:textAlignment w:val="auto"/>
              <w:rPr>
                <w:rFonts w:hint="eastAsia" w:ascii="Arial" w:hAnsi="Arial" w:eastAsia="仿宋" w:cs="Arial"/>
                <w:snapToGrid w:val="0"/>
                <w:sz w:val="18"/>
                <w:szCs w:val="21"/>
                <w:highlight w:val="none"/>
              </w:rPr>
            </w:pPr>
            <w:r>
              <w:rPr>
                <w:rFonts w:hint="eastAsia" w:ascii="Arial" w:hAnsi="Arial" w:eastAsia="仿宋" w:cs="Arial"/>
                <w:snapToGrid w:val="0"/>
                <w:sz w:val="18"/>
                <w:szCs w:val="21"/>
                <w:highlight w:val="none"/>
              </w:rPr>
              <w:t>100</w:t>
            </w:r>
          </w:p>
        </w:tc>
      </w:tr>
      <w:tr w14:paraId="58987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44E165D5">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160C7BD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自然及人文环境</w:t>
            </w:r>
          </w:p>
        </w:tc>
        <w:tc>
          <w:tcPr>
            <w:tcW w:w="769" w:type="pct"/>
            <w:vAlign w:val="center"/>
          </w:tcPr>
          <w:p w14:paraId="77F7AA50">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估价对位于北京市顺义区高丽营镇夏县营村，周边</w:t>
            </w:r>
            <w:r>
              <w:rPr>
                <w:rFonts w:ascii="Arial" w:hAnsi="Arial" w:eastAsia="仿宋" w:cs="Arial"/>
                <w:snapToGrid w:val="0"/>
                <w:sz w:val="18"/>
                <w:szCs w:val="21"/>
                <w:highlight w:val="none"/>
              </w:rPr>
              <w:t>2</w:t>
            </w:r>
            <w:r>
              <w:rPr>
                <w:rFonts w:hint="eastAsia" w:ascii="Arial" w:hAnsi="Arial" w:eastAsia="仿宋" w:cs="Arial"/>
                <w:snapToGrid w:val="0"/>
                <w:sz w:val="18"/>
                <w:szCs w:val="21"/>
                <w:highlight w:val="none"/>
              </w:rPr>
              <w:t>公里南郎中休闲公园、口袋公园、方氏渠等自然环境；无人文环境；综合评价环境状况一般。</w:t>
            </w:r>
          </w:p>
        </w:tc>
        <w:tc>
          <w:tcPr>
            <w:tcW w:w="307" w:type="pct"/>
            <w:vAlign w:val="center"/>
          </w:tcPr>
          <w:p w14:paraId="734DBCA4">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084AC9E8">
            <w:pPr>
              <w:widowControl/>
              <w:adjustRightInd/>
              <w:spacing w:line="240" w:lineRule="exact"/>
              <w:jc w:val="center"/>
              <w:textAlignment w:val="auto"/>
              <w:rPr>
                <w:rFonts w:hint="eastAsia" w:ascii="Arial" w:hAnsi="Arial" w:eastAsia="仿宋" w:cs="Arial"/>
                <w:snapToGrid w:val="0"/>
                <w:sz w:val="18"/>
                <w:szCs w:val="21"/>
                <w:highlight w:val="none"/>
                <w:lang w:eastAsia="zh-CN"/>
              </w:rPr>
            </w:pPr>
            <w:r>
              <w:rPr>
                <w:rFonts w:hint="eastAsia" w:ascii="Arial" w:hAnsi="Arial" w:eastAsia="仿宋" w:cs="Arial"/>
                <w:snapToGrid w:val="0"/>
                <w:sz w:val="18"/>
                <w:szCs w:val="21"/>
                <w:highlight w:val="none"/>
              </w:rPr>
              <w:t>周边2公里</w:t>
            </w:r>
            <w:r>
              <w:rPr>
                <w:rFonts w:hint="eastAsia" w:ascii="Arial" w:hAnsi="Arial" w:eastAsia="仿宋" w:cs="Arial"/>
                <w:snapToGrid w:val="0"/>
                <w:sz w:val="18"/>
                <w:szCs w:val="21"/>
                <w:highlight w:val="none"/>
                <w:lang w:val="en-US" w:eastAsia="zh-CN"/>
              </w:rPr>
              <w:t>花博会主题公园、兴峪城市森林公园、</w:t>
            </w:r>
            <w:r>
              <w:rPr>
                <w:rFonts w:hint="eastAsia" w:ascii="Arial" w:hAnsi="Arial" w:eastAsia="仿宋" w:cs="Arial"/>
                <w:snapToGrid w:val="0"/>
                <w:sz w:val="18"/>
                <w:szCs w:val="21"/>
                <w:highlight w:val="none"/>
              </w:rPr>
              <w:t>湖公园、中国国际展览中心（顺义馆）龙腾世纪文化广场等自然环境及无人文环境；综合评价环境状况较好</w:t>
            </w:r>
            <w:r>
              <w:rPr>
                <w:rFonts w:hint="eastAsia" w:ascii="Arial" w:hAnsi="Arial" w:eastAsia="仿宋" w:cs="Arial"/>
                <w:snapToGrid w:val="0"/>
                <w:sz w:val="18"/>
                <w:szCs w:val="21"/>
                <w:highlight w:val="none"/>
                <w:lang w:eastAsia="zh-CN"/>
              </w:rPr>
              <w:t>。</w:t>
            </w:r>
          </w:p>
        </w:tc>
        <w:tc>
          <w:tcPr>
            <w:tcW w:w="308" w:type="pct"/>
            <w:vAlign w:val="center"/>
          </w:tcPr>
          <w:p w14:paraId="3830732B">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5</w:t>
            </w:r>
          </w:p>
        </w:tc>
        <w:tc>
          <w:tcPr>
            <w:tcW w:w="763" w:type="pct"/>
            <w:vAlign w:val="center"/>
          </w:tcPr>
          <w:p w14:paraId="35BF00B4">
            <w:pPr>
              <w:widowControl/>
              <w:adjustRightInd/>
              <w:spacing w:line="240" w:lineRule="exact"/>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周边2公里罗马湖公园、安宁大街公园、温榆河公园、温榆河、中国国际展览中心（顺义馆）龙腾世纪文化广场等自然环境及无人文环境；综合评价环境状况较好</w:t>
            </w:r>
          </w:p>
        </w:tc>
        <w:tc>
          <w:tcPr>
            <w:tcW w:w="261" w:type="pct"/>
            <w:vAlign w:val="center"/>
          </w:tcPr>
          <w:p w14:paraId="7B8AC930">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5</w:t>
            </w:r>
          </w:p>
        </w:tc>
        <w:tc>
          <w:tcPr>
            <w:tcW w:w="819" w:type="pct"/>
            <w:vAlign w:val="center"/>
          </w:tcPr>
          <w:p w14:paraId="16552170">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周边2公里顺义公园、潮白河森林公园、光明文化广场、顺义区工人文化宫、潮白河等自然环境及无人文环境；综合评价环境状况较好</w:t>
            </w:r>
          </w:p>
        </w:tc>
        <w:tc>
          <w:tcPr>
            <w:tcW w:w="308" w:type="pct"/>
            <w:vAlign w:val="center"/>
          </w:tcPr>
          <w:p w14:paraId="5AF087D9">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5</w:t>
            </w:r>
          </w:p>
        </w:tc>
      </w:tr>
      <w:tr w14:paraId="48931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6C56C36B">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5793D129">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临街状况</w:t>
            </w:r>
          </w:p>
        </w:tc>
        <w:tc>
          <w:tcPr>
            <w:tcW w:w="769" w:type="pct"/>
            <w:vAlign w:val="center"/>
          </w:tcPr>
          <w:p w14:paraId="5CCC044F">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单面临街</w:t>
            </w:r>
          </w:p>
        </w:tc>
        <w:tc>
          <w:tcPr>
            <w:tcW w:w="307" w:type="pct"/>
            <w:vAlign w:val="center"/>
          </w:tcPr>
          <w:p w14:paraId="19CE328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16761BA0">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单面临街</w:t>
            </w:r>
          </w:p>
        </w:tc>
        <w:tc>
          <w:tcPr>
            <w:tcW w:w="308" w:type="pct"/>
            <w:vAlign w:val="center"/>
          </w:tcPr>
          <w:p w14:paraId="4C0E78C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763" w:type="pct"/>
            <w:vAlign w:val="center"/>
          </w:tcPr>
          <w:p w14:paraId="623C5836">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单面临街</w:t>
            </w:r>
          </w:p>
        </w:tc>
        <w:tc>
          <w:tcPr>
            <w:tcW w:w="261" w:type="pct"/>
            <w:vAlign w:val="center"/>
          </w:tcPr>
          <w:p w14:paraId="4010FB5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66880044">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双面临街</w:t>
            </w:r>
          </w:p>
        </w:tc>
        <w:tc>
          <w:tcPr>
            <w:tcW w:w="308" w:type="pct"/>
            <w:vAlign w:val="center"/>
          </w:tcPr>
          <w:p w14:paraId="0A7F169C">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w:t>
            </w:r>
            <w:r>
              <w:rPr>
                <w:rFonts w:hint="eastAsia" w:ascii="Arial" w:hAnsi="Arial" w:eastAsia="仿宋" w:cs="Arial"/>
                <w:snapToGrid w:val="0"/>
                <w:sz w:val="18"/>
                <w:szCs w:val="21"/>
                <w:highlight w:val="none"/>
                <w:lang w:val="en-US" w:eastAsia="zh-CN"/>
              </w:rPr>
              <w:t>01</w:t>
            </w:r>
          </w:p>
        </w:tc>
      </w:tr>
      <w:tr w14:paraId="4637F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4D5A0B68">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127478F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人流量</w:t>
            </w:r>
          </w:p>
        </w:tc>
        <w:tc>
          <w:tcPr>
            <w:tcW w:w="769" w:type="pct"/>
            <w:vAlign w:val="center"/>
          </w:tcPr>
          <w:p w14:paraId="19514997">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较差</w:t>
            </w:r>
          </w:p>
        </w:tc>
        <w:tc>
          <w:tcPr>
            <w:tcW w:w="307" w:type="pct"/>
            <w:vAlign w:val="center"/>
          </w:tcPr>
          <w:p w14:paraId="5E80DFA0">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1554" w:type="dxa"/>
            <w:vAlign w:val="center"/>
          </w:tcPr>
          <w:p w14:paraId="110FD8B1">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一般</w:t>
            </w:r>
          </w:p>
        </w:tc>
        <w:tc>
          <w:tcPr>
            <w:tcW w:w="566" w:type="dxa"/>
            <w:vAlign w:val="center"/>
          </w:tcPr>
          <w:p w14:paraId="27F8B06E">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4</w:t>
            </w:r>
          </w:p>
        </w:tc>
        <w:tc>
          <w:tcPr>
            <w:tcW w:w="763" w:type="pct"/>
            <w:vAlign w:val="center"/>
          </w:tcPr>
          <w:p w14:paraId="0A95334C">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一般</w:t>
            </w:r>
          </w:p>
        </w:tc>
        <w:tc>
          <w:tcPr>
            <w:tcW w:w="261" w:type="pct"/>
            <w:vAlign w:val="center"/>
          </w:tcPr>
          <w:p w14:paraId="18DD9B17">
            <w:pPr>
              <w:widowControl/>
              <w:adjustRightInd/>
              <w:spacing w:line="240" w:lineRule="exact"/>
              <w:jc w:val="center"/>
              <w:textAlignment w:val="auto"/>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4</w:t>
            </w:r>
          </w:p>
        </w:tc>
        <w:tc>
          <w:tcPr>
            <w:tcW w:w="1553" w:type="dxa"/>
            <w:vAlign w:val="center"/>
          </w:tcPr>
          <w:p w14:paraId="089388D7">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一般</w:t>
            </w:r>
          </w:p>
        </w:tc>
        <w:tc>
          <w:tcPr>
            <w:tcW w:w="584" w:type="dxa"/>
            <w:vAlign w:val="center"/>
          </w:tcPr>
          <w:p w14:paraId="1EF55E86">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4</w:t>
            </w:r>
          </w:p>
        </w:tc>
      </w:tr>
      <w:tr w14:paraId="56565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vAlign w:val="center"/>
          </w:tcPr>
          <w:p w14:paraId="6C7B91E6">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5B99031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楼层</w:t>
            </w:r>
          </w:p>
        </w:tc>
        <w:tc>
          <w:tcPr>
            <w:tcW w:w="769" w:type="pct"/>
            <w:vAlign w:val="center"/>
          </w:tcPr>
          <w:p w14:paraId="1819525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w:t>
            </w:r>
            <w:r>
              <w:rPr>
                <w:rFonts w:hint="eastAsia" w:ascii="Arial" w:hAnsi="Arial" w:eastAsia="仿宋" w:cs="Arial"/>
                <w:snapToGrid w:val="0"/>
                <w:sz w:val="18"/>
                <w:szCs w:val="21"/>
                <w:highlight w:val="none"/>
              </w:rPr>
              <w:t>层</w:t>
            </w:r>
          </w:p>
        </w:tc>
        <w:tc>
          <w:tcPr>
            <w:tcW w:w="307" w:type="pct"/>
            <w:vAlign w:val="center"/>
          </w:tcPr>
          <w:p w14:paraId="1E79AA0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3C7CAC21">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1层</w:t>
            </w:r>
          </w:p>
        </w:tc>
        <w:tc>
          <w:tcPr>
            <w:tcW w:w="308" w:type="pct"/>
            <w:vAlign w:val="center"/>
          </w:tcPr>
          <w:p w14:paraId="15E442CF">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1403" w:type="dxa"/>
            <w:vAlign w:val="center"/>
          </w:tcPr>
          <w:p w14:paraId="70E3CA5A">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1层</w:t>
            </w:r>
          </w:p>
        </w:tc>
        <w:tc>
          <w:tcPr>
            <w:tcW w:w="481" w:type="dxa"/>
            <w:vAlign w:val="center"/>
          </w:tcPr>
          <w:p w14:paraId="6DD6BFA6">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6283454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1层</w:t>
            </w:r>
          </w:p>
        </w:tc>
        <w:tc>
          <w:tcPr>
            <w:tcW w:w="308" w:type="pct"/>
            <w:vAlign w:val="center"/>
          </w:tcPr>
          <w:p w14:paraId="6106A0D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r>
      <w:tr w14:paraId="5F181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restart"/>
            <w:vAlign w:val="center"/>
          </w:tcPr>
          <w:p w14:paraId="490F0BE5">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个别</w:t>
            </w:r>
          </w:p>
          <w:p w14:paraId="61483AE3">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因素</w:t>
            </w:r>
          </w:p>
        </w:tc>
        <w:tc>
          <w:tcPr>
            <w:tcW w:w="415" w:type="pct"/>
            <w:vAlign w:val="center"/>
          </w:tcPr>
          <w:p w14:paraId="2B08097B">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商业类型</w:t>
            </w:r>
          </w:p>
        </w:tc>
        <w:tc>
          <w:tcPr>
            <w:tcW w:w="769" w:type="pct"/>
            <w:vAlign w:val="center"/>
          </w:tcPr>
          <w:p w14:paraId="6E60868D">
            <w:pPr>
              <w:widowControl/>
              <w:adjustRightInd/>
              <w:spacing w:line="240" w:lineRule="exact"/>
              <w:jc w:val="center"/>
              <w:textAlignment w:val="auto"/>
              <w:rPr>
                <w:rFonts w:ascii="Arial" w:hAnsi="Arial" w:eastAsia="仿宋" w:cs="Arial"/>
                <w:snapToGrid w:val="0"/>
                <w:sz w:val="18"/>
                <w:szCs w:val="21"/>
                <w:highlight w:val="none"/>
              </w:rPr>
            </w:pPr>
            <w:r>
              <w:rPr>
                <w:rFonts w:hint="eastAsia" w:ascii="Arial" w:hAnsi="Arial" w:eastAsia="仿宋" w:cs="Arial"/>
                <w:snapToGrid w:val="0"/>
                <w:sz w:val="18"/>
                <w:szCs w:val="21"/>
                <w:highlight w:val="none"/>
              </w:rPr>
              <w:t>住宅配套商业</w:t>
            </w:r>
          </w:p>
        </w:tc>
        <w:tc>
          <w:tcPr>
            <w:tcW w:w="307" w:type="pct"/>
            <w:vAlign w:val="center"/>
          </w:tcPr>
          <w:p w14:paraId="0816CB62">
            <w:pPr>
              <w:spacing w:line="240" w:lineRule="exact"/>
              <w:jc w:val="center"/>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6D852153">
            <w:pPr>
              <w:spacing w:line="240" w:lineRule="exact"/>
              <w:jc w:val="center"/>
              <w:rPr>
                <w:rFonts w:ascii="Arial" w:hAnsi="Arial" w:eastAsia="仿宋" w:cs="Arial"/>
                <w:snapToGrid w:val="0"/>
                <w:sz w:val="18"/>
                <w:szCs w:val="21"/>
                <w:highlight w:val="none"/>
              </w:rPr>
            </w:pPr>
            <w:r>
              <w:rPr>
                <w:rFonts w:hint="eastAsia" w:ascii="Arial" w:hAnsi="Arial" w:eastAsia="仿宋" w:cs="Arial"/>
                <w:snapToGrid w:val="0"/>
                <w:sz w:val="18"/>
                <w:szCs w:val="21"/>
                <w:highlight w:val="none"/>
                <w:lang w:val="en-US" w:eastAsia="zh-CN"/>
              </w:rPr>
              <w:t>临街</w:t>
            </w:r>
            <w:r>
              <w:rPr>
                <w:rFonts w:hint="eastAsia" w:ascii="Arial" w:hAnsi="Arial" w:eastAsia="仿宋" w:cs="Arial"/>
                <w:snapToGrid w:val="0"/>
                <w:sz w:val="18"/>
                <w:szCs w:val="21"/>
                <w:highlight w:val="none"/>
              </w:rPr>
              <w:t>商铺</w:t>
            </w:r>
          </w:p>
        </w:tc>
        <w:tc>
          <w:tcPr>
            <w:tcW w:w="308" w:type="pct"/>
            <w:vAlign w:val="center"/>
          </w:tcPr>
          <w:p w14:paraId="275C6C3C">
            <w:pPr>
              <w:spacing w:line="240" w:lineRule="exact"/>
              <w:jc w:val="center"/>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8</w:t>
            </w:r>
          </w:p>
        </w:tc>
        <w:tc>
          <w:tcPr>
            <w:tcW w:w="1403" w:type="dxa"/>
            <w:vAlign w:val="center"/>
          </w:tcPr>
          <w:p w14:paraId="1FB0EFAC">
            <w:pPr>
              <w:spacing w:line="240" w:lineRule="exact"/>
              <w:jc w:val="center"/>
              <w:rPr>
                <w:rFonts w:hint="eastAsia" w:ascii="Arial" w:hAnsi="Arial" w:eastAsia="仿宋" w:cs="Arial"/>
                <w:snapToGrid w:val="0"/>
                <w:sz w:val="18"/>
                <w:szCs w:val="21"/>
                <w:highlight w:val="none"/>
                <w:lang w:eastAsia="zh-CN"/>
              </w:rPr>
            </w:pPr>
            <w:r>
              <w:rPr>
                <w:rFonts w:hint="eastAsia" w:ascii="Arial" w:hAnsi="Arial" w:eastAsia="仿宋" w:cs="Arial"/>
                <w:snapToGrid w:val="0"/>
                <w:sz w:val="18"/>
                <w:szCs w:val="21"/>
                <w:highlight w:val="none"/>
                <w:lang w:val="en-US" w:eastAsia="zh-CN"/>
              </w:rPr>
              <w:t>临街</w:t>
            </w:r>
            <w:r>
              <w:rPr>
                <w:rFonts w:hint="eastAsia" w:ascii="Arial" w:hAnsi="Arial" w:eastAsia="仿宋" w:cs="Arial"/>
                <w:snapToGrid w:val="0"/>
                <w:sz w:val="18"/>
                <w:szCs w:val="21"/>
                <w:highlight w:val="none"/>
              </w:rPr>
              <w:t>商铺</w:t>
            </w:r>
          </w:p>
        </w:tc>
        <w:tc>
          <w:tcPr>
            <w:tcW w:w="481" w:type="dxa"/>
            <w:vAlign w:val="center"/>
          </w:tcPr>
          <w:p w14:paraId="61E763F6">
            <w:pPr>
              <w:spacing w:line="240" w:lineRule="exact"/>
              <w:jc w:val="center"/>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8</w:t>
            </w:r>
          </w:p>
        </w:tc>
        <w:tc>
          <w:tcPr>
            <w:tcW w:w="1506" w:type="dxa"/>
            <w:vAlign w:val="center"/>
          </w:tcPr>
          <w:p w14:paraId="04F2C357">
            <w:pPr>
              <w:spacing w:line="240" w:lineRule="exact"/>
              <w:jc w:val="center"/>
              <w:rPr>
                <w:rFonts w:ascii="Arial" w:hAnsi="Arial" w:eastAsia="仿宋" w:cs="Arial"/>
                <w:snapToGrid w:val="0"/>
                <w:sz w:val="18"/>
                <w:szCs w:val="21"/>
                <w:highlight w:val="none"/>
              </w:rPr>
            </w:pPr>
            <w:r>
              <w:rPr>
                <w:rFonts w:hint="eastAsia" w:ascii="Arial" w:hAnsi="Arial" w:eastAsia="仿宋" w:cs="Arial"/>
                <w:snapToGrid w:val="0"/>
                <w:sz w:val="18"/>
                <w:szCs w:val="21"/>
                <w:highlight w:val="none"/>
                <w:lang w:val="en-US" w:eastAsia="zh-CN"/>
              </w:rPr>
              <w:t>临街</w:t>
            </w:r>
            <w:r>
              <w:rPr>
                <w:rFonts w:hint="eastAsia" w:ascii="Arial" w:hAnsi="Arial" w:eastAsia="仿宋" w:cs="Arial"/>
                <w:snapToGrid w:val="0"/>
                <w:sz w:val="18"/>
                <w:szCs w:val="21"/>
                <w:highlight w:val="none"/>
              </w:rPr>
              <w:t>商铺</w:t>
            </w:r>
          </w:p>
        </w:tc>
        <w:tc>
          <w:tcPr>
            <w:tcW w:w="566" w:type="dxa"/>
            <w:vAlign w:val="center"/>
          </w:tcPr>
          <w:p w14:paraId="703C9474">
            <w:pPr>
              <w:spacing w:line="240" w:lineRule="exact"/>
              <w:jc w:val="center"/>
              <w:rPr>
                <w:rFonts w:hint="eastAsia" w:ascii="Arial" w:hAnsi="Arial" w:eastAsia="仿宋" w:cs="Arial"/>
                <w:snapToGrid w:val="0"/>
                <w:sz w:val="18"/>
                <w:szCs w:val="21"/>
                <w:highlight w:val="none"/>
                <w:lang w:val="en-US" w:eastAsia="zh-CN"/>
              </w:rPr>
            </w:pPr>
            <w:r>
              <w:rPr>
                <w:rFonts w:ascii="Arial" w:hAnsi="Arial" w:eastAsia="仿宋" w:cs="Arial"/>
                <w:snapToGrid w:val="0"/>
                <w:sz w:val="18"/>
                <w:szCs w:val="21"/>
                <w:highlight w:val="none"/>
              </w:rPr>
              <w:t>10</w:t>
            </w:r>
            <w:r>
              <w:rPr>
                <w:rFonts w:hint="eastAsia" w:ascii="Arial" w:hAnsi="Arial" w:eastAsia="仿宋" w:cs="Arial"/>
                <w:snapToGrid w:val="0"/>
                <w:sz w:val="18"/>
                <w:szCs w:val="21"/>
                <w:highlight w:val="none"/>
                <w:lang w:val="en-US" w:eastAsia="zh-CN"/>
              </w:rPr>
              <w:t>8</w:t>
            </w:r>
          </w:p>
        </w:tc>
      </w:tr>
      <w:tr w14:paraId="7BA02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continue"/>
            <w:textDirection w:val="tbRlV"/>
            <w:vAlign w:val="center"/>
          </w:tcPr>
          <w:p w14:paraId="3AC363E4">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74DBF8E4">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建筑规模</w:t>
            </w:r>
          </w:p>
          <w:p w14:paraId="35E84594">
            <w:pPr>
              <w:widowControl/>
              <w:adjustRightInd/>
              <w:spacing w:line="240" w:lineRule="exact"/>
              <w:jc w:val="center"/>
              <w:textAlignment w:val="auto"/>
              <w:rPr>
                <w:rFonts w:hint="eastAsia" w:ascii="Arial" w:hAnsi="Arial" w:eastAsia="仿宋" w:cs="Arial"/>
                <w:snapToGrid w:val="0"/>
                <w:sz w:val="18"/>
                <w:szCs w:val="21"/>
                <w:highlight w:val="none"/>
                <w:lang w:eastAsia="zh-CN"/>
              </w:rPr>
            </w:pPr>
            <w:r>
              <w:rPr>
                <w:rFonts w:hint="eastAsia" w:ascii="Arial" w:hAnsi="Arial" w:eastAsia="仿宋" w:cs="Arial"/>
                <w:snapToGrid w:val="0"/>
                <w:sz w:val="18"/>
                <w:szCs w:val="21"/>
                <w:highlight w:val="none"/>
                <w:lang w:eastAsia="zh-CN"/>
              </w:rPr>
              <w:t>（</w:t>
            </w:r>
            <w:r>
              <w:rPr>
                <w:rFonts w:ascii="Arial" w:hAnsi="Arial" w:eastAsia="仿宋" w:cs="Arial"/>
                <w:snapToGrid w:val="0"/>
                <w:sz w:val="18"/>
                <w:szCs w:val="21"/>
                <w:highlight w:val="none"/>
              </w:rPr>
              <w:t>平方米</w:t>
            </w:r>
            <w:r>
              <w:rPr>
                <w:rFonts w:hint="eastAsia" w:ascii="Arial" w:hAnsi="Arial" w:eastAsia="仿宋" w:cs="Arial"/>
                <w:snapToGrid w:val="0"/>
                <w:sz w:val="18"/>
                <w:szCs w:val="21"/>
                <w:highlight w:val="none"/>
                <w:lang w:eastAsia="zh-CN"/>
              </w:rPr>
              <w:t>）</w:t>
            </w:r>
          </w:p>
        </w:tc>
        <w:tc>
          <w:tcPr>
            <w:tcW w:w="769" w:type="pct"/>
            <w:vAlign w:val="center"/>
          </w:tcPr>
          <w:p w14:paraId="2AC21742">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lang w:val="en-US" w:eastAsia="zh-CN"/>
              </w:rPr>
              <w:t>176</w:t>
            </w:r>
          </w:p>
        </w:tc>
        <w:tc>
          <w:tcPr>
            <w:tcW w:w="307" w:type="pct"/>
            <w:vAlign w:val="center"/>
          </w:tcPr>
          <w:p w14:paraId="7303064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5615DB8A">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lang w:val="en-US" w:eastAsia="zh-CN"/>
              </w:rPr>
              <w:t>380</w:t>
            </w:r>
          </w:p>
        </w:tc>
        <w:tc>
          <w:tcPr>
            <w:tcW w:w="308" w:type="pct"/>
            <w:vAlign w:val="center"/>
          </w:tcPr>
          <w:p w14:paraId="1F942B0E">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763" w:type="pct"/>
            <w:vAlign w:val="center"/>
          </w:tcPr>
          <w:p w14:paraId="12447D79">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lang w:val="en-US" w:eastAsia="zh-CN"/>
              </w:rPr>
              <w:t>300</w:t>
            </w:r>
          </w:p>
        </w:tc>
        <w:tc>
          <w:tcPr>
            <w:tcW w:w="261" w:type="pct"/>
            <w:vAlign w:val="center"/>
          </w:tcPr>
          <w:p w14:paraId="688E4613">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35232CCE">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lang w:val="en-US" w:eastAsia="zh-CN"/>
              </w:rPr>
              <w:t>220</w:t>
            </w:r>
          </w:p>
        </w:tc>
        <w:tc>
          <w:tcPr>
            <w:tcW w:w="308" w:type="pct"/>
            <w:vAlign w:val="center"/>
          </w:tcPr>
          <w:p w14:paraId="217AB5E0">
            <w:pPr>
              <w:widowControl/>
              <w:adjustRightInd/>
              <w:spacing w:line="240" w:lineRule="exact"/>
              <w:jc w:val="center"/>
              <w:textAlignment w:val="auto"/>
              <w:rPr>
                <w:rFonts w:hint="default" w:ascii="Arial" w:hAnsi="Arial" w:eastAsia="仿宋" w:cs="Arial"/>
                <w:snapToGrid w:val="0"/>
                <w:sz w:val="18"/>
                <w:szCs w:val="21"/>
                <w:highlight w:val="none"/>
                <w:lang w:val="en-US" w:eastAsia="zh-CN"/>
              </w:rPr>
            </w:pPr>
            <w:r>
              <w:rPr>
                <w:rFonts w:hint="eastAsia" w:ascii="Arial" w:hAnsi="Arial" w:eastAsia="仿宋" w:cs="Arial"/>
                <w:snapToGrid w:val="0"/>
                <w:sz w:val="18"/>
                <w:szCs w:val="21"/>
                <w:highlight w:val="none"/>
                <w:lang w:val="en-US" w:eastAsia="zh-CN"/>
              </w:rPr>
              <w:t>100</w:t>
            </w:r>
          </w:p>
        </w:tc>
      </w:tr>
      <w:tr w14:paraId="165D8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10" w:hRule="atLeast"/>
          <w:jc w:val="center"/>
        </w:trPr>
        <w:tc>
          <w:tcPr>
            <w:tcW w:w="199" w:type="pct"/>
            <w:vMerge w:val="continue"/>
            <w:textDirection w:val="tbRlV"/>
            <w:vAlign w:val="center"/>
          </w:tcPr>
          <w:p w14:paraId="4909BFF5">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1615EE4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建筑结构</w:t>
            </w:r>
          </w:p>
        </w:tc>
        <w:tc>
          <w:tcPr>
            <w:tcW w:w="769" w:type="pct"/>
            <w:vAlign w:val="center"/>
          </w:tcPr>
          <w:p w14:paraId="6263C0B5">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钢混</w:t>
            </w:r>
          </w:p>
        </w:tc>
        <w:tc>
          <w:tcPr>
            <w:tcW w:w="307" w:type="pct"/>
            <w:vAlign w:val="center"/>
          </w:tcPr>
          <w:p w14:paraId="27E4DD8F">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12148FD1">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钢混</w:t>
            </w:r>
          </w:p>
        </w:tc>
        <w:tc>
          <w:tcPr>
            <w:tcW w:w="308" w:type="pct"/>
            <w:vAlign w:val="center"/>
          </w:tcPr>
          <w:p w14:paraId="39DE08BD">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763" w:type="pct"/>
            <w:vAlign w:val="center"/>
          </w:tcPr>
          <w:p w14:paraId="1601FCE6">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钢混</w:t>
            </w:r>
          </w:p>
        </w:tc>
        <w:tc>
          <w:tcPr>
            <w:tcW w:w="261" w:type="pct"/>
            <w:vAlign w:val="center"/>
          </w:tcPr>
          <w:p w14:paraId="654FCCE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19" w:type="pct"/>
            <w:vAlign w:val="center"/>
          </w:tcPr>
          <w:p w14:paraId="4174D9D1">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钢混</w:t>
            </w:r>
          </w:p>
        </w:tc>
        <w:tc>
          <w:tcPr>
            <w:tcW w:w="308" w:type="pct"/>
            <w:vAlign w:val="center"/>
          </w:tcPr>
          <w:p w14:paraId="3AD4F23B">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r>
      <w:tr w14:paraId="54FB4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rHeight w:val="320" w:hRule="atLeast"/>
          <w:jc w:val="center"/>
        </w:trPr>
        <w:tc>
          <w:tcPr>
            <w:tcW w:w="199" w:type="pct"/>
            <w:vMerge w:val="continue"/>
            <w:textDirection w:val="tbRlV"/>
            <w:vAlign w:val="center"/>
          </w:tcPr>
          <w:p w14:paraId="02E47E6D">
            <w:pPr>
              <w:widowControl/>
              <w:adjustRightInd/>
              <w:spacing w:line="240" w:lineRule="exact"/>
              <w:jc w:val="center"/>
              <w:textAlignment w:val="auto"/>
              <w:rPr>
                <w:rFonts w:ascii="Arial" w:hAnsi="Arial" w:eastAsia="仿宋" w:cs="Arial"/>
                <w:snapToGrid w:val="0"/>
                <w:sz w:val="18"/>
                <w:szCs w:val="21"/>
                <w:highlight w:val="none"/>
              </w:rPr>
            </w:pPr>
          </w:p>
        </w:tc>
        <w:tc>
          <w:tcPr>
            <w:tcW w:w="415" w:type="pct"/>
            <w:vAlign w:val="center"/>
          </w:tcPr>
          <w:p w14:paraId="12D2DCF0">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成新度</w:t>
            </w:r>
          </w:p>
        </w:tc>
        <w:tc>
          <w:tcPr>
            <w:tcW w:w="769" w:type="pct"/>
            <w:vAlign w:val="center"/>
          </w:tcPr>
          <w:p w14:paraId="3E72A5A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90%—100%</w:t>
            </w:r>
            <w:r>
              <w:rPr>
                <w:rFonts w:hint="eastAsia" w:ascii="Arial" w:hAnsi="Arial" w:eastAsia="仿宋" w:cs="Arial"/>
                <w:snapToGrid w:val="0"/>
                <w:sz w:val="18"/>
                <w:szCs w:val="21"/>
                <w:highlight w:val="none"/>
              </w:rPr>
              <w:t>（含）</w:t>
            </w:r>
          </w:p>
        </w:tc>
        <w:tc>
          <w:tcPr>
            <w:tcW w:w="307" w:type="pct"/>
            <w:vAlign w:val="center"/>
          </w:tcPr>
          <w:p w14:paraId="4F49C691">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100</w:t>
            </w:r>
          </w:p>
        </w:tc>
        <w:tc>
          <w:tcPr>
            <w:tcW w:w="846" w:type="pct"/>
            <w:vAlign w:val="center"/>
          </w:tcPr>
          <w:p w14:paraId="5C538CC7">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80%—90%</w:t>
            </w:r>
            <w:r>
              <w:rPr>
                <w:rFonts w:hint="eastAsia" w:ascii="Arial" w:hAnsi="Arial" w:eastAsia="仿宋" w:cs="Arial"/>
                <w:snapToGrid w:val="0"/>
                <w:sz w:val="18"/>
                <w:szCs w:val="21"/>
                <w:highlight w:val="none"/>
              </w:rPr>
              <w:t>（含）</w:t>
            </w:r>
          </w:p>
        </w:tc>
        <w:tc>
          <w:tcPr>
            <w:tcW w:w="308" w:type="pct"/>
            <w:vAlign w:val="center"/>
          </w:tcPr>
          <w:p w14:paraId="0C4CA1E9">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99</w:t>
            </w:r>
          </w:p>
        </w:tc>
        <w:tc>
          <w:tcPr>
            <w:tcW w:w="763" w:type="pct"/>
            <w:vAlign w:val="center"/>
          </w:tcPr>
          <w:p w14:paraId="72EC258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80%—90%</w:t>
            </w:r>
            <w:r>
              <w:rPr>
                <w:rFonts w:hint="eastAsia" w:ascii="Arial" w:hAnsi="Arial" w:eastAsia="仿宋" w:cs="Arial"/>
                <w:snapToGrid w:val="0"/>
                <w:sz w:val="18"/>
                <w:szCs w:val="21"/>
                <w:highlight w:val="none"/>
              </w:rPr>
              <w:t>（含）</w:t>
            </w:r>
          </w:p>
        </w:tc>
        <w:tc>
          <w:tcPr>
            <w:tcW w:w="261" w:type="pct"/>
            <w:vAlign w:val="center"/>
          </w:tcPr>
          <w:p w14:paraId="6868D3F5">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99</w:t>
            </w:r>
          </w:p>
        </w:tc>
        <w:tc>
          <w:tcPr>
            <w:tcW w:w="819" w:type="pct"/>
            <w:vAlign w:val="center"/>
          </w:tcPr>
          <w:p w14:paraId="18983A18">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80%—90%</w:t>
            </w:r>
            <w:r>
              <w:rPr>
                <w:rFonts w:hint="eastAsia" w:ascii="Arial" w:hAnsi="Arial" w:eastAsia="仿宋" w:cs="Arial"/>
                <w:snapToGrid w:val="0"/>
                <w:sz w:val="18"/>
                <w:szCs w:val="21"/>
                <w:highlight w:val="none"/>
              </w:rPr>
              <w:t>（含）</w:t>
            </w:r>
          </w:p>
        </w:tc>
        <w:tc>
          <w:tcPr>
            <w:tcW w:w="308" w:type="pct"/>
            <w:vAlign w:val="center"/>
          </w:tcPr>
          <w:p w14:paraId="22F96743">
            <w:pPr>
              <w:widowControl/>
              <w:adjustRightInd/>
              <w:spacing w:line="240" w:lineRule="exact"/>
              <w:jc w:val="center"/>
              <w:textAlignment w:val="auto"/>
              <w:rPr>
                <w:rFonts w:ascii="Arial" w:hAnsi="Arial" w:eastAsia="仿宋" w:cs="Arial"/>
                <w:snapToGrid w:val="0"/>
                <w:sz w:val="18"/>
                <w:szCs w:val="21"/>
                <w:highlight w:val="none"/>
              </w:rPr>
            </w:pPr>
            <w:r>
              <w:rPr>
                <w:rFonts w:ascii="Arial" w:hAnsi="Arial" w:eastAsia="仿宋" w:cs="Arial"/>
                <w:snapToGrid w:val="0"/>
                <w:sz w:val="18"/>
                <w:szCs w:val="21"/>
                <w:highlight w:val="none"/>
              </w:rPr>
              <w:t>99</w:t>
            </w:r>
          </w:p>
        </w:tc>
      </w:tr>
    </w:tbl>
    <w:p w14:paraId="43F4E8A8">
      <w:pPr>
        <w:rPr>
          <w:rFonts w:hint="eastAsia" w:ascii="Arial" w:hAnsi="Arial" w:eastAsia="仿宋_GB2312" w:cs="Arial"/>
          <w:sz w:val="28"/>
          <w:highlight w:val="none"/>
        </w:rPr>
      </w:pPr>
      <w:r>
        <w:rPr>
          <w:rFonts w:hint="eastAsia" w:ascii="Arial" w:hAnsi="Arial" w:eastAsia="仿宋_GB2312" w:cs="Arial"/>
          <w:sz w:val="28"/>
          <w:highlight w:val="none"/>
        </w:rPr>
        <w:br w:type="page"/>
      </w:r>
    </w:p>
    <w:p w14:paraId="3A239BFE">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根据估价对象与比较实例各种因素具体情况，编制比较因素条件指数表。比较因素指数确定如下:</w:t>
      </w:r>
    </w:p>
    <w:p w14:paraId="65E12875">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a</w:t>
      </w:r>
      <w:r>
        <w:rPr>
          <w:rFonts w:hint="eastAsia" w:ascii="Arial" w:hAnsi="Arial" w:eastAsia="仿宋_GB2312" w:cs="Arial"/>
          <w:sz w:val="28"/>
          <w:highlight w:val="none"/>
        </w:rPr>
        <w:t>交易时间</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估价对象估价期日为</w:t>
      </w:r>
      <w:r>
        <w:rPr>
          <w:rFonts w:hint="eastAsia" w:ascii="Arial" w:hAnsi="Arial" w:eastAsia="仿宋_GB2312" w:cs="Arial"/>
          <w:sz w:val="28"/>
          <w:highlight w:val="none"/>
          <w:lang w:eastAsia="zh-CN"/>
        </w:rPr>
        <w:t>2026年3月26日</w:t>
      </w:r>
      <w:r>
        <w:rPr>
          <w:rFonts w:hint="eastAsia" w:ascii="Arial" w:hAnsi="Arial" w:eastAsia="仿宋_GB2312" w:cs="Arial"/>
          <w:sz w:val="28"/>
          <w:highlight w:val="none"/>
        </w:rPr>
        <w:t>与三个比较实例交易时间接近，故不作修正</w:t>
      </w:r>
      <w:r>
        <w:rPr>
          <w:rFonts w:hint="eastAsia" w:ascii="Arial" w:hAnsi="Arial" w:eastAsia="仿宋_GB2312" w:cs="Arial"/>
          <w:sz w:val="28"/>
          <w:highlight w:val="none"/>
          <w:lang w:eastAsia="zh-CN"/>
        </w:rPr>
        <w:t>；</w:t>
      </w:r>
    </w:p>
    <w:p w14:paraId="0CA36F7F">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交易情况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估价对象与三个比较实例交易情况均为正常，故不作修正</w:t>
      </w:r>
      <w:r>
        <w:rPr>
          <w:rFonts w:hint="eastAsia" w:ascii="Arial" w:hAnsi="Arial" w:eastAsia="仿宋_GB2312" w:cs="Arial"/>
          <w:sz w:val="28"/>
          <w:highlight w:val="none"/>
          <w:lang w:eastAsia="zh-CN"/>
        </w:rPr>
        <w:t>；</w:t>
      </w:r>
    </w:p>
    <w:p w14:paraId="4BCFC7BC">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房屋用途</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估价对象与三个比较实例用途相同，故不作修正</w:t>
      </w:r>
      <w:r>
        <w:rPr>
          <w:rFonts w:hint="eastAsia" w:ascii="Arial" w:hAnsi="Arial" w:eastAsia="仿宋_GB2312" w:cs="Arial"/>
          <w:sz w:val="28"/>
          <w:highlight w:val="none"/>
          <w:lang w:eastAsia="zh-CN"/>
        </w:rPr>
        <w:t>；</w:t>
      </w:r>
    </w:p>
    <w:p w14:paraId="03E8FB35">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d</w:t>
      </w:r>
      <w:r>
        <w:rPr>
          <w:rFonts w:hint="eastAsia" w:ascii="Arial" w:hAnsi="Arial" w:eastAsia="仿宋_GB2312" w:cs="Arial"/>
          <w:sz w:val="28"/>
          <w:highlight w:val="none"/>
        </w:rPr>
        <w:t>区域及个别因素修正:</w:t>
      </w:r>
    </w:p>
    <w:p w14:paraId="7A666C58">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rPr>
        <w:t>①区域因素</w:t>
      </w:r>
      <w:r>
        <w:rPr>
          <w:rFonts w:hint="eastAsia" w:ascii="Arial" w:hAnsi="Arial" w:eastAsia="仿宋_GB2312" w:cs="Arial"/>
          <w:sz w:val="28"/>
          <w:highlight w:val="none"/>
          <w:lang w:eastAsia="zh-CN"/>
        </w:rPr>
        <w:t>：</w:t>
      </w:r>
    </w:p>
    <w:p w14:paraId="08B49892">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a）商业繁华程度：分为市级商业中心，有大型综合性商服设施为好;区级商业中心，有中型综合性商服设施为较好；小区级商业中心，有中型商服设施为一般为较差；有零售业零星分布为差，共五个等级。以估价对象的等级指数为100，每相差一个等级，指数相应修正2；</w:t>
      </w:r>
    </w:p>
    <w:p w14:paraId="513209AC">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交通便捷度</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根据交通和路网状况划分，分为区域内路网密集、交通便捷为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区域内路网较密、交通较便捷为较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区域内路网一般、交通为一般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区域内路网较稀、交通较不便捷为较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区域内路网稀少、交通不便捷为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，共五个等级。以估价对象为100，每相差一个等级，指数相应修正</w:t>
      </w:r>
      <w:r>
        <w:rPr>
          <w:rFonts w:hint="eastAsia" w:ascii="Arial" w:hAnsi="Arial" w:eastAsia="仿宋_GB2312" w:cs="Arial"/>
          <w:sz w:val="28"/>
          <w:highlight w:val="none"/>
          <w:lang w:val="en-US" w:eastAsia="zh-CN"/>
        </w:rPr>
        <w:t>2；</w:t>
      </w:r>
    </w:p>
    <w:p w14:paraId="361BF2B3">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公共服务设施状况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区域内有大型、齐全公用服务设施为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区域内有齐全的公用服务设施为较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区域内有较少的公用服务设施为一般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区域内有小型、少量的公用服务设施为较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区域内缺乏公用服务设施为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，五个等级。以估价对象为100，每相差一个等级，指数相应修正</w:t>
      </w:r>
      <w:r>
        <w:rPr>
          <w:rFonts w:hint="eastAsia" w:ascii="Arial" w:hAnsi="Arial" w:eastAsia="仿宋_GB2312" w:cs="Arial"/>
          <w:sz w:val="28"/>
          <w:highlight w:val="none"/>
          <w:lang w:val="en-US" w:eastAsia="zh-CN"/>
        </w:rPr>
        <w:t>1；</w:t>
      </w:r>
    </w:p>
    <w:p w14:paraId="000EB1FF">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d）红线外基础设施水平：</w:t>
      </w:r>
      <w:r>
        <w:rPr>
          <w:rFonts w:hint="eastAsia" w:ascii="Arial" w:hAnsi="Arial" w:eastAsia="仿宋_GB2312" w:cs="Arial"/>
          <w:sz w:val="28"/>
          <w:highlight w:val="none"/>
        </w:rPr>
        <w:t>基础设施配套完善为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w:t>
      </w:r>
      <w:r>
        <w:rPr>
          <w:rFonts w:hint="eastAsia" w:ascii="Arial" w:hAnsi="Arial" w:eastAsia="仿宋_GB2312" w:cs="Arial"/>
          <w:sz w:val="28"/>
          <w:highlight w:val="none"/>
          <w:lang w:val="en-US" w:eastAsia="zh-CN"/>
        </w:rPr>
        <w:t>较</w:t>
      </w:r>
      <w:r>
        <w:rPr>
          <w:rFonts w:hint="eastAsia" w:ascii="Arial" w:hAnsi="Arial" w:eastAsia="仿宋_GB2312" w:cs="Arial"/>
          <w:sz w:val="28"/>
          <w:highlight w:val="none"/>
        </w:rPr>
        <w:t>完善为</w:t>
      </w:r>
      <w:r>
        <w:rPr>
          <w:rFonts w:hint="eastAsia" w:ascii="Arial" w:hAnsi="Arial" w:eastAsia="仿宋_GB2312" w:cs="Arial"/>
          <w:sz w:val="28"/>
          <w:highlight w:val="none"/>
          <w:lang w:val="en-US" w:eastAsia="zh-CN"/>
        </w:rPr>
        <w:t>较好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基础设施配套一般为一般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基础设施配套较不完善为较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基础设施配套不完善为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五个等级。以估价对象为100，每相差一通，指数相应修正 1</w:t>
      </w:r>
      <w:r>
        <w:rPr>
          <w:rFonts w:hint="eastAsia" w:ascii="Arial" w:hAnsi="Arial" w:eastAsia="仿宋_GB2312" w:cs="Arial"/>
          <w:sz w:val="28"/>
          <w:highlight w:val="none"/>
          <w:lang w:eastAsia="zh-CN"/>
        </w:rPr>
        <w:t>；</w:t>
      </w:r>
    </w:p>
    <w:p w14:paraId="0537A188">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e）</w:t>
      </w:r>
      <w:r>
        <w:rPr>
          <w:rFonts w:hint="eastAsia" w:ascii="Arial" w:hAnsi="Arial" w:eastAsia="仿宋_GB2312" w:cs="Arial"/>
          <w:sz w:val="28"/>
          <w:highlight w:val="none"/>
        </w:rPr>
        <w:t>自然和人文环境状况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区域内有众多高等院校、大型公园和公共绿地、基本无噪声和大气污染为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区域内有公园和公共绿地，临近高等院校，噪声和大气污染较小为较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区域内有小型公共绿地和专科院校，噪声和大气污染较小为一般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区域内有基本绿地，噪声和大气污染较严重为较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区域内有基本绿地，靠近污染源，噪声和大气污染严重为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五个等级。以估价对象为100，每相差一个等级，指数相应修正</w:t>
      </w:r>
      <w:r>
        <w:rPr>
          <w:rFonts w:hint="eastAsia" w:ascii="Arial" w:hAnsi="Arial" w:eastAsia="仿宋_GB2312" w:cs="Arial"/>
          <w:sz w:val="28"/>
          <w:highlight w:val="none"/>
          <w:lang w:val="en-US" w:eastAsia="zh-CN"/>
        </w:rPr>
        <w:t>5</w:t>
      </w:r>
      <w:r>
        <w:rPr>
          <w:rFonts w:hint="eastAsia" w:ascii="Arial" w:hAnsi="Arial" w:eastAsia="仿宋_GB2312" w:cs="Arial"/>
          <w:sz w:val="28"/>
          <w:highlight w:val="none"/>
        </w:rPr>
        <w:t>。</w:t>
      </w:r>
    </w:p>
    <w:p w14:paraId="3D1CE1CF">
      <w:pPr>
        <w:spacing w:before="50" w:after="50"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f）临街状况：分为多面临街、双面临街、单面临街、不临街四</w:t>
      </w:r>
      <w:r>
        <w:rPr>
          <w:rFonts w:hint="eastAsia" w:ascii="Arial" w:hAnsi="Arial" w:eastAsia="仿宋_GB2312" w:cs="Arial"/>
          <w:sz w:val="28"/>
          <w:highlight w:val="none"/>
        </w:rPr>
        <w:t>个等级。以估价对象为100，每相差一个等级，指数相应修正</w:t>
      </w:r>
      <w:r>
        <w:rPr>
          <w:rFonts w:hint="eastAsia" w:ascii="Arial" w:hAnsi="Arial" w:eastAsia="仿宋_GB2312" w:cs="Arial"/>
          <w:sz w:val="28"/>
          <w:highlight w:val="none"/>
          <w:lang w:val="en-US" w:eastAsia="zh-CN"/>
        </w:rPr>
        <w:t>1；</w:t>
      </w:r>
    </w:p>
    <w:p w14:paraId="38B4FA52">
      <w:pPr>
        <w:spacing w:before="50" w:after="50"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g）人流量：根据周边人口情况及人流情况进行适当修正；</w:t>
      </w:r>
    </w:p>
    <w:p w14:paraId="635BC785">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h）楼层：根据实际情况进行适当修正；</w:t>
      </w:r>
    </w:p>
    <w:p w14:paraId="3DE929E6">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②个别因素:</w:t>
      </w:r>
    </w:p>
    <w:p w14:paraId="339B5684">
      <w:pPr>
        <w:spacing w:before="50" w:after="50"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a）</w:t>
      </w:r>
      <w:r>
        <w:rPr>
          <w:rFonts w:hint="eastAsia" w:ascii="Arial" w:hAnsi="Arial" w:eastAsia="仿宋_GB2312" w:cs="Arial"/>
          <w:sz w:val="28"/>
          <w:highlight w:val="none"/>
        </w:rPr>
        <w:t>商业类型</w:t>
      </w:r>
      <w:r>
        <w:rPr>
          <w:rFonts w:hint="eastAsia" w:ascii="Arial" w:hAnsi="Arial" w:eastAsia="仿宋_GB2312" w:cs="Arial"/>
          <w:sz w:val="28"/>
          <w:highlight w:val="none"/>
          <w:lang w:val="en-US" w:eastAsia="zh-CN"/>
        </w:rPr>
        <w:t>：分为商业综合体、临街商铺、住宅底商三</w:t>
      </w:r>
      <w:r>
        <w:rPr>
          <w:rFonts w:hint="eastAsia" w:ascii="Arial" w:hAnsi="Arial" w:eastAsia="仿宋_GB2312" w:cs="Arial"/>
          <w:sz w:val="28"/>
          <w:highlight w:val="none"/>
        </w:rPr>
        <w:t>个等级。以估价对象为100，每相差一个等级，指数相应修正</w:t>
      </w:r>
      <w:r>
        <w:rPr>
          <w:rFonts w:hint="eastAsia" w:ascii="Arial" w:hAnsi="Arial" w:eastAsia="仿宋_GB2312" w:cs="Arial"/>
          <w:sz w:val="28"/>
          <w:highlight w:val="none"/>
          <w:lang w:val="en-US" w:eastAsia="zh-CN"/>
        </w:rPr>
        <w:t>8；</w:t>
      </w:r>
    </w:p>
    <w:p w14:paraId="755DB071">
      <w:pPr>
        <w:spacing w:before="50" w:after="50"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b）建筑规模：根据实际情况进行适当修正；</w:t>
      </w:r>
    </w:p>
    <w:p w14:paraId="6253127B">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建筑结构</w:t>
      </w:r>
      <w:r>
        <w:rPr>
          <w:rFonts w:hint="eastAsia" w:ascii="Arial" w:hAnsi="Arial" w:eastAsia="仿宋_GB2312" w:cs="Arial"/>
          <w:sz w:val="28"/>
          <w:highlight w:val="none"/>
          <w:lang w:val="en-US" w:eastAsia="zh-CN"/>
        </w:rPr>
        <w:t>：</w:t>
      </w:r>
      <w:r>
        <w:rPr>
          <w:rFonts w:hint="eastAsia" w:ascii="Arial" w:hAnsi="Arial" w:eastAsia="仿宋_GB2312" w:cs="Arial"/>
          <w:sz w:val="28"/>
          <w:highlight w:val="none"/>
        </w:rPr>
        <w:t>分为简易、砖木、砖混、钢混、钢结构五个等级，以估价对象为100，每增加或降低一个等级，指数相应增加或减少</w:t>
      </w:r>
      <w:r>
        <w:rPr>
          <w:rFonts w:hint="eastAsia" w:ascii="Arial" w:hAnsi="Arial" w:eastAsia="仿宋_GB2312" w:cs="Arial"/>
          <w:sz w:val="28"/>
          <w:highlight w:val="none"/>
          <w:lang w:val="en-US" w:eastAsia="zh-CN"/>
        </w:rPr>
        <w:t>2</w:t>
      </w:r>
      <w:r>
        <w:rPr>
          <w:rFonts w:hint="eastAsia" w:ascii="Arial" w:hAnsi="Arial" w:eastAsia="仿宋_GB2312" w:cs="Arial"/>
          <w:sz w:val="28"/>
          <w:highlight w:val="none"/>
          <w:lang w:eastAsia="zh-CN"/>
        </w:rPr>
        <w:t>；</w:t>
      </w:r>
    </w:p>
    <w:p w14:paraId="41C9812D">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c）成新度：根据实际情况进行适当修正；</w:t>
      </w:r>
    </w:p>
    <w:p w14:paraId="15EC1288">
      <w:pPr>
        <w:spacing w:line="360" w:lineRule="auto"/>
        <w:rPr>
          <w:rFonts w:ascii="Arial" w:hAnsi="Arial" w:eastAsia="仿宋_GB2312" w:cs="Arial"/>
          <w:bCs/>
          <w:highlight w:val="none"/>
        </w:rPr>
      </w:pPr>
    </w:p>
    <w:p w14:paraId="5DFB18A3">
      <w:pPr>
        <w:rPr>
          <w:rFonts w:ascii="Arial" w:hAnsi="Arial" w:eastAsia="仿宋" w:cs="Arial"/>
          <w:b/>
          <w:bCs/>
          <w:sz w:val="28"/>
          <w:szCs w:val="28"/>
          <w:highlight w:val="none"/>
        </w:rPr>
      </w:pPr>
      <w:r>
        <w:rPr>
          <w:rFonts w:ascii="Arial" w:hAnsi="Arial" w:eastAsia="仿宋" w:cs="Arial"/>
          <w:b/>
          <w:bCs/>
          <w:sz w:val="28"/>
          <w:szCs w:val="28"/>
          <w:highlight w:val="none"/>
        </w:rPr>
        <w:br w:type="page"/>
      </w:r>
    </w:p>
    <w:p w14:paraId="60EB0B1C">
      <w:pPr>
        <w:spacing w:line="360" w:lineRule="auto"/>
        <w:jc w:val="center"/>
        <w:rPr>
          <w:rFonts w:ascii="Arial" w:hAnsi="Arial" w:eastAsia="仿宋" w:cs="Arial"/>
          <w:b/>
          <w:bCs/>
          <w:sz w:val="28"/>
          <w:szCs w:val="28"/>
          <w:highlight w:val="none"/>
        </w:rPr>
      </w:pPr>
      <w:r>
        <w:rPr>
          <w:rFonts w:ascii="Arial" w:hAnsi="Arial" w:eastAsia="仿宋" w:cs="Arial"/>
          <w:b/>
          <w:bCs/>
          <w:sz w:val="28"/>
          <w:szCs w:val="28"/>
          <w:highlight w:val="none"/>
        </w:rPr>
        <w:t>表4：因素修正和调整系数表</w:t>
      </w:r>
    </w:p>
    <w:tbl>
      <w:tblPr>
        <w:tblStyle w:val="34"/>
        <w:tblW w:w="4937" w:type="pct"/>
        <w:jc w:val="center"/>
        <w:tblLayout w:type="fixed"/>
        <w:tblCellMar>
          <w:top w:w="57" w:type="dxa"/>
          <w:left w:w="57" w:type="dxa"/>
          <w:bottom w:w="57" w:type="dxa"/>
          <w:right w:w="57" w:type="dxa"/>
        </w:tblCellMar>
      </w:tblPr>
      <w:tblGrid>
        <w:gridCol w:w="1171"/>
        <w:gridCol w:w="1833"/>
        <w:gridCol w:w="2115"/>
        <w:gridCol w:w="2115"/>
        <w:gridCol w:w="2115"/>
      </w:tblGrid>
      <w:tr w14:paraId="1858A89E">
        <w:tblPrEx>
          <w:tblCellMar>
            <w:top w:w="57" w:type="dxa"/>
            <w:left w:w="57" w:type="dxa"/>
            <w:bottom w:w="57" w:type="dxa"/>
            <w:right w:w="57" w:type="dxa"/>
          </w:tblCellMar>
        </w:tblPrEx>
        <w:trPr>
          <w:trHeight w:val="280" w:hRule="atLeast"/>
          <w:tblHeader/>
          <w:jc w:val="center"/>
        </w:trPr>
        <w:tc>
          <w:tcPr>
            <w:tcW w:w="1606" w:type="pct"/>
            <w:gridSpan w:val="2"/>
            <w:vMerge w:val="restart"/>
            <w:tcBorders>
              <w:top w:val="single" w:color="auto" w:sz="4" w:space="0"/>
              <w:left w:val="single" w:color="auto" w:sz="4" w:space="0"/>
              <w:bottom w:val="single" w:color="auto" w:sz="4" w:space="0"/>
              <w:right w:val="single" w:color="auto" w:sz="4" w:space="0"/>
              <w:tl2br w:val="single" w:color="auto" w:sz="4" w:space="0"/>
            </w:tcBorders>
            <w:noWrap/>
            <w:vAlign w:val="center"/>
          </w:tcPr>
          <w:p w14:paraId="34161F2B">
            <w:pPr>
              <w:widowControl/>
              <w:adjustRightInd/>
              <w:spacing w:line="240" w:lineRule="exact"/>
              <w:jc w:val="right"/>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可比案例</w:t>
            </w:r>
          </w:p>
          <w:p w14:paraId="4FB680F9">
            <w:pPr>
              <w:widowControl/>
              <w:adjustRightInd/>
              <w:spacing w:line="240" w:lineRule="exact"/>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比较因素</w:t>
            </w:r>
          </w:p>
        </w:tc>
        <w:tc>
          <w:tcPr>
            <w:tcW w:w="1131" w:type="pct"/>
            <w:tcBorders>
              <w:top w:val="single" w:color="auto" w:sz="4" w:space="0"/>
              <w:left w:val="nil"/>
              <w:bottom w:val="single" w:color="auto" w:sz="4" w:space="0"/>
              <w:right w:val="single" w:color="auto" w:sz="4" w:space="0"/>
            </w:tcBorders>
            <w:noWrap/>
            <w:vAlign w:val="center"/>
          </w:tcPr>
          <w:p w14:paraId="277EADD2">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案例D</w:t>
            </w:r>
          </w:p>
        </w:tc>
        <w:tc>
          <w:tcPr>
            <w:tcW w:w="1131" w:type="pct"/>
            <w:tcBorders>
              <w:top w:val="single" w:color="auto" w:sz="4" w:space="0"/>
              <w:left w:val="nil"/>
              <w:bottom w:val="single" w:color="auto" w:sz="4" w:space="0"/>
              <w:right w:val="single" w:color="auto" w:sz="4" w:space="0"/>
            </w:tcBorders>
            <w:noWrap/>
            <w:vAlign w:val="center"/>
          </w:tcPr>
          <w:p w14:paraId="41DF1134">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案例E</w:t>
            </w:r>
          </w:p>
        </w:tc>
        <w:tc>
          <w:tcPr>
            <w:tcW w:w="1131" w:type="pct"/>
            <w:tcBorders>
              <w:top w:val="single" w:color="auto" w:sz="4" w:space="0"/>
              <w:left w:val="nil"/>
              <w:bottom w:val="single" w:color="auto" w:sz="4" w:space="0"/>
              <w:right w:val="single" w:color="auto" w:sz="4" w:space="0"/>
            </w:tcBorders>
            <w:noWrap/>
            <w:vAlign w:val="center"/>
          </w:tcPr>
          <w:p w14:paraId="25A3CF69">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案例F</w:t>
            </w:r>
          </w:p>
        </w:tc>
      </w:tr>
      <w:tr w14:paraId="05DE2EB9">
        <w:tblPrEx>
          <w:tblCellMar>
            <w:top w:w="57" w:type="dxa"/>
            <w:left w:w="57" w:type="dxa"/>
            <w:bottom w:w="57" w:type="dxa"/>
            <w:right w:w="57" w:type="dxa"/>
          </w:tblCellMar>
        </w:tblPrEx>
        <w:trPr>
          <w:trHeight w:val="280" w:hRule="atLeast"/>
          <w:tblHeader/>
          <w:jc w:val="center"/>
        </w:trPr>
        <w:tc>
          <w:tcPr>
            <w:tcW w:w="1606"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1C497517">
            <w:pPr>
              <w:widowControl/>
              <w:adjustRightInd/>
              <w:spacing w:line="240" w:lineRule="exact"/>
              <w:textAlignment w:val="auto"/>
              <w:rPr>
                <w:rFonts w:ascii="Arial" w:hAnsi="Arial" w:eastAsia="仿宋" w:cs="Arial"/>
                <w:snapToGrid w:val="0"/>
                <w:sz w:val="18"/>
                <w:szCs w:val="18"/>
                <w:highlight w:val="none"/>
              </w:rPr>
            </w:pPr>
          </w:p>
        </w:tc>
        <w:tc>
          <w:tcPr>
            <w:tcW w:w="1131" w:type="pct"/>
            <w:tcBorders>
              <w:top w:val="nil"/>
              <w:left w:val="nil"/>
              <w:bottom w:val="single" w:color="auto" w:sz="4" w:space="0"/>
              <w:right w:val="single" w:color="auto" w:sz="4" w:space="0"/>
            </w:tcBorders>
            <w:noWrap/>
            <w:vAlign w:val="bottom"/>
          </w:tcPr>
          <w:p w14:paraId="491DB5F7">
            <w:pPr>
              <w:widowControl/>
              <w:adjustRightInd/>
              <w:spacing w:line="240" w:lineRule="exact"/>
              <w:jc w:val="center"/>
              <w:textAlignment w:val="auto"/>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rPr>
              <w:t>顺义绿地启航国际商铺</w:t>
            </w:r>
          </w:p>
        </w:tc>
        <w:tc>
          <w:tcPr>
            <w:tcW w:w="1131" w:type="pct"/>
            <w:tcBorders>
              <w:top w:val="nil"/>
              <w:left w:val="nil"/>
              <w:bottom w:val="single" w:color="auto" w:sz="4" w:space="0"/>
              <w:right w:val="single" w:color="auto" w:sz="4" w:space="0"/>
            </w:tcBorders>
            <w:noWrap/>
            <w:vAlign w:val="center"/>
          </w:tcPr>
          <w:p w14:paraId="13DAB0EE">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中粮祥云小镇商铺</w:t>
            </w:r>
          </w:p>
        </w:tc>
        <w:tc>
          <w:tcPr>
            <w:tcW w:w="1131" w:type="pct"/>
            <w:tcBorders>
              <w:top w:val="nil"/>
              <w:left w:val="nil"/>
              <w:bottom w:val="single" w:color="auto" w:sz="4" w:space="0"/>
              <w:right w:val="single" w:color="auto" w:sz="4" w:space="0"/>
            </w:tcBorders>
            <w:noWrap/>
            <w:vAlign w:val="center"/>
          </w:tcPr>
          <w:p w14:paraId="47C25907">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府前西街商铺</w:t>
            </w:r>
          </w:p>
        </w:tc>
      </w:tr>
      <w:tr w14:paraId="72D19B7C">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37B32621">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交易时间</w:t>
            </w:r>
          </w:p>
        </w:tc>
        <w:tc>
          <w:tcPr>
            <w:tcW w:w="1131" w:type="pct"/>
            <w:tcBorders>
              <w:top w:val="nil"/>
              <w:left w:val="nil"/>
              <w:bottom w:val="single" w:color="auto" w:sz="4" w:space="0"/>
              <w:right w:val="single" w:color="auto" w:sz="4" w:space="0"/>
            </w:tcBorders>
            <w:noWrap/>
            <w:vAlign w:val="center"/>
          </w:tcPr>
          <w:p w14:paraId="6ECA9F4B">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6E4E023F">
            <w:pPr>
              <w:spacing w:line="240" w:lineRule="exact"/>
              <w:jc w:val="center"/>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41B90A6C">
            <w:pPr>
              <w:spacing w:line="240" w:lineRule="exact"/>
              <w:jc w:val="center"/>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r>
      <w:tr w14:paraId="5ECBF759">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6E46E479">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交易情况</w:t>
            </w:r>
          </w:p>
        </w:tc>
        <w:tc>
          <w:tcPr>
            <w:tcW w:w="1131" w:type="pct"/>
            <w:tcBorders>
              <w:top w:val="nil"/>
              <w:left w:val="nil"/>
              <w:bottom w:val="single" w:color="auto" w:sz="4" w:space="0"/>
              <w:right w:val="single" w:color="auto" w:sz="4" w:space="0"/>
            </w:tcBorders>
            <w:noWrap/>
            <w:vAlign w:val="center"/>
          </w:tcPr>
          <w:p w14:paraId="30B7DCAF">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189A009D">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6716551C">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r>
      <w:tr w14:paraId="445EA5DF">
        <w:tblPrEx>
          <w:tblCellMar>
            <w:top w:w="57" w:type="dxa"/>
            <w:left w:w="57" w:type="dxa"/>
            <w:bottom w:w="57" w:type="dxa"/>
            <w:right w:w="57" w:type="dxa"/>
          </w:tblCellMar>
        </w:tblPrEx>
        <w:trPr>
          <w:trHeight w:val="296" w:hRule="atLeast"/>
          <w:jc w:val="center"/>
        </w:trPr>
        <w:tc>
          <w:tcPr>
            <w:tcW w:w="1606" w:type="pct"/>
            <w:gridSpan w:val="2"/>
            <w:tcBorders>
              <w:top w:val="single" w:color="auto" w:sz="4" w:space="0"/>
              <w:left w:val="single" w:color="auto" w:sz="4" w:space="0"/>
              <w:bottom w:val="single" w:color="auto" w:sz="4" w:space="0"/>
              <w:right w:val="single" w:color="auto" w:sz="4" w:space="0"/>
            </w:tcBorders>
            <w:noWrap/>
            <w:vAlign w:val="center"/>
          </w:tcPr>
          <w:p w14:paraId="51DD0BEA">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用途</w:t>
            </w:r>
          </w:p>
        </w:tc>
        <w:tc>
          <w:tcPr>
            <w:tcW w:w="1131" w:type="pct"/>
            <w:tcBorders>
              <w:top w:val="nil"/>
              <w:left w:val="nil"/>
              <w:bottom w:val="single" w:color="auto" w:sz="4" w:space="0"/>
              <w:right w:val="single" w:color="auto" w:sz="4" w:space="0"/>
            </w:tcBorders>
            <w:noWrap/>
            <w:vAlign w:val="center"/>
          </w:tcPr>
          <w:p w14:paraId="281EF025">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45EF70A4">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0DC11C12">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r>
      <w:tr w14:paraId="2E4C52E0">
        <w:tblPrEx>
          <w:tblCellMar>
            <w:top w:w="57" w:type="dxa"/>
            <w:left w:w="57" w:type="dxa"/>
            <w:bottom w:w="57" w:type="dxa"/>
            <w:right w:w="57" w:type="dxa"/>
          </w:tblCellMar>
        </w:tblPrEx>
        <w:trPr>
          <w:trHeight w:val="280" w:hRule="atLeast"/>
          <w:jc w:val="center"/>
        </w:trPr>
        <w:tc>
          <w:tcPr>
            <w:tcW w:w="626" w:type="pct"/>
            <w:vMerge w:val="restart"/>
            <w:tcBorders>
              <w:top w:val="single" w:color="auto" w:sz="4" w:space="0"/>
              <w:left w:val="single" w:color="auto" w:sz="4" w:space="0"/>
              <w:bottom w:val="single" w:color="000000" w:sz="4" w:space="0"/>
              <w:right w:val="single" w:color="auto" w:sz="4" w:space="0"/>
            </w:tcBorders>
            <w:noWrap/>
            <w:vAlign w:val="center"/>
          </w:tcPr>
          <w:p w14:paraId="7E0E32DA">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区域因素</w:t>
            </w:r>
          </w:p>
        </w:tc>
        <w:tc>
          <w:tcPr>
            <w:tcW w:w="980" w:type="pct"/>
            <w:tcBorders>
              <w:top w:val="single" w:color="auto" w:sz="4" w:space="0"/>
              <w:left w:val="nil"/>
              <w:bottom w:val="single" w:color="auto" w:sz="4" w:space="0"/>
              <w:right w:val="single" w:color="auto" w:sz="4" w:space="0"/>
            </w:tcBorders>
            <w:noWrap/>
            <w:vAlign w:val="center"/>
          </w:tcPr>
          <w:p w14:paraId="01C1C30B">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商业繁华度</w:t>
            </w:r>
          </w:p>
        </w:tc>
        <w:tc>
          <w:tcPr>
            <w:tcW w:w="1131" w:type="pct"/>
            <w:tcBorders>
              <w:top w:val="nil"/>
              <w:left w:val="nil"/>
              <w:bottom w:val="single" w:color="auto" w:sz="4" w:space="0"/>
              <w:right w:val="single" w:color="auto" w:sz="4" w:space="0"/>
            </w:tcBorders>
            <w:noWrap/>
            <w:vAlign w:val="center"/>
          </w:tcPr>
          <w:p w14:paraId="01643B91">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2</w:t>
            </w:r>
          </w:p>
        </w:tc>
        <w:tc>
          <w:tcPr>
            <w:tcW w:w="1131" w:type="pct"/>
            <w:tcBorders>
              <w:top w:val="nil"/>
              <w:left w:val="nil"/>
              <w:bottom w:val="single" w:color="auto" w:sz="4" w:space="0"/>
              <w:right w:val="single" w:color="auto" w:sz="4" w:space="0"/>
            </w:tcBorders>
            <w:noWrap/>
            <w:vAlign w:val="center"/>
          </w:tcPr>
          <w:p w14:paraId="7D4DD07D">
            <w:pPr>
              <w:spacing w:line="240" w:lineRule="exact"/>
              <w:jc w:val="center"/>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2</w:t>
            </w:r>
          </w:p>
        </w:tc>
        <w:tc>
          <w:tcPr>
            <w:tcW w:w="1131" w:type="pct"/>
            <w:tcBorders>
              <w:top w:val="nil"/>
              <w:left w:val="nil"/>
              <w:bottom w:val="single" w:color="auto" w:sz="4" w:space="0"/>
              <w:right w:val="single" w:color="auto" w:sz="4" w:space="0"/>
            </w:tcBorders>
            <w:noWrap/>
            <w:vAlign w:val="center"/>
          </w:tcPr>
          <w:p w14:paraId="2D443FB2">
            <w:pPr>
              <w:spacing w:line="240" w:lineRule="exact"/>
              <w:jc w:val="center"/>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4</w:t>
            </w:r>
          </w:p>
        </w:tc>
      </w:tr>
      <w:tr w14:paraId="308C7733">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41143297">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3EE5B52E">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交通便捷度</w:t>
            </w:r>
          </w:p>
        </w:tc>
        <w:tc>
          <w:tcPr>
            <w:tcW w:w="1131" w:type="pct"/>
            <w:tcBorders>
              <w:top w:val="nil"/>
              <w:left w:val="nil"/>
              <w:bottom w:val="single" w:color="auto" w:sz="4" w:space="0"/>
              <w:right w:val="single" w:color="auto" w:sz="4" w:space="0"/>
            </w:tcBorders>
            <w:noWrap/>
            <w:vAlign w:val="center"/>
          </w:tcPr>
          <w:p w14:paraId="0D6475E3">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100/104</w:t>
            </w:r>
          </w:p>
        </w:tc>
        <w:tc>
          <w:tcPr>
            <w:tcW w:w="1131" w:type="pct"/>
            <w:tcBorders>
              <w:top w:val="nil"/>
              <w:left w:val="nil"/>
              <w:bottom w:val="single" w:color="auto" w:sz="4" w:space="0"/>
              <w:right w:val="single" w:color="auto" w:sz="4" w:space="0"/>
            </w:tcBorders>
            <w:noWrap/>
            <w:vAlign w:val="center"/>
          </w:tcPr>
          <w:p w14:paraId="620B4693">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100/102</w:t>
            </w:r>
          </w:p>
        </w:tc>
        <w:tc>
          <w:tcPr>
            <w:tcW w:w="1131" w:type="pct"/>
            <w:tcBorders>
              <w:top w:val="nil"/>
              <w:left w:val="nil"/>
              <w:bottom w:val="single" w:color="auto" w:sz="4" w:space="0"/>
              <w:right w:val="single" w:color="auto" w:sz="4" w:space="0"/>
            </w:tcBorders>
            <w:noWrap/>
            <w:vAlign w:val="center"/>
          </w:tcPr>
          <w:p w14:paraId="659F6FAF">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100/104</w:t>
            </w:r>
          </w:p>
        </w:tc>
      </w:tr>
      <w:tr w14:paraId="5BF94B58">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17C5A537">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145FDF9D">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公共配套设施</w:t>
            </w:r>
          </w:p>
        </w:tc>
        <w:tc>
          <w:tcPr>
            <w:tcW w:w="1131" w:type="pct"/>
            <w:tcBorders>
              <w:top w:val="nil"/>
              <w:left w:val="nil"/>
              <w:bottom w:val="single" w:color="auto" w:sz="4" w:space="0"/>
              <w:right w:val="single" w:color="auto" w:sz="4" w:space="0"/>
            </w:tcBorders>
            <w:noWrap/>
            <w:vAlign w:val="center"/>
          </w:tcPr>
          <w:p w14:paraId="3D123917">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0</w:t>
            </w:r>
          </w:p>
        </w:tc>
        <w:tc>
          <w:tcPr>
            <w:tcW w:w="1131" w:type="pct"/>
            <w:tcBorders>
              <w:top w:val="nil"/>
              <w:left w:val="nil"/>
              <w:bottom w:val="single" w:color="auto" w:sz="4" w:space="0"/>
              <w:right w:val="single" w:color="auto" w:sz="4" w:space="0"/>
            </w:tcBorders>
            <w:noWrap/>
            <w:vAlign w:val="center"/>
          </w:tcPr>
          <w:p w14:paraId="7F2503E3">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4A13282E">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1</w:t>
            </w:r>
          </w:p>
        </w:tc>
      </w:tr>
      <w:tr w14:paraId="78F165D8">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05CC589F">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0B708396">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基础设施水平</w:t>
            </w:r>
          </w:p>
        </w:tc>
        <w:tc>
          <w:tcPr>
            <w:tcW w:w="1131" w:type="pct"/>
            <w:tcBorders>
              <w:top w:val="nil"/>
              <w:left w:val="nil"/>
              <w:bottom w:val="single" w:color="auto" w:sz="4" w:space="0"/>
              <w:right w:val="single" w:color="auto" w:sz="4" w:space="0"/>
            </w:tcBorders>
            <w:noWrap/>
            <w:vAlign w:val="center"/>
          </w:tcPr>
          <w:p w14:paraId="7674D154">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7A8F7A6C">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6D588BA0">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r>
      <w:tr w14:paraId="74941390">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5FDCFEE3">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3C2B2833">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自然及人文环境</w:t>
            </w:r>
          </w:p>
        </w:tc>
        <w:tc>
          <w:tcPr>
            <w:tcW w:w="1131" w:type="pct"/>
            <w:tcBorders>
              <w:top w:val="nil"/>
              <w:left w:val="nil"/>
              <w:bottom w:val="single" w:color="auto" w:sz="4" w:space="0"/>
              <w:right w:val="single" w:color="auto" w:sz="4" w:space="0"/>
            </w:tcBorders>
            <w:noWrap/>
            <w:vAlign w:val="center"/>
          </w:tcPr>
          <w:p w14:paraId="5EB20F48">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5</w:t>
            </w:r>
          </w:p>
        </w:tc>
        <w:tc>
          <w:tcPr>
            <w:tcW w:w="1131" w:type="pct"/>
            <w:tcBorders>
              <w:top w:val="nil"/>
              <w:left w:val="nil"/>
              <w:bottom w:val="single" w:color="auto" w:sz="4" w:space="0"/>
              <w:right w:val="single" w:color="auto" w:sz="4" w:space="0"/>
            </w:tcBorders>
            <w:noWrap/>
            <w:vAlign w:val="center"/>
          </w:tcPr>
          <w:p w14:paraId="7001266E">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5</w:t>
            </w:r>
          </w:p>
        </w:tc>
        <w:tc>
          <w:tcPr>
            <w:tcW w:w="1131" w:type="pct"/>
            <w:tcBorders>
              <w:top w:val="nil"/>
              <w:left w:val="nil"/>
              <w:bottom w:val="single" w:color="auto" w:sz="4" w:space="0"/>
              <w:right w:val="single" w:color="auto" w:sz="4" w:space="0"/>
            </w:tcBorders>
            <w:noWrap/>
            <w:vAlign w:val="center"/>
          </w:tcPr>
          <w:p w14:paraId="772C2BAA">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5</w:t>
            </w:r>
          </w:p>
        </w:tc>
      </w:tr>
      <w:tr w14:paraId="16E2775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6FBF706C">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1E48DBD8">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临街状况</w:t>
            </w:r>
          </w:p>
        </w:tc>
        <w:tc>
          <w:tcPr>
            <w:tcW w:w="1131" w:type="pct"/>
            <w:tcBorders>
              <w:top w:val="nil"/>
              <w:left w:val="nil"/>
              <w:bottom w:val="single" w:color="auto" w:sz="4" w:space="0"/>
              <w:right w:val="single" w:color="auto" w:sz="4" w:space="0"/>
            </w:tcBorders>
            <w:noWrap/>
            <w:vAlign w:val="center"/>
          </w:tcPr>
          <w:p w14:paraId="6C26A3A4">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2160B0EF">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15707919">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w:t>
            </w:r>
            <w:r>
              <w:rPr>
                <w:rFonts w:hint="eastAsia" w:ascii="Arial" w:hAnsi="Arial" w:eastAsia="仿宋" w:cs="Arial"/>
                <w:snapToGrid w:val="0"/>
                <w:sz w:val="18"/>
                <w:szCs w:val="18"/>
                <w:highlight w:val="none"/>
                <w:lang w:val="en-US" w:eastAsia="zh-CN"/>
              </w:rPr>
              <w:t>01</w:t>
            </w:r>
          </w:p>
        </w:tc>
      </w:tr>
      <w:tr w14:paraId="0F7E759F">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090A2F56">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66C6B614">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人流量</w:t>
            </w:r>
          </w:p>
        </w:tc>
        <w:tc>
          <w:tcPr>
            <w:tcW w:w="1131" w:type="pct"/>
            <w:tcBorders>
              <w:top w:val="nil"/>
              <w:left w:val="nil"/>
              <w:bottom w:val="single" w:color="auto" w:sz="4" w:space="0"/>
              <w:right w:val="single" w:color="auto" w:sz="4" w:space="0"/>
            </w:tcBorders>
            <w:noWrap/>
            <w:vAlign w:val="center"/>
          </w:tcPr>
          <w:p w14:paraId="7044142D">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w:t>
            </w:r>
            <w:r>
              <w:rPr>
                <w:rFonts w:hint="eastAsia" w:ascii="Arial" w:hAnsi="Arial" w:eastAsia="仿宋" w:cs="Arial"/>
                <w:snapToGrid w:val="0"/>
                <w:sz w:val="18"/>
                <w:szCs w:val="18"/>
                <w:highlight w:val="none"/>
                <w:lang w:val="en-US" w:eastAsia="zh-CN"/>
              </w:rPr>
              <w:t>04</w:t>
            </w:r>
          </w:p>
        </w:tc>
        <w:tc>
          <w:tcPr>
            <w:tcW w:w="1131" w:type="pct"/>
            <w:tcBorders>
              <w:top w:val="nil"/>
              <w:left w:val="nil"/>
              <w:bottom w:val="single" w:color="auto" w:sz="4" w:space="0"/>
              <w:right w:val="single" w:color="auto" w:sz="4" w:space="0"/>
            </w:tcBorders>
            <w:noWrap/>
            <w:vAlign w:val="center"/>
          </w:tcPr>
          <w:p w14:paraId="7EC6E64C">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w:t>
            </w:r>
            <w:r>
              <w:rPr>
                <w:rFonts w:hint="eastAsia" w:ascii="Arial" w:hAnsi="Arial" w:eastAsia="仿宋" w:cs="Arial"/>
                <w:snapToGrid w:val="0"/>
                <w:sz w:val="18"/>
                <w:szCs w:val="18"/>
                <w:highlight w:val="none"/>
                <w:lang w:val="en-US" w:eastAsia="zh-CN"/>
              </w:rPr>
              <w:t>04</w:t>
            </w:r>
          </w:p>
        </w:tc>
        <w:tc>
          <w:tcPr>
            <w:tcW w:w="1131" w:type="pct"/>
            <w:tcBorders>
              <w:top w:val="nil"/>
              <w:left w:val="nil"/>
              <w:bottom w:val="single" w:color="auto" w:sz="4" w:space="0"/>
              <w:right w:val="single" w:color="auto" w:sz="4" w:space="0"/>
            </w:tcBorders>
            <w:noWrap/>
            <w:vAlign w:val="center"/>
          </w:tcPr>
          <w:p w14:paraId="2F7DFDCD">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w:t>
            </w:r>
            <w:r>
              <w:rPr>
                <w:rFonts w:hint="eastAsia" w:ascii="Arial" w:hAnsi="Arial" w:eastAsia="仿宋" w:cs="Arial"/>
                <w:snapToGrid w:val="0"/>
                <w:sz w:val="18"/>
                <w:szCs w:val="18"/>
                <w:highlight w:val="none"/>
                <w:lang w:val="en-US" w:eastAsia="zh-CN"/>
              </w:rPr>
              <w:t>04</w:t>
            </w:r>
          </w:p>
        </w:tc>
      </w:tr>
      <w:tr w14:paraId="58FEF578">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01730791">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34F5FEFF">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楼层</w:t>
            </w:r>
          </w:p>
        </w:tc>
        <w:tc>
          <w:tcPr>
            <w:tcW w:w="1131" w:type="pct"/>
            <w:tcBorders>
              <w:top w:val="nil"/>
              <w:left w:val="nil"/>
              <w:bottom w:val="single" w:color="auto" w:sz="4" w:space="0"/>
              <w:right w:val="single" w:color="auto" w:sz="4" w:space="0"/>
            </w:tcBorders>
            <w:noWrap/>
            <w:vAlign w:val="center"/>
          </w:tcPr>
          <w:p w14:paraId="5C4454C1">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44744678">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w:t>
            </w:r>
            <w:r>
              <w:rPr>
                <w:rFonts w:hint="eastAsia" w:ascii="Arial" w:hAnsi="Arial" w:eastAsia="仿宋" w:cs="Arial"/>
                <w:snapToGrid w:val="0"/>
                <w:sz w:val="18"/>
                <w:szCs w:val="18"/>
                <w:highlight w:val="none"/>
                <w:lang w:val="en-US" w:eastAsia="zh-CN"/>
              </w:rPr>
              <w:t>100</w:t>
            </w:r>
          </w:p>
        </w:tc>
        <w:tc>
          <w:tcPr>
            <w:tcW w:w="1131" w:type="pct"/>
            <w:tcBorders>
              <w:top w:val="nil"/>
              <w:left w:val="nil"/>
              <w:bottom w:val="single" w:color="auto" w:sz="4" w:space="0"/>
              <w:right w:val="single" w:color="auto" w:sz="4" w:space="0"/>
            </w:tcBorders>
            <w:noWrap/>
            <w:vAlign w:val="center"/>
          </w:tcPr>
          <w:p w14:paraId="3BC03D5D">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r>
      <w:tr w14:paraId="309C13AC">
        <w:tblPrEx>
          <w:tblCellMar>
            <w:top w:w="57" w:type="dxa"/>
            <w:left w:w="57" w:type="dxa"/>
            <w:bottom w:w="57" w:type="dxa"/>
            <w:right w:w="57" w:type="dxa"/>
          </w:tblCellMar>
        </w:tblPrEx>
        <w:trPr>
          <w:trHeight w:val="280" w:hRule="atLeast"/>
          <w:jc w:val="center"/>
        </w:trPr>
        <w:tc>
          <w:tcPr>
            <w:tcW w:w="626" w:type="pct"/>
            <w:vMerge w:val="restart"/>
            <w:tcBorders>
              <w:top w:val="nil"/>
              <w:left w:val="single" w:color="auto" w:sz="4" w:space="0"/>
              <w:bottom w:val="single" w:color="000000" w:sz="4" w:space="0"/>
              <w:right w:val="single" w:color="auto" w:sz="4" w:space="0"/>
            </w:tcBorders>
            <w:noWrap/>
            <w:vAlign w:val="center"/>
          </w:tcPr>
          <w:p w14:paraId="481BF0E2">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个别因素</w:t>
            </w:r>
          </w:p>
        </w:tc>
        <w:tc>
          <w:tcPr>
            <w:tcW w:w="980" w:type="pct"/>
            <w:tcBorders>
              <w:top w:val="nil"/>
              <w:left w:val="nil"/>
              <w:bottom w:val="single" w:color="auto" w:sz="4" w:space="0"/>
              <w:right w:val="single" w:color="auto" w:sz="4" w:space="0"/>
            </w:tcBorders>
            <w:noWrap/>
            <w:vAlign w:val="center"/>
          </w:tcPr>
          <w:p w14:paraId="72F4E457">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商业类型</w:t>
            </w:r>
          </w:p>
        </w:tc>
        <w:tc>
          <w:tcPr>
            <w:tcW w:w="1131" w:type="pct"/>
            <w:tcBorders>
              <w:top w:val="nil"/>
              <w:left w:val="nil"/>
              <w:bottom w:val="single" w:color="auto" w:sz="4" w:space="0"/>
              <w:right w:val="single" w:color="auto" w:sz="4" w:space="0"/>
            </w:tcBorders>
            <w:noWrap/>
            <w:vAlign w:val="center"/>
          </w:tcPr>
          <w:p w14:paraId="37E8E06E">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8</w:t>
            </w:r>
          </w:p>
        </w:tc>
        <w:tc>
          <w:tcPr>
            <w:tcW w:w="1131" w:type="pct"/>
            <w:tcBorders>
              <w:top w:val="nil"/>
              <w:left w:val="nil"/>
              <w:bottom w:val="single" w:color="auto" w:sz="4" w:space="0"/>
              <w:right w:val="single" w:color="auto" w:sz="4" w:space="0"/>
            </w:tcBorders>
            <w:noWrap/>
            <w:vAlign w:val="center"/>
          </w:tcPr>
          <w:p w14:paraId="7BF6BB7E">
            <w:pPr>
              <w:spacing w:line="240" w:lineRule="exact"/>
              <w:jc w:val="center"/>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8</w:t>
            </w:r>
          </w:p>
        </w:tc>
        <w:tc>
          <w:tcPr>
            <w:tcW w:w="1131" w:type="pct"/>
            <w:tcBorders>
              <w:top w:val="nil"/>
              <w:left w:val="nil"/>
              <w:bottom w:val="single" w:color="auto" w:sz="4" w:space="0"/>
              <w:right w:val="single" w:color="auto" w:sz="4" w:space="0"/>
            </w:tcBorders>
            <w:noWrap/>
            <w:vAlign w:val="center"/>
          </w:tcPr>
          <w:p w14:paraId="4383C151">
            <w:pPr>
              <w:spacing w:line="240" w:lineRule="exact"/>
              <w:jc w:val="center"/>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100/10</w:t>
            </w:r>
            <w:r>
              <w:rPr>
                <w:rFonts w:hint="eastAsia" w:ascii="Arial" w:hAnsi="Arial" w:eastAsia="仿宋" w:cs="Arial"/>
                <w:snapToGrid w:val="0"/>
                <w:sz w:val="18"/>
                <w:szCs w:val="18"/>
                <w:highlight w:val="none"/>
                <w:lang w:val="en-US" w:eastAsia="zh-CN"/>
              </w:rPr>
              <w:t>8</w:t>
            </w:r>
          </w:p>
        </w:tc>
      </w:tr>
      <w:tr w14:paraId="49E71B7F">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EAB7FC1">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4450F9E3">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项目建筑规模</w:t>
            </w:r>
          </w:p>
        </w:tc>
        <w:tc>
          <w:tcPr>
            <w:tcW w:w="1131" w:type="pct"/>
            <w:tcBorders>
              <w:top w:val="nil"/>
              <w:left w:val="nil"/>
              <w:bottom w:val="single" w:color="auto" w:sz="4" w:space="0"/>
              <w:right w:val="single" w:color="auto" w:sz="4" w:space="0"/>
            </w:tcBorders>
            <w:noWrap/>
            <w:vAlign w:val="center"/>
          </w:tcPr>
          <w:p w14:paraId="718F4D28">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218FF39D">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2A81A015">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w:t>
            </w:r>
            <w:r>
              <w:rPr>
                <w:rFonts w:hint="eastAsia" w:ascii="Arial" w:hAnsi="Arial" w:eastAsia="仿宋" w:cs="Arial"/>
                <w:snapToGrid w:val="0"/>
                <w:sz w:val="18"/>
                <w:szCs w:val="18"/>
                <w:highlight w:val="none"/>
                <w:lang w:val="en-US" w:eastAsia="zh-CN"/>
              </w:rPr>
              <w:t>100</w:t>
            </w:r>
          </w:p>
        </w:tc>
      </w:tr>
      <w:tr w14:paraId="19493CD2">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4216B71F">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7C7BEDE2">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建筑结构</w:t>
            </w:r>
          </w:p>
        </w:tc>
        <w:tc>
          <w:tcPr>
            <w:tcW w:w="1131" w:type="pct"/>
            <w:tcBorders>
              <w:top w:val="nil"/>
              <w:left w:val="nil"/>
              <w:bottom w:val="single" w:color="auto" w:sz="4" w:space="0"/>
              <w:right w:val="single" w:color="auto" w:sz="4" w:space="0"/>
            </w:tcBorders>
            <w:noWrap/>
            <w:vAlign w:val="center"/>
          </w:tcPr>
          <w:p w14:paraId="3961FE33">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7F61B12E">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c>
          <w:tcPr>
            <w:tcW w:w="1131" w:type="pct"/>
            <w:tcBorders>
              <w:top w:val="nil"/>
              <w:left w:val="nil"/>
              <w:bottom w:val="single" w:color="auto" w:sz="4" w:space="0"/>
              <w:right w:val="single" w:color="auto" w:sz="4" w:space="0"/>
            </w:tcBorders>
            <w:noWrap/>
            <w:vAlign w:val="center"/>
          </w:tcPr>
          <w:p w14:paraId="61D73CED">
            <w:pPr>
              <w:widowControl/>
              <w:adjustRightInd/>
              <w:spacing w:line="240" w:lineRule="exact"/>
              <w:jc w:val="center"/>
              <w:textAlignment w:val="auto"/>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100/100</w:t>
            </w:r>
          </w:p>
        </w:tc>
      </w:tr>
      <w:tr w14:paraId="038638EB">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4C55A675">
            <w:pPr>
              <w:widowControl/>
              <w:adjustRightInd/>
              <w:spacing w:line="240" w:lineRule="exact"/>
              <w:textAlignment w:val="auto"/>
              <w:rPr>
                <w:rFonts w:ascii="Arial" w:hAnsi="Arial" w:eastAsia="仿宋" w:cs="Arial"/>
                <w:snapToGrid w:val="0"/>
                <w:sz w:val="18"/>
                <w:szCs w:val="18"/>
                <w:highlight w:val="none"/>
              </w:rPr>
            </w:pPr>
          </w:p>
        </w:tc>
        <w:tc>
          <w:tcPr>
            <w:tcW w:w="980" w:type="pct"/>
            <w:tcBorders>
              <w:top w:val="nil"/>
              <w:left w:val="nil"/>
              <w:bottom w:val="single" w:color="auto" w:sz="4" w:space="0"/>
              <w:right w:val="single" w:color="auto" w:sz="4" w:space="0"/>
            </w:tcBorders>
            <w:noWrap/>
            <w:vAlign w:val="center"/>
          </w:tcPr>
          <w:p w14:paraId="0CDFAD33">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成新度</w:t>
            </w:r>
          </w:p>
        </w:tc>
        <w:tc>
          <w:tcPr>
            <w:tcW w:w="1131" w:type="pct"/>
            <w:tcBorders>
              <w:top w:val="nil"/>
              <w:left w:val="nil"/>
              <w:bottom w:val="single" w:color="auto" w:sz="4" w:space="0"/>
              <w:right w:val="single" w:color="auto" w:sz="4" w:space="0"/>
            </w:tcBorders>
            <w:noWrap/>
            <w:vAlign w:val="center"/>
          </w:tcPr>
          <w:p w14:paraId="7C043712">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100/9</w:t>
            </w:r>
            <w:r>
              <w:rPr>
                <w:rFonts w:hint="eastAsia" w:ascii="Arial" w:hAnsi="Arial" w:eastAsia="仿宋" w:cs="Arial"/>
                <w:snapToGrid w:val="0"/>
                <w:sz w:val="18"/>
                <w:szCs w:val="18"/>
                <w:highlight w:val="none"/>
                <w:lang w:val="en-US" w:eastAsia="zh-CN"/>
              </w:rPr>
              <w:t>9</w:t>
            </w:r>
          </w:p>
        </w:tc>
        <w:tc>
          <w:tcPr>
            <w:tcW w:w="1131" w:type="pct"/>
            <w:tcBorders>
              <w:top w:val="nil"/>
              <w:left w:val="nil"/>
              <w:bottom w:val="single" w:color="auto" w:sz="4" w:space="0"/>
              <w:right w:val="single" w:color="auto" w:sz="4" w:space="0"/>
            </w:tcBorders>
            <w:noWrap/>
            <w:vAlign w:val="center"/>
          </w:tcPr>
          <w:p w14:paraId="48C19A8F">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100/9</w:t>
            </w:r>
            <w:r>
              <w:rPr>
                <w:rFonts w:hint="eastAsia" w:ascii="Arial" w:hAnsi="Arial" w:eastAsia="仿宋" w:cs="Arial"/>
                <w:snapToGrid w:val="0"/>
                <w:sz w:val="18"/>
                <w:szCs w:val="18"/>
                <w:highlight w:val="none"/>
                <w:lang w:val="en-US" w:eastAsia="zh-CN"/>
              </w:rPr>
              <w:t>9</w:t>
            </w:r>
          </w:p>
        </w:tc>
        <w:tc>
          <w:tcPr>
            <w:tcW w:w="1131" w:type="pct"/>
            <w:tcBorders>
              <w:top w:val="nil"/>
              <w:left w:val="nil"/>
              <w:bottom w:val="single" w:color="auto" w:sz="4" w:space="0"/>
              <w:right w:val="single" w:color="auto" w:sz="4" w:space="0"/>
            </w:tcBorders>
            <w:noWrap/>
            <w:vAlign w:val="center"/>
          </w:tcPr>
          <w:p w14:paraId="465344E1">
            <w:pPr>
              <w:widowControl/>
              <w:adjustRightInd/>
              <w:spacing w:line="240" w:lineRule="exact"/>
              <w:jc w:val="center"/>
              <w:textAlignment w:val="auto"/>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100/9</w:t>
            </w:r>
            <w:r>
              <w:rPr>
                <w:rFonts w:hint="eastAsia" w:ascii="Arial" w:hAnsi="Arial" w:eastAsia="仿宋" w:cs="Arial"/>
                <w:snapToGrid w:val="0"/>
                <w:sz w:val="18"/>
                <w:szCs w:val="18"/>
                <w:highlight w:val="none"/>
                <w:lang w:val="en-US" w:eastAsia="zh-CN"/>
              </w:rPr>
              <w:t>9</w:t>
            </w:r>
          </w:p>
        </w:tc>
      </w:tr>
      <w:tr w14:paraId="4ED8E3D5">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4F42464B">
            <w:pPr>
              <w:widowControl/>
              <w:adjustRightInd/>
              <w:spacing w:line="240" w:lineRule="exact"/>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成交单价（元/平方米）</w:t>
            </w:r>
          </w:p>
        </w:tc>
        <w:tc>
          <w:tcPr>
            <w:tcW w:w="1131" w:type="pct"/>
            <w:tcBorders>
              <w:top w:val="nil"/>
              <w:left w:val="nil"/>
              <w:bottom w:val="single" w:color="auto" w:sz="4" w:space="0"/>
              <w:right w:val="single" w:color="auto" w:sz="4" w:space="0"/>
            </w:tcBorders>
            <w:noWrap/>
            <w:vAlign w:val="center"/>
          </w:tcPr>
          <w:p w14:paraId="3C8F8A8E">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val="en-US" w:eastAsia="zh-CN"/>
              </w:rPr>
              <w:t>20000</w:t>
            </w:r>
          </w:p>
        </w:tc>
        <w:tc>
          <w:tcPr>
            <w:tcW w:w="1131" w:type="pct"/>
            <w:tcBorders>
              <w:top w:val="nil"/>
              <w:left w:val="nil"/>
              <w:bottom w:val="single" w:color="auto" w:sz="4" w:space="0"/>
              <w:right w:val="single" w:color="auto" w:sz="4" w:space="0"/>
            </w:tcBorders>
            <w:noWrap/>
            <w:vAlign w:val="center"/>
          </w:tcPr>
          <w:p w14:paraId="69C34539">
            <w:pPr>
              <w:spacing w:line="240" w:lineRule="exact"/>
              <w:jc w:val="center"/>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rPr>
              <w:t>2</w:t>
            </w:r>
            <w:r>
              <w:rPr>
                <w:rFonts w:hint="eastAsia" w:ascii="Arial" w:hAnsi="Arial" w:eastAsia="仿宋" w:cs="Arial"/>
                <w:snapToGrid w:val="0"/>
                <w:sz w:val="18"/>
                <w:szCs w:val="18"/>
                <w:highlight w:val="none"/>
                <w:lang w:val="en-US" w:eastAsia="zh-CN"/>
              </w:rPr>
              <w:t>0000</w:t>
            </w:r>
          </w:p>
        </w:tc>
        <w:tc>
          <w:tcPr>
            <w:tcW w:w="1131" w:type="pct"/>
            <w:tcBorders>
              <w:top w:val="nil"/>
              <w:left w:val="nil"/>
              <w:bottom w:val="single" w:color="auto" w:sz="4" w:space="0"/>
              <w:right w:val="single" w:color="auto" w:sz="4" w:space="0"/>
            </w:tcBorders>
            <w:noWrap/>
            <w:vAlign w:val="center"/>
          </w:tcPr>
          <w:p w14:paraId="03437B2B">
            <w:pPr>
              <w:spacing w:line="240" w:lineRule="exact"/>
              <w:jc w:val="center"/>
              <w:rPr>
                <w:rFonts w:ascii="Arial" w:hAnsi="Arial" w:eastAsia="仿宋" w:cs="Arial"/>
                <w:snapToGrid w:val="0"/>
                <w:sz w:val="18"/>
                <w:szCs w:val="18"/>
                <w:highlight w:val="none"/>
              </w:rPr>
            </w:pPr>
            <w:r>
              <w:rPr>
                <w:rFonts w:hint="eastAsia" w:ascii="Arial" w:hAnsi="Arial" w:eastAsia="仿宋" w:cs="Arial"/>
                <w:snapToGrid w:val="0"/>
                <w:sz w:val="18"/>
                <w:szCs w:val="18"/>
                <w:highlight w:val="none"/>
              </w:rPr>
              <w:t>2</w:t>
            </w:r>
            <w:r>
              <w:rPr>
                <w:rFonts w:hint="eastAsia" w:ascii="Arial" w:hAnsi="Arial" w:eastAsia="仿宋" w:cs="Arial"/>
                <w:snapToGrid w:val="0"/>
                <w:sz w:val="18"/>
                <w:szCs w:val="18"/>
                <w:highlight w:val="none"/>
                <w:lang w:val="en-US" w:eastAsia="zh-CN"/>
              </w:rPr>
              <w:t>1</w:t>
            </w:r>
            <w:r>
              <w:rPr>
                <w:rFonts w:hint="eastAsia" w:ascii="Arial" w:hAnsi="Arial" w:eastAsia="仿宋" w:cs="Arial"/>
                <w:snapToGrid w:val="0"/>
                <w:sz w:val="18"/>
                <w:szCs w:val="18"/>
                <w:highlight w:val="none"/>
              </w:rPr>
              <w:t>000</w:t>
            </w:r>
          </w:p>
        </w:tc>
      </w:tr>
      <w:tr w14:paraId="4ECC90AE">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71A93998">
            <w:pPr>
              <w:widowControl/>
              <w:adjustRightInd/>
              <w:spacing w:line="240" w:lineRule="exact"/>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比较价格（元/平方米）</w:t>
            </w:r>
          </w:p>
        </w:tc>
        <w:tc>
          <w:tcPr>
            <w:tcW w:w="1131" w:type="pct"/>
            <w:tcBorders>
              <w:top w:val="nil"/>
              <w:left w:val="nil"/>
              <w:bottom w:val="single" w:color="auto" w:sz="4" w:space="0"/>
              <w:right w:val="single" w:color="auto" w:sz="4" w:space="0"/>
            </w:tcBorders>
            <w:noWrap/>
            <w:vAlign w:val="center"/>
          </w:tcPr>
          <w:p w14:paraId="04137D8D">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val="en-US" w:eastAsia="zh-CN"/>
              </w:rPr>
              <w:t>16148</w:t>
            </w:r>
          </w:p>
        </w:tc>
        <w:tc>
          <w:tcPr>
            <w:tcW w:w="1131" w:type="pct"/>
            <w:tcBorders>
              <w:top w:val="nil"/>
              <w:left w:val="nil"/>
              <w:bottom w:val="single" w:color="auto" w:sz="4" w:space="0"/>
              <w:right w:val="single" w:color="auto" w:sz="4" w:space="0"/>
            </w:tcBorders>
            <w:noWrap/>
            <w:vAlign w:val="center"/>
          </w:tcPr>
          <w:p w14:paraId="7AC42B1D">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val="en-US" w:eastAsia="zh-CN"/>
              </w:rPr>
              <w:t>16464</w:t>
            </w:r>
          </w:p>
        </w:tc>
        <w:tc>
          <w:tcPr>
            <w:tcW w:w="1131" w:type="pct"/>
            <w:tcBorders>
              <w:top w:val="nil"/>
              <w:left w:val="nil"/>
              <w:bottom w:val="single" w:color="auto" w:sz="4" w:space="0"/>
              <w:right w:val="single" w:color="auto" w:sz="4" w:space="0"/>
            </w:tcBorders>
            <w:noWrap/>
            <w:vAlign w:val="center"/>
          </w:tcPr>
          <w:p w14:paraId="52B6EDC5">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val="en-US" w:eastAsia="zh-CN"/>
              </w:rPr>
              <w:t>16302</w:t>
            </w:r>
          </w:p>
        </w:tc>
      </w:tr>
    </w:tbl>
    <w:p w14:paraId="4E703E73">
      <w:pPr>
        <w:keepNext w:val="0"/>
        <w:keepLines w:val="0"/>
        <w:pageBreakBefore w:val="0"/>
        <w:widowControl w:val="0"/>
        <w:kinsoku/>
        <w:wordWrap/>
        <w:overflowPunct/>
        <w:topLinePunct w:val="0"/>
        <w:autoSpaceDE/>
        <w:autoSpaceDN/>
        <w:bidi w:val="0"/>
        <w:adjustRightInd w:val="0"/>
        <w:snapToGrid/>
        <w:spacing w:before="170" w:after="50" w:line="300" w:lineRule="auto"/>
        <w:ind w:firstLine="560" w:firstLineChars="200"/>
        <w:jc w:val="both"/>
        <w:textAlignment w:val="baseline"/>
        <w:rPr>
          <w:rFonts w:hint="eastAsia" w:ascii="Arial" w:hAnsi="Arial" w:eastAsia="仿宋_GB2312" w:cs="Arial"/>
          <w:sz w:val="28"/>
          <w:highlight w:val="none"/>
          <w:lang w:eastAsia="zh-CN"/>
        </w:rPr>
      </w:pPr>
      <w:r>
        <w:rPr>
          <w:rFonts w:hint="eastAsia" w:ascii="Arial" w:hAnsi="Arial" w:eastAsia="仿宋_GB2312" w:cs="Arial"/>
          <w:sz w:val="28"/>
          <w:highlight w:val="none"/>
        </w:rPr>
        <w:t>根据《北京市国有建设用地使用权出让地价评估技术导则》</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2026年2月10日实施）（</w:t>
      </w:r>
      <w:r>
        <w:rPr>
          <w:rFonts w:hint="eastAsia" w:ascii="Arial" w:hAnsi="Arial" w:eastAsia="仿宋_GB2312" w:cs="Arial"/>
          <w:sz w:val="28"/>
          <w:highlight w:val="none"/>
        </w:rPr>
        <w:t>6.3.3</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9</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比准价格确定</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所选取的若干个比较实例价格经过各项比较修正后，可选用简单算术平均法或加权算术平均法计算综合结果作为比准价格</w:t>
      </w:r>
      <w:r>
        <w:rPr>
          <w:rFonts w:hint="eastAsia" w:ascii="Arial" w:hAnsi="Arial" w:eastAsia="仿宋_GB2312" w:cs="Arial"/>
          <w:sz w:val="28"/>
          <w:highlight w:val="none"/>
          <w:lang w:eastAsia="zh-CN"/>
        </w:rPr>
        <w:t>；</w:t>
      </w:r>
    </w:p>
    <w:p w14:paraId="5CC79F58">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rPr>
        <w:t>1</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一般采用算术平均法。对于比准价格差异≤10%的可采用简单算术平均法，比准价格差异&gt;10%而&lt;</w:t>
      </w:r>
      <w:r>
        <w:rPr>
          <w:rFonts w:hint="eastAsia" w:ascii="Arial" w:hAnsi="Arial" w:eastAsia="仿宋_GB2312" w:cs="Arial"/>
          <w:sz w:val="28"/>
          <w:highlight w:val="none"/>
          <w:lang w:val="en-US" w:eastAsia="zh-CN"/>
        </w:rPr>
        <w:t>4</w:t>
      </w:r>
      <w:r>
        <w:rPr>
          <w:rFonts w:hint="eastAsia" w:ascii="Arial" w:hAnsi="Arial" w:eastAsia="仿宋_GB2312" w:cs="Arial"/>
          <w:sz w:val="28"/>
          <w:highlight w:val="none"/>
        </w:rPr>
        <w:t>0%的采用加权算术平均法，比准价格差异&gt;</w:t>
      </w:r>
      <w:r>
        <w:rPr>
          <w:rFonts w:hint="eastAsia" w:ascii="Arial" w:hAnsi="Arial" w:eastAsia="仿宋_GB2312" w:cs="Arial"/>
          <w:sz w:val="28"/>
          <w:highlight w:val="none"/>
          <w:lang w:val="en-US" w:eastAsia="zh-CN"/>
        </w:rPr>
        <w:t>4</w:t>
      </w:r>
      <w:r>
        <w:rPr>
          <w:rFonts w:hint="eastAsia" w:ascii="Arial" w:hAnsi="Arial" w:eastAsia="仿宋_GB2312" w:cs="Arial"/>
          <w:sz w:val="28"/>
          <w:highlight w:val="none"/>
        </w:rPr>
        <w:t>0%的应重新选择比较实例</w:t>
      </w:r>
      <w:r>
        <w:rPr>
          <w:rFonts w:hint="eastAsia" w:ascii="Arial" w:hAnsi="Arial" w:eastAsia="仿宋_GB2312" w:cs="Arial"/>
          <w:sz w:val="28"/>
          <w:highlight w:val="none"/>
          <w:lang w:eastAsia="zh-CN"/>
        </w:rPr>
        <w:t>；</w:t>
      </w:r>
    </w:p>
    <w:p w14:paraId="2BE5B4F5">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2</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采用加权算术平均法时，应充分合理说明权重取值的理由，通常与估价对象条件越接近的成交案例比准价格可取较高权重值。</w:t>
      </w:r>
    </w:p>
    <w:p w14:paraId="274E9524">
      <w:pPr>
        <w:spacing w:before="50" w:after="50"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highlight w:val="none"/>
        </w:rPr>
        <w:t>经计算，比准价格差异为</w:t>
      </w:r>
      <w:r>
        <w:rPr>
          <w:rFonts w:hint="eastAsia" w:ascii="Arial" w:hAnsi="Arial" w:eastAsia="仿宋_GB2312" w:cs="Arial"/>
          <w:sz w:val="28"/>
          <w:highlight w:val="none"/>
          <w:lang w:val="en-US" w:eastAsia="zh-CN"/>
        </w:rPr>
        <w:t>1.96</w:t>
      </w:r>
      <w:r>
        <w:rPr>
          <w:rFonts w:hint="eastAsia" w:ascii="Arial" w:hAnsi="Arial" w:eastAsia="仿宋_GB2312" w:cs="Arial"/>
          <w:sz w:val="28"/>
          <w:highlight w:val="none"/>
        </w:rPr>
        <w:t>%</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16464</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16148</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÷16148</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1.96</w:t>
      </w:r>
      <w:r>
        <w:rPr>
          <w:rFonts w:hint="eastAsia" w:ascii="Arial" w:hAnsi="Arial" w:eastAsia="仿宋_GB2312" w:cs="Arial"/>
          <w:sz w:val="28"/>
          <w:highlight w:val="none"/>
        </w:rPr>
        <w:t>%</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比准价格差异&lt;10%，故本次采用简单算术平均法确定比准价格作为估价对象房地产市场比较法评估测算结果，即</w:t>
      </w:r>
      <w:r>
        <w:rPr>
          <w:rFonts w:hint="eastAsia" w:ascii="Arial" w:hAnsi="Arial" w:eastAsia="仿宋_GB2312" w:cs="Arial"/>
          <w:sz w:val="28"/>
          <w:highlight w:val="none"/>
          <w:lang w:eastAsia="zh-CN"/>
        </w:rPr>
        <w:t>：</w:t>
      </w:r>
    </w:p>
    <w:p w14:paraId="17F9E31C">
      <w:pPr>
        <w:spacing w:before="50"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比准价格</w:t>
      </w:r>
      <w:r>
        <w:rPr>
          <w:rFonts w:hint="eastAsia" w:ascii="Arial" w:hAnsi="Arial" w:eastAsia="仿宋_GB2312" w:cs="Arial"/>
          <w:sz w:val="28"/>
          <w:highlight w:val="none"/>
          <w:lang w:eastAsia="zh-CN"/>
        </w:rPr>
        <w:t>＝</w:t>
      </w:r>
      <w:r>
        <w:rPr>
          <w:rFonts w:ascii="Arial" w:hAnsi="Arial" w:eastAsia="仿宋_GB2312" w:cs="Arial"/>
          <w:sz w:val="28"/>
          <w:highlight w:val="none"/>
        </w:rPr>
        <w:t>（</w:t>
      </w:r>
      <w:r>
        <w:rPr>
          <w:rFonts w:hint="eastAsia" w:ascii="Arial" w:hAnsi="Arial" w:eastAsia="仿宋_GB2312" w:cs="Arial"/>
          <w:sz w:val="28"/>
          <w:highlight w:val="none"/>
          <w:lang w:val="en-US" w:eastAsia="zh-CN"/>
        </w:rPr>
        <w:t>16148</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16464</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16302</w:t>
      </w:r>
      <w:r>
        <w:rPr>
          <w:rFonts w:ascii="Arial" w:hAnsi="Arial" w:eastAsia="仿宋_GB2312" w:cs="Arial"/>
          <w:sz w:val="28"/>
          <w:highlight w:val="none"/>
        </w:rPr>
        <w:t>）</w:t>
      </w:r>
      <w:r>
        <w:rPr>
          <w:rFonts w:hint="eastAsia" w:ascii="Arial" w:hAnsi="Arial" w:eastAsia="仿宋_GB2312" w:cs="Arial"/>
          <w:sz w:val="28"/>
          <w:highlight w:val="none"/>
          <w:lang w:eastAsia="zh-CN"/>
        </w:rPr>
        <w:t>÷</w:t>
      </w:r>
      <w:r>
        <w:rPr>
          <w:rFonts w:ascii="Arial" w:hAnsi="Arial" w:eastAsia="仿宋_GB2312" w:cs="Arial"/>
          <w:sz w:val="28"/>
          <w:highlight w:val="none"/>
        </w:rPr>
        <w:t>3</w:t>
      </w:r>
    </w:p>
    <w:p w14:paraId="688A5753">
      <w:pPr>
        <w:spacing w:before="50"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 xml:space="preserve">        </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16305</w:t>
      </w:r>
      <w:r>
        <w:rPr>
          <w:rFonts w:ascii="Arial" w:hAnsi="Arial" w:eastAsia="仿宋_GB2312" w:cs="Arial"/>
          <w:sz w:val="28"/>
          <w:highlight w:val="none"/>
        </w:rPr>
        <w:t>（元/平方米）</w:t>
      </w:r>
    </w:p>
    <w:p w14:paraId="1E450729">
      <w:pPr>
        <w:spacing w:before="50" w:line="300" w:lineRule="auto"/>
        <w:ind w:firstLine="560" w:firstLineChars="200"/>
        <w:rPr>
          <w:rFonts w:ascii="Arial" w:hAnsi="Arial" w:eastAsia="仿宋_GB2312" w:cs="Arial"/>
          <w:sz w:val="28"/>
          <w:highlight w:val="none"/>
        </w:rPr>
      </w:pPr>
      <w:r>
        <w:rPr>
          <w:rFonts w:ascii="Arial" w:hAnsi="Arial" w:eastAsia="仿宋_GB2312" w:cs="Arial"/>
          <w:sz w:val="28"/>
          <w:highlight w:val="none"/>
        </w:rPr>
        <w:t>未来开发价值总价</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16305</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176</w:t>
      </w:r>
      <w:r>
        <w:rPr>
          <w:rFonts w:hint="eastAsia" w:ascii="Arial" w:hAnsi="Arial" w:eastAsia="仿宋_GB2312" w:cs="Arial"/>
          <w:sz w:val="28"/>
          <w:highlight w:val="none"/>
          <w:lang w:eastAsia="zh-CN"/>
        </w:rPr>
        <w:t>÷</w:t>
      </w:r>
      <w:r>
        <w:rPr>
          <w:rFonts w:ascii="Arial" w:hAnsi="Arial" w:eastAsia="仿宋_GB2312" w:cs="Arial"/>
          <w:sz w:val="28"/>
          <w:highlight w:val="none"/>
        </w:rPr>
        <w:t>10000</w:t>
      </w:r>
    </w:p>
    <w:p w14:paraId="59307AF9">
      <w:pPr>
        <w:spacing w:before="50" w:line="300" w:lineRule="auto"/>
        <w:ind w:firstLine="2800" w:firstLineChars="1000"/>
        <w:rPr>
          <w:rFonts w:ascii="Arial" w:hAnsi="Arial" w:eastAsia="仿宋_GB2312" w:cs="Arial"/>
          <w:sz w:val="28"/>
          <w:highlight w:val="none"/>
        </w:rPr>
      </w:pP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286.9680</w:t>
      </w:r>
      <w:r>
        <w:rPr>
          <w:rFonts w:ascii="Arial" w:hAnsi="Arial" w:eastAsia="仿宋_GB2312" w:cs="Arial"/>
          <w:sz w:val="28"/>
          <w:highlight w:val="none"/>
        </w:rPr>
        <w:t>（万元）</w:t>
      </w:r>
    </w:p>
    <w:p w14:paraId="33EA7C72">
      <w:pPr>
        <w:spacing w:before="120" w:beforeLines="50" w:after="120" w:afterLines="50"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C.开发成本</w:t>
      </w:r>
    </w:p>
    <w:p w14:paraId="32D76EEA">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根据《北京市国有建设用地使用权出让地价评估技术导则》</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2026年2月10日实施）</w:t>
      </w:r>
      <w:r>
        <w:rPr>
          <w:rFonts w:hint="eastAsia" w:ascii="Arial" w:hAnsi="Arial" w:eastAsia="仿宋_GB2312"/>
          <w:sz w:val="28"/>
          <w:highlight w:val="none"/>
        </w:rPr>
        <w:t>6.2.1开发成本确定:</w:t>
      </w:r>
    </w:p>
    <w:p w14:paraId="60E5D4A5">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开发成本是项目开发建设期间所发生的客观费用的总和。</w:t>
      </w:r>
    </w:p>
    <w:p w14:paraId="4255B7DD">
      <w:pPr>
        <w:spacing w:line="300" w:lineRule="auto"/>
        <w:ind w:firstLine="560" w:firstLineChars="200"/>
        <w:jc w:val="both"/>
        <w:rPr>
          <w:rFonts w:hint="eastAsia" w:ascii="Arial" w:hAnsi="Arial" w:eastAsia="仿宋_GB2312"/>
          <w:sz w:val="28"/>
          <w:highlight w:val="none"/>
          <w:lang w:eastAsia="zh-CN"/>
        </w:rPr>
      </w:pPr>
      <w:r>
        <w:rPr>
          <w:rFonts w:hint="eastAsia" w:ascii="Arial" w:hAnsi="Arial" w:eastAsia="仿宋_GB2312"/>
          <w:sz w:val="28"/>
          <w:highlight w:val="none"/>
        </w:rPr>
        <w:t>开发成本计算公式为</w:t>
      </w:r>
      <w:r>
        <w:rPr>
          <w:rFonts w:hint="eastAsia" w:ascii="Arial" w:hAnsi="Arial" w:eastAsia="仿宋_GB2312"/>
          <w:sz w:val="28"/>
          <w:highlight w:val="none"/>
          <w:lang w:eastAsia="zh-CN"/>
        </w:rPr>
        <w:t>：</w:t>
      </w:r>
    </w:p>
    <w:p w14:paraId="6ABCA294">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w:t>
      </w:r>
      <w:r>
        <w:rPr>
          <w:rFonts w:hint="eastAsia" w:ascii="Arial" w:hAnsi="Arial" w:eastAsia="仿宋_GB2312"/>
          <w:sz w:val="28"/>
          <w:highlight w:val="none"/>
          <w:lang w:eastAsia="zh-CN"/>
        </w:rPr>
        <w:t>＝</w:t>
      </w:r>
      <w:r>
        <w:rPr>
          <w:rFonts w:hint="eastAsia" w:ascii="Arial" w:hAnsi="Arial" w:eastAsia="仿宋_GB2312"/>
          <w:sz w:val="28"/>
          <w:highlight w:val="none"/>
        </w:rPr>
        <w:t>购地税费</w:t>
      </w:r>
      <w:r>
        <w:rPr>
          <w:rFonts w:hint="eastAsia" w:ascii="Arial" w:hAnsi="Arial" w:eastAsia="仿宋_GB2312"/>
          <w:sz w:val="28"/>
          <w:highlight w:val="none"/>
          <w:lang w:eastAsia="zh-CN"/>
        </w:rPr>
        <w:t>＋</w:t>
      </w:r>
      <w:r>
        <w:rPr>
          <w:rFonts w:hint="eastAsia" w:ascii="Arial" w:hAnsi="Arial" w:eastAsia="仿宋_GB2312"/>
          <w:sz w:val="28"/>
          <w:highlight w:val="none"/>
        </w:rPr>
        <w:t>房屋建设成本</w:t>
      </w:r>
      <w:r>
        <w:rPr>
          <w:rFonts w:hint="eastAsia" w:ascii="Arial" w:hAnsi="Arial" w:eastAsia="仿宋_GB2312"/>
          <w:sz w:val="28"/>
          <w:highlight w:val="none"/>
          <w:lang w:eastAsia="zh-CN"/>
        </w:rPr>
        <w:t>＋</w:t>
      </w:r>
      <w:r>
        <w:rPr>
          <w:rFonts w:hint="eastAsia" w:ascii="Arial" w:hAnsi="Arial" w:eastAsia="仿宋_GB2312"/>
          <w:sz w:val="28"/>
          <w:highlight w:val="none"/>
        </w:rPr>
        <w:t>管理费用</w:t>
      </w:r>
      <w:r>
        <w:rPr>
          <w:rFonts w:hint="eastAsia" w:ascii="Arial" w:hAnsi="Arial" w:eastAsia="仿宋_GB2312"/>
          <w:sz w:val="28"/>
          <w:highlight w:val="none"/>
          <w:lang w:eastAsia="zh-CN"/>
        </w:rPr>
        <w:t>＋</w:t>
      </w:r>
      <w:r>
        <w:rPr>
          <w:rFonts w:hint="eastAsia" w:ascii="Arial" w:hAnsi="Arial" w:eastAsia="仿宋_GB2312"/>
          <w:sz w:val="28"/>
          <w:highlight w:val="none"/>
        </w:rPr>
        <w:t>销售费用</w:t>
      </w:r>
      <w:r>
        <w:rPr>
          <w:rFonts w:hint="eastAsia" w:ascii="Arial" w:hAnsi="Arial" w:eastAsia="仿宋_GB2312"/>
          <w:sz w:val="28"/>
          <w:highlight w:val="none"/>
          <w:lang w:eastAsia="zh-CN"/>
        </w:rPr>
        <w:t>＋</w:t>
      </w:r>
      <w:r>
        <w:rPr>
          <w:rFonts w:hint="eastAsia" w:ascii="Arial" w:hAnsi="Arial" w:eastAsia="仿宋_GB2312"/>
          <w:sz w:val="28"/>
          <w:highlight w:val="none"/>
        </w:rPr>
        <w:t>投资利息</w:t>
      </w:r>
      <w:r>
        <w:rPr>
          <w:rFonts w:hint="eastAsia" w:ascii="Arial" w:hAnsi="Arial" w:eastAsia="仿宋_GB2312"/>
          <w:sz w:val="28"/>
          <w:highlight w:val="none"/>
          <w:lang w:eastAsia="zh-CN"/>
        </w:rPr>
        <w:t>＋</w:t>
      </w:r>
      <w:r>
        <w:rPr>
          <w:rFonts w:hint="eastAsia" w:ascii="Arial" w:hAnsi="Arial" w:eastAsia="仿宋_GB2312"/>
          <w:sz w:val="28"/>
          <w:highlight w:val="none"/>
        </w:rPr>
        <w:t>销售税费</w:t>
      </w:r>
    </w:p>
    <w:p w14:paraId="72EB8E65">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rPr>
        <w:t>房屋建设成本</w:t>
      </w:r>
      <w:r>
        <w:rPr>
          <w:rFonts w:hint="eastAsia" w:ascii="Arial" w:hAnsi="Arial" w:eastAsia="仿宋_GB2312"/>
          <w:sz w:val="28"/>
          <w:highlight w:val="none"/>
          <w:lang w:val="en-US" w:eastAsia="zh-CN"/>
        </w:rPr>
        <w:t>＝前期费用＋建筑安装工程费＋基础设施建设费＋公共配套设施建设费＋开发期间税费＋其他工程费</w:t>
      </w:r>
    </w:p>
    <w:p w14:paraId="19FED545">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a.购地税费</w:t>
      </w:r>
    </w:p>
    <w:p w14:paraId="461885FA">
      <w:pPr>
        <w:spacing w:line="300" w:lineRule="auto"/>
        <w:ind w:firstLine="560" w:firstLineChars="200"/>
        <w:jc w:val="both"/>
        <w:rPr>
          <w:rFonts w:hint="default" w:ascii="Arial" w:hAnsi="Arial" w:eastAsia="仿宋_GB2312"/>
          <w:sz w:val="28"/>
          <w:highlight w:val="none"/>
          <w:lang w:val="en-US" w:eastAsia="zh-CN"/>
        </w:rPr>
      </w:pPr>
      <w:r>
        <w:rPr>
          <w:rFonts w:hint="eastAsia" w:ascii="仿宋_GB2312" w:eastAsia="仿宋_GB2312"/>
          <w:sz w:val="28"/>
          <w:highlight w:val="none"/>
        </w:rPr>
        <w:t>设</w:t>
      </w:r>
      <w:r>
        <w:rPr>
          <w:rFonts w:hint="eastAsia" w:ascii="仿宋_GB2312" w:eastAsia="仿宋_GB2312"/>
          <w:sz w:val="28"/>
          <w:highlight w:val="none"/>
          <w:lang w:val="en-US" w:eastAsia="zh-CN"/>
        </w:rPr>
        <w:t>定</w:t>
      </w:r>
      <w:r>
        <w:rPr>
          <w:rFonts w:hint="eastAsia" w:ascii="仿宋_GB2312" w:eastAsia="仿宋_GB2312"/>
          <w:sz w:val="28"/>
          <w:highlight w:val="none"/>
        </w:rPr>
        <w:t>估价对</w:t>
      </w:r>
      <w:r>
        <w:rPr>
          <w:rFonts w:hint="eastAsia" w:ascii="Arial" w:hAnsi="Arial" w:eastAsia="仿宋_GB2312"/>
          <w:sz w:val="28"/>
          <w:highlight w:val="none"/>
        </w:rPr>
        <w:t>象于“七通”条件下的城镇住宅用地熟地总价为</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万元。取得土地的税费指契税、印花税及交易手续费等，按照《中华人民共和国印花税暂行条例》</w:t>
      </w:r>
      <w:r>
        <w:rPr>
          <w:rFonts w:hint="eastAsia" w:ascii="Arial" w:hAnsi="Arial" w:eastAsia="仿宋_GB2312"/>
          <w:sz w:val="28"/>
          <w:highlight w:val="none"/>
          <w:lang w:eastAsia="zh-CN"/>
        </w:rPr>
        <w:t>（</w:t>
      </w:r>
      <w:r>
        <w:rPr>
          <w:rFonts w:hint="eastAsia" w:ascii="Arial" w:hAnsi="Arial" w:eastAsia="仿宋_GB2312"/>
          <w:sz w:val="28"/>
          <w:highlight w:val="none"/>
        </w:rPr>
        <w:t>根据2011年1月8日《国务院关于废止和修改部分行政法规的决定》修订</w:t>
      </w:r>
      <w:r>
        <w:rPr>
          <w:rFonts w:hint="eastAsia" w:ascii="Arial" w:hAnsi="Arial" w:eastAsia="仿宋_GB2312"/>
          <w:sz w:val="28"/>
          <w:highlight w:val="none"/>
          <w:lang w:eastAsia="zh-CN"/>
        </w:rPr>
        <w:t>）</w:t>
      </w:r>
      <w:r>
        <w:rPr>
          <w:rFonts w:hint="eastAsia" w:ascii="Arial" w:hAnsi="Arial" w:eastAsia="仿宋_GB2312"/>
          <w:sz w:val="28"/>
          <w:highlight w:val="none"/>
        </w:rPr>
        <w:t>，土地使用权出让合同按产权转移书据征收印花税，印花税及交易手续费以土地价值的0.05%计算，按照《中华人民共和国契税暂行条例》</w:t>
      </w:r>
      <w:r>
        <w:rPr>
          <w:rFonts w:hint="eastAsia" w:ascii="Arial" w:hAnsi="Arial" w:eastAsia="仿宋_GB2312"/>
          <w:sz w:val="28"/>
          <w:highlight w:val="none"/>
          <w:lang w:eastAsia="zh-CN"/>
        </w:rPr>
        <w:t>（</w:t>
      </w:r>
      <w:r>
        <w:rPr>
          <w:rFonts w:hint="eastAsia" w:ascii="Arial" w:hAnsi="Arial" w:eastAsia="仿宋_GB2312"/>
          <w:sz w:val="28"/>
          <w:highlight w:val="none"/>
        </w:rPr>
        <w:t>中华人民共和国国务院令第224号</w:t>
      </w:r>
      <w:r>
        <w:rPr>
          <w:rFonts w:hint="eastAsia" w:ascii="Arial" w:hAnsi="Arial" w:eastAsia="仿宋_GB2312"/>
          <w:sz w:val="28"/>
          <w:highlight w:val="none"/>
          <w:lang w:eastAsia="zh-CN"/>
        </w:rPr>
        <w:t>）</w:t>
      </w:r>
      <w:r>
        <w:rPr>
          <w:rFonts w:hint="eastAsia" w:ascii="Arial" w:hAnsi="Arial" w:eastAsia="仿宋_GB2312"/>
          <w:sz w:val="28"/>
          <w:highlight w:val="none"/>
        </w:rPr>
        <w:t>，契税以土地成交价的3%缴纳，则两者合计为3.05%。即购地税费为3.05%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万元</w:t>
      </w:r>
      <w:r>
        <w:rPr>
          <w:rFonts w:hint="eastAsia" w:ascii="Arial" w:hAnsi="Arial" w:eastAsia="仿宋_GB2312"/>
          <w:sz w:val="28"/>
          <w:highlight w:val="none"/>
          <w:lang w:eastAsia="zh-CN"/>
        </w:rPr>
        <w:t>。</w:t>
      </w:r>
    </w:p>
    <w:p w14:paraId="48929A5D">
      <w:pPr>
        <w:spacing w:line="300" w:lineRule="auto"/>
        <w:ind w:firstLine="560" w:firstLineChars="200"/>
        <w:jc w:val="both"/>
        <w:rPr>
          <w:rFonts w:hint="default" w:ascii="仿宋_GB2312" w:eastAsia="仿宋_GB2312"/>
          <w:sz w:val="28"/>
          <w:highlight w:val="none"/>
          <w:lang w:val="en-US" w:eastAsia="zh-CN"/>
        </w:rPr>
      </w:pPr>
      <w:r>
        <w:rPr>
          <w:rFonts w:hint="eastAsia" w:ascii="Arial" w:hAnsi="Arial" w:eastAsia="仿宋_GB2312"/>
          <w:sz w:val="28"/>
          <w:highlight w:val="none"/>
          <w:lang w:val="en-US" w:eastAsia="zh-CN"/>
        </w:rPr>
        <w:t>b</w:t>
      </w:r>
      <w:r>
        <w:rPr>
          <w:rFonts w:hint="eastAsia" w:ascii="Arial" w:hAnsi="Arial" w:eastAsia="仿宋_GB2312"/>
          <w:sz w:val="28"/>
          <w:highlight w:val="none"/>
        </w:rPr>
        <w:t>.</w:t>
      </w:r>
      <w:r>
        <w:rPr>
          <w:rFonts w:hint="eastAsia" w:ascii="仿宋_GB2312" w:eastAsia="仿宋_GB2312"/>
          <w:sz w:val="28"/>
          <w:highlight w:val="none"/>
          <w:lang w:val="en-US" w:eastAsia="zh-CN"/>
        </w:rPr>
        <w:t>房屋建设成本</w:t>
      </w:r>
    </w:p>
    <w:p w14:paraId="18FE52AD">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a）</w:t>
      </w:r>
      <w:r>
        <w:rPr>
          <w:rFonts w:hint="eastAsia" w:ascii="Arial" w:hAnsi="Arial" w:eastAsia="仿宋_GB2312"/>
          <w:sz w:val="28"/>
          <w:highlight w:val="none"/>
          <w:lang w:val="en-US" w:eastAsia="zh-CN"/>
        </w:rPr>
        <w:t>建筑安装工程费</w:t>
      </w:r>
    </w:p>
    <w:p w14:paraId="1375B7EB">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w:t>
      </w:r>
      <w:r>
        <w:rPr>
          <w:rFonts w:hint="eastAsia" w:ascii="Arial" w:hAnsi="Arial" w:eastAsia="仿宋_GB2312" w:cs="Arial"/>
          <w:sz w:val="28"/>
          <w:highlight w:val="none"/>
          <w:lang w:val="en-US" w:eastAsia="zh-CN"/>
        </w:rPr>
        <w:t>综合</w:t>
      </w:r>
      <w:r>
        <w:rPr>
          <w:rFonts w:hint="eastAsia" w:ascii="Arial" w:hAnsi="Arial" w:eastAsia="仿宋_GB2312" w:cs="Arial"/>
          <w:sz w:val="28"/>
          <w:highlight w:val="none"/>
        </w:rPr>
        <w:t>确定估价对象的建筑安装工程费用为</w:t>
      </w:r>
      <w:r>
        <w:rPr>
          <w:rFonts w:hint="eastAsia" w:ascii="Arial" w:hAnsi="Arial" w:eastAsia="仿宋_GB2312" w:cs="Arial"/>
          <w:sz w:val="28"/>
          <w:highlight w:val="none"/>
          <w:lang w:val="en-US" w:eastAsia="zh-CN"/>
        </w:rPr>
        <w:t>45</w:t>
      </w:r>
      <w:r>
        <w:rPr>
          <w:rFonts w:hint="eastAsia" w:ascii="Arial" w:hAnsi="Arial" w:eastAsia="仿宋_GB2312" w:cs="Arial"/>
          <w:sz w:val="28"/>
          <w:highlight w:val="none"/>
        </w:rPr>
        <w:t>00元/平方米</w:t>
      </w:r>
      <w:r>
        <w:rPr>
          <w:rFonts w:hint="eastAsia" w:ascii="Arial" w:hAnsi="Arial" w:eastAsia="仿宋" w:cs="Arial"/>
          <w:sz w:val="28"/>
          <w:highlight w:val="none"/>
        </w:rPr>
        <w:t>则有：</w:t>
      </w:r>
    </w:p>
    <w:p w14:paraId="01B36648">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建筑安装工程费＝45</w:t>
      </w:r>
      <w:r>
        <w:rPr>
          <w:rFonts w:ascii="Arial" w:hAnsi="Arial" w:eastAsia="仿宋_GB2312"/>
          <w:sz w:val="28"/>
          <w:highlight w:val="none"/>
        </w:rPr>
        <w:t>00</w:t>
      </w:r>
      <w:r>
        <w:rPr>
          <w:rFonts w:hint="eastAsia" w:ascii="仿宋_GB2312" w:eastAsia="仿宋_GB2312"/>
          <w:sz w:val="28"/>
          <w:highlight w:val="none"/>
          <w:lang w:eastAsia="zh-CN"/>
        </w:rPr>
        <w:t>×</w:t>
      </w:r>
      <w:r>
        <w:rPr>
          <w:rFonts w:hint="eastAsia" w:ascii="Arial" w:hAnsi="Arial" w:eastAsia="仿宋_GB2312" w:cs="Arial"/>
          <w:sz w:val="28"/>
          <w:highlight w:val="none"/>
          <w:lang w:val="en-US" w:eastAsia="zh-CN"/>
        </w:rPr>
        <w:t>176</w:t>
      </w:r>
      <w:r>
        <w:rPr>
          <w:rFonts w:hint="eastAsia" w:ascii="Arial" w:hAnsi="Arial" w:eastAsia="仿宋_GB2312" w:cs="Arial"/>
          <w:sz w:val="28"/>
          <w:highlight w:val="none"/>
          <w:lang w:eastAsia="zh-CN"/>
        </w:rPr>
        <w:t>÷</w:t>
      </w:r>
      <w:r>
        <w:rPr>
          <w:rFonts w:ascii="Arial" w:hAnsi="Arial" w:eastAsia="仿宋_GB2312" w:cs="Arial"/>
          <w:sz w:val="28"/>
          <w:highlight w:val="none"/>
        </w:rPr>
        <w:t>10000</w:t>
      </w: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79.2000</w:t>
      </w:r>
      <w:r>
        <w:rPr>
          <w:rFonts w:hint="eastAsia" w:ascii="Arial" w:hAnsi="Arial" w:eastAsia="仿宋_GB2312"/>
          <w:sz w:val="28"/>
          <w:highlight w:val="none"/>
        </w:rPr>
        <w:t>（万元）</w:t>
      </w:r>
    </w:p>
    <w:p w14:paraId="13D7C979">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rPr>
        <w:t>b）</w:t>
      </w:r>
      <w:r>
        <w:rPr>
          <w:rFonts w:hint="eastAsia" w:ascii="Arial" w:hAnsi="Arial" w:eastAsia="仿宋_GB2312"/>
          <w:sz w:val="28"/>
          <w:highlight w:val="none"/>
          <w:lang w:val="en-US" w:eastAsia="zh-CN"/>
        </w:rPr>
        <w:t>前期费用</w:t>
      </w:r>
    </w:p>
    <w:p w14:paraId="59EDDB19">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rPr>
        <w:t>勘察设计和前期工程费指建造商品房及附属工程过程中勘察、测量设计、市场调研等费用。目前北京市房地产开发中该类建筑物的勘察设计和前期工程费用一般为建造成本的5</w:t>
      </w:r>
      <w:r>
        <w:rPr>
          <w:rFonts w:hint="eastAsia" w:ascii="Arial" w:hAnsi="Arial" w:eastAsia="仿宋_GB2312"/>
          <w:sz w:val="28"/>
          <w:highlight w:val="none"/>
          <w:lang w:eastAsia="zh-CN"/>
        </w:rPr>
        <w:t>－</w:t>
      </w:r>
      <w:r>
        <w:rPr>
          <w:rFonts w:hint="eastAsia" w:ascii="Arial" w:hAnsi="Arial" w:eastAsia="仿宋_GB2312"/>
          <w:sz w:val="28"/>
          <w:highlight w:val="none"/>
        </w:rPr>
        <w:t>10%之间，根据估价对象自身状况，本次评估确定勘察设计和前期工程费以建筑安装工程费为计费基础取8%，则有：</w:t>
      </w:r>
    </w:p>
    <w:p w14:paraId="21B759F4">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勘查设计和前期工程费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70A6D2BF">
      <w:pPr>
        <w:spacing w:line="300" w:lineRule="auto"/>
        <w:ind w:firstLine="3360" w:firstLineChars="12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79.2000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8</w:t>
      </w:r>
      <w:r>
        <w:rPr>
          <w:rFonts w:ascii="Arial" w:hAnsi="Arial" w:eastAsia="仿宋_GB2312"/>
          <w:sz w:val="28"/>
          <w:highlight w:val="none"/>
        </w:rPr>
        <w:t>%</w:t>
      </w:r>
    </w:p>
    <w:p w14:paraId="20C3AE26">
      <w:pPr>
        <w:spacing w:line="300" w:lineRule="auto"/>
        <w:ind w:firstLine="3360" w:firstLineChars="12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6.3360</w:t>
      </w:r>
      <w:r>
        <w:rPr>
          <w:rFonts w:hint="eastAsia" w:ascii="Arial" w:hAnsi="Arial" w:eastAsia="仿宋_GB2312"/>
          <w:sz w:val="28"/>
          <w:highlight w:val="none"/>
        </w:rPr>
        <w:t>（万元）</w:t>
      </w:r>
    </w:p>
    <w:p w14:paraId="6943E125">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c）</w:t>
      </w:r>
      <w:r>
        <w:rPr>
          <w:rFonts w:hint="eastAsia" w:ascii="Arial" w:hAnsi="Arial" w:eastAsia="仿宋_GB2312"/>
          <w:sz w:val="28"/>
          <w:highlight w:val="none"/>
          <w:lang w:val="en-US" w:eastAsia="zh-CN"/>
        </w:rPr>
        <w:t>基础设施建设费</w:t>
      </w:r>
    </w:p>
    <w:p w14:paraId="12A0A8EE">
      <w:pPr>
        <w:spacing w:line="300" w:lineRule="auto"/>
        <w:ind w:firstLine="560" w:firstLineChars="200"/>
        <w:jc w:val="both"/>
        <w:rPr>
          <w:rFonts w:hint="eastAsia" w:ascii="Arial" w:hAnsi="Arial" w:eastAsia="仿宋_GB2312"/>
          <w:sz w:val="28"/>
          <w:highlight w:val="none"/>
        </w:rPr>
      </w:pPr>
      <w:r>
        <w:rPr>
          <w:rFonts w:hint="eastAsia" w:ascii="仿宋_GB2312" w:eastAsia="仿宋_GB2312"/>
          <w:sz w:val="28"/>
          <w:highlight w:val="none"/>
        </w:rPr>
        <w:t>基础设施建设费是指建筑物外墙外边线2m以外和项目红线范围内的道路、供水、供电、</w:t>
      </w:r>
      <w:r>
        <w:rPr>
          <w:rFonts w:hint="eastAsia" w:ascii="Arial" w:hAnsi="Arial" w:eastAsia="仿宋_GB2312"/>
          <w:sz w:val="28"/>
          <w:highlight w:val="none"/>
        </w:rPr>
        <w:t>供气、通信、绿化、环卫、排水、室外照明等设施的建设费用，以及各项设施与市政千道、千管、干线等的接口费用，北京市房地产开发项目宗地内基础设施建设费一般为建安工程费的5%</w:t>
      </w:r>
      <w:r>
        <w:rPr>
          <w:rFonts w:hint="eastAsia" w:ascii="Arial" w:hAnsi="Arial" w:eastAsia="仿宋_GB2312"/>
          <w:sz w:val="28"/>
          <w:highlight w:val="none"/>
          <w:lang w:eastAsia="zh-CN"/>
        </w:rPr>
        <w:t>－</w:t>
      </w:r>
      <w:r>
        <w:rPr>
          <w:rFonts w:hint="eastAsia" w:ascii="Arial" w:hAnsi="Arial" w:eastAsia="仿宋_GB2312"/>
          <w:sz w:val="28"/>
          <w:highlight w:val="none"/>
        </w:rPr>
        <w:t>15%。根据估价人员现场调查，通过区域电力、燃气、暖气、上下水标准及室外绿化、道路等配套情况，同时结合估价对象所处位置、建设规模等情况，基础设施建设费取建筑安装工程费的1</w:t>
      </w:r>
      <w:r>
        <w:rPr>
          <w:rFonts w:hint="eastAsia" w:ascii="Arial" w:hAnsi="Arial" w:eastAsia="仿宋_GB2312"/>
          <w:sz w:val="28"/>
          <w:highlight w:val="none"/>
          <w:lang w:val="en-US" w:eastAsia="zh-CN"/>
        </w:rPr>
        <w:t>0</w:t>
      </w:r>
      <w:r>
        <w:rPr>
          <w:rFonts w:hint="eastAsia" w:ascii="Arial" w:hAnsi="Arial" w:eastAsia="仿宋_GB2312"/>
          <w:sz w:val="28"/>
          <w:highlight w:val="none"/>
        </w:rPr>
        <w:t>%</w:t>
      </w:r>
      <w:r>
        <w:rPr>
          <w:rFonts w:hint="eastAsia" w:ascii="Arial" w:hAnsi="Arial" w:eastAsia="仿宋_GB2312"/>
          <w:sz w:val="28"/>
          <w:highlight w:val="none"/>
          <w:lang w:val="en-US" w:eastAsia="zh-CN"/>
        </w:rPr>
        <w:t>,</w:t>
      </w:r>
      <w:r>
        <w:rPr>
          <w:rFonts w:hint="eastAsia" w:ascii="Arial" w:hAnsi="Arial" w:eastAsia="仿宋_GB2312"/>
          <w:sz w:val="28"/>
          <w:highlight w:val="none"/>
        </w:rPr>
        <w:t>则有：</w:t>
      </w:r>
    </w:p>
    <w:p w14:paraId="79ED7919">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lang w:val="en-US" w:eastAsia="zh-CN"/>
        </w:rPr>
        <w:t>基础设施建设费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244E7E6C">
      <w:pPr>
        <w:spacing w:line="300" w:lineRule="auto"/>
        <w:ind w:firstLine="3360" w:firstLineChars="12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79.2000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10</w:t>
      </w:r>
      <w:r>
        <w:rPr>
          <w:rFonts w:ascii="Arial" w:hAnsi="Arial" w:eastAsia="仿宋_GB2312"/>
          <w:sz w:val="28"/>
          <w:highlight w:val="none"/>
        </w:rPr>
        <w:t>%</w:t>
      </w:r>
    </w:p>
    <w:p w14:paraId="3EADCAE3">
      <w:pPr>
        <w:spacing w:line="300" w:lineRule="auto"/>
        <w:ind w:firstLine="3360" w:firstLineChars="12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7.9200</w:t>
      </w:r>
      <w:r>
        <w:rPr>
          <w:rFonts w:hint="eastAsia" w:ascii="Arial" w:hAnsi="Arial" w:eastAsia="仿宋_GB2312"/>
          <w:sz w:val="28"/>
          <w:highlight w:val="none"/>
        </w:rPr>
        <w:t>（万元）</w:t>
      </w:r>
    </w:p>
    <w:p w14:paraId="0159D89C">
      <w:pPr>
        <w:spacing w:line="300" w:lineRule="auto"/>
        <w:ind w:firstLine="560" w:firstLineChars="200"/>
        <w:jc w:val="both"/>
        <w:rPr>
          <w:rFonts w:hint="eastAsia" w:ascii="仿宋_GB2312" w:eastAsia="仿宋_GB2312"/>
          <w:sz w:val="28"/>
          <w:highlight w:val="none"/>
        </w:rPr>
      </w:pPr>
      <w:r>
        <w:rPr>
          <w:rFonts w:hint="eastAsia" w:ascii="Arial" w:hAnsi="Arial" w:eastAsia="仿宋_GB2312"/>
          <w:sz w:val="28"/>
          <w:highlight w:val="none"/>
          <w:lang w:val="en-US" w:eastAsia="zh-CN"/>
        </w:rPr>
        <w:t>d</w:t>
      </w:r>
      <w:r>
        <w:rPr>
          <w:rFonts w:hint="eastAsia" w:ascii="Arial" w:hAnsi="Arial" w:eastAsia="仿宋_GB2312"/>
          <w:sz w:val="28"/>
          <w:highlight w:val="none"/>
        </w:rPr>
        <w:t>）</w:t>
      </w:r>
      <w:r>
        <w:rPr>
          <w:rFonts w:hint="eastAsia" w:ascii="仿宋_GB2312" w:eastAsia="仿宋_GB2312"/>
          <w:sz w:val="28"/>
          <w:highlight w:val="none"/>
        </w:rPr>
        <w:t>公共配套设施费用</w:t>
      </w:r>
    </w:p>
    <w:p w14:paraId="2BEAA7B5">
      <w:pPr>
        <w:spacing w:line="300" w:lineRule="auto"/>
        <w:ind w:firstLine="560" w:firstLineChars="200"/>
        <w:jc w:val="both"/>
        <w:rPr>
          <w:rFonts w:ascii="仿宋_GB2312" w:eastAsia="仿宋_GB2312"/>
          <w:sz w:val="28"/>
          <w:highlight w:val="none"/>
        </w:rPr>
      </w:pPr>
      <w:r>
        <w:rPr>
          <w:rFonts w:hint="eastAsia" w:ascii="Arial" w:hAnsi="Arial" w:eastAsia="仿宋" w:cs="Arial"/>
          <w:sz w:val="28"/>
          <w:szCs w:val="28"/>
          <w:highlight w:val="none"/>
        </w:rPr>
        <w:t>公共配套设施建设费按照城市规划要求小区内配套的教育、医疗卫生、文化体育、社区服务等非营业性设施的建设费用。小区配套费用仅限于住宅小区开发时计取，</w:t>
      </w:r>
      <w:r>
        <w:rPr>
          <w:rFonts w:hint="eastAsia" w:ascii="Arial" w:hAnsi="Arial" w:eastAsia="仿宋" w:cs="Arial"/>
          <w:sz w:val="28"/>
          <w:szCs w:val="28"/>
          <w:highlight w:val="none"/>
          <w:lang w:val="en-US" w:eastAsia="zh-CN"/>
        </w:rPr>
        <w:t>非住宅不计取。</w:t>
      </w:r>
    </w:p>
    <w:p w14:paraId="3A284457">
      <w:pPr>
        <w:spacing w:line="300" w:lineRule="auto"/>
        <w:ind w:firstLine="560" w:firstLineChars="200"/>
        <w:jc w:val="both"/>
        <w:rPr>
          <w:rFonts w:hint="eastAsia" w:ascii="仿宋_GB2312" w:eastAsia="仿宋_GB2312"/>
          <w:sz w:val="28"/>
          <w:highlight w:val="none"/>
        </w:rPr>
      </w:pPr>
      <w:r>
        <w:rPr>
          <w:rFonts w:hint="eastAsia" w:ascii="Arial" w:hAnsi="Arial" w:eastAsia="仿宋_GB2312"/>
          <w:sz w:val="28"/>
          <w:highlight w:val="none"/>
        </w:rPr>
        <w:t>e）</w:t>
      </w:r>
      <w:r>
        <w:rPr>
          <w:rFonts w:hint="eastAsia" w:ascii="仿宋_GB2312" w:eastAsia="仿宋_GB2312"/>
          <w:sz w:val="28"/>
          <w:highlight w:val="none"/>
        </w:rPr>
        <w:t>开发期间税费</w:t>
      </w:r>
    </w:p>
    <w:p w14:paraId="7BA38A49">
      <w:pPr>
        <w:spacing w:before="50" w:after="50" w:line="300" w:lineRule="auto"/>
        <w:ind w:firstLine="560" w:firstLineChars="200"/>
        <w:jc w:val="both"/>
        <w:rPr>
          <w:rFonts w:hint="eastAsia" w:ascii="Arial" w:hAnsi="Arial" w:eastAsia="仿宋" w:cs="Arial"/>
          <w:sz w:val="28"/>
          <w:szCs w:val="28"/>
          <w:highlight w:val="none"/>
          <w:lang w:eastAsia="zh-CN"/>
        </w:rPr>
      </w:pPr>
      <w:r>
        <w:rPr>
          <w:rFonts w:hint="eastAsia" w:ascii="仿宋_GB2312" w:eastAsia="仿宋_GB2312"/>
          <w:sz w:val="28"/>
          <w:highlight w:val="none"/>
        </w:rPr>
        <w:t>主要</w:t>
      </w:r>
      <w:r>
        <w:rPr>
          <w:rFonts w:hint="eastAsia" w:ascii="Arial" w:hAnsi="Arial" w:eastAsia="仿宋" w:cs="Arial"/>
          <w:sz w:val="28"/>
          <w:szCs w:val="28"/>
          <w:highlight w:val="none"/>
        </w:rPr>
        <w:t>包括有关部门税收和地方政府或其他有关部门收取的费用，如工程监理费、竣工验收费、绿化建设费、人防工程费等</w:t>
      </w:r>
      <w:r>
        <w:rPr>
          <w:rFonts w:hint="eastAsia" w:ascii="Arial" w:hAnsi="Arial" w:eastAsia="仿宋" w:cs="Arial"/>
          <w:sz w:val="28"/>
          <w:szCs w:val="28"/>
          <w:highlight w:val="none"/>
          <w:lang w:eastAsia="zh-CN"/>
        </w:rPr>
        <w:t>。</w:t>
      </w:r>
      <w:r>
        <w:rPr>
          <w:rFonts w:hint="eastAsia" w:ascii="仿宋_GB2312" w:eastAsia="仿宋_GB2312"/>
          <w:sz w:val="28"/>
          <w:highlight w:val="none"/>
        </w:rPr>
        <w:t>开发期间税费</w:t>
      </w:r>
      <w:r>
        <w:rPr>
          <w:rFonts w:hint="eastAsia" w:ascii="Arial" w:hAnsi="Arial" w:eastAsia="仿宋_GB2312"/>
          <w:sz w:val="28"/>
          <w:highlight w:val="none"/>
        </w:rPr>
        <w:t>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 w:cs="Arial"/>
          <w:sz w:val="28"/>
          <w:szCs w:val="28"/>
          <w:highlight w:val="none"/>
        </w:rPr>
        <w:t>根据估价对象所处区域的一般情况，并结合估价对象的实际情况，按建筑安装工程费的2%测算</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52F3342E">
      <w:pPr>
        <w:spacing w:line="300" w:lineRule="auto"/>
        <w:ind w:firstLine="560" w:firstLineChars="200"/>
        <w:jc w:val="both"/>
        <w:rPr>
          <w:rFonts w:hint="eastAsia" w:ascii="Arial" w:hAnsi="Arial" w:eastAsia="仿宋_GB2312"/>
          <w:sz w:val="28"/>
          <w:highlight w:val="none"/>
        </w:rPr>
      </w:pPr>
      <w:r>
        <w:rPr>
          <w:rFonts w:hint="eastAsia" w:ascii="Arial" w:hAnsi="Arial" w:eastAsia="仿宋" w:cs="Arial"/>
          <w:sz w:val="28"/>
          <w:szCs w:val="28"/>
          <w:highlight w:val="none"/>
        </w:rPr>
        <w:t>开发期间税费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7FA8351B">
      <w:pPr>
        <w:spacing w:line="300" w:lineRule="auto"/>
        <w:ind w:firstLine="2240" w:firstLineChars="8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79.2000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w:t>
      </w:r>
      <w:r>
        <w:rPr>
          <w:rFonts w:ascii="Arial" w:hAnsi="Arial" w:eastAsia="仿宋_GB2312"/>
          <w:sz w:val="28"/>
          <w:highlight w:val="none"/>
        </w:rPr>
        <w:t>%</w:t>
      </w:r>
    </w:p>
    <w:p w14:paraId="7DF10992">
      <w:pPr>
        <w:spacing w:before="50" w:after="50" w:line="300" w:lineRule="auto"/>
        <w:ind w:firstLine="2240" w:firstLineChars="8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1.5840</w:t>
      </w:r>
      <w:r>
        <w:rPr>
          <w:rFonts w:hint="eastAsia" w:ascii="Arial" w:hAnsi="Arial" w:eastAsia="仿宋_GB2312"/>
          <w:sz w:val="28"/>
          <w:highlight w:val="none"/>
        </w:rPr>
        <w:t>（万元）</w:t>
      </w:r>
    </w:p>
    <w:p w14:paraId="7A5115DD">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rPr>
        <w:t>f）</w:t>
      </w:r>
      <w:r>
        <w:rPr>
          <w:rFonts w:hint="eastAsia" w:ascii="Arial" w:hAnsi="Arial" w:eastAsia="仿宋_GB2312"/>
          <w:sz w:val="28"/>
          <w:highlight w:val="none"/>
          <w:lang w:val="en-US" w:eastAsia="zh-CN"/>
        </w:rPr>
        <w:t>其他工程费</w:t>
      </w:r>
    </w:p>
    <w:p w14:paraId="14949B27">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其他工程费是指在工程建设中，除建筑安装工程费和设备、工具、器具购置费以外的费用。根据目前北京市房地产开发的情况</w:t>
      </w:r>
      <w:r>
        <w:rPr>
          <w:rFonts w:hint="eastAsia" w:ascii="Arial" w:hAnsi="Arial" w:eastAsia="仿宋_GB2312"/>
          <w:sz w:val="28"/>
          <w:highlight w:val="none"/>
          <w:lang w:eastAsia="zh-CN"/>
        </w:rPr>
        <w:t>。</w:t>
      </w:r>
      <w:r>
        <w:rPr>
          <w:rFonts w:hint="eastAsia" w:ascii="Arial" w:hAnsi="Arial" w:eastAsia="仿宋_GB2312"/>
          <w:sz w:val="28"/>
          <w:highlight w:val="none"/>
        </w:rPr>
        <w:t>其他工程费一般为建筑安装工程费用的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rPr>
        <w:t>确定以建筑安装工程费用为计费基础取5%</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2136E22F">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04525A19">
      <w:pPr>
        <w:spacing w:line="300" w:lineRule="auto"/>
        <w:ind w:firstLine="1960" w:firstLineChars="7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79.2000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ascii="Arial" w:hAnsi="Arial" w:eastAsia="仿宋_GB2312"/>
          <w:sz w:val="28"/>
          <w:highlight w:val="none"/>
        </w:rPr>
        <w:t>%</w:t>
      </w:r>
    </w:p>
    <w:p w14:paraId="53B256CA">
      <w:pPr>
        <w:spacing w:line="300" w:lineRule="auto"/>
        <w:ind w:firstLine="1960" w:firstLineChars="7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3.9600</w:t>
      </w:r>
      <w:r>
        <w:rPr>
          <w:rFonts w:hint="eastAsia" w:ascii="Arial" w:hAnsi="Arial" w:eastAsia="仿宋_GB2312"/>
          <w:sz w:val="28"/>
          <w:highlight w:val="none"/>
        </w:rPr>
        <w:t>（万元）</w:t>
      </w:r>
    </w:p>
    <w:p w14:paraId="12BA26EF">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hint="eastAsia" w:ascii="Arial" w:hAnsi="Arial" w:eastAsia="仿宋_GB2312"/>
          <w:sz w:val="28"/>
          <w:highlight w:val="none"/>
        </w:rPr>
        <w:t>）房屋建设成本</w:t>
      </w:r>
    </w:p>
    <w:p w14:paraId="7A5E70E5">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房屋建设成本</w:t>
      </w:r>
      <w:r>
        <w:rPr>
          <w:rFonts w:hint="eastAsia" w:ascii="仿宋_GB2312" w:eastAsia="仿宋_GB2312"/>
          <w:sz w:val="28"/>
          <w:highlight w:val="none"/>
        </w:rPr>
        <w:t>为上述</w:t>
      </w:r>
      <w:r>
        <w:rPr>
          <w:rFonts w:hint="eastAsia" w:ascii="仿宋_GB2312" w:eastAsia="仿宋_GB2312"/>
          <w:sz w:val="28"/>
          <w:highlight w:val="none"/>
          <w:lang w:val="en-US" w:eastAsia="zh-CN"/>
        </w:rPr>
        <w:t>6</w:t>
      </w:r>
      <w:r>
        <w:rPr>
          <w:rFonts w:hint="eastAsia" w:ascii="仿宋_GB2312" w:eastAsia="仿宋_GB2312"/>
          <w:sz w:val="28"/>
          <w:highlight w:val="none"/>
        </w:rPr>
        <w:t>项之和，则有：</w:t>
      </w:r>
    </w:p>
    <w:p w14:paraId="465C275B">
      <w:pPr>
        <w:spacing w:line="300" w:lineRule="auto"/>
        <w:ind w:firstLine="562" w:firstLineChars="201"/>
        <w:jc w:val="left"/>
        <w:rPr>
          <w:rFonts w:hint="eastAsia" w:ascii="Arial" w:hAnsi="Arial" w:eastAsia="仿宋_GB2312"/>
          <w:sz w:val="28"/>
          <w:highlight w:val="none"/>
        </w:rPr>
      </w:pPr>
      <w:r>
        <w:rPr>
          <w:rFonts w:hint="eastAsia" w:ascii="Arial" w:hAnsi="Arial" w:eastAsia="仿宋_GB2312"/>
          <w:sz w:val="28"/>
          <w:highlight w:val="none"/>
        </w:rPr>
        <w:t>房屋建设成本</w:t>
      </w:r>
    </w:p>
    <w:p w14:paraId="70B8C59B">
      <w:pPr>
        <w:spacing w:line="300" w:lineRule="auto"/>
        <w:ind w:firstLine="562" w:firstLineChars="201"/>
        <w:jc w:val="left"/>
        <w:rPr>
          <w:rFonts w:hint="eastAsia"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 xml:space="preserve">前期费用＋建筑安装工程费＋基础设施建设费＋公共配套设施建设费＋开发期间税费＋其他工程费  </w:t>
      </w:r>
    </w:p>
    <w:p w14:paraId="0C60D56F">
      <w:pPr>
        <w:spacing w:line="300" w:lineRule="auto"/>
        <w:ind w:firstLine="562" w:firstLineChars="201"/>
        <w:jc w:val="both"/>
        <w:rPr>
          <w:rFonts w:hint="eastAsia"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6.3360＋79.2000＋7.9200＋0＋1.5840＋3.9600</w:t>
      </w:r>
    </w:p>
    <w:p w14:paraId="545A0967">
      <w:pPr>
        <w:spacing w:line="300" w:lineRule="auto"/>
        <w:ind w:firstLine="562" w:firstLineChars="201"/>
        <w:jc w:val="both"/>
        <w:rPr>
          <w:rFonts w:hint="default"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99.0000</w:t>
      </w:r>
      <w:r>
        <w:rPr>
          <w:rFonts w:hint="eastAsia" w:ascii="Arial" w:hAnsi="Arial" w:eastAsia="仿宋_GB2312"/>
          <w:sz w:val="28"/>
          <w:highlight w:val="none"/>
        </w:rPr>
        <w:t>（万元）</w:t>
      </w:r>
    </w:p>
    <w:p w14:paraId="49F58222">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w:t>
      </w:r>
      <w:r>
        <w:rPr>
          <w:rFonts w:hint="eastAsia" w:ascii="仿宋_GB2312" w:eastAsia="仿宋_GB2312"/>
          <w:sz w:val="28"/>
          <w:highlight w:val="none"/>
        </w:rPr>
        <w:t>管理费用</w:t>
      </w:r>
    </w:p>
    <w:p w14:paraId="7CFE0A41">
      <w:pPr>
        <w:spacing w:line="300" w:lineRule="auto"/>
        <w:ind w:firstLine="560" w:firstLineChars="200"/>
        <w:jc w:val="both"/>
        <w:rPr>
          <w:rFonts w:ascii="仿宋_GB2312" w:eastAsia="仿宋_GB2312"/>
          <w:sz w:val="28"/>
          <w:highlight w:val="none"/>
        </w:rPr>
      </w:pPr>
      <w:r>
        <w:rPr>
          <w:rFonts w:hint="eastAsia" w:ascii="仿宋_GB2312" w:hAnsi="Arial" w:eastAsia="仿宋_GB2312"/>
          <w:sz w:val="28"/>
          <w:highlight w:val="none"/>
        </w:rPr>
        <w:t>管</w:t>
      </w:r>
      <w:r>
        <w:rPr>
          <w:rFonts w:hint="eastAsia" w:ascii="Arial" w:hAnsi="Arial" w:eastAsia="仿宋_GB2312"/>
          <w:sz w:val="28"/>
          <w:highlight w:val="none"/>
          <w:lang w:val="en-US" w:eastAsia="zh-CN"/>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sz w:val="28"/>
          <w:highlight w:val="none"/>
        </w:rPr>
        <w:t>则有：</w:t>
      </w:r>
    </w:p>
    <w:p w14:paraId="59CB3A37">
      <w:pPr>
        <w:spacing w:line="300" w:lineRule="auto"/>
        <w:ind w:firstLine="560" w:firstLineChars="200"/>
        <w:jc w:val="both"/>
        <w:rPr>
          <w:rFonts w:hint="eastAsia" w:ascii="仿宋_GB2312" w:eastAsia="仿宋_GB2312"/>
          <w:sz w:val="28"/>
          <w:highlight w:val="none"/>
          <w:lang w:eastAsia="zh-CN"/>
        </w:rPr>
      </w:pPr>
      <w:r>
        <w:rPr>
          <w:rFonts w:hint="eastAsia" w:ascii="仿宋_GB2312" w:eastAsia="仿宋_GB2312"/>
          <w:sz w:val="28"/>
          <w:highlight w:val="none"/>
        </w:rPr>
        <w:t>管理费用</w:t>
      </w:r>
      <w:r>
        <w:rPr>
          <w:rFonts w:hint="eastAsia" w:ascii="仿宋_GB2312" w:eastAsia="仿宋_GB2312"/>
          <w:sz w:val="28"/>
          <w:highlight w:val="none"/>
          <w:lang w:eastAsia="zh-CN"/>
        </w:rPr>
        <w:t>＝</w:t>
      </w:r>
      <w:r>
        <w:rPr>
          <w:rFonts w:hint="eastAsia" w:ascii="Arial" w:hAnsi="Arial" w:eastAsia="仿宋_GB2312"/>
          <w:sz w:val="28"/>
          <w:highlight w:val="none"/>
        </w:rPr>
        <w:t>房屋建设成本</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管理费率</w:t>
      </w:r>
    </w:p>
    <w:p w14:paraId="0E5A4E9B">
      <w:pPr>
        <w:spacing w:line="300" w:lineRule="auto"/>
        <w:ind w:firstLine="1680" w:firstLineChars="600"/>
        <w:jc w:val="both"/>
        <w:rPr>
          <w:rFonts w:hint="eastAsia" w:ascii="Arial" w:hAnsi="Arial" w:eastAsia="仿宋_GB2312"/>
          <w:sz w:val="28"/>
          <w:highlight w:val="none"/>
          <w:lang w:val="en-US" w:eastAsia="zh-CN"/>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99.0000×3%</w:t>
      </w:r>
    </w:p>
    <w:p w14:paraId="45B864DA">
      <w:pPr>
        <w:spacing w:line="300" w:lineRule="auto"/>
        <w:ind w:firstLine="1680" w:firstLineChars="600"/>
        <w:jc w:val="both"/>
        <w:rPr>
          <w:rFonts w:ascii="仿宋_GB2312"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2.9700</w:t>
      </w:r>
      <w:r>
        <w:rPr>
          <w:rFonts w:hint="eastAsia" w:ascii="Arial" w:hAnsi="Arial" w:eastAsia="仿宋_GB2312"/>
          <w:sz w:val="28"/>
          <w:highlight w:val="none"/>
        </w:rPr>
        <w:t>（</w:t>
      </w:r>
      <w:r>
        <w:rPr>
          <w:rFonts w:hint="eastAsia" w:ascii="仿宋_GB2312" w:eastAsia="仿宋_GB2312"/>
          <w:sz w:val="28"/>
          <w:highlight w:val="none"/>
        </w:rPr>
        <w:t>万元）</w:t>
      </w:r>
    </w:p>
    <w:p w14:paraId="791D4BF3">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d.销售费用</w:t>
      </w:r>
    </w:p>
    <w:p w14:paraId="5D822A7D">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本次评估确定销售费用以房地产销售价格为计费基础，费率取3%，</w:t>
      </w:r>
      <w:r>
        <w:rPr>
          <w:rFonts w:hint="eastAsia" w:ascii="仿宋_GB2312" w:eastAsia="仿宋_GB2312"/>
          <w:sz w:val="28"/>
          <w:highlight w:val="none"/>
        </w:rPr>
        <w:t>则有：</w:t>
      </w:r>
    </w:p>
    <w:p w14:paraId="303656C2">
      <w:pPr>
        <w:spacing w:line="300" w:lineRule="auto"/>
        <w:ind w:firstLine="560" w:firstLineChars="200"/>
        <w:jc w:val="both"/>
        <w:rPr>
          <w:rFonts w:hint="eastAsia" w:ascii="仿宋_GB2312" w:eastAsia="仿宋_GB2312"/>
          <w:sz w:val="28"/>
          <w:highlight w:val="none"/>
          <w:lang w:eastAsia="zh-CN"/>
        </w:rPr>
      </w:pPr>
      <w:r>
        <w:rPr>
          <w:rFonts w:hint="eastAsia" w:ascii="Arial" w:hAnsi="Arial" w:eastAsia="仿宋_GB2312"/>
          <w:sz w:val="28"/>
          <w:highlight w:val="none"/>
          <w:lang w:val="en-US" w:eastAsia="zh-CN"/>
        </w:rPr>
        <w:t>销售费用</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项目开发完成后不动产总价</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销售费率</w:t>
      </w:r>
    </w:p>
    <w:p w14:paraId="4E1430C6">
      <w:pPr>
        <w:spacing w:line="300" w:lineRule="auto"/>
        <w:ind w:firstLine="1680" w:firstLineChars="600"/>
        <w:jc w:val="both"/>
        <w:rPr>
          <w:rFonts w:hint="eastAsia" w:ascii="Arial" w:hAnsi="Arial" w:eastAsia="仿宋_GB2312"/>
          <w:sz w:val="28"/>
          <w:highlight w:val="none"/>
          <w:lang w:val="en-US" w:eastAsia="zh-CN"/>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286.9680×3%</w:t>
      </w:r>
    </w:p>
    <w:p w14:paraId="4B827A0B">
      <w:pPr>
        <w:spacing w:line="300" w:lineRule="auto"/>
        <w:ind w:firstLine="1680" w:firstLineChars="600"/>
        <w:jc w:val="both"/>
        <w:rPr>
          <w:rFonts w:hint="eastAsia" w:ascii="仿宋_GB2312" w:hAnsi="Arial"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8.6090</w:t>
      </w:r>
      <w:r>
        <w:rPr>
          <w:rFonts w:hint="eastAsia" w:ascii="Arial" w:hAnsi="Arial" w:eastAsia="仿宋_GB2312"/>
          <w:sz w:val="28"/>
          <w:highlight w:val="none"/>
        </w:rPr>
        <w:t>（</w:t>
      </w:r>
      <w:r>
        <w:rPr>
          <w:rFonts w:hint="eastAsia" w:ascii="仿宋_GB2312" w:eastAsia="仿宋_GB2312"/>
          <w:sz w:val="28"/>
          <w:highlight w:val="none"/>
        </w:rPr>
        <w:t>万元）</w:t>
      </w:r>
    </w:p>
    <w:p w14:paraId="6277AEA3">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e</w:t>
      </w:r>
      <w:r>
        <w:rPr>
          <w:rFonts w:hint="eastAsia" w:ascii="Arial" w:hAnsi="Arial" w:eastAsia="仿宋_GB2312"/>
          <w:sz w:val="28"/>
          <w:highlight w:val="none"/>
        </w:rPr>
        <w:t>.投资利息</w:t>
      </w:r>
    </w:p>
    <w:p w14:paraId="26D5DD86">
      <w:pPr>
        <w:spacing w:line="300" w:lineRule="auto"/>
        <w:ind w:firstLine="560" w:firstLineChars="200"/>
        <w:jc w:val="both"/>
        <w:rPr>
          <w:rFonts w:hint="eastAsia" w:ascii="Arial" w:hAnsi="Arial" w:eastAsia="仿宋_GB2312"/>
          <w:sz w:val="28"/>
          <w:highlight w:val="none"/>
          <w:lang w:val="en-US" w:eastAsia="zh-CN"/>
        </w:rPr>
      </w:pPr>
      <w:r>
        <w:rPr>
          <w:rFonts w:hint="eastAsia" w:ascii="仿宋_GB2312" w:eastAsia="仿宋_GB2312"/>
          <w:sz w:val="28"/>
          <w:highlight w:val="none"/>
        </w:rPr>
        <w:t>投资利息指在房地产开发完成或实现销售之前发生的所有必要费用应计算的利息。</w:t>
      </w:r>
    </w:p>
    <w:p w14:paraId="0E053E6B">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412F8B14">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投资利息＝（估价对象土地价格＋购地税费）×〔（1＋年利率）</w:t>
      </w:r>
      <w:r>
        <w:rPr>
          <w:rFonts w:hint="eastAsia" w:ascii="Arial" w:hAnsi="Arial" w:eastAsia="仿宋_GB2312"/>
          <w:sz w:val="28"/>
          <w:highlight w:val="none"/>
          <w:vertAlign w:val="superscript"/>
          <w:lang w:val="en-US" w:eastAsia="zh-CN"/>
        </w:rPr>
        <w:t>项目开发周期</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〕＋（房屋建设成本＋管理费用＋销售费用）×〔（1＋年利率）</w:t>
      </w:r>
      <w:r>
        <w:rPr>
          <w:rFonts w:hint="eastAsia" w:ascii="Arial" w:hAnsi="Arial" w:eastAsia="仿宋_GB2312"/>
          <w:sz w:val="28"/>
          <w:highlight w:val="none"/>
          <w:vertAlign w:val="superscript"/>
          <w:lang w:val="en-US" w:eastAsia="zh-CN"/>
        </w:rPr>
        <w:t>（项目开发周期÷2）</w:t>
      </w:r>
      <w:r>
        <w:rPr>
          <w:rFonts w:hint="eastAsia" w:ascii="Arial" w:hAnsi="Arial" w:eastAsia="仿宋_GB2312"/>
          <w:sz w:val="28"/>
          <w:highlight w:val="none"/>
          <w:lang w:val="en-US" w:eastAsia="zh-CN"/>
        </w:rPr>
        <w:t>－1〕</w:t>
      </w:r>
    </w:p>
    <w:p w14:paraId="791C0B66">
      <w:pPr>
        <w:spacing w:line="300" w:lineRule="auto"/>
        <w:ind w:firstLine="1680" w:firstLineChars="6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）×〔（1＋3.25%）</w:t>
      </w:r>
      <w:r>
        <w:rPr>
          <w:rFonts w:hint="eastAsia" w:ascii="Arial" w:hAnsi="Arial" w:eastAsia="仿宋_GB2312"/>
          <w:sz w:val="28"/>
          <w:highlight w:val="none"/>
          <w:vertAlign w:val="superscript"/>
          <w:lang w:val="en-US" w:eastAsia="zh-CN"/>
        </w:rPr>
        <w:t>3</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〕＋（99.0000＋2.9700＋8.6090）×〔（1＋3.25%）</w:t>
      </w:r>
      <w:r>
        <w:rPr>
          <w:rFonts w:hint="eastAsia" w:ascii="Arial" w:hAnsi="Arial" w:eastAsia="仿宋_GB2312"/>
          <w:sz w:val="28"/>
          <w:highlight w:val="none"/>
          <w:vertAlign w:val="superscript"/>
          <w:lang w:val="en-US" w:eastAsia="zh-CN"/>
        </w:rPr>
        <w:t>（3÷2）</w:t>
      </w:r>
      <w:r>
        <w:rPr>
          <w:rFonts w:hint="eastAsia" w:ascii="Arial" w:hAnsi="Arial" w:eastAsia="仿宋_GB2312"/>
          <w:sz w:val="28"/>
          <w:highlight w:val="none"/>
          <w:lang w:val="en-US" w:eastAsia="zh-CN"/>
        </w:rPr>
        <w:t>－1〕</w:t>
      </w:r>
    </w:p>
    <w:p w14:paraId="5F44F9AD">
      <w:pPr>
        <w:spacing w:line="300" w:lineRule="auto"/>
        <w:ind w:firstLine="1680" w:firstLineChars="600"/>
        <w:jc w:val="both"/>
        <w:rPr>
          <w:rFonts w:hint="eastAsia" w:ascii="仿宋_GB2312" w:eastAsia="仿宋_GB2312"/>
          <w:sz w:val="28"/>
          <w:highlight w:val="none"/>
        </w:rPr>
      </w:pPr>
      <w:r>
        <w:rPr>
          <w:rFonts w:hint="eastAsia" w:ascii="Arial" w:hAnsi="Arial" w:eastAsia="仿宋_GB2312"/>
          <w:sz w:val="28"/>
          <w:highlight w:val="none"/>
          <w:lang w:val="en-US" w:eastAsia="zh-CN"/>
        </w:rPr>
        <w:t>＝5.4343＋0.1038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703E8C9B">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f</w:t>
      </w:r>
      <w:r>
        <w:rPr>
          <w:rFonts w:hint="eastAsia" w:ascii="Arial" w:hAnsi="Arial" w:eastAsia="仿宋_GB2312"/>
          <w:sz w:val="28"/>
          <w:highlight w:val="none"/>
        </w:rPr>
        <w:t>.销售税费</w:t>
      </w:r>
      <w:r>
        <w:rPr>
          <w:rFonts w:hint="eastAsia" w:ascii="Arial" w:hAnsi="Arial" w:eastAsia="仿宋_GB2312"/>
          <w:sz w:val="28"/>
          <w:highlight w:val="none"/>
        </w:rPr>
        <w:tab/>
      </w:r>
    </w:p>
    <w:p w14:paraId="6B4B44C6">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本</w:t>
      </w:r>
      <w:r>
        <w:rPr>
          <w:rFonts w:hint="eastAsia" w:ascii="Arial" w:hAnsi="Arial" w:eastAsia="仿宋_GB2312" w:cs="Arial"/>
          <w:sz w:val="28"/>
          <w:highlight w:val="none"/>
        </w:rPr>
        <w:t>处所指销售税费是指国家规定的相关销售税费。销售税费包括增值税及城市维护建设税、教育费附加和地方教育附加</w:t>
      </w:r>
      <w:r>
        <w:rPr>
          <w:rFonts w:hint="eastAsia" w:ascii="Arial" w:hAnsi="Arial" w:eastAsia="仿宋_GB2312" w:cs="Arial"/>
          <w:sz w:val="28"/>
          <w:highlight w:val="none"/>
          <w:lang w:eastAsia="zh-CN"/>
        </w:rPr>
        <w:t>。</w:t>
      </w:r>
    </w:p>
    <w:p w14:paraId="419BB268">
      <w:pPr>
        <w:spacing w:line="300" w:lineRule="auto"/>
        <w:ind w:firstLine="560" w:firstLineChars="200"/>
        <w:jc w:val="both"/>
        <w:rPr>
          <w:rFonts w:hint="default" w:ascii="Arial" w:hAnsi="Arial" w:eastAsia="仿宋_GB2312" w:cs="Arial"/>
          <w:sz w:val="28"/>
          <w:highlight w:val="none"/>
          <w:lang w:val="en-US"/>
        </w:rPr>
      </w:pPr>
      <w:r>
        <w:rPr>
          <w:rFonts w:hint="eastAsia" w:ascii="Arial" w:hAnsi="Arial" w:eastAsia="仿宋_GB2312" w:cs="Arial"/>
          <w:sz w:val="28"/>
          <w:highlight w:val="none"/>
        </w:rPr>
        <w:t>根据</w:t>
      </w:r>
      <w:r>
        <w:rPr>
          <w:rFonts w:hint="eastAsia" w:ascii="Arial" w:hAnsi="Arial" w:eastAsia="仿宋" w:cs="Arial"/>
          <w:sz w:val="28"/>
          <w:szCs w:val="28"/>
          <w:highlight w:val="none"/>
        </w:rPr>
        <w:t>《中华人民共和国增值税法》</w:t>
      </w:r>
      <w:r>
        <w:rPr>
          <w:rFonts w:hint="eastAsia" w:ascii="Arial" w:hAnsi="Arial" w:eastAsia="仿宋" w:cs="Arial"/>
          <w:sz w:val="28"/>
          <w:szCs w:val="28"/>
          <w:highlight w:val="none"/>
          <w:lang w:val="en-US" w:eastAsia="zh-CN"/>
        </w:rPr>
        <w:t>及</w:t>
      </w:r>
      <w:r>
        <w:rPr>
          <w:rFonts w:hint="eastAsia" w:ascii="Arial" w:hAnsi="Arial" w:eastAsia="仿宋" w:cs="Arial"/>
          <w:sz w:val="28"/>
          <w:szCs w:val="28"/>
          <w:highlight w:val="none"/>
        </w:rPr>
        <w:t>《中华人民共和国增值税法实施条例》</w:t>
      </w:r>
      <w:r>
        <w:rPr>
          <w:rFonts w:hint="eastAsia" w:ascii="Arial" w:hAnsi="Arial" w:eastAsia="仿宋_GB2312" w:cs="Arial"/>
          <w:sz w:val="28"/>
          <w:highlight w:val="none"/>
          <w:lang w:val="en-US" w:eastAsia="zh-CN"/>
        </w:rPr>
        <w:t>相关规定</w:t>
      </w:r>
      <w:r>
        <w:rPr>
          <w:rFonts w:hint="eastAsia" w:ascii="Arial" w:hAnsi="Arial" w:eastAsia="仿宋_GB2312" w:cs="Arial"/>
          <w:sz w:val="28"/>
          <w:highlight w:val="none"/>
          <w:lang w:eastAsia="zh-CN"/>
        </w:rPr>
        <w:t>，对于一般纳税人自行开发销售的新建项目，</w:t>
      </w:r>
      <w:r>
        <w:rPr>
          <w:rFonts w:hint="eastAsia" w:ascii="Arial" w:hAnsi="Arial" w:eastAsia="仿宋_GB2312" w:cs="Arial"/>
          <w:sz w:val="28"/>
          <w:highlight w:val="none"/>
        </w:rPr>
        <w:t>适宜采用一般计税方式测算增值税</w:t>
      </w:r>
      <w:r>
        <w:rPr>
          <w:rFonts w:hint="eastAsia" w:ascii="Arial" w:hAnsi="Arial" w:eastAsia="仿宋_GB2312" w:cs="Arial"/>
          <w:sz w:val="28"/>
          <w:highlight w:val="none"/>
          <w:lang w:eastAsia="zh-CN"/>
        </w:rPr>
        <w:t>。</w:t>
      </w:r>
      <w:r>
        <w:rPr>
          <w:rFonts w:hint="default" w:ascii="Arial" w:hAnsi="Arial" w:eastAsia="仿宋_GB2312" w:cs="Arial"/>
          <w:sz w:val="28"/>
          <w:highlight w:val="none"/>
          <w:lang w:val="en-US" w:eastAsia="zh-CN"/>
        </w:rPr>
        <w:t>销售不动产税率为9%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进项税额中建筑安装工程费、</w:t>
      </w:r>
      <w:r>
        <w:rPr>
          <w:rFonts w:hint="eastAsia" w:ascii="Arial" w:hAnsi="Arial" w:eastAsia="仿宋_GB2312" w:cs="Arial"/>
          <w:sz w:val="28"/>
          <w:highlight w:val="none"/>
          <w:lang w:val="en-US" w:eastAsia="zh-CN"/>
        </w:rPr>
        <w:t>基础设施建设费</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公共配套设施建设费</w:t>
      </w:r>
      <w:r>
        <w:rPr>
          <w:rFonts w:hint="default" w:ascii="Arial" w:hAnsi="Arial" w:eastAsia="仿宋_GB2312" w:cs="Arial"/>
          <w:sz w:val="28"/>
          <w:highlight w:val="none"/>
          <w:lang w:val="en-US" w:eastAsia="zh-CN"/>
        </w:rPr>
        <w:t>属于建筑行业，税率为9%；</w:t>
      </w:r>
      <w:r>
        <w:rPr>
          <w:rFonts w:hint="eastAsia" w:ascii="Arial" w:hAnsi="Arial" w:eastAsia="仿宋_GB2312" w:cs="Arial"/>
          <w:sz w:val="28"/>
          <w:highlight w:val="none"/>
          <w:lang w:val="en-US" w:eastAsia="zh-CN"/>
        </w:rPr>
        <w:t>前期费用</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其他工程费、</w:t>
      </w:r>
      <w:r>
        <w:rPr>
          <w:rFonts w:hint="default" w:ascii="Arial" w:hAnsi="Arial" w:eastAsia="仿宋_GB2312" w:cs="Arial"/>
          <w:sz w:val="28"/>
          <w:highlight w:val="none"/>
          <w:lang w:val="en-US" w:eastAsia="zh-CN"/>
        </w:rPr>
        <w:t>销售费用税率为6%</w:t>
      </w:r>
      <w:r>
        <w:rPr>
          <w:rFonts w:hint="eastAsia" w:ascii="Arial" w:hAnsi="Arial" w:eastAsia="仿宋_GB2312" w:cs="Arial"/>
          <w:sz w:val="28"/>
          <w:highlight w:val="none"/>
          <w:lang w:val="en-US" w:eastAsia="zh-CN"/>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38C7C622">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增值税</w:t>
      </w:r>
      <w:r>
        <w:rPr>
          <w:rFonts w:hint="eastAsia" w:ascii="Arial" w:hAnsi="Arial" w:eastAsia="仿宋_GB2312" w:cs="Arial"/>
          <w:sz w:val="28"/>
          <w:highlight w:val="none"/>
        </w:rPr>
        <w:t>基本公式：增值税</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销项税额</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进项税额</w:t>
      </w:r>
    </w:p>
    <w:p w14:paraId="57FC71AA">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销项税额</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开发完成后</w:t>
      </w:r>
      <w:r>
        <w:rPr>
          <w:rFonts w:hint="default" w:ascii="Arial" w:hAnsi="Arial" w:eastAsia="仿宋_GB2312" w:cs="Arial"/>
          <w:sz w:val="28"/>
          <w:highlight w:val="none"/>
          <w:lang w:val="en-US" w:eastAsia="zh-CN"/>
        </w:rPr>
        <w:t>不动产总价</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土地使用权</w:t>
      </w:r>
      <w:r>
        <w:rPr>
          <w:rFonts w:hint="eastAsia" w:ascii="Arial" w:hAnsi="Arial" w:eastAsia="仿宋_GB2312"/>
          <w:sz w:val="28"/>
          <w:highlight w:val="none"/>
        </w:rPr>
        <w:t>总价</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p>
    <w:p w14:paraId="54DD2D9F">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进项税额</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建筑安装工程费＋基础设施建设费＋公共配套设施建设费</w:t>
      </w:r>
      <w:r>
        <w:rPr>
          <w:rFonts w:hint="eastAsia" w:ascii="Arial" w:hAnsi="Arial" w:eastAsia="仿宋_GB2312" w:cs="Arial"/>
          <w:sz w:val="28"/>
          <w:highlight w:val="none"/>
          <w:lang w:val="en-US" w:eastAsia="zh-CN"/>
        </w:rPr>
        <w:t>＋开发期间税费）÷</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前期费用</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其他工程费＋</w:t>
      </w:r>
      <w:r>
        <w:rPr>
          <w:rFonts w:hint="default" w:ascii="Arial" w:hAnsi="Arial" w:eastAsia="仿宋_GB2312" w:cs="Arial"/>
          <w:sz w:val="28"/>
          <w:highlight w:val="none"/>
          <w:lang w:val="en-US" w:eastAsia="zh-CN"/>
        </w:rPr>
        <w:t>销售费用</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 xml:space="preserve">6%。 </w:t>
      </w:r>
    </w:p>
    <w:p w14:paraId="2CB04675">
      <w:pPr>
        <w:spacing w:line="300" w:lineRule="auto"/>
        <w:ind w:firstLine="560" w:firstLineChars="200"/>
        <w:jc w:val="left"/>
        <w:rPr>
          <w:rFonts w:hint="default" w:ascii="Arial" w:hAnsi="Arial" w:eastAsia="仿宋_GB2312" w:cs="Arial"/>
          <w:sz w:val="28"/>
          <w:highlight w:val="none"/>
          <w:lang w:val="en-US" w:eastAsia="zh-CN"/>
        </w:rPr>
      </w:pPr>
      <w:r>
        <w:rPr>
          <w:rFonts w:hint="eastAsia" w:ascii="Arial" w:hAnsi="Arial" w:eastAsia="仿宋_GB2312"/>
          <w:sz w:val="28"/>
          <w:highlight w:val="none"/>
        </w:rPr>
        <w:t>销售税费</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286.9680－</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79.2000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7.9200＋0＋1.5840</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6.3360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3.9600＋8.6090</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}×（1＋5%＋3%＋2%）132.8435</w:t>
      </w:r>
    </w:p>
    <w:p w14:paraId="68D5B366">
      <w:pPr>
        <w:spacing w:line="300" w:lineRule="auto"/>
        <w:ind w:firstLine="1680" w:firstLineChars="600"/>
        <w:jc w:val="left"/>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＝16.8303－</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r>
        <w:rPr>
          <w:rFonts w:hint="eastAsia" w:ascii="Arial" w:hAnsi="Arial" w:eastAsia="仿宋" w:cs="Arial"/>
          <w:bCs/>
          <w:sz w:val="21"/>
          <w:szCs w:val="21"/>
          <w:highlight w:val="none"/>
          <w:vertAlign w:val="subscript"/>
        </w:rPr>
        <w:t>土</w:t>
      </w:r>
      <w:r>
        <w:rPr>
          <w:rFonts w:hint="default" w:ascii="Arial" w:hAnsi="Arial" w:eastAsia="仿宋_GB2312" w:cs="Arial"/>
          <w:sz w:val="28"/>
          <w:highlight w:val="none"/>
          <w:lang w:val="en-US" w:eastAsia="zh-CN"/>
        </w:rPr>
        <w:t>（万元）</w:t>
      </w:r>
    </w:p>
    <w:p w14:paraId="0C24F16A">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ascii="Arial" w:hAnsi="Arial" w:eastAsia="仿宋_GB2312"/>
          <w:sz w:val="28"/>
          <w:highlight w:val="none"/>
        </w:rPr>
        <w:t>.</w:t>
      </w:r>
      <w:r>
        <w:rPr>
          <w:rFonts w:hint="eastAsia" w:ascii="仿宋_GB2312" w:eastAsia="仿宋_GB2312"/>
          <w:sz w:val="28"/>
          <w:highlight w:val="none"/>
        </w:rPr>
        <w:t>开发成本</w:t>
      </w:r>
    </w:p>
    <w:p w14:paraId="1ABD6B28">
      <w:pPr>
        <w:spacing w:line="300" w:lineRule="auto"/>
        <w:ind w:firstLine="560" w:firstLineChars="200"/>
        <w:jc w:val="both"/>
        <w:rPr>
          <w:rFonts w:ascii="仿宋_GB2312" w:eastAsia="仿宋_GB2312"/>
          <w:sz w:val="28"/>
          <w:highlight w:val="none"/>
        </w:rPr>
      </w:pPr>
      <w:r>
        <w:rPr>
          <w:rFonts w:hint="eastAsia" w:ascii="仿宋_GB2312" w:eastAsia="仿宋_GB2312"/>
          <w:sz w:val="28"/>
          <w:highlight w:val="none"/>
        </w:rPr>
        <w:t>开发成本为上述</w:t>
      </w:r>
      <w:r>
        <w:rPr>
          <w:rFonts w:hint="eastAsia" w:ascii="Arial" w:hAnsi="Arial" w:eastAsia="仿宋_GB2312"/>
          <w:sz w:val="28"/>
          <w:highlight w:val="none"/>
          <w:lang w:val="en-US" w:eastAsia="zh-CN"/>
        </w:rPr>
        <w:t>6</w:t>
      </w:r>
      <w:r>
        <w:rPr>
          <w:rFonts w:hint="eastAsia" w:ascii="仿宋_GB2312" w:eastAsia="仿宋_GB2312"/>
          <w:sz w:val="28"/>
          <w:highlight w:val="none"/>
        </w:rPr>
        <w:t>项合计，则有：</w:t>
      </w:r>
    </w:p>
    <w:p w14:paraId="6639467D">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w:t>
      </w:r>
    </w:p>
    <w:p w14:paraId="5B9C499D">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rPr>
        <w:t>购地税费</w:t>
      </w:r>
      <w:r>
        <w:rPr>
          <w:rFonts w:hint="eastAsia" w:ascii="Arial" w:hAnsi="Arial" w:eastAsia="仿宋_GB2312"/>
          <w:sz w:val="28"/>
          <w:highlight w:val="none"/>
          <w:lang w:eastAsia="zh-CN"/>
        </w:rPr>
        <w:t>＋</w:t>
      </w:r>
      <w:r>
        <w:rPr>
          <w:rFonts w:hint="eastAsia" w:ascii="Arial" w:hAnsi="Arial" w:eastAsia="仿宋_GB2312"/>
          <w:sz w:val="28"/>
          <w:highlight w:val="none"/>
        </w:rPr>
        <w:t>房屋建设成本</w:t>
      </w:r>
      <w:r>
        <w:rPr>
          <w:rFonts w:hint="eastAsia" w:ascii="Arial" w:hAnsi="Arial" w:eastAsia="仿宋_GB2312"/>
          <w:sz w:val="28"/>
          <w:highlight w:val="none"/>
          <w:lang w:eastAsia="zh-CN"/>
        </w:rPr>
        <w:t>＋</w:t>
      </w:r>
      <w:r>
        <w:rPr>
          <w:rFonts w:hint="eastAsia" w:ascii="Arial" w:hAnsi="Arial" w:eastAsia="仿宋_GB2312"/>
          <w:sz w:val="28"/>
          <w:highlight w:val="none"/>
        </w:rPr>
        <w:t>管理费用</w:t>
      </w:r>
      <w:r>
        <w:rPr>
          <w:rFonts w:hint="eastAsia" w:ascii="Arial" w:hAnsi="Arial" w:eastAsia="仿宋_GB2312"/>
          <w:sz w:val="28"/>
          <w:highlight w:val="none"/>
          <w:lang w:eastAsia="zh-CN"/>
        </w:rPr>
        <w:t>＋</w:t>
      </w:r>
      <w:r>
        <w:rPr>
          <w:rFonts w:hint="eastAsia" w:ascii="Arial" w:hAnsi="Arial" w:eastAsia="仿宋_GB2312"/>
          <w:sz w:val="28"/>
          <w:highlight w:val="none"/>
        </w:rPr>
        <w:t>销售费用</w:t>
      </w:r>
      <w:r>
        <w:rPr>
          <w:rFonts w:hint="eastAsia" w:ascii="Arial" w:hAnsi="Arial" w:eastAsia="仿宋_GB2312"/>
          <w:sz w:val="28"/>
          <w:highlight w:val="none"/>
          <w:lang w:eastAsia="zh-CN"/>
        </w:rPr>
        <w:t>＋</w:t>
      </w:r>
      <w:r>
        <w:rPr>
          <w:rFonts w:hint="eastAsia" w:ascii="Arial" w:hAnsi="Arial" w:eastAsia="仿宋_GB2312"/>
          <w:sz w:val="28"/>
          <w:highlight w:val="none"/>
        </w:rPr>
        <w:t>投资利息</w:t>
      </w:r>
      <w:r>
        <w:rPr>
          <w:rFonts w:hint="eastAsia" w:ascii="Arial" w:hAnsi="Arial" w:eastAsia="仿宋_GB2312"/>
          <w:sz w:val="28"/>
          <w:highlight w:val="none"/>
          <w:lang w:eastAsia="zh-CN"/>
        </w:rPr>
        <w:t>＋</w:t>
      </w:r>
      <w:r>
        <w:rPr>
          <w:rFonts w:hint="eastAsia" w:ascii="Arial" w:hAnsi="Arial" w:eastAsia="仿宋_GB2312"/>
          <w:sz w:val="28"/>
          <w:highlight w:val="none"/>
        </w:rPr>
        <w:t>销售税费</w:t>
      </w:r>
    </w:p>
    <w:p w14:paraId="6AAF1D19">
      <w:pPr>
        <w:spacing w:line="300" w:lineRule="auto"/>
        <w:ind w:firstLine="560" w:firstLineChars="200"/>
        <w:jc w:val="both"/>
        <w:rPr>
          <w:rFonts w:hint="eastAsia" w:ascii="Arial" w:hAnsi="Arial" w:eastAsia="仿宋" w:cs="Arial"/>
          <w:bCs/>
          <w:sz w:val="21"/>
          <w:szCs w:val="21"/>
          <w:highlight w:val="none"/>
          <w:vertAlign w:val="subscript"/>
        </w:rPr>
      </w:pPr>
      <w:r>
        <w:rPr>
          <w:rFonts w:hint="eastAsia" w:ascii="Arial" w:hAnsi="Arial" w:eastAsia="仿宋_GB2312" w:cs="Arial"/>
          <w:sz w:val="28"/>
          <w:highlight w:val="none"/>
          <w:lang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99.0000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2.9700</w:t>
      </w: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8.6090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5.4343＋0.1038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16.8303－</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r>
        <w:rPr>
          <w:rFonts w:hint="eastAsia" w:ascii="Arial" w:hAnsi="Arial" w:eastAsia="仿宋" w:cs="Arial"/>
          <w:bCs/>
          <w:sz w:val="21"/>
          <w:szCs w:val="21"/>
          <w:highlight w:val="none"/>
          <w:vertAlign w:val="subscript"/>
        </w:rPr>
        <w:t>土</w:t>
      </w:r>
    </w:p>
    <w:p w14:paraId="2AD2A676">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132.8436</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0.0434</w:t>
      </w:r>
      <w:r>
        <w:rPr>
          <w:rFonts w:ascii="Arial" w:hAnsi="Arial" w:eastAsia="仿宋_GB2312"/>
          <w:sz w:val="28"/>
          <w:highlight w:val="none"/>
        </w:rPr>
        <w:t xml:space="preserve"> P</w:t>
      </w:r>
      <w:r>
        <w:rPr>
          <w:rFonts w:hint="eastAsia" w:ascii="仿宋_GB2312"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107509CD">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D</w:t>
      </w:r>
      <w:r>
        <w:rPr>
          <w:rFonts w:ascii="Arial" w:hAnsi="Arial" w:eastAsia="仿宋_GB2312"/>
          <w:sz w:val="28"/>
          <w:highlight w:val="none"/>
        </w:rPr>
        <w:t>.</w:t>
      </w:r>
      <w:r>
        <w:rPr>
          <w:rFonts w:hint="eastAsia" w:ascii="仿宋_GB2312" w:eastAsia="仿宋_GB2312"/>
          <w:sz w:val="28"/>
          <w:highlight w:val="none"/>
        </w:rPr>
        <w:t>开发利润（投资利润）</w:t>
      </w:r>
    </w:p>
    <w:p w14:paraId="716BB912">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开发利润是指房地产开发商投资房地产开发项目应取得的资金报酬及承担</w:t>
      </w:r>
      <w:r>
        <w:rPr>
          <w:rFonts w:hint="eastAsia" w:ascii="Arial" w:hAnsi="Arial" w:eastAsia="仿宋_GB2312" w:cs="Arial"/>
          <w:sz w:val="28"/>
          <w:highlight w:val="none"/>
          <w:lang w:val="en-US" w:eastAsia="zh-CN"/>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0717EE71">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根据《北京市国有建设用地使用权出让地价评估技术导则》（2026年2月10日实施），剩余法房地产开发投资利润率，参考区间值商业用途为20%－30%。估价对象位于北京市顺义区，结合估价对象容积率等自身条件，本次取其他商业服务用地开发商投资利润率为25%。</w:t>
      </w:r>
      <w:r>
        <w:rPr>
          <w:rFonts w:hint="eastAsia" w:ascii="仿宋_GB2312" w:eastAsia="仿宋_GB2312"/>
          <w:sz w:val="28"/>
          <w:highlight w:val="none"/>
        </w:rPr>
        <w:t>则有：</w:t>
      </w:r>
    </w:p>
    <w:p w14:paraId="059EC67D">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投资利润</w:t>
      </w:r>
    </w:p>
    <w:p w14:paraId="25708000">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＝（估价对象土地价格＋购地税费＋房屋建设成本＋管理费用＋销售费用）×投资利润率</w:t>
      </w:r>
    </w:p>
    <w:p w14:paraId="65CD8AB9">
      <w:pPr>
        <w:spacing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w:t>
      </w:r>
      <w:r>
        <w:rPr>
          <w:rFonts w:hint="eastAsia" w:ascii="仿宋_GB2312" w:eastAsia="仿宋_GB2312"/>
          <w:sz w:val="28"/>
          <w:highlight w:val="none"/>
        </w:rPr>
        <w:t xml:space="preserve"> </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Arial" w:hAnsi="Arial" w:eastAsia="仿宋_GB2312" w:cs="Arial"/>
          <w:sz w:val="28"/>
          <w:highlight w:val="none"/>
          <w:lang w:val="en-US" w:eastAsia="zh-CN"/>
        </w:rPr>
        <w:t>＋3.05%</w:t>
      </w:r>
      <w:r>
        <w:rPr>
          <w:rFonts w:hint="eastAsia" w:ascii="仿宋_GB2312" w:eastAsia="仿宋_GB2312"/>
          <w:sz w:val="28"/>
          <w:highlight w:val="none"/>
        </w:rPr>
        <w:t xml:space="preserve"> </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99.0000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2.9700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8.6090</w:t>
      </w:r>
      <w:r>
        <w:rPr>
          <w:rFonts w:hint="eastAsia" w:ascii="Arial" w:hAnsi="Arial" w:eastAsia="仿宋_GB2312" w:cs="Arial"/>
          <w:sz w:val="28"/>
          <w:highlight w:val="none"/>
          <w:lang w:val="en-US" w:eastAsia="zh-CN"/>
        </w:rPr>
        <w:t>）×25%</w:t>
      </w:r>
    </w:p>
    <w:p w14:paraId="4D6B60BE">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27.6448</w:t>
      </w:r>
      <w:r>
        <w:rPr>
          <w:rFonts w:hint="eastAsia" w:ascii="Arial" w:hAnsi="Arial" w:eastAsia="仿宋" w:cs="Arial"/>
          <w:sz w:val="28"/>
          <w:highlight w:val="none"/>
          <w:lang w:eastAsia="zh-CN"/>
        </w:rPr>
        <w:t>＋</w:t>
      </w:r>
      <w:r>
        <w:rPr>
          <w:rFonts w:ascii="Arial" w:hAnsi="Arial" w:eastAsia="仿宋" w:cs="Arial"/>
          <w:sz w:val="28"/>
          <w:highlight w:val="none"/>
        </w:rPr>
        <w:t>0.</w:t>
      </w:r>
      <w:r>
        <w:rPr>
          <w:rFonts w:hint="eastAsia" w:ascii="Arial" w:hAnsi="Arial" w:eastAsia="仿宋" w:cs="Arial"/>
          <w:sz w:val="28"/>
          <w:highlight w:val="none"/>
          <w:lang w:val="en-US" w:eastAsia="zh-CN"/>
        </w:rPr>
        <w:t>2576</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仿宋_GB2312" w:eastAsia="仿宋_GB2312"/>
          <w:sz w:val="28"/>
          <w:highlight w:val="none"/>
        </w:rPr>
        <w:t>（万元）</w:t>
      </w:r>
    </w:p>
    <w:p w14:paraId="1C1D700C">
      <w:pPr>
        <w:spacing w:before="120" w:beforeLines="50" w:after="120" w:afterLines="50" w:line="300" w:lineRule="auto"/>
        <w:ind w:firstLine="560" w:firstLineChars="200"/>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E.求取估价对象其他商业服务用地土地价格</w:t>
      </w:r>
    </w:p>
    <w:p w14:paraId="30602F9D">
      <w:pPr>
        <w:spacing w:before="120" w:beforeLines="50" w:after="120" w:afterLines="50" w:line="300" w:lineRule="auto"/>
        <w:ind w:firstLine="560" w:firstLineChars="200"/>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土地价格（</w:t>
      </w:r>
      <w:r>
        <w:rPr>
          <w:rFonts w:hint="eastAsia" w:ascii="Arial" w:hAnsi="Arial" w:eastAsia="仿宋_GB2312"/>
          <w:sz w:val="28"/>
          <w:highlight w:val="none"/>
          <w:vertAlign w:val="baseline"/>
          <w:lang w:val="en-US" w:eastAsia="zh-CN"/>
        </w:rPr>
        <w:t>P土</w:t>
      </w:r>
      <w:r>
        <w:rPr>
          <w:rFonts w:hint="eastAsia" w:ascii="Arial" w:hAnsi="Arial" w:eastAsia="仿宋_GB2312"/>
          <w:sz w:val="28"/>
          <w:highlight w:val="none"/>
          <w:lang w:val="en-US" w:eastAsia="zh-CN"/>
        </w:rPr>
        <w:t>）</w:t>
      </w:r>
    </w:p>
    <w:p w14:paraId="750F56CD">
      <w:pPr>
        <w:spacing w:before="120" w:beforeLines="50" w:after="120" w:afterLines="50" w:line="300" w:lineRule="auto"/>
        <w:ind w:firstLine="560" w:firstLineChars="200"/>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＝开发完成后的不动产总价－开发成本－开发利润</w:t>
      </w:r>
    </w:p>
    <w:p w14:paraId="5A3430C1">
      <w:pPr>
        <w:spacing w:before="120" w:beforeLines="50" w:after="120" w:afterLines="50" w:line="300" w:lineRule="auto"/>
        <w:ind w:left="557" w:leftChars="232" w:firstLine="0" w:firstLineChars="0"/>
        <w:rPr>
          <w:rFonts w:hint="eastAsia" w:ascii="Arial" w:hAnsi="Arial" w:eastAsia="仿宋" w:cs="Arial"/>
          <w:sz w:val="28"/>
          <w:highlight w:val="none"/>
          <w:vertAlign w:val="subscript"/>
        </w:rPr>
      </w:pPr>
      <w:r>
        <w:rPr>
          <w:rFonts w:hint="eastAsia" w:ascii="Arial" w:hAnsi="Arial" w:eastAsia="仿宋_GB2312"/>
          <w:sz w:val="28"/>
          <w:highlight w:val="none"/>
          <w:lang w:val="en-US" w:eastAsia="zh-CN"/>
        </w:rPr>
        <w:t>＝286.9680－（132.8436＋0.0434</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Arial" w:hAnsi="Arial" w:eastAsia="仿宋_GB2312"/>
          <w:sz w:val="28"/>
          <w:highlight w:val="none"/>
          <w:lang w:val="en-US" w:eastAsia="zh-CN"/>
        </w:rPr>
        <w:t>）－（27.6448＋0.2576</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p>
    <w:p w14:paraId="700D41E7">
      <w:pPr>
        <w:spacing w:before="120" w:beforeLines="50" w:after="120" w:afterLines="50" w:line="300" w:lineRule="auto"/>
        <w:ind w:left="557" w:leftChars="232" w:firstLine="0" w:firstLineChars="0"/>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＝97.2172（万元）</w:t>
      </w:r>
    </w:p>
    <w:p w14:paraId="33FDB00B">
      <w:pPr>
        <w:spacing w:before="50" w:after="50" w:line="300" w:lineRule="auto"/>
        <w:ind w:firstLine="560" w:firstLineChars="200"/>
        <w:rPr>
          <w:rFonts w:ascii="Arial" w:hAnsi="Arial" w:eastAsia="仿宋" w:cs="Arial"/>
          <w:spacing w:val="10"/>
          <w:sz w:val="28"/>
          <w:szCs w:val="28"/>
          <w:highlight w:val="none"/>
        </w:rPr>
      </w:pPr>
      <w:r>
        <w:rPr>
          <w:rFonts w:ascii="Arial" w:hAnsi="Arial" w:eastAsia="仿宋" w:cs="Arial"/>
          <w:sz w:val="28"/>
          <w:szCs w:val="28"/>
          <w:highlight w:val="none"/>
        </w:rPr>
        <w:t>商业用房</w:t>
      </w:r>
      <w:r>
        <w:rPr>
          <w:rFonts w:hint="eastAsia" w:ascii="Arial" w:hAnsi="Arial" w:eastAsia="仿宋" w:cs="Arial"/>
          <w:sz w:val="28"/>
          <w:szCs w:val="28"/>
          <w:highlight w:val="none"/>
          <w:lang w:eastAsia="zh-CN"/>
        </w:rPr>
        <w:t>楼面地价＝</w:t>
      </w:r>
      <w:r>
        <w:rPr>
          <w:rFonts w:ascii="Arial" w:hAnsi="Arial" w:eastAsia="仿宋" w:cs="Arial"/>
          <w:spacing w:val="10"/>
          <w:sz w:val="28"/>
          <w:szCs w:val="28"/>
          <w:highlight w:val="none"/>
        </w:rPr>
        <w:t>土地价格</w:t>
      </w:r>
      <w:r>
        <w:rPr>
          <w:rFonts w:hint="eastAsia" w:ascii="Arial" w:hAnsi="Arial" w:eastAsia="仿宋" w:cs="Arial"/>
          <w:spacing w:val="10"/>
          <w:sz w:val="28"/>
          <w:szCs w:val="28"/>
          <w:highlight w:val="none"/>
          <w:lang w:eastAsia="zh-CN"/>
        </w:rPr>
        <w:t>÷</w:t>
      </w:r>
      <w:r>
        <w:rPr>
          <w:rFonts w:ascii="Arial" w:hAnsi="Arial" w:eastAsia="仿宋" w:cs="Arial"/>
          <w:spacing w:val="10"/>
          <w:sz w:val="28"/>
          <w:szCs w:val="28"/>
          <w:highlight w:val="none"/>
        </w:rPr>
        <w:t>建筑规模</w:t>
      </w:r>
      <w:r>
        <w:rPr>
          <w:rFonts w:hint="eastAsia" w:ascii="Arial" w:hAnsi="Arial" w:eastAsia="仿宋" w:cs="Arial"/>
          <w:spacing w:val="10"/>
          <w:sz w:val="28"/>
          <w:szCs w:val="28"/>
          <w:highlight w:val="none"/>
          <w:lang w:eastAsia="zh-CN"/>
        </w:rPr>
        <w:t>×</w:t>
      </w:r>
      <w:r>
        <w:rPr>
          <w:rFonts w:ascii="Arial" w:hAnsi="Arial" w:eastAsia="仿宋" w:cs="Arial"/>
          <w:spacing w:val="10"/>
          <w:sz w:val="28"/>
          <w:szCs w:val="28"/>
          <w:highlight w:val="none"/>
        </w:rPr>
        <w:t>10000</w:t>
      </w:r>
    </w:p>
    <w:p w14:paraId="3378E4F8">
      <w:pPr>
        <w:spacing w:line="300" w:lineRule="auto"/>
        <w:ind w:firstLine="2800" w:firstLineChars="1000"/>
        <w:jc w:val="both"/>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97.2172</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176</w:t>
      </w:r>
      <w:r>
        <w:rPr>
          <w:rFonts w:hint="eastAsia" w:ascii="Arial" w:hAnsi="Arial" w:eastAsia="仿宋" w:cs="Arial"/>
          <w:sz w:val="28"/>
          <w:highlight w:val="none"/>
          <w:lang w:eastAsia="zh-CN"/>
        </w:rPr>
        <w:t>×</w:t>
      </w:r>
      <w:r>
        <w:rPr>
          <w:rFonts w:ascii="Arial" w:hAnsi="Arial" w:eastAsia="仿宋" w:cs="Arial"/>
          <w:sz w:val="28"/>
          <w:highlight w:val="none"/>
        </w:rPr>
        <w:t>10000</w:t>
      </w:r>
    </w:p>
    <w:p w14:paraId="6D3E9E86">
      <w:pPr>
        <w:spacing w:before="50" w:after="50" w:line="300" w:lineRule="auto"/>
        <w:ind w:firstLine="2800" w:firstLineChars="1000"/>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5524</w:t>
      </w:r>
      <w:r>
        <w:rPr>
          <w:rFonts w:ascii="Arial" w:hAnsi="Arial" w:eastAsia="仿宋" w:cs="Arial"/>
          <w:sz w:val="28"/>
          <w:highlight w:val="none"/>
        </w:rPr>
        <w:t>（元/平方米）</w:t>
      </w:r>
    </w:p>
    <w:p w14:paraId="56013E6E">
      <w:pPr>
        <w:spacing w:before="50" w:after="50" w:line="300" w:lineRule="auto"/>
        <w:jc w:val="center"/>
        <w:rPr>
          <w:rFonts w:ascii="Arial" w:hAnsi="Arial" w:eastAsia="仿宋" w:cs="Arial"/>
          <w:sz w:val="28"/>
          <w:highlight w:val="none"/>
        </w:rPr>
      </w:pPr>
      <w:r>
        <w:rPr>
          <w:rFonts w:ascii="Arial" w:hAnsi="Arial" w:eastAsia="仿宋_GB2312" w:cs="Arial"/>
          <w:sz w:val="28"/>
          <w:highlight w:val="none"/>
        </w:rPr>
        <w:br w:type="page"/>
      </w:r>
      <w:r>
        <w:rPr>
          <w:rFonts w:ascii="Arial" w:hAnsi="Arial" w:eastAsia="仿宋" w:cs="Arial"/>
          <w:sz w:val="28"/>
          <w:highlight w:val="none"/>
        </w:rPr>
        <w:t>剩余法测算表（</w:t>
      </w:r>
      <w:r>
        <w:rPr>
          <w:rFonts w:hint="eastAsia" w:ascii="Arial" w:hAnsi="Arial" w:eastAsia="仿宋" w:cs="Arial"/>
          <w:sz w:val="28"/>
          <w:highlight w:val="none"/>
          <w:lang w:eastAsia="zh-CN"/>
        </w:rPr>
        <w:t>其他商业服务业用地</w:t>
      </w:r>
      <w:r>
        <w:rPr>
          <w:rFonts w:ascii="Arial" w:hAnsi="Arial" w:eastAsia="仿宋" w:cs="Arial"/>
          <w:sz w:val="28"/>
          <w:highlight w:val="none"/>
        </w:rPr>
        <w:t>）</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1"/>
        <w:gridCol w:w="2497"/>
        <w:gridCol w:w="1890"/>
        <w:gridCol w:w="1462"/>
        <w:gridCol w:w="2944"/>
      </w:tblGrid>
      <w:tr w14:paraId="3D4D9CB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1AB2AD9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序号</w:t>
            </w:r>
          </w:p>
        </w:tc>
        <w:tc>
          <w:tcPr>
            <w:tcW w:w="1327" w:type="pct"/>
            <w:shd w:val="clear" w:color="auto" w:fill="auto"/>
            <w:noWrap/>
            <w:vAlign w:val="center"/>
          </w:tcPr>
          <w:p w14:paraId="11DB8EE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项目名称</w:t>
            </w:r>
          </w:p>
        </w:tc>
        <w:tc>
          <w:tcPr>
            <w:tcW w:w="1004" w:type="pct"/>
            <w:shd w:val="clear" w:color="auto" w:fill="auto"/>
            <w:noWrap/>
            <w:vAlign w:val="center"/>
          </w:tcPr>
          <w:p w14:paraId="717E6BA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总额</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万元）</w:t>
            </w:r>
          </w:p>
        </w:tc>
        <w:tc>
          <w:tcPr>
            <w:tcW w:w="777" w:type="pct"/>
            <w:shd w:val="clear" w:color="auto" w:fill="auto"/>
            <w:noWrap/>
            <w:vAlign w:val="center"/>
          </w:tcPr>
          <w:p w14:paraId="29ADCCC5">
            <w:pPr>
              <w:widowControl/>
              <w:adjustRightInd/>
              <w:spacing w:line="240" w:lineRule="exact"/>
              <w:textAlignment w:val="auto"/>
              <w:rPr>
                <w:rFonts w:hint="default" w:ascii="Arial" w:hAnsi="Arial" w:eastAsia="仿宋" w:cs="Arial"/>
                <w:bCs/>
                <w:sz w:val="21"/>
                <w:szCs w:val="21"/>
                <w:highlight w:val="none"/>
                <w:lang w:val="en-US" w:eastAsia="zh-CN"/>
              </w:rPr>
            </w:pPr>
            <w:r>
              <w:rPr>
                <w:rFonts w:ascii="Arial" w:hAnsi="Arial" w:eastAsia="仿宋" w:cs="Arial"/>
                <w:bCs/>
                <w:sz w:val="21"/>
                <w:szCs w:val="21"/>
                <w:highlight w:val="none"/>
              </w:rPr>
              <w:t>单价</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元/㎡）</w:t>
            </w:r>
          </w:p>
        </w:tc>
        <w:tc>
          <w:tcPr>
            <w:tcW w:w="1565" w:type="pct"/>
          </w:tcPr>
          <w:p w14:paraId="568D823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备注</w:t>
            </w:r>
          </w:p>
        </w:tc>
      </w:tr>
      <w:tr w14:paraId="2237D82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EA24BB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p>
        </w:tc>
        <w:tc>
          <w:tcPr>
            <w:tcW w:w="1327" w:type="pct"/>
            <w:shd w:val="clear" w:color="auto" w:fill="auto"/>
            <w:noWrap/>
            <w:vAlign w:val="center"/>
          </w:tcPr>
          <w:p w14:paraId="568A7FAD">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开发完成后不动产总价</w:t>
            </w:r>
          </w:p>
        </w:tc>
        <w:tc>
          <w:tcPr>
            <w:tcW w:w="1833" w:type="dxa"/>
            <w:shd w:val="clear" w:color="auto" w:fill="auto"/>
            <w:noWrap/>
            <w:vAlign w:val="center"/>
          </w:tcPr>
          <w:p w14:paraId="24727C6E">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286.9680 </w:t>
            </w:r>
          </w:p>
        </w:tc>
        <w:tc>
          <w:tcPr>
            <w:tcW w:w="1418" w:type="dxa"/>
            <w:shd w:val="clear" w:color="auto" w:fill="auto"/>
            <w:noWrap/>
            <w:vAlign w:val="center"/>
          </w:tcPr>
          <w:p w14:paraId="7D6468DE">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16305 </w:t>
            </w:r>
          </w:p>
        </w:tc>
        <w:tc>
          <w:tcPr>
            <w:tcW w:w="1565" w:type="pct"/>
          </w:tcPr>
          <w:p w14:paraId="0C9A15BC">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销售价格</w:t>
            </w:r>
            <w:r>
              <w:rPr>
                <w:rFonts w:hint="eastAsia" w:ascii="Arial" w:hAnsi="Arial" w:eastAsia="仿宋" w:cs="Arial"/>
                <w:bCs/>
                <w:sz w:val="21"/>
                <w:szCs w:val="21"/>
                <w:highlight w:val="none"/>
                <w:lang w:val="en-US" w:eastAsia="zh-CN"/>
              </w:rPr>
              <w:t>×</w:t>
            </w:r>
            <w:r>
              <w:rPr>
                <w:rFonts w:ascii="Arial" w:hAnsi="Arial" w:eastAsia="仿宋" w:cs="Arial"/>
                <w:bCs/>
                <w:sz w:val="21"/>
                <w:szCs w:val="21"/>
                <w:highlight w:val="none"/>
              </w:rPr>
              <w:t>可收益建筑面积</w:t>
            </w:r>
          </w:p>
        </w:tc>
      </w:tr>
      <w:tr w14:paraId="631DBD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112E76FF">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2</w:t>
            </w:r>
          </w:p>
        </w:tc>
        <w:tc>
          <w:tcPr>
            <w:tcW w:w="1327" w:type="pct"/>
            <w:shd w:val="clear" w:color="auto" w:fill="auto"/>
            <w:noWrap/>
            <w:vAlign w:val="center"/>
          </w:tcPr>
          <w:p w14:paraId="028052B1">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开发成本</w:t>
            </w:r>
          </w:p>
        </w:tc>
        <w:tc>
          <w:tcPr>
            <w:tcW w:w="1833" w:type="dxa"/>
            <w:shd w:val="clear" w:color="auto" w:fill="auto"/>
            <w:noWrap/>
            <w:vAlign w:val="center"/>
          </w:tcPr>
          <w:p w14:paraId="7BDB9A01">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137.0628 </w:t>
            </w:r>
          </w:p>
        </w:tc>
        <w:tc>
          <w:tcPr>
            <w:tcW w:w="1418" w:type="dxa"/>
            <w:shd w:val="clear" w:color="auto" w:fill="auto"/>
            <w:noWrap/>
            <w:vAlign w:val="center"/>
          </w:tcPr>
          <w:p w14:paraId="70AA1E89">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7788 </w:t>
            </w:r>
          </w:p>
        </w:tc>
        <w:tc>
          <w:tcPr>
            <w:tcW w:w="1565" w:type="pct"/>
          </w:tcPr>
          <w:p w14:paraId="4EC2843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6</w:t>
            </w:r>
            <w:r>
              <w:rPr>
                <w:rFonts w:ascii="Arial" w:hAnsi="Arial" w:eastAsia="仿宋" w:cs="Arial"/>
                <w:bCs/>
                <w:sz w:val="21"/>
                <w:szCs w:val="21"/>
                <w:highlight w:val="none"/>
              </w:rPr>
              <w:t>）之和</w:t>
            </w:r>
          </w:p>
        </w:tc>
      </w:tr>
      <w:tr w14:paraId="14EA524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9621A60">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p>
        </w:tc>
        <w:tc>
          <w:tcPr>
            <w:tcW w:w="1327" w:type="pct"/>
            <w:shd w:val="clear" w:color="auto" w:fill="auto"/>
            <w:noWrap/>
            <w:vAlign w:val="center"/>
          </w:tcPr>
          <w:p w14:paraId="23F6FC89">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购地税费</w:t>
            </w:r>
          </w:p>
        </w:tc>
        <w:tc>
          <w:tcPr>
            <w:tcW w:w="1833" w:type="dxa"/>
            <w:shd w:val="clear" w:color="auto" w:fill="auto"/>
            <w:noWrap/>
            <w:vAlign w:val="center"/>
          </w:tcPr>
          <w:p w14:paraId="47F9485A">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2.4156 </w:t>
            </w:r>
          </w:p>
        </w:tc>
        <w:tc>
          <w:tcPr>
            <w:tcW w:w="1418" w:type="dxa"/>
            <w:shd w:val="clear" w:color="auto" w:fill="auto"/>
            <w:noWrap/>
            <w:vAlign w:val="center"/>
          </w:tcPr>
          <w:p w14:paraId="5AE7B0D6">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137 </w:t>
            </w:r>
          </w:p>
        </w:tc>
        <w:tc>
          <w:tcPr>
            <w:tcW w:w="1565" w:type="pct"/>
          </w:tcPr>
          <w:p w14:paraId="421832CD">
            <w:pPr>
              <w:widowControl/>
              <w:adjustRightInd/>
              <w:spacing w:line="240" w:lineRule="exact"/>
              <w:textAlignment w:val="auto"/>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r>
      <w:tr w14:paraId="4B334B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9570563">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2</w:t>
            </w:r>
            <w:r>
              <w:rPr>
                <w:rFonts w:ascii="Arial" w:hAnsi="Arial" w:eastAsia="仿宋" w:cs="Arial"/>
                <w:bCs/>
                <w:sz w:val="21"/>
                <w:szCs w:val="21"/>
                <w:highlight w:val="none"/>
              </w:rPr>
              <w:t>）</w:t>
            </w:r>
          </w:p>
        </w:tc>
        <w:tc>
          <w:tcPr>
            <w:tcW w:w="1327" w:type="pct"/>
            <w:shd w:val="clear" w:color="auto" w:fill="auto"/>
            <w:noWrap/>
            <w:vAlign w:val="center"/>
          </w:tcPr>
          <w:p w14:paraId="4852A9FB">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房屋建设成本</w:t>
            </w:r>
          </w:p>
        </w:tc>
        <w:tc>
          <w:tcPr>
            <w:tcW w:w="1833" w:type="dxa"/>
            <w:shd w:val="clear" w:color="auto" w:fill="auto"/>
            <w:noWrap/>
            <w:vAlign w:val="center"/>
          </w:tcPr>
          <w:p w14:paraId="591290B6">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99.0000 </w:t>
            </w:r>
          </w:p>
        </w:tc>
        <w:tc>
          <w:tcPr>
            <w:tcW w:w="1418" w:type="dxa"/>
            <w:shd w:val="clear" w:color="auto" w:fill="auto"/>
            <w:noWrap/>
            <w:vAlign w:val="center"/>
          </w:tcPr>
          <w:p w14:paraId="13BD6E5F">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5625 </w:t>
            </w:r>
          </w:p>
        </w:tc>
        <w:tc>
          <w:tcPr>
            <w:tcW w:w="1565" w:type="pct"/>
          </w:tcPr>
          <w:p w14:paraId="3EE4A59C">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下述</w:t>
            </w:r>
            <w:r>
              <w:rPr>
                <w:rFonts w:hint="eastAsia" w:ascii="Arial" w:hAnsi="Arial" w:eastAsia="仿宋" w:cs="Arial"/>
                <w:sz w:val="21"/>
                <w:szCs w:val="21"/>
                <w:highlight w:val="none"/>
                <w:lang w:val="en-US" w:eastAsia="zh-CN"/>
              </w:rPr>
              <w:t>6</w:t>
            </w:r>
            <w:r>
              <w:rPr>
                <w:rFonts w:ascii="Arial" w:hAnsi="Arial" w:eastAsia="仿宋" w:cs="Arial"/>
                <w:sz w:val="21"/>
                <w:szCs w:val="21"/>
                <w:highlight w:val="none"/>
              </w:rPr>
              <w:t>项之和</w:t>
            </w:r>
          </w:p>
        </w:tc>
      </w:tr>
      <w:tr w14:paraId="47740F1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44F611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c>
          <w:tcPr>
            <w:tcW w:w="1327" w:type="pct"/>
            <w:shd w:val="clear" w:color="auto" w:fill="auto"/>
            <w:noWrap/>
            <w:vAlign w:val="center"/>
          </w:tcPr>
          <w:p w14:paraId="71A40486">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建筑安装工程费</w:t>
            </w:r>
          </w:p>
        </w:tc>
        <w:tc>
          <w:tcPr>
            <w:tcW w:w="1833" w:type="dxa"/>
            <w:shd w:val="clear" w:color="auto" w:fill="auto"/>
            <w:noWrap/>
            <w:vAlign w:val="center"/>
          </w:tcPr>
          <w:p w14:paraId="1966E694">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79.2000 </w:t>
            </w:r>
          </w:p>
        </w:tc>
        <w:tc>
          <w:tcPr>
            <w:tcW w:w="1418" w:type="dxa"/>
            <w:shd w:val="clear" w:color="auto" w:fill="auto"/>
            <w:noWrap/>
            <w:vAlign w:val="center"/>
          </w:tcPr>
          <w:p w14:paraId="1452FD74">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4500 </w:t>
            </w:r>
          </w:p>
        </w:tc>
        <w:tc>
          <w:tcPr>
            <w:tcW w:w="1565" w:type="pct"/>
          </w:tcPr>
          <w:p w14:paraId="1756810F">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考虑托幼用地建设成本</w:t>
            </w:r>
          </w:p>
        </w:tc>
      </w:tr>
      <w:tr w14:paraId="5511D2F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378154B">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w:t>
            </w:r>
          </w:p>
        </w:tc>
        <w:tc>
          <w:tcPr>
            <w:tcW w:w="1327" w:type="pct"/>
            <w:shd w:val="clear" w:color="auto" w:fill="auto"/>
            <w:noWrap/>
            <w:vAlign w:val="center"/>
          </w:tcPr>
          <w:p w14:paraId="4EDE7565">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前期费用</w:t>
            </w:r>
          </w:p>
        </w:tc>
        <w:tc>
          <w:tcPr>
            <w:tcW w:w="1833" w:type="dxa"/>
            <w:shd w:val="clear" w:color="auto" w:fill="auto"/>
            <w:noWrap/>
            <w:vAlign w:val="center"/>
          </w:tcPr>
          <w:p w14:paraId="75395AB4">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6.3360 </w:t>
            </w:r>
          </w:p>
        </w:tc>
        <w:tc>
          <w:tcPr>
            <w:tcW w:w="1418" w:type="dxa"/>
            <w:shd w:val="clear" w:color="auto" w:fill="auto"/>
            <w:noWrap/>
            <w:vAlign w:val="center"/>
          </w:tcPr>
          <w:p w14:paraId="163DB1BD">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360 </w:t>
            </w:r>
          </w:p>
        </w:tc>
        <w:tc>
          <w:tcPr>
            <w:tcW w:w="1565" w:type="pct"/>
          </w:tcPr>
          <w:p w14:paraId="579967A9">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建筑安装工程费×8%</w:t>
            </w:r>
          </w:p>
        </w:tc>
      </w:tr>
      <w:tr w14:paraId="1CD6568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701016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w:t>
            </w:r>
          </w:p>
        </w:tc>
        <w:tc>
          <w:tcPr>
            <w:tcW w:w="1327" w:type="pct"/>
            <w:shd w:val="clear" w:color="auto" w:fill="auto"/>
            <w:noWrap/>
            <w:vAlign w:val="center"/>
          </w:tcPr>
          <w:p w14:paraId="34351026">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基础设施建设费</w:t>
            </w:r>
          </w:p>
        </w:tc>
        <w:tc>
          <w:tcPr>
            <w:tcW w:w="1833" w:type="dxa"/>
            <w:shd w:val="clear" w:color="auto" w:fill="auto"/>
            <w:noWrap/>
            <w:vAlign w:val="center"/>
          </w:tcPr>
          <w:p w14:paraId="78DF126E">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7.9200 </w:t>
            </w:r>
          </w:p>
        </w:tc>
        <w:tc>
          <w:tcPr>
            <w:tcW w:w="1418" w:type="dxa"/>
            <w:shd w:val="clear" w:color="auto" w:fill="auto"/>
            <w:noWrap/>
            <w:vAlign w:val="center"/>
          </w:tcPr>
          <w:p w14:paraId="1A23A575">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450 </w:t>
            </w:r>
          </w:p>
        </w:tc>
        <w:tc>
          <w:tcPr>
            <w:tcW w:w="1565" w:type="pct"/>
          </w:tcPr>
          <w:p w14:paraId="6AE66541">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建筑安装工程费×8%</w:t>
            </w:r>
          </w:p>
        </w:tc>
      </w:tr>
      <w:tr w14:paraId="4CD3DBB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8E908D4">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4）</w:t>
            </w:r>
          </w:p>
        </w:tc>
        <w:tc>
          <w:tcPr>
            <w:tcW w:w="1327" w:type="pct"/>
            <w:shd w:val="clear" w:color="auto" w:fill="auto"/>
            <w:noWrap/>
            <w:vAlign w:val="center"/>
          </w:tcPr>
          <w:p w14:paraId="5CF8EE9F">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公共配套设施费用</w:t>
            </w:r>
          </w:p>
        </w:tc>
        <w:tc>
          <w:tcPr>
            <w:tcW w:w="1833" w:type="dxa"/>
            <w:shd w:val="clear" w:color="auto" w:fill="auto"/>
            <w:noWrap/>
            <w:vAlign w:val="center"/>
          </w:tcPr>
          <w:p w14:paraId="64C1D7D7">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0.0000 </w:t>
            </w:r>
          </w:p>
        </w:tc>
        <w:tc>
          <w:tcPr>
            <w:tcW w:w="1418" w:type="dxa"/>
            <w:shd w:val="clear" w:color="auto" w:fill="auto"/>
            <w:noWrap/>
            <w:vAlign w:val="center"/>
          </w:tcPr>
          <w:p w14:paraId="536490BC">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0 </w:t>
            </w:r>
          </w:p>
        </w:tc>
        <w:tc>
          <w:tcPr>
            <w:tcW w:w="1565" w:type="pct"/>
          </w:tcPr>
          <w:p w14:paraId="1D8BCBB6">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建筑安装工程费×10%</w:t>
            </w:r>
          </w:p>
        </w:tc>
      </w:tr>
      <w:tr w14:paraId="0A20E21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65A81A8">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327" w:type="pct"/>
            <w:shd w:val="clear" w:color="auto" w:fill="auto"/>
            <w:noWrap/>
            <w:vAlign w:val="center"/>
          </w:tcPr>
          <w:p w14:paraId="72ACE68A">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开发期间税费</w:t>
            </w:r>
          </w:p>
        </w:tc>
        <w:tc>
          <w:tcPr>
            <w:tcW w:w="1833" w:type="dxa"/>
            <w:shd w:val="clear" w:color="auto" w:fill="auto"/>
            <w:noWrap/>
            <w:vAlign w:val="center"/>
          </w:tcPr>
          <w:p w14:paraId="1360E861">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1.5840 </w:t>
            </w:r>
          </w:p>
        </w:tc>
        <w:tc>
          <w:tcPr>
            <w:tcW w:w="1418" w:type="dxa"/>
            <w:shd w:val="clear" w:color="auto" w:fill="auto"/>
            <w:noWrap/>
            <w:vAlign w:val="center"/>
          </w:tcPr>
          <w:p w14:paraId="2FF9B2BC">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90 </w:t>
            </w:r>
          </w:p>
        </w:tc>
        <w:tc>
          <w:tcPr>
            <w:tcW w:w="1565" w:type="pct"/>
            <w:vAlign w:val="center"/>
          </w:tcPr>
          <w:p w14:paraId="60A144FF">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bCs/>
                <w:sz w:val="21"/>
                <w:szCs w:val="21"/>
                <w:highlight w:val="none"/>
                <w:lang w:val="en-US" w:eastAsia="zh-CN"/>
              </w:rPr>
              <w:t>建筑安装工程费×2%</w:t>
            </w:r>
          </w:p>
        </w:tc>
      </w:tr>
      <w:tr w14:paraId="00FE54D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E211BB8">
            <w:pPr>
              <w:widowControl/>
              <w:adjustRightInd/>
              <w:spacing w:line="240" w:lineRule="exact"/>
              <w:textAlignment w:val="auto"/>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6）</w:t>
            </w:r>
          </w:p>
        </w:tc>
        <w:tc>
          <w:tcPr>
            <w:tcW w:w="1327" w:type="pct"/>
            <w:shd w:val="clear" w:color="auto" w:fill="auto"/>
            <w:noWrap/>
            <w:vAlign w:val="center"/>
          </w:tcPr>
          <w:p w14:paraId="44A5DDBF">
            <w:pPr>
              <w:widowControl/>
              <w:adjustRightInd/>
              <w:spacing w:line="240" w:lineRule="exact"/>
              <w:textAlignment w:val="auto"/>
              <w:rPr>
                <w:rFonts w:hint="eastAsia" w:ascii="Arial" w:hAnsi="Arial" w:eastAsia="仿宋" w:cs="Arial"/>
                <w:sz w:val="21"/>
                <w:szCs w:val="21"/>
                <w:highlight w:val="none"/>
              </w:rPr>
            </w:pPr>
            <w:r>
              <w:rPr>
                <w:rFonts w:hint="eastAsia" w:ascii="Arial" w:hAnsi="Arial" w:eastAsia="仿宋" w:cs="Arial"/>
                <w:sz w:val="21"/>
                <w:szCs w:val="21"/>
                <w:highlight w:val="none"/>
              </w:rPr>
              <w:t>其他工程费</w:t>
            </w:r>
          </w:p>
        </w:tc>
        <w:tc>
          <w:tcPr>
            <w:tcW w:w="1833" w:type="dxa"/>
            <w:shd w:val="clear" w:color="auto" w:fill="auto"/>
            <w:noWrap/>
            <w:vAlign w:val="center"/>
          </w:tcPr>
          <w:p w14:paraId="0A2B9B2E">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3.9600 </w:t>
            </w:r>
          </w:p>
        </w:tc>
        <w:tc>
          <w:tcPr>
            <w:tcW w:w="1418" w:type="dxa"/>
            <w:shd w:val="clear" w:color="auto" w:fill="auto"/>
            <w:noWrap/>
            <w:vAlign w:val="center"/>
          </w:tcPr>
          <w:p w14:paraId="17B504B5">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225 </w:t>
            </w:r>
          </w:p>
        </w:tc>
        <w:tc>
          <w:tcPr>
            <w:tcW w:w="1565" w:type="pct"/>
            <w:vAlign w:val="center"/>
          </w:tcPr>
          <w:p w14:paraId="2E35BB0C">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bCs/>
                <w:sz w:val="21"/>
                <w:szCs w:val="21"/>
                <w:highlight w:val="none"/>
                <w:lang w:val="en-US" w:eastAsia="zh-CN"/>
              </w:rPr>
              <w:t>建筑安装工程费×5%</w:t>
            </w:r>
          </w:p>
        </w:tc>
      </w:tr>
      <w:tr w14:paraId="7552B91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7DC7ABD3">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3</w:t>
            </w:r>
            <w:r>
              <w:rPr>
                <w:rFonts w:ascii="Arial" w:hAnsi="Arial" w:eastAsia="仿宋" w:cs="Arial"/>
                <w:bCs/>
                <w:sz w:val="21"/>
                <w:szCs w:val="21"/>
                <w:highlight w:val="none"/>
              </w:rPr>
              <w:t>）</w:t>
            </w:r>
          </w:p>
        </w:tc>
        <w:tc>
          <w:tcPr>
            <w:tcW w:w="1327" w:type="pct"/>
            <w:shd w:val="clear" w:color="auto" w:fill="auto"/>
            <w:noWrap/>
            <w:vAlign w:val="center"/>
          </w:tcPr>
          <w:p w14:paraId="6ED034F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管理费用</w:t>
            </w:r>
          </w:p>
        </w:tc>
        <w:tc>
          <w:tcPr>
            <w:tcW w:w="1833" w:type="dxa"/>
            <w:shd w:val="clear" w:color="auto" w:fill="auto"/>
            <w:noWrap/>
            <w:vAlign w:val="center"/>
          </w:tcPr>
          <w:p w14:paraId="1EC8A1A6">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2.9700 </w:t>
            </w:r>
          </w:p>
        </w:tc>
        <w:tc>
          <w:tcPr>
            <w:tcW w:w="1418" w:type="dxa"/>
            <w:shd w:val="clear" w:color="auto" w:fill="auto"/>
            <w:noWrap/>
            <w:vAlign w:val="center"/>
          </w:tcPr>
          <w:p w14:paraId="0F383A8E">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169 </w:t>
            </w:r>
          </w:p>
        </w:tc>
        <w:tc>
          <w:tcPr>
            <w:tcW w:w="1565" w:type="pct"/>
          </w:tcPr>
          <w:p w14:paraId="050D6F4C">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房屋建设成本</w:t>
            </w:r>
            <w:r>
              <w:rPr>
                <w:rFonts w:hint="eastAsia" w:ascii="Arial" w:hAnsi="Arial" w:eastAsia="仿宋" w:cs="Arial"/>
                <w:bCs/>
                <w:sz w:val="21"/>
                <w:szCs w:val="21"/>
                <w:highlight w:val="none"/>
                <w:lang w:val="en-US" w:eastAsia="zh-CN"/>
              </w:rPr>
              <w:t>×3%</w:t>
            </w:r>
          </w:p>
        </w:tc>
      </w:tr>
      <w:tr w14:paraId="0BAFA41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BA75051">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4</w:t>
            </w:r>
            <w:r>
              <w:rPr>
                <w:rFonts w:ascii="Arial" w:hAnsi="Arial" w:eastAsia="仿宋" w:cs="Arial"/>
                <w:bCs/>
                <w:sz w:val="21"/>
                <w:szCs w:val="21"/>
                <w:highlight w:val="none"/>
              </w:rPr>
              <w:t>）</w:t>
            </w:r>
          </w:p>
        </w:tc>
        <w:tc>
          <w:tcPr>
            <w:tcW w:w="1327" w:type="pct"/>
            <w:shd w:val="clear" w:color="auto" w:fill="auto"/>
            <w:noWrap/>
            <w:vAlign w:val="center"/>
          </w:tcPr>
          <w:p w14:paraId="6444CB29">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销售费用</w:t>
            </w:r>
          </w:p>
        </w:tc>
        <w:tc>
          <w:tcPr>
            <w:tcW w:w="1833" w:type="dxa"/>
            <w:shd w:val="clear" w:color="auto" w:fill="auto"/>
            <w:noWrap/>
            <w:vAlign w:val="center"/>
          </w:tcPr>
          <w:p w14:paraId="49D1EA95">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8.6090 </w:t>
            </w:r>
          </w:p>
        </w:tc>
        <w:tc>
          <w:tcPr>
            <w:tcW w:w="1418" w:type="dxa"/>
            <w:shd w:val="clear" w:color="auto" w:fill="auto"/>
            <w:noWrap/>
            <w:vAlign w:val="center"/>
          </w:tcPr>
          <w:p w14:paraId="47A2EFC7">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489 </w:t>
            </w:r>
          </w:p>
        </w:tc>
        <w:tc>
          <w:tcPr>
            <w:tcW w:w="1565" w:type="pct"/>
          </w:tcPr>
          <w:p w14:paraId="22BD449D">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开发完成后不动产总价</w:t>
            </w:r>
            <w:r>
              <w:rPr>
                <w:rFonts w:hint="eastAsia" w:ascii="Arial" w:hAnsi="Arial" w:eastAsia="仿宋" w:cs="Arial"/>
                <w:bCs/>
                <w:sz w:val="21"/>
                <w:szCs w:val="21"/>
                <w:highlight w:val="none"/>
                <w:lang w:val="en-US" w:eastAsia="zh-CN"/>
              </w:rPr>
              <w:t>×3%</w:t>
            </w:r>
          </w:p>
        </w:tc>
      </w:tr>
      <w:tr w14:paraId="2A761F2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43D100F7">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5</w:t>
            </w:r>
            <w:r>
              <w:rPr>
                <w:rFonts w:ascii="Arial" w:hAnsi="Arial" w:eastAsia="仿宋" w:cs="Arial"/>
                <w:bCs/>
                <w:sz w:val="21"/>
                <w:szCs w:val="21"/>
                <w:highlight w:val="none"/>
              </w:rPr>
              <w:t>）</w:t>
            </w:r>
          </w:p>
        </w:tc>
        <w:tc>
          <w:tcPr>
            <w:tcW w:w="1327" w:type="pct"/>
            <w:shd w:val="clear" w:color="auto" w:fill="auto"/>
            <w:noWrap/>
            <w:vAlign w:val="center"/>
          </w:tcPr>
          <w:p w14:paraId="60CEB2A0">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投资利息</w:t>
            </w:r>
          </w:p>
        </w:tc>
        <w:tc>
          <w:tcPr>
            <w:tcW w:w="1833" w:type="dxa"/>
            <w:shd w:val="clear" w:color="auto" w:fill="auto"/>
            <w:noWrap/>
            <w:vAlign w:val="center"/>
          </w:tcPr>
          <w:p w14:paraId="1E55E2CC">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15.5254 </w:t>
            </w:r>
          </w:p>
        </w:tc>
        <w:tc>
          <w:tcPr>
            <w:tcW w:w="1418" w:type="dxa"/>
            <w:shd w:val="clear" w:color="auto" w:fill="auto"/>
            <w:noWrap/>
            <w:vAlign w:val="center"/>
          </w:tcPr>
          <w:p w14:paraId="6A91E649">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882 </w:t>
            </w:r>
          </w:p>
        </w:tc>
        <w:tc>
          <w:tcPr>
            <w:tcW w:w="1565" w:type="pct"/>
          </w:tcPr>
          <w:p w14:paraId="4D79C710">
            <w:pPr>
              <w:widowControl/>
              <w:adjustRightInd/>
              <w:spacing w:line="240" w:lineRule="exact"/>
              <w:textAlignment w:val="auto"/>
              <w:rPr>
                <w:rFonts w:hint="eastAsia" w:ascii="Arial" w:hAnsi="Arial" w:eastAsia="仿宋" w:cs="Arial"/>
                <w:sz w:val="21"/>
                <w:szCs w:val="21"/>
                <w:highlight w:val="none"/>
                <w:lang w:eastAsia="zh-CN"/>
              </w:rPr>
            </w:pPr>
            <w:r>
              <w:rPr>
                <w:rFonts w:hint="eastAsia" w:ascii="Arial" w:hAnsi="Arial" w:eastAsia="仿宋" w:cs="Arial"/>
                <w:sz w:val="21"/>
                <w:szCs w:val="21"/>
                <w:highlight w:val="none"/>
              </w:rPr>
              <w:t>地价款和购地税费全周期计息，房屋建设成本、管理费用、销售费用等预付资本应根据开发周期均匀投入计息</w:t>
            </w:r>
            <w:r>
              <w:rPr>
                <w:rFonts w:hint="eastAsia" w:ascii="Arial" w:hAnsi="Arial" w:eastAsia="仿宋" w:cs="Arial"/>
                <w:sz w:val="21"/>
                <w:szCs w:val="21"/>
                <w:highlight w:val="none"/>
                <w:lang w:eastAsia="zh-CN"/>
              </w:rPr>
              <w:t>，贷款利率取3.25%</w:t>
            </w:r>
          </w:p>
        </w:tc>
      </w:tr>
      <w:tr w14:paraId="79BEA48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E45386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6</w:t>
            </w:r>
            <w:r>
              <w:rPr>
                <w:rFonts w:ascii="Arial" w:hAnsi="Arial" w:eastAsia="仿宋" w:cs="Arial"/>
                <w:bCs/>
                <w:sz w:val="21"/>
                <w:szCs w:val="21"/>
                <w:highlight w:val="none"/>
              </w:rPr>
              <w:t>）</w:t>
            </w:r>
          </w:p>
        </w:tc>
        <w:tc>
          <w:tcPr>
            <w:tcW w:w="1327" w:type="pct"/>
            <w:shd w:val="clear" w:color="auto" w:fill="auto"/>
            <w:noWrap/>
            <w:vAlign w:val="center"/>
          </w:tcPr>
          <w:p w14:paraId="336EC2FC">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销售税费</w:t>
            </w:r>
          </w:p>
        </w:tc>
        <w:tc>
          <w:tcPr>
            <w:tcW w:w="1833" w:type="dxa"/>
            <w:shd w:val="clear" w:color="auto" w:fill="auto"/>
            <w:noWrap/>
            <w:vAlign w:val="center"/>
          </w:tcPr>
          <w:p w14:paraId="4AE36095">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25.6673 </w:t>
            </w:r>
          </w:p>
        </w:tc>
        <w:tc>
          <w:tcPr>
            <w:tcW w:w="1418" w:type="dxa"/>
            <w:shd w:val="clear" w:color="auto" w:fill="auto"/>
            <w:noWrap/>
            <w:vAlign w:val="center"/>
          </w:tcPr>
          <w:p w14:paraId="508B5A1A">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1458 </w:t>
            </w:r>
          </w:p>
        </w:tc>
        <w:tc>
          <w:tcPr>
            <w:tcW w:w="1565" w:type="pct"/>
          </w:tcPr>
          <w:p w14:paraId="0700856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以“开发完成后不动产总价/（1</w:t>
            </w:r>
            <w:r>
              <w:rPr>
                <w:rFonts w:hint="eastAsia" w:ascii="Arial" w:hAnsi="Arial" w:eastAsia="仿宋" w:cs="Arial"/>
                <w:sz w:val="21"/>
                <w:szCs w:val="21"/>
                <w:highlight w:val="none"/>
                <w:lang w:eastAsia="zh-CN"/>
              </w:rPr>
              <w:t>＋</w:t>
            </w:r>
            <w:r>
              <w:rPr>
                <w:rFonts w:ascii="Arial" w:hAnsi="Arial" w:eastAsia="仿宋" w:cs="Arial"/>
                <w:sz w:val="21"/>
                <w:szCs w:val="21"/>
                <w:highlight w:val="none"/>
              </w:rPr>
              <w:t>5%）”为基数计取</w:t>
            </w:r>
          </w:p>
        </w:tc>
      </w:tr>
      <w:tr w14:paraId="58869BF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3D1B805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3</w:t>
            </w:r>
          </w:p>
        </w:tc>
        <w:tc>
          <w:tcPr>
            <w:tcW w:w="1327" w:type="pct"/>
            <w:shd w:val="clear" w:color="auto" w:fill="auto"/>
            <w:vAlign w:val="center"/>
          </w:tcPr>
          <w:p w14:paraId="52CC0EB2">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投资利润</w:t>
            </w:r>
          </w:p>
        </w:tc>
        <w:tc>
          <w:tcPr>
            <w:tcW w:w="1833" w:type="dxa"/>
            <w:shd w:val="clear" w:color="auto" w:fill="auto"/>
            <w:vAlign w:val="center"/>
          </w:tcPr>
          <w:p w14:paraId="21DC2861">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52.6880 </w:t>
            </w:r>
          </w:p>
        </w:tc>
        <w:tc>
          <w:tcPr>
            <w:tcW w:w="1418" w:type="dxa"/>
            <w:shd w:val="clear" w:color="auto" w:fill="auto"/>
            <w:noWrap/>
            <w:vAlign w:val="center"/>
          </w:tcPr>
          <w:p w14:paraId="1DB557DE">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2994 </w:t>
            </w:r>
          </w:p>
        </w:tc>
        <w:tc>
          <w:tcPr>
            <w:tcW w:w="1565" w:type="pct"/>
          </w:tcPr>
          <w:p w14:paraId="460566E7">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以全部预付资本的一定比例计算，</w:t>
            </w:r>
            <w:r>
              <w:rPr>
                <w:rFonts w:hint="eastAsia" w:ascii="Arial" w:hAnsi="Arial" w:eastAsia="仿宋" w:cs="Arial"/>
                <w:sz w:val="21"/>
                <w:szCs w:val="21"/>
                <w:highlight w:val="none"/>
                <w:lang w:val="en-US" w:eastAsia="zh-CN"/>
              </w:rPr>
              <w:t>利润率</w:t>
            </w:r>
            <w:r>
              <w:rPr>
                <w:rFonts w:hint="eastAsia" w:ascii="Arial" w:hAnsi="Arial" w:eastAsia="仿宋" w:cs="Arial"/>
                <w:sz w:val="21"/>
                <w:szCs w:val="21"/>
                <w:highlight w:val="none"/>
              </w:rPr>
              <w:t>取</w:t>
            </w:r>
            <w:r>
              <w:rPr>
                <w:rFonts w:hint="eastAsia" w:ascii="Arial" w:hAnsi="Arial" w:eastAsia="仿宋" w:cs="Arial"/>
                <w:sz w:val="21"/>
                <w:szCs w:val="21"/>
                <w:highlight w:val="none"/>
                <w:lang w:val="en-US" w:eastAsia="zh-CN"/>
              </w:rPr>
              <w:t>25</w:t>
            </w:r>
            <w:r>
              <w:rPr>
                <w:rFonts w:hint="eastAsia" w:ascii="Arial" w:hAnsi="Arial" w:eastAsia="仿宋" w:cs="Arial"/>
                <w:sz w:val="21"/>
                <w:szCs w:val="21"/>
                <w:highlight w:val="none"/>
              </w:rPr>
              <w:t xml:space="preserve">% </w:t>
            </w:r>
          </w:p>
        </w:tc>
      </w:tr>
      <w:tr w14:paraId="0CDA16E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6835D3FC">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4 .土地价格</w:t>
            </w:r>
          </w:p>
        </w:tc>
        <w:tc>
          <w:tcPr>
            <w:tcW w:w="1833" w:type="dxa"/>
            <w:shd w:val="clear" w:color="auto" w:fill="auto"/>
            <w:noWrap/>
            <w:vAlign w:val="center"/>
          </w:tcPr>
          <w:p w14:paraId="1395046A">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97.2172 </w:t>
            </w:r>
          </w:p>
        </w:tc>
        <w:tc>
          <w:tcPr>
            <w:tcW w:w="1418" w:type="dxa"/>
            <w:shd w:val="clear" w:color="auto" w:fill="auto"/>
            <w:noWrap/>
            <w:vAlign w:val="center"/>
          </w:tcPr>
          <w:p w14:paraId="1A88AE64">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5524 </w:t>
            </w:r>
          </w:p>
        </w:tc>
        <w:tc>
          <w:tcPr>
            <w:tcW w:w="1565" w:type="pct"/>
          </w:tcPr>
          <w:p w14:paraId="33953192">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2</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3</w:t>
            </w:r>
          </w:p>
        </w:tc>
      </w:tr>
    </w:tbl>
    <w:p w14:paraId="1D7144F0">
      <w:pPr>
        <w:spacing w:before="50" w:after="50" w:line="300" w:lineRule="auto"/>
        <w:rPr>
          <w:rFonts w:ascii="Arial" w:hAnsi="Arial" w:eastAsia="仿宋_GB2312" w:cs="Arial"/>
          <w:sz w:val="28"/>
          <w:highlight w:val="none"/>
        </w:rPr>
      </w:pPr>
      <w:r>
        <w:rPr>
          <w:rFonts w:ascii="Arial" w:hAnsi="Arial" w:eastAsia="仿宋" w:cs="Arial"/>
          <w:sz w:val="21"/>
          <w:szCs w:val="21"/>
          <w:highlight w:val="none"/>
        </w:rPr>
        <w:t>单位：万元、平方米、元/平方米</w:t>
      </w:r>
    </w:p>
    <w:p w14:paraId="1D6E5A05">
      <w:pPr>
        <w:spacing w:line="300" w:lineRule="auto"/>
        <w:ind w:right="14"/>
        <w:rPr>
          <w:rFonts w:ascii="Arial" w:hAnsi="Arial" w:eastAsia="仿宋" w:cs="Arial"/>
          <w:sz w:val="21"/>
          <w:szCs w:val="21"/>
          <w:highlight w:val="none"/>
        </w:rPr>
      </w:pPr>
    </w:p>
    <w:p w14:paraId="2D803973">
      <w:pPr>
        <w:spacing w:before="50" w:after="50" w:line="300" w:lineRule="auto"/>
        <w:ind w:firstLine="562" w:firstLineChars="200"/>
        <w:rPr>
          <w:rFonts w:hint="eastAsia" w:ascii="Arial" w:hAnsi="Arial" w:eastAsia="仿宋" w:cs="Arial"/>
          <w:b/>
          <w:sz w:val="28"/>
          <w:highlight w:val="none"/>
          <w:lang w:eastAsia="zh-CN"/>
        </w:rPr>
      </w:pPr>
      <w:r>
        <w:rPr>
          <w:rFonts w:ascii="Arial" w:hAnsi="Arial" w:eastAsia="仿宋" w:cs="Arial"/>
          <w:b/>
          <w:sz w:val="28"/>
          <w:szCs w:val="28"/>
          <w:highlight w:val="none"/>
        </w:rPr>
        <w:br w:type="page"/>
      </w:r>
      <w:r>
        <w:rPr>
          <w:rFonts w:ascii="Arial" w:hAnsi="Arial" w:eastAsia="仿宋" w:cs="Arial"/>
          <w:bCs/>
          <w:sz w:val="28"/>
          <w:highlight w:val="none"/>
        </w:rPr>
        <w:t>3.</w:t>
      </w:r>
      <w:r>
        <w:rPr>
          <w:rFonts w:ascii="Arial" w:hAnsi="Arial" w:eastAsia="仿宋" w:cs="Arial"/>
          <w:b/>
          <w:sz w:val="28"/>
          <w:highlight w:val="none"/>
        </w:rPr>
        <w:t>求取估价对象公共服务</w:t>
      </w:r>
      <w:r>
        <w:rPr>
          <w:rFonts w:ascii="Arial" w:hAnsi="Arial" w:eastAsia="仿宋" w:cs="Arial"/>
          <w:b/>
          <w:sz w:val="28"/>
          <w:szCs w:val="28"/>
          <w:highlight w:val="none"/>
        </w:rPr>
        <w:t>用途</w:t>
      </w:r>
      <w:r>
        <w:rPr>
          <w:rFonts w:hint="eastAsia" w:ascii="Arial" w:hAnsi="Arial" w:eastAsia="仿宋" w:cs="Arial"/>
          <w:b/>
          <w:sz w:val="28"/>
          <w:szCs w:val="28"/>
          <w:highlight w:val="none"/>
          <w:lang w:eastAsia="zh-CN"/>
        </w:rPr>
        <w:t>楼面地价</w:t>
      </w:r>
    </w:p>
    <w:p w14:paraId="2B28BD22">
      <w:pPr>
        <w:spacing w:line="300" w:lineRule="auto"/>
        <w:ind w:firstLine="560" w:firstLineChars="200"/>
        <w:rPr>
          <w:rFonts w:ascii="Arial" w:hAnsi="Arial" w:eastAsia="仿宋" w:cs="Arial"/>
          <w:bCs/>
          <w:sz w:val="28"/>
          <w:highlight w:val="none"/>
        </w:rPr>
      </w:pPr>
      <w:r>
        <w:rPr>
          <w:rFonts w:ascii="Arial" w:hAnsi="Arial" w:eastAsia="仿宋" w:cs="Arial"/>
          <w:bCs/>
          <w:sz w:val="28"/>
          <w:highlight w:val="none"/>
        </w:rPr>
        <w:t>（1）土地最有效利用方式</w:t>
      </w:r>
    </w:p>
    <w:p w14:paraId="54EC7859">
      <w:pPr>
        <w:snapToGrid w:val="0"/>
        <w:spacing w:line="300" w:lineRule="auto"/>
        <w:ind w:firstLine="560" w:firstLineChars="200"/>
        <w:jc w:val="both"/>
        <w:rPr>
          <w:rFonts w:ascii="Arial" w:hAnsi="Arial" w:eastAsia="仿宋" w:cs="Arial"/>
          <w:sz w:val="28"/>
          <w:szCs w:val="28"/>
          <w:highlight w:val="none"/>
        </w:rPr>
      </w:pPr>
      <w:r>
        <w:rPr>
          <w:rFonts w:ascii="Arial" w:hAnsi="Arial" w:eastAsia="仿宋" w:cs="Arial"/>
          <w:sz w:val="28"/>
          <w:szCs w:val="28"/>
          <w:highlight w:val="none"/>
        </w:rPr>
        <w:t>根据</w:t>
      </w:r>
      <w:r>
        <w:rPr>
          <w:rFonts w:hint="eastAsia" w:ascii="Arial" w:hAnsi="Arial" w:eastAsia="仿宋" w:cs="Arial"/>
          <w:sz w:val="28"/>
          <w:highlight w:val="none"/>
          <w:lang w:eastAsia="zh-CN"/>
        </w:rPr>
        <w:t>北京市规划和自然资源委员会顺义分局</w:t>
      </w:r>
      <w:r>
        <w:rPr>
          <w:rFonts w:ascii="Arial" w:hAnsi="Arial" w:eastAsia="仿宋" w:cs="Arial"/>
          <w:sz w:val="28"/>
          <w:szCs w:val="28"/>
          <w:highlight w:val="none"/>
        </w:rPr>
        <w:t>出具的</w:t>
      </w:r>
      <w:r>
        <w:rPr>
          <w:rFonts w:hint="eastAsia" w:ascii="Arial" w:hAnsi="Arial" w:eastAsia="仿宋"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highlight w:val="none"/>
        </w:rPr>
        <w:t>复印件及本次评估目的</w:t>
      </w:r>
      <w:r>
        <w:rPr>
          <w:rFonts w:ascii="Arial" w:hAnsi="Arial" w:eastAsia="仿宋" w:cs="Arial"/>
          <w:sz w:val="28"/>
          <w:szCs w:val="28"/>
          <w:highlight w:val="none"/>
        </w:rPr>
        <w:t>，本次评估设定如下：</w:t>
      </w:r>
    </w:p>
    <w:p w14:paraId="0ED1D49D">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A设定估价对象能够顺利完成预期的开发建设目标；</w:t>
      </w:r>
    </w:p>
    <w:p w14:paraId="22D63C31">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B本项目建筑物建设周期为</w:t>
      </w:r>
      <w:r>
        <w:rPr>
          <w:rFonts w:hint="eastAsia" w:ascii="Arial" w:hAnsi="Arial" w:eastAsia="仿宋" w:cs="Arial"/>
          <w:snapToGrid w:val="0"/>
          <w:sz w:val="28"/>
          <w:highlight w:val="none"/>
          <w:lang w:val="en-US" w:eastAsia="zh-CN"/>
        </w:rPr>
        <w:t>3</w:t>
      </w:r>
      <w:r>
        <w:rPr>
          <w:rFonts w:ascii="Arial" w:hAnsi="Arial" w:eastAsia="仿宋" w:cs="Arial"/>
          <w:snapToGrid w:val="0"/>
          <w:sz w:val="28"/>
          <w:highlight w:val="none"/>
        </w:rPr>
        <w:t>年；</w:t>
      </w:r>
    </w:p>
    <w:p w14:paraId="0FCFDD46">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C建安费用在项目周期内均匀投入，利息按复利计算；</w:t>
      </w:r>
    </w:p>
    <w:p w14:paraId="3468861F">
      <w:pPr>
        <w:spacing w:line="300" w:lineRule="auto"/>
        <w:ind w:right="14" w:firstLine="560" w:firstLineChars="200"/>
        <w:rPr>
          <w:rFonts w:ascii="Arial" w:hAnsi="Arial" w:eastAsia="仿宋" w:cs="Arial"/>
          <w:snapToGrid w:val="0"/>
          <w:sz w:val="28"/>
          <w:highlight w:val="none"/>
        </w:rPr>
      </w:pPr>
      <w:r>
        <w:rPr>
          <w:rFonts w:ascii="Arial" w:hAnsi="Arial" w:eastAsia="仿宋" w:cs="Arial"/>
          <w:snapToGrid w:val="0"/>
          <w:sz w:val="28"/>
          <w:highlight w:val="none"/>
        </w:rPr>
        <w:t>D在开发建设期间，房地产市场不会发生大的变化；</w:t>
      </w:r>
    </w:p>
    <w:p w14:paraId="28EE15E0">
      <w:pPr>
        <w:spacing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E本项目最佳用途为公共服务；</w:t>
      </w:r>
    </w:p>
    <w:p w14:paraId="50C9F835">
      <w:pPr>
        <w:spacing w:line="300" w:lineRule="auto"/>
        <w:ind w:left="560" w:right="14"/>
        <w:rPr>
          <w:rFonts w:ascii="Arial" w:hAnsi="Arial" w:eastAsia="仿宋" w:cs="Arial"/>
          <w:snapToGrid w:val="0"/>
          <w:sz w:val="28"/>
          <w:highlight w:val="none"/>
        </w:rPr>
      </w:pPr>
      <w:r>
        <w:rPr>
          <w:rFonts w:ascii="Arial" w:hAnsi="Arial" w:eastAsia="仿宋" w:cs="Arial"/>
          <w:snapToGrid w:val="0"/>
          <w:sz w:val="28"/>
          <w:highlight w:val="none"/>
        </w:rPr>
        <w:t>F该项目在建成后即销售完毕；</w:t>
      </w:r>
    </w:p>
    <w:p w14:paraId="6F43EE2E">
      <w:pPr>
        <w:spacing w:line="300" w:lineRule="auto"/>
        <w:ind w:left="560" w:right="14"/>
        <w:rPr>
          <w:rFonts w:ascii="Arial" w:hAnsi="Arial" w:eastAsia="仿宋" w:cs="Arial"/>
          <w:snapToGrid w:val="0"/>
          <w:sz w:val="28"/>
          <w:highlight w:val="none"/>
        </w:rPr>
      </w:pPr>
      <w:r>
        <w:rPr>
          <w:rFonts w:ascii="Arial" w:hAnsi="Arial" w:eastAsia="仿宋" w:cs="Arial"/>
          <w:snapToGrid w:val="0"/>
          <w:sz w:val="28"/>
          <w:highlight w:val="none"/>
        </w:rPr>
        <w:t>G在开发过程中或有调整规划用途情况建议参照本估价结果价值水平。</w:t>
      </w:r>
    </w:p>
    <w:p w14:paraId="1C154E41">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剩余法是在预计开发完成后不动产正常交易价格的基础上，扣除预计的正常开发成本及有关专业费用、利息、利润和税收等，以价格余额来估算估价对象价格的一种方法。</w:t>
      </w:r>
    </w:p>
    <w:p w14:paraId="7867CAAF">
      <w:pPr>
        <w:spacing w:after="51"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剩余法基本公式如下：</w:t>
      </w:r>
    </w:p>
    <w:p w14:paraId="40D788D2">
      <w:pPr>
        <w:spacing w:before="50" w:after="50" w:line="300" w:lineRule="auto"/>
        <w:ind w:firstLine="560" w:firstLineChars="200"/>
        <w:rPr>
          <w:rFonts w:ascii="Arial" w:hAnsi="Arial" w:eastAsia="仿宋" w:cs="Arial"/>
          <w:b/>
          <w:sz w:val="28"/>
          <w:highlight w:val="none"/>
        </w:rPr>
      </w:pPr>
      <w:r>
        <w:rPr>
          <w:rFonts w:ascii="Arial" w:hAnsi="Arial" w:eastAsia="仿宋" w:cs="Arial"/>
          <w:snapToGrid w:val="0"/>
          <w:sz w:val="28"/>
          <w:highlight w:val="none"/>
        </w:rPr>
        <w:t>熟地价值：</w:t>
      </w:r>
      <w:r>
        <w:rPr>
          <w:rFonts w:ascii="Arial" w:hAnsi="Arial" w:eastAsia="仿宋" w:cs="Arial"/>
          <w:sz w:val="28"/>
          <w:highlight w:val="none"/>
        </w:rPr>
        <w:t>待估宗地价格</w:t>
      </w:r>
      <w:r>
        <w:rPr>
          <w:rFonts w:hint="eastAsia" w:ascii="Arial" w:hAnsi="Arial" w:eastAsia="仿宋" w:cs="Arial"/>
          <w:sz w:val="28"/>
          <w:highlight w:val="none"/>
          <w:lang w:eastAsia="zh-CN"/>
        </w:rPr>
        <w:t>＝</w:t>
      </w:r>
      <w:r>
        <w:rPr>
          <w:rFonts w:ascii="Arial" w:hAnsi="Arial" w:eastAsia="仿宋" w:cs="Arial"/>
          <w:sz w:val="28"/>
          <w:highlight w:val="none"/>
        </w:rPr>
        <w:t>不动产总价</w:t>
      </w:r>
      <w:r>
        <w:rPr>
          <w:rFonts w:hint="eastAsia" w:ascii="Arial" w:hAnsi="Arial" w:eastAsia="仿宋" w:cs="Arial"/>
          <w:sz w:val="28"/>
          <w:highlight w:val="none"/>
          <w:lang w:eastAsia="zh-CN"/>
        </w:rPr>
        <w:t>－</w:t>
      </w:r>
      <w:r>
        <w:rPr>
          <w:rFonts w:ascii="Arial" w:hAnsi="Arial" w:eastAsia="仿宋" w:cs="Arial"/>
          <w:sz w:val="28"/>
          <w:highlight w:val="none"/>
        </w:rPr>
        <w:t>开发项目整体的开发成本</w:t>
      </w:r>
      <w:r>
        <w:rPr>
          <w:rFonts w:hint="eastAsia" w:ascii="Arial" w:hAnsi="Arial" w:eastAsia="仿宋" w:cs="Arial"/>
          <w:sz w:val="28"/>
          <w:highlight w:val="none"/>
          <w:lang w:eastAsia="zh-CN"/>
        </w:rPr>
        <w:t>－</w:t>
      </w:r>
      <w:r>
        <w:rPr>
          <w:rFonts w:ascii="Arial" w:hAnsi="Arial" w:eastAsia="仿宋" w:cs="Arial"/>
          <w:sz w:val="28"/>
          <w:highlight w:val="none"/>
        </w:rPr>
        <w:t>客观开发利润</w:t>
      </w:r>
    </w:p>
    <w:p w14:paraId="27A8B3D6">
      <w:pPr>
        <w:widowControl/>
        <w:adjustRightInd/>
        <w:spacing w:after="5" w:line="300" w:lineRule="auto"/>
        <w:ind w:right="14" w:firstLine="560" w:firstLineChars="200"/>
        <w:jc w:val="both"/>
        <w:textAlignment w:val="auto"/>
        <w:rPr>
          <w:rFonts w:ascii="Arial" w:hAnsi="Arial" w:eastAsia="仿宋" w:cs="Arial"/>
          <w:snapToGrid w:val="0"/>
          <w:sz w:val="28"/>
          <w:highlight w:val="none"/>
        </w:rPr>
      </w:pPr>
      <w:r>
        <w:rPr>
          <w:rFonts w:ascii="Arial" w:hAnsi="Arial" w:eastAsia="仿宋" w:cs="Arial"/>
          <w:bCs/>
          <w:sz w:val="28"/>
          <w:highlight w:val="none"/>
        </w:rPr>
        <w:t>（2）</w:t>
      </w:r>
      <w:r>
        <w:rPr>
          <w:rFonts w:ascii="Arial" w:hAnsi="Arial" w:eastAsia="仿宋" w:cs="Arial"/>
          <w:snapToGrid w:val="0"/>
          <w:sz w:val="28"/>
          <w:highlight w:val="none"/>
        </w:rPr>
        <w:t>开发完成后的房地产价值的确定</w:t>
      </w:r>
    </w:p>
    <w:p w14:paraId="0E07E087">
      <w:pPr>
        <w:spacing w:after="26" w:line="300" w:lineRule="auto"/>
        <w:ind w:firstLine="560" w:firstLineChars="200"/>
        <w:jc w:val="both"/>
        <w:rPr>
          <w:rFonts w:ascii="Arial" w:hAnsi="Arial" w:eastAsia="仿宋" w:cs="Arial"/>
          <w:snapToGrid w:val="0"/>
          <w:sz w:val="28"/>
          <w:highlight w:val="none"/>
        </w:rPr>
      </w:pPr>
      <w:r>
        <w:rPr>
          <w:rFonts w:ascii="Arial" w:hAnsi="Arial" w:eastAsia="仿宋" w:cs="Arial"/>
          <w:snapToGrid w:val="0"/>
          <w:sz w:val="28"/>
          <w:highlight w:val="none"/>
        </w:rPr>
        <w:t>假设建造</w:t>
      </w:r>
      <w:r>
        <w:rPr>
          <w:rFonts w:ascii="Arial" w:hAnsi="Arial" w:eastAsia="仿宋" w:cs="Arial"/>
          <w:snapToGrid w:val="0"/>
          <w:sz w:val="28"/>
          <w:highlight w:val="none"/>
          <w:lang w:eastAsia="zh-Hans"/>
        </w:rPr>
        <w:t>公共服务</w:t>
      </w:r>
      <w:r>
        <w:rPr>
          <w:rFonts w:ascii="Arial" w:hAnsi="Arial" w:eastAsia="仿宋" w:cs="Arial"/>
          <w:snapToGrid w:val="0"/>
          <w:sz w:val="28"/>
          <w:highlight w:val="none"/>
        </w:rPr>
        <w:t>用房，预计施工进度、施工计划及预计装修标准、设备设施情况等事项以周边类似房地产项目为参考。</w:t>
      </w:r>
    </w:p>
    <w:p w14:paraId="5F3D4EF7">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综合分析估价对象的规划利用和管理限制条件，结合估价对象周边的业态、基础设施及公共配套设施状况，确定</w:t>
      </w:r>
      <w:r>
        <w:rPr>
          <w:rFonts w:ascii="Arial" w:hAnsi="Arial" w:eastAsia="仿宋" w:cs="Arial"/>
          <w:snapToGrid w:val="0"/>
          <w:sz w:val="28"/>
          <w:highlight w:val="none"/>
          <w:lang w:eastAsia="zh-Hans"/>
        </w:rPr>
        <w:t>公共服务</w:t>
      </w:r>
      <w:r>
        <w:rPr>
          <w:rFonts w:ascii="Arial" w:hAnsi="Arial" w:eastAsia="仿宋" w:cs="Arial"/>
          <w:snapToGrid w:val="0"/>
          <w:sz w:val="28"/>
          <w:highlight w:val="none"/>
        </w:rPr>
        <w:t>为最佳利用方式。</w:t>
      </w:r>
    </w:p>
    <w:p w14:paraId="4E0B5536">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根据项目的整体建筑规模和预期设备、装修标准，预计本项目建筑物建设周期为</w:t>
      </w:r>
      <w:r>
        <w:rPr>
          <w:rFonts w:hint="eastAsia" w:ascii="Arial" w:hAnsi="Arial" w:eastAsia="仿宋" w:cs="Arial"/>
          <w:snapToGrid w:val="0"/>
          <w:sz w:val="28"/>
          <w:highlight w:val="none"/>
          <w:lang w:val="en-US" w:eastAsia="zh-CN"/>
        </w:rPr>
        <w:t>3</w:t>
      </w:r>
      <w:r>
        <w:rPr>
          <w:rFonts w:ascii="Arial" w:hAnsi="Arial" w:eastAsia="仿宋" w:cs="Arial"/>
          <w:snapToGrid w:val="0"/>
          <w:sz w:val="28"/>
          <w:highlight w:val="none"/>
        </w:rPr>
        <w:t>年。</w:t>
      </w:r>
    </w:p>
    <w:p w14:paraId="23D0DFA5">
      <w:pPr>
        <w:spacing w:after="26" w:line="300" w:lineRule="auto"/>
        <w:ind w:firstLine="560" w:firstLineChars="200"/>
        <w:rPr>
          <w:rFonts w:ascii="Arial" w:hAnsi="Arial" w:eastAsia="仿宋" w:cs="Arial"/>
          <w:snapToGrid w:val="0"/>
          <w:sz w:val="28"/>
          <w:highlight w:val="none"/>
        </w:rPr>
      </w:pPr>
      <w:r>
        <w:rPr>
          <w:rFonts w:ascii="Arial" w:hAnsi="Arial" w:eastAsia="仿宋" w:cs="Arial"/>
          <w:snapToGrid w:val="0"/>
          <w:sz w:val="28"/>
          <w:highlight w:val="none"/>
        </w:rPr>
        <w:t>A.市场比较法求取估价对象</w:t>
      </w:r>
      <w:r>
        <w:rPr>
          <w:rFonts w:ascii="Arial" w:hAnsi="Arial" w:eastAsia="仿宋" w:cs="Arial"/>
          <w:snapToGrid w:val="0"/>
          <w:sz w:val="28"/>
          <w:highlight w:val="none"/>
          <w:lang w:eastAsia="zh-Hans"/>
        </w:rPr>
        <w:t>公共服务</w:t>
      </w:r>
      <w:r>
        <w:rPr>
          <w:rFonts w:ascii="Arial" w:hAnsi="Arial" w:eastAsia="仿宋" w:cs="Arial"/>
          <w:snapToGrid w:val="0"/>
          <w:sz w:val="28"/>
          <w:highlight w:val="none"/>
        </w:rPr>
        <w:t>用房市场租金价格</w:t>
      </w:r>
    </w:p>
    <w:p w14:paraId="1F208D6B">
      <w:pPr>
        <w:spacing w:after="26" w:line="300" w:lineRule="auto"/>
        <w:ind w:firstLine="560" w:firstLineChars="200"/>
        <w:jc w:val="both"/>
        <w:rPr>
          <w:rFonts w:ascii="Arial" w:hAnsi="Arial" w:eastAsia="仿宋" w:cs="Arial"/>
          <w:sz w:val="28"/>
          <w:highlight w:val="none"/>
        </w:rPr>
      </w:pPr>
      <w:r>
        <w:rPr>
          <w:rFonts w:ascii="Arial" w:hAnsi="Arial" w:eastAsia="仿宋" w:cs="Arial"/>
          <w:snapToGrid w:val="0"/>
          <w:sz w:val="28"/>
          <w:highlight w:val="none"/>
        </w:rPr>
        <w:t>估价对象</w:t>
      </w:r>
      <w:r>
        <w:rPr>
          <w:rFonts w:ascii="Arial" w:hAnsi="Arial" w:eastAsia="仿宋" w:cs="Arial"/>
          <w:snapToGrid w:val="0"/>
          <w:sz w:val="28"/>
          <w:highlight w:val="none"/>
          <w:lang w:eastAsia="zh-Hans"/>
        </w:rPr>
        <w:t>公共服务</w:t>
      </w:r>
      <w:r>
        <w:rPr>
          <w:rFonts w:ascii="Arial" w:hAnsi="Arial" w:eastAsia="仿宋" w:cs="Arial"/>
          <w:snapToGrid w:val="0"/>
          <w:sz w:val="28"/>
          <w:highlight w:val="none"/>
        </w:rPr>
        <w:t>用房市场租金价格的确定根据评估专业人员的市场调查及租金数据库</w:t>
      </w:r>
      <w:r>
        <w:rPr>
          <w:rFonts w:ascii="Arial" w:hAnsi="Arial" w:eastAsia="仿宋" w:cs="Arial"/>
          <w:sz w:val="28"/>
          <w:szCs w:val="28"/>
          <w:highlight w:val="none"/>
        </w:rPr>
        <w:t>等信息，</w:t>
      </w:r>
      <w:r>
        <w:rPr>
          <w:rFonts w:ascii="Arial" w:hAnsi="Arial" w:eastAsia="仿宋" w:cs="Arial"/>
          <w:sz w:val="28"/>
          <w:highlight w:val="none"/>
        </w:rPr>
        <w:t>采用房地产交易中的替代原则，选取与估价对象类似用途的出租案例，并分别进行交易情况、交易时间、用途、区域因素、个别因素的修正。详见下表。</w:t>
      </w:r>
    </w:p>
    <w:tbl>
      <w:tblPr>
        <w:tblStyle w:val="34"/>
        <w:tblW w:w="92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2325"/>
        <w:gridCol w:w="2324"/>
        <w:gridCol w:w="2325"/>
        <w:gridCol w:w="2325"/>
      </w:tblGrid>
      <w:tr w14:paraId="3C35C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noWrap w:val="0"/>
            <w:vAlign w:val="top"/>
          </w:tcPr>
          <w:p w14:paraId="3B8D2E6B">
            <w:pPr>
              <w:widowControl/>
              <w:adjustRightInd/>
              <w:spacing w:line="240" w:lineRule="auto"/>
              <w:jc w:val="center"/>
              <w:textAlignment w:val="auto"/>
              <w:rPr>
                <w:rFonts w:hint="eastAsia" w:ascii="Arial" w:hAnsi="Arial" w:eastAsia="仿宋_GB2312" w:cs="Arial"/>
                <w:sz w:val="18"/>
                <w:szCs w:val="18"/>
                <w:highlight w:val="none"/>
              </w:rPr>
            </w:pPr>
          </w:p>
        </w:tc>
        <w:tc>
          <w:tcPr>
            <w:tcW w:w="2324" w:type="dxa"/>
            <w:shd w:val="clear" w:color="auto" w:fill="auto"/>
            <w:noWrap w:val="0"/>
            <w:vAlign w:val="top"/>
          </w:tcPr>
          <w:p w14:paraId="2D825082">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rPr>
              <w:t>案例</w:t>
            </w:r>
            <w:r>
              <w:rPr>
                <w:rFonts w:hint="eastAsia" w:ascii="Arial" w:hAnsi="Arial" w:eastAsia="仿宋_GB2312" w:cs="Arial"/>
                <w:sz w:val="18"/>
                <w:szCs w:val="18"/>
                <w:highlight w:val="none"/>
                <w:lang w:val="en-US" w:eastAsia="zh-CN"/>
              </w:rPr>
              <w:t>G</w:t>
            </w:r>
          </w:p>
        </w:tc>
        <w:tc>
          <w:tcPr>
            <w:tcW w:w="2325" w:type="dxa"/>
            <w:shd w:val="clear" w:color="auto" w:fill="auto"/>
            <w:noWrap w:val="0"/>
            <w:vAlign w:val="top"/>
          </w:tcPr>
          <w:p w14:paraId="50EDFEBC">
            <w:pPr>
              <w:widowControl/>
              <w:adjustRightInd/>
              <w:spacing w:line="240" w:lineRule="auto"/>
              <w:jc w:val="center"/>
              <w:textAlignment w:val="auto"/>
              <w:rPr>
                <w:rFonts w:hint="eastAsia" w:ascii="Arial" w:hAnsi="Arial" w:eastAsia="仿宋_GB2312" w:cs="Arial"/>
                <w:sz w:val="18"/>
                <w:szCs w:val="18"/>
                <w:highlight w:val="none"/>
                <w:lang w:eastAsia="zh-CN"/>
              </w:rPr>
            </w:pPr>
            <w:r>
              <w:rPr>
                <w:rFonts w:hint="eastAsia" w:ascii="Arial" w:hAnsi="Arial" w:eastAsia="仿宋_GB2312" w:cs="Arial"/>
                <w:sz w:val="18"/>
                <w:szCs w:val="18"/>
                <w:highlight w:val="none"/>
              </w:rPr>
              <w:t>案例</w:t>
            </w:r>
            <w:r>
              <w:rPr>
                <w:rFonts w:hint="eastAsia" w:ascii="Arial" w:hAnsi="Arial" w:eastAsia="仿宋_GB2312" w:cs="Arial"/>
                <w:sz w:val="18"/>
                <w:szCs w:val="18"/>
                <w:highlight w:val="none"/>
                <w:lang w:val="en-US" w:eastAsia="zh-CN"/>
              </w:rPr>
              <w:t>H</w:t>
            </w:r>
          </w:p>
        </w:tc>
        <w:tc>
          <w:tcPr>
            <w:tcW w:w="2325" w:type="dxa"/>
            <w:shd w:val="clear" w:color="auto" w:fill="auto"/>
            <w:noWrap w:val="0"/>
            <w:vAlign w:val="top"/>
          </w:tcPr>
          <w:p w14:paraId="61075E41">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rPr>
              <w:t>案例</w:t>
            </w:r>
            <w:r>
              <w:rPr>
                <w:rFonts w:hint="eastAsia" w:ascii="Arial" w:hAnsi="Arial" w:eastAsia="仿宋_GB2312" w:cs="Arial"/>
                <w:sz w:val="18"/>
                <w:szCs w:val="18"/>
                <w:highlight w:val="none"/>
                <w:lang w:val="en-US" w:eastAsia="zh-CN"/>
              </w:rPr>
              <w:t>I</w:t>
            </w:r>
          </w:p>
        </w:tc>
      </w:tr>
      <w:tr w14:paraId="59FA6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90" w:hRule="atLeast"/>
        </w:trPr>
        <w:tc>
          <w:tcPr>
            <w:tcW w:w="2325" w:type="dxa"/>
            <w:shd w:val="clear" w:color="auto" w:fill="auto"/>
            <w:noWrap w:val="0"/>
            <w:vAlign w:val="top"/>
          </w:tcPr>
          <w:p w14:paraId="169848F8">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项目名称</w:t>
            </w:r>
          </w:p>
        </w:tc>
        <w:tc>
          <w:tcPr>
            <w:tcW w:w="2324" w:type="dxa"/>
            <w:shd w:val="clear" w:color="auto" w:fill="auto"/>
            <w:noWrap w:val="0"/>
            <w:vAlign w:val="top"/>
          </w:tcPr>
          <w:p w14:paraId="311A8A2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 w:cs="Arial"/>
                <w:snapToGrid w:val="0"/>
                <w:sz w:val="18"/>
                <w:szCs w:val="21"/>
                <w:highlight w:val="none"/>
              </w:rPr>
              <w:t>数码视讯产业园</w:t>
            </w:r>
          </w:p>
        </w:tc>
        <w:tc>
          <w:tcPr>
            <w:tcW w:w="2325" w:type="dxa"/>
            <w:shd w:val="clear" w:color="auto" w:fill="auto"/>
            <w:noWrap w:val="0"/>
            <w:vAlign w:val="top"/>
          </w:tcPr>
          <w:p w14:paraId="54C0AE6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 w:cs="Arial"/>
                <w:snapToGrid w:val="0"/>
                <w:sz w:val="18"/>
                <w:szCs w:val="21"/>
                <w:highlight w:val="none"/>
              </w:rPr>
              <w:t>博润中心</w:t>
            </w:r>
          </w:p>
        </w:tc>
        <w:tc>
          <w:tcPr>
            <w:tcW w:w="2325" w:type="dxa"/>
            <w:shd w:val="clear" w:color="auto" w:fill="auto"/>
            <w:noWrap w:val="0"/>
            <w:vAlign w:val="top"/>
          </w:tcPr>
          <w:p w14:paraId="436680F5">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 w:cs="Arial"/>
                <w:snapToGrid w:val="0"/>
                <w:sz w:val="18"/>
                <w:szCs w:val="21"/>
                <w:highlight w:val="none"/>
              </w:rPr>
              <w:t>城建道桥大厦</w:t>
            </w:r>
          </w:p>
        </w:tc>
      </w:tr>
      <w:tr w14:paraId="3E277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0FA4F844">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数据来源</w:t>
            </w:r>
          </w:p>
        </w:tc>
        <w:tc>
          <w:tcPr>
            <w:tcW w:w="2324" w:type="dxa"/>
            <w:shd w:val="clear" w:color="auto" w:fill="auto"/>
            <w:noWrap w:val="0"/>
            <w:vAlign w:val="top"/>
          </w:tcPr>
          <w:p w14:paraId="4E34C16F">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网络调查、电话及现场核实</w:t>
            </w:r>
          </w:p>
        </w:tc>
        <w:tc>
          <w:tcPr>
            <w:tcW w:w="2325" w:type="dxa"/>
            <w:shd w:val="clear" w:color="auto" w:fill="auto"/>
            <w:noWrap w:val="0"/>
            <w:vAlign w:val="top"/>
          </w:tcPr>
          <w:p w14:paraId="1D78E52D">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网络调查、电话及现场核实</w:t>
            </w:r>
          </w:p>
        </w:tc>
        <w:tc>
          <w:tcPr>
            <w:tcW w:w="2325" w:type="dxa"/>
            <w:shd w:val="clear" w:color="auto" w:fill="auto"/>
            <w:noWrap w:val="0"/>
            <w:vAlign w:val="top"/>
          </w:tcPr>
          <w:p w14:paraId="1DB57E41">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网络调查、电话及现场核实</w:t>
            </w:r>
          </w:p>
        </w:tc>
      </w:tr>
      <w:tr w14:paraId="3ECF1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0F85C85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租赁</w:t>
            </w:r>
            <w:r>
              <w:rPr>
                <w:rFonts w:hint="eastAsia" w:ascii="Arial" w:hAnsi="Arial" w:eastAsia="仿宋_GB2312" w:cs="Arial"/>
                <w:sz w:val="18"/>
                <w:szCs w:val="18"/>
                <w:highlight w:val="none"/>
              </w:rPr>
              <w:t>价格（元/㎡</w:t>
            </w:r>
            <w:r>
              <w:rPr>
                <w:rFonts w:hint="eastAsia" w:ascii="Arial" w:hAnsi="Arial" w:eastAsia="仿宋_GB2312" w:cs="Arial"/>
                <w:sz w:val="18"/>
                <w:szCs w:val="18"/>
                <w:highlight w:val="none"/>
                <w:lang w:val="en-US" w:eastAsia="zh-CN"/>
              </w:rPr>
              <w:t>/天</w:t>
            </w:r>
            <w:r>
              <w:rPr>
                <w:rFonts w:hint="eastAsia" w:ascii="Arial" w:hAnsi="Arial" w:eastAsia="仿宋_GB2312" w:cs="Arial"/>
                <w:sz w:val="18"/>
                <w:szCs w:val="18"/>
                <w:highlight w:val="none"/>
              </w:rPr>
              <w:t>）</w:t>
            </w:r>
          </w:p>
        </w:tc>
        <w:tc>
          <w:tcPr>
            <w:tcW w:w="2324" w:type="dxa"/>
            <w:shd w:val="clear" w:color="auto" w:fill="auto"/>
            <w:noWrap w:val="0"/>
            <w:vAlign w:val="top"/>
          </w:tcPr>
          <w:p w14:paraId="7C913EC9">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2.2</w:t>
            </w:r>
          </w:p>
        </w:tc>
        <w:tc>
          <w:tcPr>
            <w:tcW w:w="2325" w:type="dxa"/>
            <w:shd w:val="clear" w:color="auto" w:fill="auto"/>
            <w:noWrap w:val="0"/>
            <w:vAlign w:val="top"/>
          </w:tcPr>
          <w:p w14:paraId="30FC3735">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2.8</w:t>
            </w:r>
          </w:p>
        </w:tc>
        <w:tc>
          <w:tcPr>
            <w:tcW w:w="2325" w:type="dxa"/>
            <w:shd w:val="clear" w:color="auto" w:fill="auto"/>
            <w:noWrap w:val="0"/>
            <w:vAlign w:val="top"/>
          </w:tcPr>
          <w:p w14:paraId="50D08046">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2.3</w:t>
            </w:r>
          </w:p>
        </w:tc>
      </w:tr>
      <w:tr w14:paraId="191A4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Height w:val="349" w:hRule="atLeast"/>
        </w:trPr>
        <w:tc>
          <w:tcPr>
            <w:tcW w:w="2325" w:type="dxa"/>
            <w:shd w:val="clear" w:color="auto" w:fill="auto"/>
            <w:noWrap w:val="0"/>
            <w:vAlign w:val="top"/>
          </w:tcPr>
          <w:p w14:paraId="4469795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成交日期</w:t>
            </w:r>
          </w:p>
        </w:tc>
        <w:tc>
          <w:tcPr>
            <w:tcW w:w="2324" w:type="dxa"/>
            <w:shd w:val="clear" w:color="auto" w:fill="auto"/>
            <w:noWrap w:val="0"/>
            <w:vAlign w:val="top"/>
          </w:tcPr>
          <w:p w14:paraId="7DEB1A91">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2026年3月</w:t>
            </w:r>
          </w:p>
        </w:tc>
        <w:tc>
          <w:tcPr>
            <w:tcW w:w="2325" w:type="dxa"/>
            <w:shd w:val="clear" w:color="auto" w:fill="auto"/>
            <w:noWrap w:val="0"/>
            <w:vAlign w:val="top"/>
          </w:tcPr>
          <w:p w14:paraId="7ACEAC21">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2026年3月</w:t>
            </w:r>
          </w:p>
        </w:tc>
        <w:tc>
          <w:tcPr>
            <w:tcW w:w="2325" w:type="dxa"/>
            <w:shd w:val="clear" w:color="auto" w:fill="auto"/>
            <w:noWrap w:val="0"/>
            <w:vAlign w:val="top"/>
          </w:tcPr>
          <w:p w14:paraId="64DB4BA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2026年3月</w:t>
            </w:r>
          </w:p>
        </w:tc>
      </w:tr>
      <w:tr w14:paraId="6D622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37632715">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用途</w:t>
            </w:r>
          </w:p>
        </w:tc>
        <w:tc>
          <w:tcPr>
            <w:tcW w:w="2324" w:type="dxa"/>
            <w:shd w:val="clear" w:color="auto" w:fill="auto"/>
            <w:noWrap w:val="0"/>
            <w:vAlign w:val="top"/>
          </w:tcPr>
          <w:p w14:paraId="70ECB242">
            <w:pPr>
              <w:widowControl/>
              <w:adjustRightInd/>
              <w:spacing w:line="240" w:lineRule="auto"/>
              <w:jc w:val="center"/>
              <w:textAlignment w:val="auto"/>
              <w:rPr>
                <w:rFonts w:hint="default"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办公</w:t>
            </w:r>
          </w:p>
        </w:tc>
        <w:tc>
          <w:tcPr>
            <w:tcW w:w="2325" w:type="dxa"/>
            <w:shd w:val="clear" w:color="auto" w:fill="auto"/>
            <w:noWrap w:val="0"/>
            <w:vAlign w:val="top"/>
          </w:tcPr>
          <w:p w14:paraId="3A032119">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办公</w:t>
            </w:r>
          </w:p>
        </w:tc>
        <w:tc>
          <w:tcPr>
            <w:tcW w:w="2325" w:type="dxa"/>
            <w:shd w:val="clear" w:color="auto" w:fill="auto"/>
            <w:noWrap w:val="0"/>
            <w:vAlign w:val="top"/>
          </w:tcPr>
          <w:p w14:paraId="3919EE1B">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办公</w:t>
            </w:r>
          </w:p>
        </w:tc>
      </w:tr>
      <w:tr w14:paraId="352FB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6CC08A3C">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交易情况</w:t>
            </w:r>
          </w:p>
        </w:tc>
        <w:tc>
          <w:tcPr>
            <w:tcW w:w="2324" w:type="dxa"/>
            <w:shd w:val="clear" w:color="auto" w:fill="auto"/>
            <w:noWrap w:val="0"/>
            <w:vAlign w:val="top"/>
          </w:tcPr>
          <w:p w14:paraId="318EB48A">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c>
          <w:tcPr>
            <w:tcW w:w="2325" w:type="dxa"/>
            <w:shd w:val="clear" w:color="auto" w:fill="auto"/>
            <w:noWrap w:val="0"/>
            <w:vAlign w:val="top"/>
          </w:tcPr>
          <w:p w14:paraId="7CCE71FB">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c>
          <w:tcPr>
            <w:tcW w:w="2325" w:type="dxa"/>
            <w:shd w:val="clear" w:color="auto" w:fill="auto"/>
            <w:noWrap w:val="0"/>
            <w:vAlign w:val="top"/>
          </w:tcPr>
          <w:p w14:paraId="0C05DAD1">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正常</w:t>
            </w:r>
          </w:p>
        </w:tc>
      </w:tr>
      <w:tr w14:paraId="4D2EC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2325" w:type="dxa"/>
            <w:shd w:val="clear" w:color="auto" w:fill="auto"/>
            <w:noWrap w:val="0"/>
            <w:vAlign w:val="top"/>
          </w:tcPr>
          <w:p w14:paraId="31C64A87">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rPr>
              <w:t>建筑结构</w:t>
            </w:r>
          </w:p>
        </w:tc>
        <w:tc>
          <w:tcPr>
            <w:tcW w:w="2324" w:type="dxa"/>
            <w:shd w:val="clear" w:color="auto" w:fill="auto"/>
            <w:noWrap w:val="0"/>
            <w:vAlign w:val="top"/>
          </w:tcPr>
          <w:p w14:paraId="50E64B63">
            <w:pPr>
              <w:widowControl/>
              <w:adjustRightInd/>
              <w:spacing w:line="240" w:lineRule="auto"/>
              <w:jc w:val="center"/>
              <w:textAlignment w:val="auto"/>
              <w:rPr>
                <w:rFonts w:hint="eastAsia" w:ascii="Arial" w:hAnsi="Arial" w:eastAsia="仿宋_GB2312" w:cs="Arial"/>
                <w:sz w:val="18"/>
                <w:szCs w:val="18"/>
                <w:highlight w:val="none"/>
                <w:lang w:val="en-US" w:eastAsia="zh-CN"/>
              </w:rPr>
            </w:pPr>
            <w:r>
              <w:rPr>
                <w:rFonts w:hint="eastAsia" w:ascii="Arial" w:hAnsi="Arial" w:eastAsia="仿宋_GB2312" w:cs="Arial"/>
                <w:sz w:val="18"/>
                <w:szCs w:val="18"/>
                <w:highlight w:val="none"/>
                <w:lang w:val="en-US" w:eastAsia="zh-CN"/>
              </w:rPr>
              <w:t>钢混</w:t>
            </w:r>
          </w:p>
        </w:tc>
        <w:tc>
          <w:tcPr>
            <w:tcW w:w="2325" w:type="dxa"/>
            <w:shd w:val="clear" w:color="auto" w:fill="auto"/>
            <w:noWrap w:val="0"/>
            <w:vAlign w:val="top"/>
          </w:tcPr>
          <w:p w14:paraId="52BF8986">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钢混</w:t>
            </w:r>
          </w:p>
        </w:tc>
        <w:tc>
          <w:tcPr>
            <w:tcW w:w="2325" w:type="dxa"/>
            <w:shd w:val="clear" w:color="auto" w:fill="auto"/>
            <w:noWrap w:val="0"/>
            <w:vAlign w:val="top"/>
          </w:tcPr>
          <w:p w14:paraId="3D608D3E">
            <w:pPr>
              <w:widowControl/>
              <w:adjustRightInd/>
              <w:spacing w:line="240" w:lineRule="auto"/>
              <w:jc w:val="center"/>
              <w:textAlignment w:val="auto"/>
              <w:rPr>
                <w:rFonts w:hint="eastAsia" w:ascii="Arial" w:hAnsi="Arial" w:eastAsia="仿宋_GB2312" w:cs="Arial"/>
                <w:sz w:val="18"/>
                <w:szCs w:val="18"/>
                <w:highlight w:val="none"/>
              </w:rPr>
            </w:pPr>
            <w:r>
              <w:rPr>
                <w:rFonts w:hint="eastAsia" w:ascii="Arial" w:hAnsi="Arial" w:eastAsia="仿宋_GB2312" w:cs="Arial"/>
                <w:sz w:val="18"/>
                <w:szCs w:val="18"/>
                <w:highlight w:val="none"/>
                <w:lang w:val="en-US" w:eastAsia="zh-CN"/>
              </w:rPr>
              <w:t>钢混</w:t>
            </w:r>
          </w:p>
        </w:tc>
      </w:tr>
    </w:tbl>
    <w:p w14:paraId="4AAF4405">
      <w:pPr>
        <w:rPr>
          <w:rFonts w:ascii="Arial" w:hAnsi="Arial" w:eastAsia="仿宋" w:cs="Arial"/>
          <w:sz w:val="28"/>
          <w:highlight w:val="none"/>
        </w:rPr>
      </w:pPr>
      <w:r>
        <w:rPr>
          <w:rFonts w:ascii="Arial" w:hAnsi="Arial" w:eastAsia="仿宋" w:cs="Arial"/>
          <w:sz w:val="28"/>
          <w:highlight w:val="none"/>
        </w:rPr>
        <w:br w:type="page"/>
      </w:r>
    </w:p>
    <w:p w14:paraId="5B790F76">
      <w:pPr>
        <w:spacing w:after="26" w:line="300" w:lineRule="auto"/>
        <w:ind w:firstLine="560" w:firstLineChars="200"/>
        <w:jc w:val="both"/>
        <w:rPr>
          <w:rFonts w:ascii="Arial" w:hAnsi="Arial" w:eastAsia="仿宋" w:cs="Arial"/>
          <w:sz w:val="28"/>
          <w:highlight w:val="none"/>
        </w:rPr>
      </w:pPr>
    </w:p>
    <w:tbl>
      <w:tblPr>
        <w:tblStyle w:val="34"/>
        <w:tblW w:w="9299" w:type="dxa"/>
        <w:jc w:val="center"/>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Layout w:type="fixed"/>
        <w:tblCellMar>
          <w:top w:w="28" w:type="dxa"/>
          <w:left w:w="28" w:type="dxa"/>
          <w:bottom w:w="28" w:type="dxa"/>
          <w:right w:w="28" w:type="dxa"/>
        </w:tblCellMar>
      </w:tblPr>
      <w:tblGrid>
        <w:gridCol w:w="3099"/>
        <w:gridCol w:w="3100"/>
        <w:gridCol w:w="3100"/>
      </w:tblGrid>
      <w:tr w14:paraId="34387068">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noWrap w:val="0"/>
            <w:vAlign w:val="top"/>
          </w:tcPr>
          <w:p w14:paraId="26CE8577">
            <w:pPr>
              <w:widowControl/>
              <w:adjustRightInd/>
              <w:spacing w:line="240" w:lineRule="auto"/>
              <w:jc w:val="center"/>
              <w:textAlignment w:val="auto"/>
              <w:rPr>
                <w:rFonts w:ascii="华文细黑" w:hAnsi="华文细黑" w:eastAsia="华文细黑"/>
                <w:highlight w:val="none"/>
              </w:rPr>
            </w:pPr>
            <w:r>
              <w:rPr>
                <w:rFonts w:hint="eastAsia" w:ascii="Arial" w:hAnsi="Arial" w:eastAsia="仿宋_GB2312" w:cs="Arial"/>
                <w:sz w:val="24"/>
                <w:szCs w:val="24"/>
                <w:highlight w:val="none"/>
                <w:lang w:val="en-US" w:eastAsia="zh-CN"/>
              </w:rPr>
              <w:t>案例位置示意图及照片</w:t>
            </w:r>
          </w:p>
        </w:tc>
      </w:tr>
      <w:tr w14:paraId="2BF69BC4">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7655" w:hRule="exact"/>
          <w:jc w:val="center"/>
        </w:trPr>
        <w:tc>
          <w:tcPr>
            <w:tcW w:w="9299" w:type="dxa"/>
            <w:gridSpan w:val="3"/>
            <w:noWrap w:val="0"/>
            <w:vAlign w:val="top"/>
          </w:tcPr>
          <w:p w14:paraId="760A3FDF">
            <w:pPr>
              <w:jc w:val="center"/>
              <w:rPr>
                <w:rFonts w:hint="eastAsia"/>
                <w:highlight w:val="none"/>
              </w:rPr>
            </w:pPr>
            <w:r>
              <w:rPr>
                <w:highlight w:val="none"/>
              </w:rPr>
              <mc:AlternateContent>
                <mc:Choice Requires="wps">
                  <w:drawing>
                    <wp:anchor distT="0" distB="0" distL="114300" distR="114300" simplePos="0" relativeHeight="251675648" behindDoc="0" locked="0" layoutInCell="1" allowOverlap="1">
                      <wp:simplePos x="0" y="0"/>
                      <wp:positionH relativeFrom="column">
                        <wp:posOffset>3843655</wp:posOffset>
                      </wp:positionH>
                      <wp:positionV relativeFrom="paragraph">
                        <wp:posOffset>3571240</wp:posOffset>
                      </wp:positionV>
                      <wp:extent cx="739140" cy="414020"/>
                      <wp:effectExtent l="12700" t="281305" r="238760" b="20955"/>
                      <wp:wrapNone/>
                      <wp:docPr id="102" name="线形标注 1 102"/>
                      <wp:cNvGraphicFramePr/>
                      <a:graphic xmlns:a="http://schemas.openxmlformats.org/drawingml/2006/main">
                        <a:graphicData uri="http://schemas.microsoft.com/office/word/2010/wordprocessingShape">
                          <wps:wsp>
                            <wps:cNvSpPr/>
                            <wps:spPr>
                              <a:xfrm>
                                <a:off x="0" y="0"/>
                                <a:ext cx="739140" cy="414020"/>
                              </a:xfrm>
                              <a:prstGeom prst="borderCallout1">
                                <a:avLst>
                                  <a:gd name="adj1" fmla="val 1840"/>
                                  <a:gd name="adj2" fmla="val 33848"/>
                                  <a:gd name="adj3" fmla="val -65030"/>
                                  <a:gd name="adj4" fmla="val 130584"/>
                                </a:avLst>
                              </a:prstGeom>
                              <a:solidFill>
                                <a:srgbClr val="1F497D">
                                  <a:lumMod val="60000"/>
                                  <a:lumOff val="40000"/>
                                </a:srgbClr>
                              </a:solidFill>
                              <a:ln w="25400" cap="flat" cmpd="sng" algn="ctr">
                                <a:solidFill>
                                  <a:srgbClr val="4F81BD">
                                    <a:shade val="50000"/>
                                  </a:srgbClr>
                                </a:solidFill>
                                <a:prstDash val="solid"/>
                              </a:ln>
                              <a:effectLst/>
                            </wps:spPr>
                            <wps:txbx>
                              <w:txbxContent>
                                <w:p w14:paraId="245F9B97">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302.65pt;margin-top:281.2pt;height:32.6pt;width:58.2pt;z-index:251675648;v-text-anchor:middle;mso-width-relative:page;mso-height-relative:page;" fillcolor="#558ED5" filled="t" stroked="t" coordsize="21600,21600" o:gfxdata="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" adj="28206,-14046,7311,397">
                      <v:fill on="t" focussize="0,0"/>
                      <v:stroke weight="2pt" color="#385D8A" joinstyle="round"/>
                      <v:imagedata o:title=""/>
                      <o:lock v:ext="edit" aspectratio="f"/>
                      <v:textbox>
                        <w:txbxContent>
                          <w:p w14:paraId="245F9B97">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I</w:t>
                            </w:r>
                          </w:p>
                        </w:txbxContent>
                      </v:textbox>
                    </v:shape>
                  </w:pict>
                </mc:Fallback>
              </mc:AlternateContent>
            </w:r>
            <w:r>
              <w:rPr>
                <w:highlight w:val="none"/>
              </w:rPr>
              <mc:AlternateContent>
                <mc:Choice Requires="wps">
                  <w:drawing>
                    <wp:anchor distT="0" distB="0" distL="114300" distR="114300" simplePos="0" relativeHeight="251676672" behindDoc="0" locked="0" layoutInCell="1" allowOverlap="1">
                      <wp:simplePos x="0" y="0"/>
                      <wp:positionH relativeFrom="column">
                        <wp:posOffset>1809750</wp:posOffset>
                      </wp:positionH>
                      <wp:positionV relativeFrom="paragraph">
                        <wp:posOffset>3449320</wp:posOffset>
                      </wp:positionV>
                      <wp:extent cx="773430" cy="462915"/>
                      <wp:effectExtent l="92075" t="12700" r="18415" b="560705"/>
                      <wp:wrapNone/>
                      <wp:docPr id="101" name="线形标注 1 101"/>
                      <wp:cNvGraphicFramePr/>
                      <a:graphic xmlns:a="http://schemas.openxmlformats.org/drawingml/2006/main">
                        <a:graphicData uri="http://schemas.microsoft.com/office/word/2010/wordprocessingShape">
                          <wps:wsp>
                            <wps:cNvSpPr/>
                            <wps:spPr>
                              <a:xfrm>
                                <a:off x="0" y="0"/>
                                <a:ext cx="773430" cy="462915"/>
                              </a:xfrm>
                              <a:prstGeom prst="borderCallout1">
                                <a:avLst>
                                  <a:gd name="adj1" fmla="val 96159"/>
                                  <a:gd name="adj2" fmla="val 23563"/>
                                  <a:gd name="adj3" fmla="val 216872"/>
                                  <a:gd name="adj4" fmla="val -10426"/>
                                </a:avLst>
                              </a:prstGeom>
                              <a:solidFill>
                                <a:srgbClr val="1F497D">
                                  <a:lumMod val="60000"/>
                                  <a:lumOff val="40000"/>
                                </a:srgbClr>
                              </a:solidFill>
                              <a:ln w="25400" cap="flat" cmpd="sng" algn="ctr">
                                <a:solidFill>
                                  <a:srgbClr val="4F81BD">
                                    <a:shade val="50000"/>
                                  </a:srgbClr>
                                </a:solidFill>
                                <a:prstDash val="solid"/>
                              </a:ln>
                              <a:effectLst/>
                            </wps:spPr>
                            <wps:txbx>
                              <w:txbxContent>
                                <w:p w14:paraId="51B4A784">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H</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142.5pt;margin-top:271.6pt;height:36.45pt;width:60.9pt;z-index:251676672;v-text-anchor:middle;mso-width-relative:page;mso-height-relative:page;" fillcolor="#558ED5" filled="t" stroked="t" coordsize="21600,21600" o:gfxdata="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LB7VoPaAAAACwEAAA8AAAAAAAAAAQAgAAAAIgAAAGRycy9kb3du&#10;cmV2LnhtbFBLAQIUABQAAAAIAIdO4kAHnMwF4QIAAAAGAAAOAAAAAAAAAAEAIAAAACkBAABkcnMv&#10;ZTJvRG9jLnhtbFBLBQYAAAAABgAGAFkBAAB8BgAAAAA=&#10;" adj="-2252,46844,5090,20770">
                      <v:fill on="t" focussize="0,0"/>
                      <v:stroke weight="2pt" color="#385D8A" joinstyle="round"/>
                      <v:imagedata o:title=""/>
                      <o:lock v:ext="edit" aspectratio="f"/>
                      <v:textbox>
                        <w:txbxContent>
                          <w:p w14:paraId="51B4A784">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H</w:t>
                            </w:r>
                          </w:p>
                        </w:txbxContent>
                      </v:textbox>
                    </v:shape>
                  </w:pict>
                </mc:Fallback>
              </mc:AlternateContent>
            </w:r>
            <w:r>
              <w:rPr>
                <w:highlight w:val="none"/>
              </w:rPr>
              <mc:AlternateContent>
                <mc:Choice Requires="wps">
                  <w:drawing>
                    <wp:anchor distT="0" distB="0" distL="114300" distR="114300" simplePos="0" relativeHeight="251677696" behindDoc="0" locked="0" layoutInCell="1" allowOverlap="1">
                      <wp:simplePos x="0" y="0"/>
                      <wp:positionH relativeFrom="column">
                        <wp:posOffset>2311400</wp:posOffset>
                      </wp:positionH>
                      <wp:positionV relativeFrom="paragraph">
                        <wp:posOffset>952500</wp:posOffset>
                      </wp:positionV>
                      <wp:extent cx="758825" cy="393065"/>
                      <wp:effectExtent l="12700" t="644525" r="20955" b="13970"/>
                      <wp:wrapNone/>
                      <wp:docPr id="103" name="线形标注 1 103"/>
                      <wp:cNvGraphicFramePr/>
                      <a:graphic xmlns:a="http://schemas.openxmlformats.org/drawingml/2006/main">
                        <a:graphicData uri="http://schemas.microsoft.com/office/word/2010/wordprocessingShape">
                          <wps:wsp>
                            <wps:cNvSpPr/>
                            <wps:spPr>
                              <a:xfrm>
                                <a:off x="0" y="0"/>
                                <a:ext cx="758825" cy="393065"/>
                              </a:xfrm>
                              <a:prstGeom prst="borderCallout1">
                                <a:avLst>
                                  <a:gd name="adj1" fmla="val -163707"/>
                                  <a:gd name="adj2" fmla="val 54225"/>
                                  <a:gd name="adj3" fmla="val -9369"/>
                                  <a:gd name="adj4" fmla="val 47866"/>
                                </a:avLst>
                              </a:prstGeom>
                              <a:solidFill>
                                <a:srgbClr val="558ED5"/>
                              </a:solidFill>
                              <a:ln w="25400" cap="flat" cmpd="sng">
                                <a:solidFill>
                                  <a:srgbClr val="385D8A"/>
                                </a:solidFill>
                                <a:prstDash val="solid"/>
                                <a:miter/>
                                <a:headEnd type="none" w="med" len="med"/>
                                <a:tailEnd type="none" w="med" len="med"/>
                              </a:ln>
                            </wps:spPr>
                            <wps:txbx>
                              <w:txbxContent>
                                <w:p w14:paraId="7E4E7045">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G</w:t>
                                  </w:r>
                                </w:p>
                              </w:txbxContent>
                            </wps:txbx>
                            <wps:bodyPr anchor="ctr" anchorCtr="0" upright="1"/>
                          </wps:wsp>
                        </a:graphicData>
                      </a:graphic>
                    </wp:anchor>
                  </w:drawing>
                </mc:Choice>
                <mc:Fallback>
                  <w:pict>
                    <v:shape id="_x0000_s1026" o:spid="_x0000_s1026" o:spt="47" type="#_x0000_t47" style="position:absolute;left:0pt;margin-left:182pt;margin-top:75pt;height:30.95pt;width:59.75pt;z-index:251677696;v-text-anchor:middle;mso-width-relative:page;mso-height-relative:page;" fillcolor="#558ED5" filled="t" stroked="t" coordsize="21600,21600" o:gfxdata="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hEJQn2wAAAAsBAAAPAAAAAAAAAAEAIAAAACIAAABkcnMvZG93bnJldi54&#10;bWxQSwECFAAUAAAACACHTuJAbYewsWkCAAD1BAAADgAAAAAAAAABACAAAAAqAQAAZHJzL2Uyb0Rv&#10;Yy54bWxQSwUGAAAAAAYABgBZAQAABQYAAAAA&#10;" adj="10339,-2024,11713,-35361">
                      <v:fill on="t" focussize="0,0"/>
                      <v:stroke weight="2pt" color="#385D8A" joinstyle="miter"/>
                      <v:imagedata o:title=""/>
                      <o:lock v:ext="edit" aspectratio="f"/>
                      <v:textbox>
                        <w:txbxContent>
                          <w:p w14:paraId="7E4E7045">
                            <w:pPr>
                              <w:jc w:val="center"/>
                              <w:rPr>
                                <w:rFonts w:hint="eastAsia" w:eastAsia="宋体"/>
                                <w:b/>
                                <w:color w:val="FFFFFF"/>
                                <w:lang w:eastAsia="zh-CN"/>
                              </w:rPr>
                            </w:pPr>
                            <w:r>
                              <w:rPr>
                                <w:rFonts w:hint="eastAsia"/>
                                <w:b/>
                                <w:color w:val="FFFFFF"/>
                              </w:rPr>
                              <w:t>案例</w:t>
                            </w:r>
                            <w:r>
                              <w:rPr>
                                <w:rFonts w:hint="eastAsia" w:ascii="Arial" w:hAnsi="Arial" w:cs="Arial"/>
                                <w:b/>
                                <w:color w:val="FFFFFF"/>
                                <w:lang w:val="en-US" w:eastAsia="zh-CN"/>
                              </w:rPr>
                              <w:t>G</w:t>
                            </w:r>
                          </w:p>
                        </w:txbxContent>
                      </v:textbox>
                    </v:shape>
                  </w:pict>
                </mc:Fallback>
              </mc:AlternateContent>
            </w:r>
            <w:r>
              <w:rPr>
                <w:highlight w:val="none"/>
              </w:rPr>
              <w:drawing>
                <wp:anchor distT="0" distB="0" distL="114300" distR="114300" simplePos="0" relativeHeight="251674624" behindDoc="0" locked="0" layoutInCell="1" allowOverlap="1">
                  <wp:simplePos x="0" y="0"/>
                  <wp:positionH relativeFrom="column">
                    <wp:posOffset>1301115</wp:posOffset>
                  </wp:positionH>
                  <wp:positionV relativeFrom="paragraph">
                    <wp:posOffset>241935</wp:posOffset>
                  </wp:positionV>
                  <wp:extent cx="996315" cy="556895"/>
                  <wp:effectExtent l="0" t="0" r="0" b="0"/>
                  <wp:wrapNone/>
                  <wp:docPr id="100" name="图片 4" descr="说明: 估价对象ta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descr="说明: 估价对象tag-L"/>
                          <pic:cNvPicPr>
                            <a:picLocks noChangeAspect="1"/>
                          </pic:cNvPicPr>
                        </pic:nvPicPr>
                        <pic:blipFill>
                          <a:blip r:embed="rId65"/>
                          <a:stretch>
                            <a:fillRect/>
                          </a:stretch>
                        </pic:blipFill>
                        <pic:spPr>
                          <a:xfrm>
                            <a:off x="0" y="0"/>
                            <a:ext cx="996315" cy="556895"/>
                          </a:xfrm>
                          <a:prstGeom prst="rect">
                            <a:avLst/>
                          </a:prstGeom>
                          <a:noFill/>
                          <a:ln>
                            <a:noFill/>
                          </a:ln>
                        </pic:spPr>
                      </pic:pic>
                    </a:graphicData>
                  </a:graphic>
                </wp:anchor>
              </w:drawing>
            </w:r>
            <w:r>
              <w:rPr>
                <w:highlight w:val="none"/>
              </w:rPr>
              <w:drawing>
                <wp:inline distT="0" distB="0" distL="0" distR="0">
                  <wp:extent cx="5802630" cy="4597400"/>
                  <wp:effectExtent l="0" t="0" r="3810" b="508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802630" cy="4597400"/>
                          </a:xfrm>
                          <a:prstGeom prst="rect">
                            <a:avLst/>
                          </a:prstGeom>
                          <a:noFill/>
                          <a:ln>
                            <a:noFill/>
                          </a:ln>
                        </pic:spPr>
                      </pic:pic>
                    </a:graphicData>
                  </a:graphic>
                </wp:inline>
              </w:drawing>
            </w:r>
          </w:p>
        </w:tc>
      </w:tr>
      <w:tr w14:paraId="28392E1B">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9299" w:type="dxa"/>
            <w:gridSpan w:val="3"/>
            <w:noWrap w:val="0"/>
            <w:vAlign w:val="top"/>
          </w:tcPr>
          <w:p w14:paraId="2E5F508E">
            <w:pPr>
              <w:widowControl/>
              <w:adjustRightInd/>
              <w:spacing w:line="240" w:lineRule="auto"/>
              <w:jc w:val="center"/>
              <w:textAlignment w:val="auto"/>
              <w:rPr>
                <w:rFonts w:hint="eastAsia" w:ascii="华文细黑" w:hAnsi="华文细黑" w:eastAsia="华文细黑"/>
                <w:highlight w:val="none"/>
              </w:rPr>
            </w:pPr>
            <w:r>
              <w:rPr>
                <w:rFonts w:hint="eastAsia" w:ascii="Arial" w:hAnsi="Arial" w:eastAsia="仿宋_GB2312" w:cs="Arial"/>
                <w:sz w:val="24"/>
                <w:szCs w:val="24"/>
                <w:highlight w:val="none"/>
                <w:lang w:val="en-US" w:eastAsia="zh-CN"/>
              </w:rPr>
              <w:t>案例照片</w:t>
            </w:r>
          </w:p>
        </w:tc>
      </w:tr>
      <w:tr w14:paraId="12820E7E">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jc w:val="center"/>
        </w:trPr>
        <w:tc>
          <w:tcPr>
            <w:tcW w:w="3099" w:type="dxa"/>
            <w:tcBorders>
              <w:bottom w:val="dotted" w:color="404040" w:sz="2" w:space="0"/>
            </w:tcBorders>
            <w:noWrap w:val="0"/>
            <w:vAlign w:val="top"/>
          </w:tcPr>
          <w:p w14:paraId="28BF2327">
            <w:pPr>
              <w:widowControl/>
              <w:adjustRightInd/>
              <w:spacing w:line="240" w:lineRule="auto"/>
              <w:jc w:val="center"/>
              <w:textAlignment w:val="auto"/>
              <w:rPr>
                <w:rFonts w:hint="default"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案例G</w:t>
            </w:r>
          </w:p>
        </w:tc>
        <w:tc>
          <w:tcPr>
            <w:tcW w:w="3100" w:type="dxa"/>
            <w:tcBorders>
              <w:bottom w:val="dotted" w:color="404040" w:sz="2" w:space="0"/>
            </w:tcBorders>
            <w:noWrap w:val="0"/>
            <w:vAlign w:val="top"/>
          </w:tcPr>
          <w:p w14:paraId="42E6224B">
            <w:pPr>
              <w:widowControl/>
              <w:adjustRightInd/>
              <w:spacing w:line="240" w:lineRule="auto"/>
              <w:jc w:val="center"/>
              <w:textAlignment w:val="auto"/>
              <w:rPr>
                <w:rFonts w:hint="eastAsia"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案例H</w:t>
            </w:r>
          </w:p>
        </w:tc>
        <w:tc>
          <w:tcPr>
            <w:tcW w:w="3100" w:type="dxa"/>
            <w:tcBorders>
              <w:bottom w:val="dotted" w:color="404040" w:sz="2" w:space="0"/>
            </w:tcBorders>
            <w:noWrap w:val="0"/>
            <w:vAlign w:val="top"/>
          </w:tcPr>
          <w:p w14:paraId="0B1E4AF0">
            <w:pPr>
              <w:widowControl/>
              <w:adjustRightInd/>
              <w:spacing w:line="240" w:lineRule="auto"/>
              <w:jc w:val="center"/>
              <w:textAlignment w:val="auto"/>
              <w:rPr>
                <w:rFonts w:hint="eastAsia" w:ascii="Arial" w:hAnsi="Arial" w:eastAsia="仿宋_GB2312" w:cs="Arial"/>
                <w:sz w:val="24"/>
                <w:szCs w:val="24"/>
                <w:highlight w:val="none"/>
                <w:lang w:val="en-US" w:eastAsia="zh-CN"/>
              </w:rPr>
            </w:pPr>
            <w:r>
              <w:rPr>
                <w:rFonts w:hint="eastAsia" w:ascii="Arial" w:hAnsi="Arial" w:eastAsia="仿宋_GB2312" w:cs="Arial"/>
                <w:sz w:val="24"/>
                <w:szCs w:val="24"/>
                <w:highlight w:val="none"/>
                <w:lang w:val="en-US" w:eastAsia="zh-CN"/>
              </w:rPr>
              <w:t>案例I</w:t>
            </w:r>
          </w:p>
        </w:tc>
      </w:tr>
      <w:tr w14:paraId="3978FE63">
        <w:tblPrEx>
          <w:tblBorders>
            <w:top w:val="dotted" w:color="404040" w:sz="2" w:space="0"/>
            <w:left w:val="dotted" w:color="404040" w:sz="2" w:space="0"/>
            <w:bottom w:val="dotted" w:color="404040" w:sz="2" w:space="0"/>
            <w:right w:val="dotted" w:color="404040" w:sz="2" w:space="0"/>
            <w:insideH w:val="dotted" w:color="404040" w:sz="2" w:space="0"/>
            <w:insideV w:val="dotted" w:color="404040" w:sz="2" w:space="0"/>
          </w:tblBorders>
          <w:tblCellMar>
            <w:top w:w="28" w:type="dxa"/>
            <w:left w:w="28" w:type="dxa"/>
            <w:bottom w:w="28" w:type="dxa"/>
            <w:right w:w="28" w:type="dxa"/>
          </w:tblCellMar>
        </w:tblPrEx>
        <w:trPr>
          <w:cantSplit/>
          <w:trHeight w:val="3670" w:hRule="atLeast"/>
          <w:jc w:val="center"/>
        </w:trPr>
        <w:tc>
          <w:tcPr>
            <w:tcW w:w="3099" w:type="dxa"/>
            <w:noWrap w:val="0"/>
            <w:vAlign w:val="top"/>
          </w:tcPr>
          <w:p w14:paraId="4E07574E">
            <w:pPr>
              <w:jc w:val="center"/>
              <w:rPr>
                <w:rFonts w:hint="eastAsia" w:eastAsia="宋体"/>
                <w:highlight w:val="none"/>
                <w:lang w:eastAsia="zh-CN"/>
              </w:rPr>
            </w:pPr>
            <w:r>
              <w:rPr>
                <w:highlight w:val="none"/>
              </w:rPr>
              <w:drawing>
                <wp:inline distT="0" distB="0" distL="114300" distR="114300">
                  <wp:extent cx="1930400" cy="2168525"/>
                  <wp:effectExtent l="0" t="0" r="5080" b="10795"/>
                  <wp:docPr id="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3"/>
                          <pic:cNvPicPr>
                            <a:picLocks noChangeAspect="1"/>
                          </pic:cNvPicPr>
                        </pic:nvPicPr>
                        <pic:blipFill>
                          <a:blip r:embed="rId75"/>
                          <a:stretch>
                            <a:fillRect/>
                          </a:stretch>
                        </pic:blipFill>
                        <pic:spPr>
                          <a:xfrm>
                            <a:off x="0" y="0"/>
                            <a:ext cx="1930400" cy="2168525"/>
                          </a:xfrm>
                          <a:prstGeom prst="rect">
                            <a:avLst/>
                          </a:prstGeom>
                          <a:noFill/>
                          <a:ln>
                            <a:noFill/>
                          </a:ln>
                        </pic:spPr>
                      </pic:pic>
                    </a:graphicData>
                  </a:graphic>
                </wp:inline>
              </w:drawing>
            </w:r>
          </w:p>
        </w:tc>
        <w:tc>
          <w:tcPr>
            <w:tcW w:w="3100" w:type="dxa"/>
            <w:noWrap w:val="0"/>
            <w:vAlign w:val="top"/>
          </w:tcPr>
          <w:p w14:paraId="4133F647">
            <w:pPr>
              <w:jc w:val="center"/>
              <w:rPr>
                <w:rFonts w:hint="eastAsia" w:eastAsia="宋体"/>
                <w:highlight w:val="none"/>
                <w:lang w:eastAsia="zh-CN"/>
              </w:rPr>
            </w:pPr>
            <w:r>
              <w:rPr>
                <w:rFonts w:hint="eastAsia" w:eastAsia="宋体"/>
                <w:highlight w:val="none"/>
                <w:lang w:eastAsia="zh-CN"/>
              </w:rPr>
              <w:drawing>
                <wp:inline distT="0" distB="0" distL="114300" distR="114300">
                  <wp:extent cx="1787525" cy="2166620"/>
                  <wp:effectExtent l="0" t="0" r="10795" b="12700"/>
                  <wp:docPr id="70" name="图片 70" descr="IMG_20260323_13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60323_133251"/>
                          <pic:cNvPicPr>
                            <a:picLocks noChangeAspect="1"/>
                          </pic:cNvPicPr>
                        </pic:nvPicPr>
                        <pic:blipFill>
                          <a:blip r:embed="rId76"/>
                          <a:stretch>
                            <a:fillRect/>
                          </a:stretch>
                        </pic:blipFill>
                        <pic:spPr>
                          <a:xfrm>
                            <a:off x="0" y="0"/>
                            <a:ext cx="1787525" cy="2166620"/>
                          </a:xfrm>
                          <a:prstGeom prst="rect">
                            <a:avLst/>
                          </a:prstGeom>
                        </pic:spPr>
                      </pic:pic>
                    </a:graphicData>
                  </a:graphic>
                </wp:inline>
              </w:drawing>
            </w:r>
          </w:p>
        </w:tc>
        <w:tc>
          <w:tcPr>
            <w:tcW w:w="3100" w:type="dxa"/>
            <w:noWrap w:val="0"/>
            <w:vAlign w:val="top"/>
          </w:tcPr>
          <w:p w14:paraId="44FA5FF4">
            <w:pPr>
              <w:jc w:val="center"/>
              <w:rPr>
                <w:rFonts w:hint="eastAsia"/>
                <w:highlight w:val="none"/>
              </w:rPr>
            </w:pPr>
            <w:r>
              <w:rPr>
                <w:highlight w:val="none"/>
              </w:rPr>
              <w:drawing>
                <wp:inline distT="0" distB="0" distL="114300" distR="114300">
                  <wp:extent cx="1928495" cy="2193290"/>
                  <wp:effectExtent l="0" t="0" r="6985" b="1270"/>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77"/>
                          <a:stretch>
                            <a:fillRect/>
                          </a:stretch>
                        </pic:blipFill>
                        <pic:spPr>
                          <a:xfrm>
                            <a:off x="0" y="0"/>
                            <a:ext cx="1928495" cy="2193290"/>
                          </a:xfrm>
                          <a:prstGeom prst="rect">
                            <a:avLst/>
                          </a:prstGeom>
                          <a:noFill/>
                          <a:ln>
                            <a:noFill/>
                          </a:ln>
                        </pic:spPr>
                      </pic:pic>
                    </a:graphicData>
                  </a:graphic>
                </wp:inline>
              </w:drawing>
            </w:r>
          </w:p>
        </w:tc>
      </w:tr>
    </w:tbl>
    <w:p w14:paraId="0743C102">
      <w:pPr>
        <w:spacing w:after="26" w:line="360" w:lineRule="auto"/>
        <w:jc w:val="center"/>
        <w:rPr>
          <w:rFonts w:ascii="Arial" w:hAnsi="Arial" w:eastAsia="仿宋" w:cs="Arial"/>
          <w:b/>
          <w:bCs/>
          <w:szCs w:val="28"/>
          <w:highlight w:val="none"/>
        </w:rPr>
      </w:pPr>
    </w:p>
    <w:p w14:paraId="06819B37">
      <w:pPr>
        <w:spacing w:after="26" w:line="360" w:lineRule="auto"/>
        <w:jc w:val="both"/>
        <w:rPr>
          <w:rFonts w:ascii="Arial" w:hAnsi="Arial" w:eastAsia="仿宋" w:cs="Arial"/>
          <w:b/>
          <w:bCs/>
          <w:szCs w:val="28"/>
          <w:highlight w:val="none"/>
        </w:rPr>
      </w:pPr>
    </w:p>
    <w:p w14:paraId="21CB3021">
      <w:pPr>
        <w:spacing w:after="26" w:line="360" w:lineRule="auto"/>
        <w:jc w:val="center"/>
        <w:rPr>
          <w:rFonts w:ascii="Arial" w:hAnsi="Arial" w:eastAsia="仿宋" w:cs="Arial"/>
          <w:sz w:val="28"/>
          <w:szCs w:val="28"/>
          <w:highlight w:val="none"/>
        </w:rPr>
      </w:pPr>
      <w:r>
        <w:rPr>
          <w:rFonts w:ascii="Arial" w:hAnsi="Arial" w:eastAsia="仿宋" w:cs="Arial"/>
          <w:b/>
          <w:bCs/>
          <w:szCs w:val="28"/>
          <w:highlight w:val="none"/>
        </w:rPr>
        <w:t>表5：比较因素条件说明及指数表</w:t>
      </w:r>
    </w:p>
    <w:tbl>
      <w:tblPr>
        <w:tblStyle w:val="3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492"/>
        <w:gridCol w:w="589"/>
        <w:gridCol w:w="1897"/>
        <w:gridCol w:w="502"/>
        <w:gridCol w:w="1548"/>
        <w:gridCol w:w="546"/>
        <w:gridCol w:w="1453"/>
        <w:gridCol w:w="549"/>
        <w:gridCol w:w="1251"/>
        <w:gridCol w:w="641"/>
      </w:tblGrid>
      <w:tr w14:paraId="1E6C5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blHeader/>
          <w:jc w:val="center"/>
        </w:trPr>
        <w:tc>
          <w:tcPr>
            <w:tcW w:w="1048" w:type="dxa"/>
            <w:gridSpan w:val="2"/>
            <w:vMerge w:val="restart"/>
            <w:tcBorders>
              <w:tl2br w:val="single" w:color="auto" w:sz="4" w:space="0"/>
            </w:tcBorders>
            <w:vAlign w:val="center"/>
          </w:tcPr>
          <w:p w14:paraId="0B021731">
            <w:pPr>
              <w:widowControl/>
              <w:adjustRightInd/>
              <w:spacing w:line="240" w:lineRule="exact"/>
              <w:jc w:val="right"/>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估价对象及</w:t>
            </w:r>
          </w:p>
          <w:p w14:paraId="6A4064ED">
            <w:pPr>
              <w:widowControl/>
              <w:adjustRightInd/>
              <w:spacing w:line="240" w:lineRule="exact"/>
              <w:jc w:val="right"/>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可比案例</w:t>
            </w:r>
          </w:p>
          <w:p w14:paraId="436CC5CB">
            <w:pPr>
              <w:widowControl/>
              <w:adjustRightInd/>
              <w:spacing w:line="240" w:lineRule="exact"/>
              <w:jc w:val="center"/>
              <w:textAlignment w:val="auto"/>
              <w:rPr>
                <w:rFonts w:ascii="Arial" w:hAnsi="Arial" w:eastAsia="仿宋" w:cs="Arial"/>
                <w:snapToGrid w:val="0"/>
                <w:sz w:val="18"/>
                <w:szCs w:val="18"/>
                <w:highlight w:val="none"/>
              </w:rPr>
            </w:pPr>
          </w:p>
          <w:p w14:paraId="3EECD397">
            <w:pPr>
              <w:widowControl/>
              <w:adjustRightInd/>
              <w:spacing w:line="240" w:lineRule="exact"/>
              <w:jc w:val="center"/>
              <w:textAlignment w:val="auto"/>
              <w:rPr>
                <w:rFonts w:ascii="Arial" w:hAnsi="Arial" w:eastAsia="仿宋" w:cs="Arial"/>
                <w:snapToGrid w:val="0"/>
                <w:sz w:val="18"/>
                <w:szCs w:val="18"/>
                <w:highlight w:val="none"/>
              </w:rPr>
            </w:pPr>
          </w:p>
          <w:p w14:paraId="1E7E0F57">
            <w:pPr>
              <w:widowControl/>
              <w:adjustRightInd/>
              <w:spacing w:line="240" w:lineRule="exact"/>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比较因素</w:t>
            </w:r>
          </w:p>
          <w:p w14:paraId="651F3B05">
            <w:pPr>
              <w:widowControl/>
              <w:adjustRightInd/>
              <w:spacing w:line="240" w:lineRule="exact"/>
              <w:jc w:val="center"/>
              <w:textAlignment w:val="auto"/>
              <w:rPr>
                <w:rFonts w:ascii="Arial" w:hAnsi="Arial" w:eastAsia="仿宋" w:cs="Arial"/>
                <w:snapToGrid w:val="0"/>
                <w:sz w:val="18"/>
                <w:szCs w:val="18"/>
                <w:highlight w:val="none"/>
              </w:rPr>
            </w:pPr>
          </w:p>
        </w:tc>
        <w:tc>
          <w:tcPr>
            <w:tcW w:w="2327" w:type="dxa"/>
            <w:gridSpan w:val="2"/>
            <w:vAlign w:val="center"/>
          </w:tcPr>
          <w:p w14:paraId="7A28146A">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估价对象</w:t>
            </w:r>
          </w:p>
        </w:tc>
        <w:tc>
          <w:tcPr>
            <w:tcW w:w="2032" w:type="dxa"/>
            <w:gridSpan w:val="2"/>
            <w:vAlign w:val="center"/>
          </w:tcPr>
          <w:p w14:paraId="6EA43265">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案例G</w:t>
            </w:r>
          </w:p>
        </w:tc>
        <w:tc>
          <w:tcPr>
            <w:tcW w:w="1942" w:type="dxa"/>
            <w:gridSpan w:val="2"/>
          </w:tcPr>
          <w:p w14:paraId="2C2E51B1">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案例H</w:t>
            </w:r>
          </w:p>
        </w:tc>
        <w:tc>
          <w:tcPr>
            <w:tcW w:w="1835" w:type="dxa"/>
            <w:gridSpan w:val="2"/>
            <w:vAlign w:val="center"/>
          </w:tcPr>
          <w:p w14:paraId="0800B6AA">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案例I</w:t>
            </w:r>
          </w:p>
        </w:tc>
      </w:tr>
      <w:tr w14:paraId="51619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tblHeader/>
          <w:jc w:val="center"/>
        </w:trPr>
        <w:tc>
          <w:tcPr>
            <w:tcW w:w="1048" w:type="dxa"/>
            <w:gridSpan w:val="2"/>
            <w:vMerge w:val="continue"/>
            <w:tcBorders>
              <w:tl2br w:val="single" w:color="auto" w:sz="4" w:space="0"/>
            </w:tcBorders>
            <w:vAlign w:val="center"/>
          </w:tcPr>
          <w:p w14:paraId="3D411AF1">
            <w:pPr>
              <w:widowControl/>
              <w:adjustRightInd/>
              <w:spacing w:line="240" w:lineRule="exact"/>
              <w:jc w:val="center"/>
              <w:textAlignment w:val="auto"/>
              <w:rPr>
                <w:rFonts w:ascii="Arial" w:hAnsi="Arial" w:eastAsia="仿宋" w:cs="Arial"/>
                <w:snapToGrid w:val="0"/>
                <w:sz w:val="18"/>
                <w:szCs w:val="18"/>
                <w:highlight w:val="none"/>
              </w:rPr>
            </w:pPr>
          </w:p>
        </w:tc>
        <w:tc>
          <w:tcPr>
            <w:tcW w:w="1840" w:type="dxa"/>
            <w:vAlign w:val="center"/>
          </w:tcPr>
          <w:p w14:paraId="05B3607A">
            <w:pPr>
              <w:widowControl/>
              <w:adjustRightInd/>
              <w:spacing w:line="240" w:lineRule="exact"/>
              <w:jc w:val="center"/>
              <w:textAlignment w:val="auto"/>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北京市顺义区高丽营副中心区SY02</w:t>
            </w:r>
            <w:r>
              <w:rPr>
                <w:rFonts w:hint="eastAsia" w:ascii="Arial" w:hAnsi="Arial" w:eastAsia="仿宋" w:cs="Arial"/>
                <w:snapToGrid w:val="0"/>
                <w:sz w:val="18"/>
                <w:szCs w:val="18"/>
                <w:highlight w:val="none"/>
                <w:lang w:eastAsia="zh-CN"/>
              </w:rPr>
              <w:t>－</w:t>
            </w:r>
            <w:r>
              <w:rPr>
                <w:rFonts w:ascii="Arial" w:hAnsi="Arial" w:eastAsia="仿宋" w:cs="Arial"/>
                <w:snapToGrid w:val="0"/>
                <w:sz w:val="18"/>
                <w:szCs w:val="18"/>
                <w:highlight w:val="none"/>
                <w:lang w:eastAsia="zh-Hans"/>
              </w:rPr>
              <w:t>0102</w:t>
            </w:r>
            <w:r>
              <w:rPr>
                <w:rFonts w:hint="eastAsia" w:ascii="Arial" w:hAnsi="Arial" w:eastAsia="仿宋" w:cs="Arial"/>
                <w:snapToGrid w:val="0"/>
                <w:sz w:val="18"/>
                <w:szCs w:val="18"/>
                <w:highlight w:val="none"/>
                <w:lang w:eastAsia="zh-CN"/>
              </w:rPr>
              <w:t>－</w:t>
            </w:r>
            <w:r>
              <w:rPr>
                <w:rFonts w:ascii="Arial" w:hAnsi="Arial" w:eastAsia="仿宋" w:cs="Arial"/>
                <w:snapToGrid w:val="0"/>
                <w:sz w:val="18"/>
                <w:szCs w:val="18"/>
                <w:highlight w:val="none"/>
                <w:lang w:eastAsia="zh-Hans"/>
              </w:rPr>
              <w:t>6003号地块</w:t>
            </w:r>
          </w:p>
        </w:tc>
        <w:tc>
          <w:tcPr>
            <w:tcW w:w="487" w:type="dxa"/>
            <w:vAlign w:val="center"/>
          </w:tcPr>
          <w:p w14:paraId="4D88E264">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系数</w:t>
            </w:r>
          </w:p>
        </w:tc>
        <w:tc>
          <w:tcPr>
            <w:tcW w:w="1502" w:type="dxa"/>
            <w:vAlign w:val="center"/>
          </w:tcPr>
          <w:p w14:paraId="1761E767">
            <w:pPr>
              <w:widowControl/>
              <w:adjustRightInd/>
              <w:spacing w:line="240" w:lineRule="auto"/>
              <w:jc w:val="center"/>
              <w:textAlignment w:val="auto"/>
              <w:rPr>
                <w:rFonts w:ascii="仿宋" w:hAnsi="仿宋" w:eastAsia="仿宋"/>
                <w:color w:val="000000"/>
                <w:sz w:val="18"/>
                <w:szCs w:val="18"/>
                <w:highlight w:val="none"/>
              </w:rPr>
            </w:pPr>
            <w:r>
              <w:rPr>
                <w:rFonts w:hint="eastAsia" w:ascii="仿宋" w:hAnsi="仿宋" w:eastAsia="仿宋"/>
                <w:color w:val="000000"/>
                <w:sz w:val="18"/>
                <w:szCs w:val="18"/>
                <w:highlight w:val="none"/>
                <w:lang w:eastAsia="zh-Hans"/>
              </w:rPr>
              <w:t>数码视讯产业园</w:t>
            </w:r>
          </w:p>
        </w:tc>
        <w:tc>
          <w:tcPr>
            <w:tcW w:w="530" w:type="dxa"/>
            <w:vAlign w:val="center"/>
          </w:tcPr>
          <w:p w14:paraId="21F7226D">
            <w:pPr>
              <w:jc w:val="center"/>
              <w:rPr>
                <w:rFonts w:ascii="仿宋" w:hAnsi="仿宋" w:eastAsia="仿宋"/>
                <w:color w:val="000000"/>
                <w:sz w:val="18"/>
                <w:szCs w:val="18"/>
                <w:highlight w:val="none"/>
              </w:rPr>
            </w:pPr>
            <w:r>
              <w:rPr>
                <w:rFonts w:hint="eastAsia" w:ascii="仿宋" w:hAnsi="仿宋" w:eastAsia="仿宋"/>
                <w:color w:val="000000"/>
                <w:sz w:val="18"/>
                <w:szCs w:val="18"/>
                <w:highlight w:val="none"/>
              </w:rPr>
              <w:t>系数</w:t>
            </w:r>
          </w:p>
        </w:tc>
        <w:tc>
          <w:tcPr>
            <w:tcW w:w="1409" w:type="dxa"/>
            <w:vAlign w:val="center"/>
          </w:tcPr>
          <w:p w14:paraId="20F0786E">
            <w:pPr>
              <w:jc w:val="center"/>
              <w:rPr>
                <w:rFonts w:ascii="仿宋" w:hAnsi="仿宋" w:eastAsia="仿宋"/>
                <w:color w:val="000000"/>
                <w:sz w:val="18"/>
                <w:szCs w:val="18"/>
                <w:highlight w:val="none"/>
              </w:rPr>
            </w:pPr>
            <w:r>
              <w:rPr>
                <w:rFonts w:hint="eastAsia" w:ascii="仿宋" w:hAnsi="仿宋" w:eastAsia="仿宋"/>
                <w:color w:val="000000"/>
                <w:sz w:val="18"/>
                <w:szCs w:val="18"/>
                <w:highlight w:val="none"/>
                <w:lang w:eastAsia="zh-Hans"/>
              </w:rPr>
              <w:t>博润中心</w:t>
            </w:r>
          </w:p>
        </w:tc>
        <w:tc>
          <w:tcPr>
            <w:tcW w:w="533" w:type="dxa"/>
            <w:vAlign w:val="center"/>
          </w:tcPr>
          <w:p w14:paraId="4448DCB7">
            <w:pPr>
              <w:jc w:val="center"/>
              <w:rPr>
                <w:rFonts w:ascii="仿宋" w:hAnsi="仿宋" w:eastAsia="仿宋"/>
                <w:color w:val="000000"/>
                <w:sz w:val="18"/>
                <w:szCs w:val="18"/>
                <w:highlight w:val="none"/>
              </w:rPr>
            </w:pPr>
            <w:r>
              <w:rPr>
                <w:rFonts w:hint="eastAsia" w:ascii="仿宋" w:hAnsi="仿宋" w:eastAsia="仿宋"/>
                <w:color w:val="000000"/>
                <w:sz w:val="18"/>
                <w:szCs w:val="18"/>
                <w:highlight w:val="none"/>
              </w:rPr>
              <w:t>系数</w:t>
            </w:r>
          </w:p>
        </w:tc>
        <w:tc>
          <w:tcPr>
            <w:tcW w:w="1213" w:type="dxa"/>
            <w:vAlign w:val="center"/>
          </w:tcPr>
          <w:p w14:paraId="3A4840A2">
            <w:pPr>
              <w:jc w:val="center"/>
              <w:rPr>
                <w:rFonts w:ascii="仿宋" w:hAnsi="仿宋" w:eastAsia="仿宋"/>
                <w:color w:val="000000"/>
                <w:sz w:val="18"/>
                <w:szCs w:val="18"/>
                <w:highlight w:val="none"/>
              </w:rPr>
            </w:pPr>
            <w:r>
              <w:rPr>
                <w:rFonts w:hint="eastAsia" w:ascii="仿宋" w:hAnsi="仿宋" w:eastAsia="仿宋"/>
                <w:color w:val="000000"/>
                <w:sz w:val="18"/>
                <w:szCs w:val="18"/>
                <w:highlight w:val="none"/>
                <w:lang w:eastAsia="zh-Hans"/>
              </w:rPr>
              <w:t>城建道桥大厦</w:t>
            </w:r>
          </w:p>
        </w:tc>
        <w:tc>
          <w:tcPr>
            <w:tcW w:w="622" w:type="dxa"/>
            <w:vAlign w:val="center"/>
          </w:tcPr>
          <w:p w14:paraId="00E44CC4">
            <w:pPr>
              <w:jc w:val="center"/>
              <w:rPr>
                <w:rFonts w:ascii="仿宋" w:hAnsi="仿宋" w:eastAsia="仿宋"/>
                <w:color w:val="000000"/>
                <w:sz w:val="18"/>
                <w:szCs w:val="18"/>
                <w:highlight w:val="none"/>
              </w:rPr>
            </w:pPr>
            <w:r>
              <w:rPr>
                <w:rFonts w:hint="eastAsia" w:ascii="仿宋" w:hAnsi="仿宋" w:eastAsia="仿宋"/>
                <w:color w:val="000000"/>
                <w:sz w:val="18"/>
                <w:szCs w:val="18"/>
                <w:highlight w:val="none"/>
              </w:rPr>
              <w:t>系数</w:t>
            </w:r>
          </w:p>
        </w:tc>
      </w:tr>
      <w:tr w14:paraId="1FFD3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286C1DEF">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交易时间</w:t>
            </w:r>
          </w:p>
        </w:tc>
        <w:tc>
          <w:tcPr>
            <w:tcW w:w="1840" w:type="dxa"/>
            <w:vAlign w:val="center"/>
          </w:tcPr>
          <w:p w14:paraId="56C51C96">
            <w:pPr>
              <w:widowControl/>
              <w:adjustRightInd/>
              <w:spacing w:line="240" w:lineRule="exact"/>
              <w:jc w:val="center"/>
              <w:textAlignment w:val="auto"/>
              <w:rPr>
                <w:rFonts w:hint="eastAsia" w:ascii="Arial" w:hAnsi="Arial" w:eastAsia="仿宋" w:cs="Arial"/>
                <w:snapToGrid w:val="0"/>
                <w:sz w:val="18"/>
                <w:szCs w:val="18"/>
                <w:highlight w:val="none"/>
                <w:lang w:eastAsia="zh-CN"/>
              </w:rPr>
            </w:pPr>
            <w:r>
              <w:rPr>
                <w:rFonts w:hint="eastAsia" w:ascii="Arial" w:hAnsi="Arial" w:eastAsia="仿宋" w:cs="Arial"/>
                <w:snapToGrid w:val="0"/>
                <w:sz w:val="18"/>
                <w:szCs w:val="18"/>
                <w:highlight w:val="none"/>
                <w:lang w:eastAsia="zh-CN"/>
              </w:rPr>
              <w:t>2026</w:t>
            </w:r>
            <w:r>
              <w:rPr>
                <w:rFonts w:hint="eastAsia" w:ascii="Arial" w:hAnsi="Arial" w:eastAsia="仿宋" w:cs="Arial"/>
                <w:snapToGrid w:val="0"/>
                <w:sz w:val="18"/>
                <w:szCs w:val="18"/>
                <w:highlight w:val="none"/>
                <w:lang w:val="en-US" w:eastAsia="zh-CN"/>
              </w:rPr>
              <w:t>.</w:t>
            </w:r>
            <w:r>
              <w:rPr>
                <w:rFonts w:hint="eastAsia" w:ascii="Arial" w:hAnsi="Arial" w:eastAsia="仿宋" w:cs="Arial"/>
                <w:snapToGrid w:val="0"/>
                <w:sz w:val="18"/>
                <w:szCs w:val="18"/>
                <w:highlight w:val="none"/>
                <w:lang w:eastAsia="zh-CN"/>
              </w:rPr>
              <w:t>3</w:t>
            </w:r>
            <w:r>
              <w:rPr>
                <w:rFonts w:hint="eastAsia" w:ascii="Arial" w:hAnsi="Arial" w:eastAsia="仿宋" w:cs="Arial"/>
                <w:snapToGrid w:val="0"/>
                <w:sz w:val="18"/>
                <w:szCs w:val="18"/>
                <w:highlight w:val="none"/>
                <w:lang w:val="en-US" w:eastAsia="zh-CN"/>
              </w:rPr>
              <w:t>.26</w:t>
            </w:r>
          </w:p>
        </w:tc>
        <w:tc>
          <w:tcPr>
            <w:tcW w:w="487" w:type="dxa"/>
            <w:vAlign w:val="center"/>
          </w:tcPr>
          <w:p w14:paraId="62E67A43">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100</w:t>
            </w:r>
          </w:p>
        </w:tc>
        <w:tc>
          <w:tcPr>
            <w:tcW w:w="1502" w:type="dxa"/>
            <w:vAlign w:val="center"/>
          </w:tcPr>
          <w:p w14:paraId="3EED3907">
            <w:pPr>
              <w:widowControl/>
              <w:adjustRightInd/>
              <w:spacing w:line="240" w:lineRule="exact"/>
              <w:jc w:val="center"/>
              <w:textAlignment w:val="auto"/>
              <w:rPr>
                <w:rFonts w:hint="default" w:ascii="Arial" w:hAnsi="Arial" w:eastAsia="仿宋" w:cs="Arial"/>
                <w:snapToGrid w:val="0"/>
                <w:sz w:val="18"/>
                <w:szCs w:val="18"/>
                <w:highlight w:val="none"/>
                <w:lang w:val="en-US" w:eastAsia="zh-CN"/>
              </w:rPr>
            </w:pPr>
            <w:r>
              <w:rPr>
                <w:rFonts w:ascii="Arial" w:hAnsi="Arial" w:eastAsia="仿宋" w:cs="Arial"/>
                <w:snapToGrid w:val="0"/>
                <w:sz w:val="18"/>
                <w:szCs w:val="18"/>
                <w:highlight w:val="none"/>
              </w:rPr>
              <w:t>20</w:t>
            </w:r>
            <w:r>
              <w:rPr>
                <w:rFonts w:hint="eastAsia" w:ascii="Arial" w:hAnsi="Arial" w:eastAsia="仿宋" w:cs="Arial"/>
                <w:snapToGrid w:val="0"/>
                <w:sz w:val="18"/>
                <w:szCs w:val="18"/>
                <w:highlight w:val="none"/>
                <w:lang w:val="en-US" w:eastAsia="zh-CN"/>
              </w:rPr>
              <w:t>26.3</w:t>
            </w:r>
          </w:p>
        </w:tc>
        <w:tc>
          <w:tcPr>
            <w:tcW w:w="530" w:type="dxa"/>
            <w:vAlign w:val="center"/>
          </w:tcPr>
          <w:p w14:paraId="2DB18F78">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100</w:t>
            </w:r>
          </w:p>
        </w:tc>
        <w:tc>
          <w:tcPr>
            <w:tcW w:w="1409" w:type="dxa"/>
            <w:vAlign w:val="center"/>
          </w:tcPr>
          <w:p w14:paraId="0FD9C4D7">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20</w:t>
            </w:r>
            <w:r>
              <w:rPr>
                <w:rFonts w:hint="eastAsia" w:ascii="Arial" w:hAnsi="Arial" w:eastAsia="仿宋" w:cs="Arial"/>
                <w:snapToGrid w:val="0"/>
                <w:sz w:val="18"/>
                <w:szCs w:val="18"/>
                <w:highlight w:val="none"/>
                <w:lang w:val="en-US" w:eastAsia="zh-CN"/>
              </w:rPr>
              <w:t>26.3</w:t>
            </w:r>
          </w:p>
        </w:tc>
        <w:tc>
          <w:tcPr>
            <w:tcW w:w="533" w:type="dxa"/>
            <w:vAlign w:val="center"/>
          </w:tcPr>
          <w:p w14:paraId="30612234">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100</w:t>
            </w:r>
          </w:p>
        </w:tc>
        <w:tc>
          <w:tcPr>
            <w:tcW w:w="1213" w:type="dxa"/>
            <w:vAlign w:val="center"/>
          </w:tcPr>
          <w:p w14:paraId="196A0447">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20</w:t>
            </w:r>
            <w:r>
              <w:rPr>
                <w:rFonts w:hint="eastAsia" w:ascii="Arial" w:hAnsi="Arial" w:eastAsia="仿宋" w:cs="Arial"/>
                <w:snapToGrid w:val="0"/>
                <w:sz w:val="18"/>
                <w:szCs w:val="18"/>
                <w:highlight w:val="none"/>
                <w:lang w:val="en-US" w:eastAsia="zh-CN"/>
              </w:rPr>
              <w:t>26.3</w:t>
            </w:r>
          </w:p>
        </w:tc>
        <w:tc>
          <w:tcPr>
            <w:tcW w:w="622" w:type="dxa"/>
            <w:vAlign w:val="center"/>
          </w:tcPr>
          <w:p w14:paraId="1332D40A">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100</w:t>
            </w:r>
          </w:p>
        </w:tc>
      </w:tr>
      <w:tr w14:paraId="23716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50717C42">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交易情况</w:t>
            </w:r>
          </w:p>
        </w:tc>
        <w:tc>
          <w:tcPr>
            <w:tcW w:w="1840" w:type="dxa"/>
            <w:vAlign w:val="center"/>
          </w:tcPr>
          <w:p w14:paraId="2CB8C3AC">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正常</w:t>
            </w:r>
          </w:p>
        </w:tc>
        <w:tc>
          <w:tcPr>
            <w:tcW w:w="487" w:type="dxa"/>
            <w:vAlign w:val="center"/>
          </w:tcPr>
          <w:p w14:paraId="47377334">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354B63F0">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正常</w:t>
            </w:r>
          </w:p>
        </w:tc>
        <w:tc>
          <w:tcPr>
            <w:tcW w:w="530" w:type="dxa"/>
            <w:vAlign w:val="center"/>
          </w:tcPr>
          <w:p w14:paraId="2845C40F">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177F2D12">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正常</w:t>
            </w:r>
          </w:p>
        </w:tc>
        <w:tc>
          <w:tcPr>
            <w:tcW w:w="533" w:type="dxa"/>
            <w:vAlign w:val="center"/>
          </w:tcPr>
          <w:p w14:paraId="04F0D92B">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213" w:type="dxa"/>
            <w:vAlign w:val="center"/>
          </w:tcPr>
          <w:p w14:paraId="26C800FE">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正常</w:t>
            </w:r>
          </w:p>
        </w:tc>
        <w:tc>
          <w:tcPr>
            <w:tcW w:w="622" w:type="dxa"/>
            <w:vAlign w:val="center"/>
          </w:tcPr>
          <w:p w14:paraId="61DAD6DB">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r>
      <w:tr w14:paraId="18FE6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1048" w:type="dxa"/>
            <w:gridSpan w:val="2"/>
            <w:vAlign w:val="center"/>
          </w:tcPr>
          <w:p w14:paraId="518078BE">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用途</w:t>
            </w:r>
          </w:p>
        </w:tc>
        <w:tc>
          <w:tcPr>
            <w:tcW w:w="1840" w:type="dxa"/>
            <w:vAlign w:val="center"/>
          </w:tcPr>
          <w:p w14:paraId="48A4F20E">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公共服务</w:t>
            </w:r>
          </w:p>
        </w:tc>
        <w:tc>
          <w:tcPr>
            <w:tcW w:w="487" w:type="dxa"/>
            <w:vAlign w:val="center"/>
          </w:tcPr>
          <w:p w14:paraId="7AE6E58A">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0700D2E7">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办公</w:t>
            </w:r>
          </w:p>
        </w:tc>
        <w:tc>
          <w:tcPr>
            <w:tcW w:w="530" w:type="dxa"/>
            <w:vAlign w:val="center"/>
          </w:tcPr>
          <w:p w14:paraId="45A78D75">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5</w:t>
            </w:r>
          </w:p>
        </w:tc>
        <w:tc>
          <w:tcPr>
            <w:tcW w:w="1409" w:type="dxa"/>
            <w:vAlign w:val="center"/>
          </w:tcPr>
          <w:p w14:paraId="47EA9B6B">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办公</w:t>
            </w:r>
          </w:p>
        </w:tc>
        <w:tc>
          <w:tcPr>
            <w:tcW w:w="533" w:type="dxa"/>
            <w:vAlign w:val="center"/>
          </w:tcPr>
          <w:p w14:paraId="0E593084">
            <w:pPr>
              <w:spacing w:line="240" w:lineRule="exact"/>
              <w:jc w:val="center"/>
              <w:rPr>
                <w:rFonts w:hint="eastAsia" w:ascii="Arial" w:hAnsi="Arial" w:eastAsia="仿宋" w:cs="Arial"/>
                <w:snapToGrid w:val="0"/>
                <w:sz w:val="18"/>
                <w:szCs w:val="18"/>
                <w:highlight w:val="none"/>
                <w:lang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5</w:t>
            </w:r>
          </w:p>
        </w:tc>
        <w:tc>
          <w:tcPr>
            <w:tcW w:w="1213" w:type="dxa"/>
            <w:vAlign w:val="center"/>
          </w:tcPr>
          <w:p w14:paraId="0EA6E6DD">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办公</w:t>
            </w:r>
          </w:p>
        </w:tc>
        <w:tc>
          <w:tcPr>
            <w:tcW w:w="622" w:type="dxa"/>
            <w:vAlign w:val="center"/>
          </w:tcPr>
          <w:p w14:paraId="33F35486">
            <w:pPr>
              <w:spacing w:line="240" w:lineRule="exact"/>
              <w:jc w:val="center"/>
              <w:rPr>
                <w:rFonts w:hint="eastAsia" w:ascii="Arial" w:hAnsi="Arial" w:eastAsia="仿宋" w:cs="Arial"/>
                <w:snapToGrid w:val="0"/>
                <w:sz w:val="18"/>
                <w:szCs w:val="18"/>
                <w:highlight w:val="none"/>
                <w:lang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5</w:t>
            </w:r>
          </w:p>
        </w:tc>
      </w:tr>
      <w:tr w14:paraId="2E6B8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restart"/>
            <w:vAlign w:val="center"/>
          </w:tcPr>
          <w:p w14:paraId="71D8A861">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区域</w:t>
            </w:r>
          </w:p>
          <w:p w14:paraId="1FC073FF">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因素</w:t>
            </w:r>
          </w:p>
          <w:p w14:paraId="352EC0B3">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5DA35C4E">
            <w:pPr>
              <w:widowControl/>
              <w:adjustRightInd/>
              <w:spacing w:line="240" w:lineRule="exact"/>
              <w:jc w:val="center"/>
              <w:textAlignment w:val="auto"/>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物业集聚程度</w:t>
            </w:r>
          </w:p>
        </w:tc>
        <w:tc>
          <w:tcPr>
            <w:tcW w:w="1840" w:type="dxa"/>
            <w:vAlign w:val="center"/>
          </w:tcPr>
          <w:p w14:paraId="5F190EE6">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估价对象位于北京市顺义区高丽营镇夏县营村，周边2公里范围内有双悦大楼、智慧谷商务中心等办公项目，周边公共服务物业数量较少，物业集聚程度较差。</w:t>
            </w:r>
          </w:p>
        </w:tc>
        <w:tc>
          <w:tcPr>
            <w:tcW w:w="487" w:type="dxa"/>
            <w:vAlign w:val="center"/>
          </w:tcPr>
          <w:p w14:paraId="5F5D8357">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21848F20">
            <w:pPr>
              <w:spacing w:line="240" w:lineRule="exact"/>
              <w:jc w:val="center"/>
              <w:rPr>
                <w:rFonts w:hint="eastAsia"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eastAsia="zh-Hans"/>
              </w:rPr>
              <w:t>案例G周边约2公里范围内有中关村顺义园、理想汽车北京研发总部等办公园区，周边公共服务物业数量较少，物业集聚程度较差</w:t>
            </w:r>
            <w:r>
              <w:rPr>
                <w:rFonts w:hint="eastAsia" w:ascii="Arial" w:hAnsi="Arial" w:eastAsia="仿宋" w:cs="Arial"/>
                <w:snapToGrid w:val="0"/>
                <w:sz w:val="18"/>
                <w:szCs w:val="18"/>
                <w:highlight w:val="none"/>
                <w:lang w:eastAsia="zh-CN"/>
              </w:rPr>
              <w:t>。</w:t>
            </w:r>
          </w:p>
        </w:tc>
        <w:tc>
          <w:tcPr>
            <w:tcW w:w="530" w:type="dxa"/>
            <w:vAlign w:val="center"/>
          </w:tcPr>
          <w:p w14:paraId="75739564">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6E370434">
            <w:pPr>
              <w:spacing w:line="240" w:lineRule="exact"/>
              <w:jc w:val="center"/>
              <w:rPr>
                <w:rFonts w:hint="eastAsia" w:ascii="Arial" w:hAnsi="Arial" w:eastAsia="仿宋" w:cs="Arial"/>
                <w:snapToGrid w:val="0"/>
                <w:sz w:val="18"/>
                <w:szCs w:val="18"/>
                <w:highlight w:val="none"/>
                <w:lang w:eastAsia="zh-CN"/>
              </w:rPr>
            </w:pPr>
            <w:r>
              <w:rPr>
                <w:rFonts w:hint="eastAsia" w:ascii="Arial" w:hAnsi="Arial" w:eastAsia="仿宋" w:cs="Arial"/>
                <w:snapToGrid w:val="0"/>
                <w:sz w:val="18"/>
                <w:szCs w:val="18"/>
                <w:highlight w:val="none"/>
                <w:lang w:eastAsia="zh-Hans"/>
              </w:rPr>
              <w:t>案例H周边约2公里有绿地启航国际、中景江山赋写字楼、信得科技办公楼等办公项目，物业集聚程度较好</w:t>
            </w:r>
            <w:r>
              <w:rPr>
                <w:rFonts w:hint="eastAsia" w:ascii="Arial" w:hAnsi="Arial" w:eastAsia="仿宋" w:cs="Arial"/>
                <w:snapToGrid w:val="0"/>
                <w:sz w:val="18"/>
                <w:szCs w:val="18"/>
                <w:highlight w:val="none"/>
                <w:lang w:eastAsia="zh-CN"/>
              </w:rPr>
              <w:t>。</w:t>
            </w:r>
          </w:p>
        </w:tc>
        <w:tc>
          <w:tcPr>
            <w:tcW w:w="533" w:type="dxa"/>
            <w:vAlign w:val="center"/>
          </w:tcPr>
          <w:p w14:paraId="4FA927DD">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6</w:t>
            </w:r>
          </w:p>
        </w:tc>
        <w:tc>
          <w:tcPr>
            <w:tcW w:w="1213" w:type="dxa"/>
            <w:vAlign w:val="center"/>
          </w:tcPr>
          <w:p w14:paraId="276B358F">
            <w:pPr>
              <w:spacing w:line="240" w:lineRule="exact"/>
              <w:jc w:val="center"/>
              <w:rPr>
                <w:rFonts w:hint="eastAsia" w:ascii="Arial" w:hAnsi="Arial" w:eastAsia="仿宋" w:cs="Arial"/>
                <w:snapToGrid w:val="0"/>
                <w:sz w:val="18"/>
                <w:szCs w:val="18"/>
                <w:highlight w:val="none"/>
                <w:lang w:eastAsia="zh-CN"/>
              </w:rPr>
            </w:pPr>
            <w:r>
              <w:rPr>
                <w:rFonts w:hint="eastAsia" w:ascii="Arial" w:hAnsi="Arial" w:eastAsia="仿宋" w:cs="Arial"/>
                <w:snapToGrid w:val="0"/>
                <w:sz w:val="18"/>
                <w:szCs w:val="18"/>
                <w:highlight w:val="none"/>
                <w:lang w:eastAsia="zh-Hans"/>
              </w:rPr>
              <w:t>案例I周边约2公里有嘉和一品写字楼、天博中心、顺接大厦、圣宇大厦、泰吉尔商务中心写字楼等办公项目，物业集聚程度较好</w:t>
            </w:r>
            <w:r>
              <w:rPr>
                <w:rFonts w:hint="eastAsia" w:ascii="Arial" w:hAnsi="Arial" w:eastAsia="仿宋" w:cs="Arial"/>
                <w:snapToGrid w:val="0"/>
                <w:sz w:val="18"/>
                <w:szCs w:val="18"/>
                <w:highlight w:val="none"/>
                <w:lang w:eastAsia="zh-CN"/>
              </w:rPr>
              <w:t>。</w:t>
            </w:r>
          </w:p>
        </w:tc>
        <w:tc>
          <w:tcPr>
            <w:tcW w:w="622" w:type="dxa"/>
            <w:vAlign w:val="center"/>
          </w:tcPr>
          <w:p w14:paraId="56F2747B">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6</w:t>
            </w:r>
          </w:p>
        </w:tc>
      </w:tr>
      <w:tr w14:paraId="63CB4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6D6AFD1A">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3C7CD099">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交通便捷度</w:t>
            </w:r>
          </w:p>
        </w:tc>
        <w:tc>
          <w:tcPr>
            <w:tcW w:w="1840" w:type="dxa"/>
            <w:vAlign w:val="center"/>
          </w:tcPr>
          <w:p w14:paraId="1B5B44B1">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估价对象属于北京市顺义区高丽营镇夏县营村，估价对象紧临城市主干道——火寺路、周边1公里范围内有顺25路、顺42路、顺49路、顺69路等公交线路，区域内交通一般，区域间通达性较差，综合评价交通便捷度较差。</w:t>
            </w:r>
          </w:p>
        </w:tc>
        <w:tc>
          <w:tcPr>
            <w:tcW w:w="487" w:type="dxa"/>
            <w:vAlign w:val="center"/>
          </w:tcPr>
          <w:p w14:paraId="1766FC3E">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64E78401">
            <w:pPr>
              <w:spacing w:line="240" w:lineRule="exact"/>
              <w:jc w:val="center"/>
              <w:rPr>
                <w:rFonts w:hint="eastAsia" w:ascii="Arial" w:hAnsi="Arial" w:eastAsia="仿宋" w:cs="Arial"/>
                <w:snapToGrid w:val="0"/>
                <w:sz w:val="18"/>
                <w:szCs w:val="18"/>
                <w:highlight w:val="none"/>
                <w:lang w:eastAsia="zh-CN"/>
              </w:rPr>
            </w:pPr>
            <w:r>
              <w:rPr>
                <w:rFonts w:hint="eastAsia" w:ascii="Arial" w:hAnsi="Arial" w:eastAsia="仿宋" w:cs="Arial"/>
                <w:snapToGrid w:val="0"/>
                <w:sz w:val="18"/>
                <w:szCs w:val="18"/>
                <w:highlight w:val="none"/>
                <w:lang w:eastAsia="zh-Hans"/>
              </w:rPr>
              <w:t>案例G周边1公里有快速直达专线41路、顺49路、顺67路、顺69路等公交线路，区域内交通一般，区域间通达性较差，综合评价交通便捷度较差</w:t>
            </w:r>
            <w:r>
              <w:rPr>
                <w:rFonts w:hint="eastAsia" w:ascii="Arial" w:hAnsi="Arial" w:eastAsia="仿宋" w:cs="Arial"/>
                <w:snapToGrid w:val="0"/>
                <w:sz w:val="18"/>
                <w:szCs w:val="18"/>
                <w:highlight w:val="none"/>
                <w:lang w:eastAsia="zh-CN"/>
              </w:rPr>
              <w:t>。</w:t>
            </w:r>
          </w:p>
        </w:tc>
        <w:tc>
          <w:tcPr>
            <w:tcW w:w="530" w:type="dxa"/>
            <w:vAlign w:val="center"/>
          </w:tcPr>
          <w:p w14:paraId="20BFFE05">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0080CFA0">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案例</w:t>
            </w:r>
            <w:r>
              <w:rPr>
                <w:rFonts w:ascii="Arial" w:hAnsi="Arial" w:eastAsia="仿宋" w:cs="Arial"/>
                <w:snapToGrid w:val="0"/>
                <w:sz w:val="18"/>
                <w:szCs w:val="18"/>
                <w:highlight w:val="none"/>
                <w:lang w:eastAsia="zh-Hans"/>
              </w:rPr>
              <w:t>H</w:t>
            </w:r>
            <w:r>
              <w:rPr>
                <w:rFonts w:hint="eastAsia" w:ascii="Arial" w:hAnsi="Arial" w:eastAsia="仿宋" w:cs="Arial"/>
                <w:snapToGrid w:val="0"/>
                <w:sz w:val="18"/>
                <w:szCs w:val="18"/>
                <w:highlight w:val="none"/>
                <w:lang w:eastAsia="zh-Hans"/>
              </w:rPr>
              <w:t>靠近机场北线高速，临近城市高速路</w:t>
            </w:r>
            <w:r>
              <w:rPr>
                <w:rFonts w:ascii="Arial" w:hAnsi="Arial" w:eastAsia="仿宋" w:cs="Arial"/>
                <w:snapToGrid w:val="0"/>
                <w:sz w:val="18"/>
                <w:szCs w:val="18"/>
                <w:highlight w:val="none"/>
                <w:lang w:eastAsia="zh-Hans"/>
              </w:rPr>
              <w:t>——</w:t>
            </w:r>
            <w:r>
              <w:rPr>
                <w:rFonts w:hint="eastAsia" w:ascii="Arial" w:hAnsi="Arial" w:eastAsia="仿宋" w:cs="Arial"/>
                <w:snapToGrid w:val="0"/>
                <w:sz w:val="18"/>
                <w:szCs w:val="18"/>
                <w:highlight w:val="none"/>
                <w:lang w:eastAsia="zh-Hans"/>
              </w:rPr>
              <w:t>机场北线高速，有空港</w:t>
            </w:r>
            <w:r>
              <w:rPr>
                <w:rFonts w:ascii="Arial" w:hAnsi="Arial" w:eastAsia="仿宋" w:cs="Arial"/>
                <w:snapToGrid w:val="0"/>
                <w:sz w:val="18"/>
                <w:szCs w:val="18"/>
                <w:highlight w:val="none"/>
                <w:lang w:eastAsia="zh-Hans"/>
              </w:rPr>
              <w:t>3</w:t>
            </w:r>
            <w:r>
              <w:rPr>
                <w:rFonts w:hint="eastAsia" w:ascii="Arial" w:hAnsi="Arial" w:eastAsia="仿宋" w:cs="Arial"/>
                <w:snapToGrid w:val="0"/>
                <w:sz w:val="18"/>
                <w:szCs w:val="18"/>
                <w:highlight w:val="none"/>
                <w:lang w:eastAsia="zh-Hans"/>
              </w:rPr>
              <w:t>路、顺</w:t>
            </w:r>
            <w:r>
              <w:rPr>
                <w:rFonts w:ascii="Arial" w:hAnsi="Arial" w:eastAsia="仿宋" w:cs="Arial"/>
                <w:snapToGrid w:val="0"/>
                <w:sz w:val="18"/>
                <w:szCs w:val="18"/>
                <w:highlight w:val="none"/>
                <w:lang w:eastAsia="zh-Hans"/>
              </w:rPr>
              <w:t>57</w:t>
            </w:r>
            <w:r>
              <w:rPr>
                <w:rFonts w:hint="eastAsia" w:ascii="Arial" w:hAnsi="Arial" w:eastAsia="仿宋" w:cs="Arial"/>
                <w:snapToGrid w:val="0"/>
                <w:sz w:val="18"/>
                <w:szCs w:val="18"/>
                <w:highlight w:val="none"/>
                <w:lang w:eastAsia="zh-Hans"/>
              </w:rPr>
              <w:t>路、顺</w:t>
            </w:r>
            <w:r>
              <w:rPr>
                <w:rFonts w:ascii="Arial" w:hAnsi="Arial" w:eastAsia="仿宋" w:cs="Arial"/>
                <w:snapToGrid w:val="0"/>
                <w:sz w:val="18"/>
                <w:szCs w:val="18"/>
                <w:highlight w:val="none"/>
                <w:lang w:eastAsia="zh-Hans"/>
              </w:rPr>
              <w:t>58</w:t>
            </w:r>
            <w:r>
              <w:rPr>
                <w:rFonts w:hint="eastAsia" w:ascii="Arial" w:hAnsi="Arial" w:eastAsia="仿宋" w:cs="Arial"/>
                <w:snapToGrid w:val="0"/>
                <w:sz w:val="18"/>
                <w:szCs w:val="18"/>
                <w:highlight w:val="none"/>
                <w:lang w:eastAsia="zh-Hans"/>
              </w:rPr>
              <w:t>路、</w:t>
            </w:r>
            <w:r>
              <w:rPr>
                <w:rFonts w:ascii="Arial" w:hAnsi="Arial" w:eastAsia="仿宋" w:cs="Arial"/>
                <w:snapToGrid w:val="0"/>
                <w:sz w:val="18"/>
                <w:szCs w:val="18"/>
                <w:highlight w:val="none"/>
                <w:lang w:eastAsia="zh-Hans"/>
              </w:rPr>
              <w:t>59</w:t>
            </w:r>
            <w:r>
              <w:rPr>
                <w:rFonts w:hint="eastAsia" w:ascii="Arial" w:hAnsi="Arial" w:eastAsia="仿宋" w:cs="Arial"/>
                <w:snapToGrid w:val="0"/>
                <w:sz w:val="18"/>
                <w:szCs w:val="18"/>
                <w:highlight w:val="none"/>
                <w:lang w:eastAsia="zh-Hans"/>
              </w:rPr>
              <w:t>路、顺</w:t>
            </w:r>
            <w:r>
              <w:rPr>
                <w:rFonts w:ascii="Arial" w:hAnsi="Arial" w:eastAsia="仿宋" w:cs="Arial"/>
                <w:snapToGrid w:val="0"/>
                <w:sz w:val="18"/>
                <w:szCs w:val="18"/>
                <w:highlight w:val="none"/>
                <w:lang w:eastAsia="zh-Hans"/>
              </w:rPr>
              <w:t>69</w:t>
            </w:r>
            <w:r>
              <w:rPr>
                <w:rFonts w:hint="eastAsia" w:ascii="Arial" w:hAnsi="Arial" w:eastAsia="仿宋" w:cs="Arial"/>
                <w:snapToGrid w:val="0"/>
                <w:sz w:val="18"/>
                <w:szCs w:val="18"/>
                <w:highlight w:val="none"/>
                <w:lang w:eastAsia="zh-Hans"/>
              </w:rPr>
              <w:t>路、顺</w:t>
            </w:r>
            <w:r>
              <w:rPr>
                <w:rFonts w:ascii="Arial" w:hAnsi="Arial" w:eastAsia="仿宋" w:cs="Arial"/>
                <w:snapToGrid w:val="0"/>
                <w:sz w:val="18"/>
                <w:szCs w:val="18"/>
                <w:highlight w:val="none"/>
                <w:lang w:eastAsia="zh-Hans"/>
              </w:rPr>
              <w:t>69</w:t>
            </w:r>
            <w:r>
              <w:rPr>
                <w:rFonts w:hint="eastAsia" w:ascii="Arial" w:hAnsi="Arial" w:eastAsia="仿宋" w:cs="Arial"/>
                <w:snapToGrid w:val="0"/>
                <w:sz w:val="18"/>
                <w:szCs w:val="18"/>
                <w:highlight w:val="none"/>
                <w:lang w:eastAsia="zh-Hans"/>
              </w:rPr>
              <w:t>路区间等多条公交线路通过，距地铁</w:t>
            </w:r>
            <w:r>
              <w:rPr>
                <w:rFonts w:ascii="Arial" w:hAnsi="Arial" w:eastAsia="仿宋" w:cs="Arial"/>
                <w:snapToGrid w:val="0"/>
                <w:sz w:val="18"/>
                <w:szCs w:val="18"/>
                <w:highlight w:val="none"/>
                <w:lang w:eastAsia="zh-Hans"/>
              </w:rPr>
              <w:t>15</w:t>
            </w:r>
            <w:r>
              <w:rPr>
                <w:rFonts w:hint="eastAsia" w:ascii="Arial" w:hAnsi="Arial" w:eastAsia="仿宋" w:cs="Arial"/>
                <w:snapToGrid w:val="0"/>
                <w:sz w:val="18"/>
                <w:szCs w:val="18"/>
                <w:highlight w:val="none"/>
                <w:lang w:eastAsia="zh-Hans"/>
              </w:rPr>
              <w:t>号线（后沙峪站）约</w:t>
            </w:r>
            <w:r>
              <w:rPr>
                <w:rFonts w:ascii="Arial" w:hAnsi="Arial" w:eastAsia="仿宋" w:cs="Arial"/>
                <w:snapToGrid w:val="0"/>
                <w:sz w:val="18"/>
                <w:szCs w:val="18"/>
                <w:highlight w:val="none"/>
                <w:lang w:eastAsia="zh-Hans"/>
              </w:rPr>
              <w:t>0.9</w:t>
            </w:r>
            <w:r>
              <w:rPr>
                <w:rFonts w:hint="eastAsia" w:ascii="Arial" w:hAnsi="Arial" w:eastAsia="仿宋" w:cs="Arial"/>
                <w:snapToGrid w:val="0"/>
                <w:sz w:val="18"/>
                <w:szCs w:val="18"/>
                <w:highlight w:val="none"/>
                <w:lang w:eastAsia="zh-Hans"/>
              </w:rPr>
              <w:t>公里，综合评价交通便捷度较好。</w:t>
            </w:r>
          </w:p>
        </w:tc>
        <w:tc>
          <w:tcPr>
            <w:tcW w:w="533" w:type="dxa"/>
            <w:vAlign w:val="center"/>
          </w:tcPr>
          <w:p w14:paraId="68A9DD60">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106</w:t>
            </w:r>
          </w:p>
        </w:tc>
        <w:tc>
          <w:tcPr>
            <w:tcW w:w="1213" w:type="dxa"/>
            <w:vAlign w:val="center"/>
          </w:tcPr>
          <w:p w14:paraId="579EAB2E">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案例</w:t>
            </w:r>
            <w:r>
              <w:rPr>
                <w:rFonts w:ascii="Arial" w:hAnsi="Arial" w:eastAsia="仿宋" w:cs="Arial"/>
                <w:snapToGrid w:val="0"/>
                <w:sz w:val="18"/>
                <w:szCs w:val="18"/>
                <w:highlight w:val="none"/>
                <w:lang w:eastAsia="zh-Hans"/>
              </w:rPr>
              <w:t>I</w:t>
            </w:r>
            <w:r>
              <w:rPr>
                <w:rFonts w:hint="eastAsia" w:ascii="Arial" w:hAnsi="Arial" w:eastAsia="仿宋" w:cs="Arial"/>
                <w:snapToGrid w:val="0"/>
                <w:sz w:val="18"/>
                <w:szCs w:val="18"/>
                <w:highlight w:val="none"/>
                <w:lang w:eastAsia="zh-Hans"/>
              </w:rPr>
              <w:t>靠近东六环快速路，有顺</w:t>
            </w:r>
            <w:r>
              <w:rPr>
                <w:rFonts w:ascii="Arial" w:hAnsi="Arial" w:eastAsia="仿宋" w:cs="Arial"/>
                <w:snapToGrid w:val="0"/>
                <w:sz w:val="18"/>
                <w:szCs w:val="18"/>
                <w:highlight w:val="none"/>
                <w:lang w:eastAsia="zh-Hans"/>
              </w:rPr>
              <w:t>2</w:t>
            </w:r>
            <w:r>
              <w:rPr>
                <w:rFonts w:hint="eastAsia" w:ascii="Arial" w:hAnsi="Arial" w:eastAsia="仿宋" w:cs="Arial"/>
                <w:snapToGrid w:val="0"/>
                <w:sz w:val="18"/>
                <w:szCs w:val="18"/>
                <w:highlight w:val="none"/>
                <w:lang w:eastAsia="zh-Hans"/>
              </w:rPr>
              <w:t>路、顺</w:t>
            </w:r>
            <w:r>
              <w:rPr>
                <w:rFonts w:ascii="Arial" w:hAnsi="Arial" w:eastAsia="仿宋" w:cs="Arial"/>
                <w:snapToGrid w:val="0"/>
                <w:sz w:val="18"/>
                <w:szCs w:val="18"/>
                <w:highlight w:val="none"/>
                <w:lang w:eastAsia="zh-Hans"/>
              </w:rPr>
              <w:t>4</w:t>
            </w:r>
            <w:r>
              <w:rPr>
                <w:rFonts w:hint="eastAsia" w:ascii="Arial" w:hAnsi="Arial" w:eastAsia="仿宋" w:cs="Arial"/>
                <w:snapToGrid w:val="0"/>
                <w:sz w:val="18"/>
                <w:szCs w:val="18"/>
                <w:highlight w:val="none"/>
                <w:lang w:eastAsia="zh-Hans"/>
              </w:rPr>
              <w:t>路、顺</w:t>
            </w:r>
            <w:r>
              <w:rPr>
                <w:rFonts w:ascii="Arial" w:hAnsi="Arial" w:eastAsia="仿宋" w:cs="Arial"/>
                <w:snapToGrid w:val="0"/>
                <w:sz w:val="18"/>
                <w:szCs w:val="18"/>
                <w:highlight w:val="none"/>
                <w:lang w:eastAsia="zh-Hans"/>
              </w:rPr>
              <w:t>66</w:t>
            </w:r>
            <w:r>
              <w:rPr>
                <w:rFonts w:hint="eastAsia" w:ascii="Arial" w:hAnsi="Arial" w:eastAsia="仿宋" w:cs="Arial"/>
                <w:snapToGrid w:val="0"/>
                <w:sz w:val="18"/>
                <w:szCs w:val="18"/>
                <w:highlight w:val="none"/>
                <w:lang w:eastAsia="zh-Hans"/>
              </w:rPr>
              <w:t>路、空港</w:t>
            </w:r>
            <w:r>
              <w:rPr>
                <w:rFonts w:ascii="Arial" w:hAnsi="Arial" w:eastAsia="仿宋" w:cs="Arial"/>
                <w:snapToGrid w:val="0"/>
                <w:sz w:val="18"/>
                <w:szCs w:val="18"/>
                <w:highlight w:val="none"/>
                <w:lang w:eastAsia="zh-Hans"/>
              </w:rPr>
              <w:t>15</w:t>
            </w:r>
            <w:r>
              <w:rPr>
                <w:rFonts w:hint="eastAsia" w:ascii="Arial" w:hAnsi="Arial" w:eastAsia="仿宋" w:cs="Arial"/>
                <w:snapToGrid w:val="0"/>
                <w:sz w:val="18"/>
                <w:szCs w:val="18"/>
                <w:highlight w:val="none"/>
                <w:lang w:eastAsia="zh-Hans"/>
              </w:rPr>
              <w:t>路、郊</w:t>
            </w:r>
            <w:r>
              <w:rPr>
                <w:rFonts w:ascii="Arial" w:hAnsi="Arial" w:eastAsia="仿宋" w:cs="Arial"/>
                <w:snapToGrid w:val="0"/>
                <w:sz w:val="18"/>
                <w:szCs w:val="18"/>
                <w:highlight w:val="none"/>
                <w:lang w:eastAsia="zh-Hans"/>
              </w:rPr>
              <w:t>100</w:t>
            </w:r>
            <w:r>
              <w:rPr>
                <w:rFonts w:hint="eastAsia" w:ascii="Arial" w:hAnsi="Arial" w:eastAsia="仿宋" w:cs="Arial"/>
                <w:snapToGrid w:val="0"/>
                <w:sz w:val="18"/>
                <w:szCs w:val="18"/>
                <w:highlight w:val="none"/>
                <w:lang w:eastAsia="zh-Hans"/>
              </w:rPr>
              <w:t>路等多条公交线路通过，距地铁</w:t>
            </w:r>
            <w:r>
              <w:rPr>
                <w:rFonts w:ascii="Arial" w:hAnsi="Arial" w:eastAsia="仿宋" w:cs="Arial"/>
                <w:snapToGrid w:val="0"/>
                <w:sz w:val="18"/>
                <w:szCs w:val="18"/>
                <w:highlight w:val="none"/>
                <w:lang w:eastAsia="zh-Hans"/>
              </w:rPr>
              <w:t>15</w:t>
            </w:r>
            <w:r>
              <w:rPr>
                <w:rFonts w:hint="eastAsia" w:ascii="Arial" w:hAnsi="Arial" w:eastAsia="仿宋" w:cs="Arial"/>
                <w:snapToGrid w:val="0"/>
                <w:sz w:val="18"/>
                <w:szCs w:val="18"/>
                <w:highlight w:val="none"/>
                <w:lang w:eastAsia="zh-Hans"/>
              </w:rPr>
              <w:t>号线（南法信站）约</w:t>
            </w:r>
            <w:r>
              <w:rPr>
                <w:rFonts w:ascii="Arial" w:hAnsi="Arial" w:eastAsia="仿宋" w:cs="Arial"/>
                <w:snapToGrid w:val="0"/>
                <w:sz w:val="18"/>
                <w:szCs w:val="18"/>
                <w:highlight w:val="none"/>
                <w:lang w:eastAsia="zh-Hans"/>
              </w:rPr>
              <w:t>0.5</w:t>
            </w:r>
            <w:r>
              <w:rPr>
                <w:rFonts w:hint="eastAsia" w:ascii="Arial" w:hAnsi="Arial" w:eastAsia="仿宋" w:cs="Arial"/>
                <w:snapToGrid w:val="0"/>
                <w:sz w:val="18"/>
                <w:szCs w:val="18"/>
                <w:highlight w:val="none"/>
                <w:lang w:eastAsia="zh-Hans"/>
              </w:rPr>
              <w:t>公里，综合评价交通便捷度较好。</w:t>
            </w:r>
          </w:p>
        </w:tc>
        <w:tc>
          <w:tcPr>
            <w:tcW w:w="622" w:type="dxa"/>
            <w:vAlign w:val="center"/>
          </w:tcPr>
          <w:p w14:paraId="7D19D9F3">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106</w:t>
            </w:r>
          </w:p>
        </w:tc>
      </w:tr>
      <w:tr w14:paraId="54F9B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07B3BEFC">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15B26D5E">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公共配套设施</w:t>
            </w:r>
          </w:p>
        </w:tc>
        <w:tc>
          <w:tcPr>
            <w:tcW w:w="1840" w:type="dxa"/>
            <w:vAlign w:val="center"/>
          </w:tcPr>
          <w:p w14:paraId="791A5BE1">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估价对象周边2公里范围内</w:t>
            </w:r>
            <w:r>
              <w:rPr>
                <w:rFonts w:hint="eastAsia" w:ascii="Arial" w:hAnsi="Arial" w:eastAsia="仿宋" w:cs="Arial"/>
                <w:snapToGrid w:val="0"/>
                <w:sz w:val="18"/>
                <w:szCs w:val="18"/>
                <w:highlight w:val="none"/>
                <w:lang w:eastAsia="zh-CN"/>
              </w:rPr>
              <w:t>有北京超天商贸中心、隆华购物中心、社区商业街、世纪华联超市等商业服务设施；有北京农商银行张喜庄分理处、北京顺义银座村镇银行高丽营支行、中国邮政储蓄银行张喜庄邮政储蓄等金融机构；有高丽营第一幼儿园、高丽营第二小学、高丽营第二中学等教育资源；有北京顺义天苑医院、北京市顺义区高丽营镇张喜庄卫生院、北京市顺义区高丽营镇河津营村卫生室等医疗设施</w:t>
            </w:r>
            <w:r>
              <w:rPr>
                <w:rFonts w:hint="eastAsia" w:ascii="Arial" w:hAnsi="Arial" w:eastAsia="仿宋" w:cs="Arial"/>
                <w:snapToGrid w:val="0"/>
                <w:sz w:val="18"/>
                <w:szCs w:val="18"/>
                <w:highlight w:val="none"/>
                <w:lang w:eastAsia="zh-Hans"/>
              </w:rPr>
              <w:t>，公共配套设施齐备情况一般。</w:t>
            </w:r>
          </w:p>
        </w:tc>
        <w:tc>
          <w:tcPr>
            <w:tcW w:w="487" w:type="dxa"/>
            <w:vAlign w:val="center"/>
          </w:tcPr>
          <w:p w14:paraId="0343B171">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56FAE257">
            <w:pPr>
              <w:spacing w:line="240" w:lineRule="exact"/>
              <w:jc w:val="center"/>
              <w:rPr>
                <w:rFonts w:hint="eastAsia" w:ascii="Arial" w:hAnsi="Arial" w:eastAsia="仿宋" w:cs="Arial"/>
                <w:snapToGrid w:val="0"/>
                <w:sz w:val="18"/>
                <w:szCs w:val="18"/>
                <w:highlight w:val="none"/>
                <w:lang w:eastAsia="zh-CN"/>
              </w:rPr>
            </w:pPr>
            <w:r>
              <w:rPr>
                <w:rFonts w:hint="eastAsia" w:ascii="Arial" w:hAnsi="Arial" w:eastAsia="仿宋" w:cs="Arial"/>
                <w:snapToGrid w:val="0"/>
                <w:sz w:val="18"/>
                <w:szCs w:val="18"/>
                <w:highlight w:val="none"/>
                <w:lang w:eastAsia="zh-Hans"/>
              </w:rPr>
              <w:t>案例G周边约2公里范围内有丽喜花园商业街、临街商业等商业服务设施；北京农商银行张喜庄分理处、北京顺义银座村镇银行高丽营支行、中国邮政储蓄银行张喜庄邮政储蓄等金融机构；高丽营第一幼儿园、高丽营第二小学、高丽营第二中学等教育资源；北京顺义天苑医院、北京市顺义区高丽营镇张喜庄卫生院、北京市顺义区高丽营镇河津营村卫生室等医疗设施，公共配套设施齐备情况一般</w:t>
            </w:r>
            <w:r>
              <w:rPr>
                <w:rFonts w:hint="eastAsia" w:ascii="Arial" w:hAnsi="Arial" w:eastAsia="仿宋" w:cs="Arial"/>
                <w:snapToGrid w:val="0"/>
                <w:sz w:val="18"/>
                <w:szCs w:val="18"/>
                <w:highlight w:val="none"/>
                <w:lang w:eastAsia="zh-CN"/>
              </w:rPr>
              <w:t>。</w:t>
            </w:r>
          </w:p>
        </w:tc>
        <w:tc>
          <w:tcPr>
            <w:tcW w:w="530" w:type="dxa"/>
            <w:vAlign w:val="center"/>
          </w:tcPr>
          <w:p w14:paraId="71C9F67A">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6C01931D">
            <w:pPr>
              <w:spacing w:line="240" w:lineRule="exact"/>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案例</w:t>
            </w:r>
            <w:r>
              <w:rPr>
                <w:rFonts w:ascii="Arial" w:hAnsi="Arial" w:eastAsia="仿宋" w:cs="Arial"/>
                <w:snapToGrid w:val="0"/>
                <w:sz w:val="18"/>
                <w:szCs w:val="18"/>
                <w:highlight w:val="none"/>
                <w:lang w:eastAsia="zh-Hans"/>
              </w:rPr>
              <w:t>H</w:t>
            </w:r>
            <w:r>
              <w:rPr>
                <w:rFonts w:hint="eastAsia" w:ascii="Arial" w:hAnsi="Arial" w:eastAsia="仿宋" w:cs="Arial"/>
                <w:snapToGrid w:val="0"/>
                <w:sz w:val="18"/>
                <w:szCs w:val="18"/>
                <w:highlight w:val="none"/>
                <w:lang w:eastAsia="zh-Hans"/>
              </w:rPr>
              <w:t>周边约</w:t>
            </w:r>
            <w:r>
              <w:rPr>
                <w:rFonts w:ascii="Arial" w:hAnsi="Arial" w:eastAsia="仿宋" w:cs="Arial"/>
                <w:snapToGrid w:val="0"/>
                <w:sz w:val="18"/>
                <w:szCs w:val="18"/>
                <w:highlight w:val="none"/>
                <w:lang w:eastAsia="zh-Hans"/>
              </w:rPr>
              <w:t>2</w:t>
            </w:r>
            <w:r>
              <w:rPr>
                <w:rFonts w:hint="eastAsia" w:ascii="Arial" w:hAnsi="Arial" w:eastAsia="仿宋" w:cs="Arial"/>
                <w:snapToGrid w:val="0"/>
                <w:sz w:val="18"/>
                <w:szCs w:val="18"/>
                <w:highlight w:val="none"/>
                <w:lang w:eastAsia="zh-Hans"/>
              </w:rPr>
              <w:t>公里内有禾光幼儿园、后沙峪中心小学、顺义第十中学等教育资源，有上海银行</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顺义支行</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、中国光大银行</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顺义后沙峪支行</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等金融机构，有山姆会员商店</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顺义店</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、永辉超市</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枫尚世纪奥特莱斯购物广场店</w:t>
            </w:r>
            <w:r>
              <w:rPr>
                <w:rFonts w:hint="eastAsia" w:ascii="Arial" w:hAnsi="Arial" w:eastAsia="仿宋" w:cs="Arial"/>
                <w:snapToGrid w:val="0"/>
                <w:sz w:val="18"/>
                <w:szCs w:val="18"/>
                <w:highlight w:val="none"/>
                <w:lang w:eastAsia="zh-CN"/>
              </w:rPr>
              <w:t>）</w:t>
            </w:r>
            <w:r>
              <w:rPr>
                <w:rFonts w:hint="eastAsia" w:ascii="Arial" w:hAnsi="Arial" w:eastAsia="仿宋" w:cs="Arial"/>
                <w:snapToGrid w:val="0"/>
                <w:sz w:val="18"/>
                <w:szCs w:val="18"/>
                <w:highlight w:val="none"/>
                <w:lang w:eastAsia="zh-Hans"/>
              </w:rPr>
              <w:t>等商业服务设施，有北京市顺义区空港医院、北京杏园金方国医医院等医疗设施，公共服务设施齐备度较好。</w:t>
            </w:r>
          </w:p>
        </w:tc>
        <w:tc>
          <w:tcPr>
            <w:tcW w:w="533" w:type="dxa"/>
            <w:vAlign w:val="center"/>
          </w:tcPr>
          <w:p w14:paraId="1375B5DA">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4</w:t>
            </w:r>
          </w:p>
        </w:tc>
        <w:tc>
          <w:tcPr>
            <w:tcW w:w="1213" w:type="dxa"/>
            <w:vAlign w:val="center"/>
          </w:tcPr>
          <w:p w14:paraId="25CE187B">
            <w:pPr>
              <w:spacing w:line="240" w:lineRule="exact"/>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案例</w:t>
            </w:r>
            <w:r>
              <w:rPr>
                <w:rFonts w:ascii="Arial" w:hAnsi="Arial" w:eastAsia="仿宋" w:cs="Arial"/>
                <w:snapToGrid w:val="0"/>
                <w:sz w:val="18"/>
                <w:szCs w:val="18"/>
                <w:highlight w:val="none"/>
                <w:lang w:eastAsia="zh-Hans"/>
              </w:rPr>
              <w:t>I</w:t>
            </w:r>
            <w:r>
              <w:rPr>
                <w:rFonts w:hint="eastAsia" w:ascii="Arial" w:hAnsi="Arial" w:eastAsia="仿宋" w:cs="Arial"/>
                <w:snapToGrid w:val="0"/>
                <w:sz w:val="18"/>
                <w:szCs w:val="18"/>
                <w:highlight w:val="none"/>
                <w:lang w:eastAsia="zh-Hans"/>
              </w:rPr>
              <w:t>周边</w:t>
            </w:r>
            <w:r>
              <w:rPr>
                <w:rFonts w:ascii="Arial" w:hAnsi="Arial" w:eastAsia="仿宋" w:cs="Arial"/>
                <w:snapToGrid w:val="0"/>
                <w:sz w:val="18"/>
                <w:szCs w:val="18"/>
                <w:highlight w:val="none"/>
                <w:lang w:eastAsia="zh-Hans"/>
              </w:rPr>
              <w:t>2</w:t>
            </w:r>
            <w:r>
              <w:rPr>
                <w:rFonts w:hint="eastAsia" w:ascii="Arial" w:hAnsi="Arial" w:eastAsia="仿宋" w:cs="Arial"/>
                <w:snapToGrid w:val="0"/>
                <w:sz w:val="18"/>
                <w:szCs w:val="18"/>
                <w:highlight w:val="none"/>
                <w:lang w:eastAsia="zh-Hans"/>
              </w:rPr>
              <w:t>公里内有南法信中心小学、北京市顺义区第二中学等教育资源，有南京银行北京顺义支行、中国农业银行等金融机构，有家得利超市、石门市场、社区商业街等商业服务设施，有北京市顺义区南法信卫生院、北京市顺义区城区社区卫生服务中心宏城花园社区卫生服务站、忠锐口腔科等医疗设施，公共服务设施齐备度</w:t>
            </w:r>
            <w:r>
              <w:rPr>
                <w:rFonts w:hint="eastAsia" w:ascii="Arial" w:hAnsi="Arial" w:eastAsia="仿宋" w:cs="Arial"/>
                <w:snapToGrid w:val="0"/>
                <w:sz w:val="18"/>
                <w:szCs w:val="18"/>
                <w:highlight w:val="none"/>
              </w:rPr>
              <w:t>较好</w:t>
            </w:r>
            <w:r>
              <w:rPr>
                <w:rFonts w:hint="eastAsia" w:ascii="Arial" w:hAnsi="Arial" w:eastAsia="仿宋" w:cs="Arial"/>
                <w:snapToGrid w:val="0"/>
                <w:sz w:val="18"/>
                <w:szCs w:val="18"/>
                <w:highlight w:val="none"/>
                <w:lang w:eastAsia="zh-Hans"/>
              </w:rPr>
              <w:t>。</w:t>
            </w:r>
          </w:p>
        </w:tc>
        <w:tc>
          <w:tcPr>
            <w:tcW w:w="622" w:type="dxa"/>
            <w:vAlign w:val="center"/>
          </w:tcPr>
          <w:p w14:paraId="6E8DE792">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4</w:t>
            </w:r>
          </w:p>
        </w:tc>
      </w:tr>
      <w:tr w14:paraId="11FD0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0A182693">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5B8C7A91">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基础设施水平</w:t>
            </w:r>
          </w:p>
        </w:tc>
        <w:tc>
          <w:tcPr>
            <w:tcW w:w="1840" w:type="dxa"/>
            <w:vAlign w:val="center"/>
          </w:tcPr>
          <w:p w14:paraId="3746EA1D">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所在区域基础设施水平达到七通。</w:t>
            </w:r>
          </w:p>
        </w:tc>
        <w:tc>
          <w:tcPr>
            <w:tcW w:w="487" w:type="dxa"/>
            <w:vAlign w:val="center"/>
          </w:tcPr>
          <w:p w14:paraId="3690216B">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525ED944">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所在区域基础设施水平达到七通。</w:t>
            </w:r>
          </w:p>
        </w:tc>
        <w:tc>
          <w:tcPr>
            <w:tcW w:w="530" w:type="dxa"/>
            <w:vAlign w:val="center"/>
          </w:tcPr>
          <w:p w14:paraId="1BC1E5EA">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789DFE2C">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所在区域基础设施水平达到七通。</w:t>
            </w:r>
          </w:p>
        </w:tc>
        <w:tc>
          <w:tcPr>
            <w:tcW w:w="533" w:type="dxa"/>
            <w:vAlign w:val="center"/>
          </w:tcPr>
          <w:p w14:paraId="602CD8B7">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213" w:type="dxa"/>
            <w:vAlign w:val="center"/>
          </w:tcPr>
          <w:p w14:paraId="3382D2B3">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所在区域基础设施水平达到七通。</w:t>
            </w:r>
          </w:p>
        </w:tc>
        <w:tc>
          <w:tcPr>
            <w:tcW w:w="622" w:type="dxa"/>
            <w:vAlign w:val="center"/>
          </w:tcPr>
          <w:p w14:paraId="3CD9FE49">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r>
      <w:tr w14:paraId="7AEF5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vAlign w:val="center"/>
          </w:tcPr>
          <w:p w14:paraId="33163A5B">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76C98202">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自然及人文环境</w:t>
            </w:r>
          </w:p>
        </w:tc>
        <w:tc>
          <w:tcPr>
            <w:tcW w:w="1840" w:type="dxa"/>
            <w:vAlign w:val="center"/>
          </w:tcPr>
          <w:p w14:paraId="2B8D7579">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估价对象位于北京市顺义区高丽营镇夏县营村，周边2公里南郎中休闲公园、口袋公园、方氏渠等自然环境；无人文环境；综合评价环境状况一般。</w:t>
            </w:r>
          </w:p>
        </w:tc>
        <w:tc>
          <w:tcPr>
            <w:tcW w:w="487" w:type="dxa"/>
            <w:vAlign w:val="center"/>
          </w:tcPr>
          <w:p w14:paraId="6CE0686A">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781292F4">
            <w:pPr>
              <w:spacing w:line="240" w:lineRule="exact"/>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案例G周边约2公里范围内南郎中休闲公园等自然环境；无人文环境；综合评价环境状况一般。</w:t>
            </w:r>
          </w:p>
        </w:tc>
        <w:tc>
          <w:tcPr>
            <w:tcW w:w="530" w:type="dxa"/>
            <w:vAlign w:val="center"/>
          </w:tcPr>
          <w:p w14:paraId="7B9CA2EF">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43239440">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案例</w:t>
            </w:r>
            <w:r>
              <w:rPr>
                <w:rFonts w:ascii="Arial" w:hAnsi="Arial" w:eastAsia="仿宋" w:cs="Arial"/>
                <w:snapToGrid w:val="0"/>
                <w:sz w:val="18"/>
                <w:szCs w:val="18"/>
                <w:highlight w:val="none"/>
                <w:lang w:eastAsia="zh-Hans"/>
              </w:rPr>
              <w:t>H</w:t>
            </w:r>
            <w:r>
              <w:rPr>
                <w:rFonts w:hint="eastAsia" w:ascii="Arial" w:hAnsi="Arial" w:eastAsia="仿宋" w:cs="Arial"/>
                <w:snapToGrid w:val="0"/>
                <w:sz w:val="18"/>
                <w:szCs w:val="18"/>
                <w:highlight w:val="none"/>
                <w:lang w:eastAsia="zh-Hans"/>
              </w:rPr>
              <w:t>周边约</w:t>
            </w:r>
            <w:r>
              <w:rPr>
                <w:rFonts w:ascii="Arial" w:hAnsi="Arial" w:eastAsia="仿宋" w:cs="Arial"/>
                <w:snapToGrid w:val="0"/>
                <w:sz w:val="18"/>
                <w:szCs w:val="18"/>
                <w:highlight w:val="none"/>
                <w:lang w:eastAsia="zh-Hans"/>
              </w:rPr>
              <w:t>2</w:t>
            </w:r>
            <w:r>
              <w:rPr>
                <w:rFonts w:hint="eastAsia" w:ascii="Arial" w:hAnsi="Arial" w:eastAsia="仿宋" w:cs="Arial"/>
                <w:snapToGrid w:val="0"/>
                <w:sz w:val="18"/>
                <w:szCs w:val="18"/>
                <w:highlight w:val="none"/>
                <w:lang w:eastAsia="zh-Hans"/>
              </w:rPr>
              <w:t>公里内有花博会主题公园、兴峪城市森林公园、青年体育公园等自然公园，绿化条件较好；周边</w:t>
            </w:r>
            <w:r>
              <w:rPr>
                <w:rFonts w:ascii="Arial" w:hAnsi="Arial" w:eastAsia="仿宋" w:cs="Arial"/>
                <w:snapToGrid w:val="0"/>
                <w:sz w:val="18"/>
                <w:szCs w:val="18"/>
                <w:highlight w:val="none"/>
                <w:lang w:eastAsia="zh-Hans"/>
              </w:rPr>
              <w:t>2</w:t>
            </w:r>
            <w:r>
              <w:rPr>
                <w:rFonts w:hint="eastAsia" w:ascii="Arial" w:hAnsi="Arial" w:eastAsia="仿宋" w:cs="Arial"/>
                <w:snapToGrid w:val="0"/>
                <w:sz w:val="18"/>
                <w:szCs w:val="18"/>
                <w:highlight w:val="none"/>
                <w:lang w:eastAsia="zh-Hans"/>
              </w:rPr>
              <w:t>公里内有吾心文化广场等人文场所。综合考虑自然环境与人文环境较好。</w:t>
            </w:r>
          </w:p>
        </w:tc>
        <w:tc>
          <w:tcPr>
            <w:tcW w:w="533" w:type="dxa"/>
            <w:vAlign w:val="center"/>
          </w:tcPr>
          <w:p w14:paraId="46FB249B">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5</w:t>
            </w:r>
          </w:p>
        </w:tc>
        <w:tc>
          <w:tcPr>
            <w:tcW w:w="1213" w:type="dxa"/>
            <w:vAlign w:val="center"/>
          </w:tcPr>
          <w:p w14:paraId="2BB8217B">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案例</w:t>
            </w:r>
            <w:r>
              <w:rPr>
                <w:rFonts w:ascii="Arial" w:hAnsi="Arial" w:eastAsia="仿宋" w:cs="Arial"/>
                <w:snapToGrid w:val="0"/>
                <w:sz w:val="18"/>
                <w:szCs w:val="18"/>
                <w:highlight w:val="none"/>
                <w:lang w:eastAsia="zh-Hans"/>
              </w:rPr>
              <w:t>I</w:t>
            </w:r>
            <w:r>
              <w:rPr>
                <w:rFonts w:hint="eastAsia" w:ascii="Arial" w:hAnsi="Arial" w:eastAsia="仿宋" w:cs="Arial"/>
                <w:snapToGrid w:val="0"/>
                <w:sz w:val="18"/>
                <w:szCs w:val="18"/>
                <w:highlight w:val="none"/>
                <w:lang w:eastAsia="zh-Hans"/>
              </w:rPr>
              <w:t>周边约</w:t>
            </w:r>
            <w:r>
              <w:rPr>
                <w:rFonts w:ascii="Arial" w:hAnsi="Arial" w:eastAsia="仿宋" w:cs="Arial"/>
                <w:snapToGrid w:val="0"/>
                <w:sz w:val="18"/>
                <w:szCs w:val="18"/>
                <w:highlight w:val="none"/>
                <w:lang w:eastAsia="zh-Hans"/>
              </w:rPr>
              <w:t>2</w:t>
            </w:r>
            <w:r>
              <w:rPr>
                <w:rFonts w:hint="eastAsia" w:ascii="Arial" w:hAnsi="Arial" w:eastAsia="仿宋" w:cs="Arial"/>
                <w:snapToGrid w:val="0"/>
                <w:sz w:val="18"/>
                <w:szCs w:val="18"/>
                <w:highlight w:val="none"/>
                <w:lang w:eastAsia="zh-Hans"/>
              </w:rPr>
              <w:t>公里内有卧龙省市森林绿地、小中河、仁和文体广场等自然环境；无人文环境；综合评价环境状况一般。</w:t>
            </w:r>
          </w:p>
        </w:tc>
        <w:tc>
          <w:tcPr>
            <w:tcW w:w="622" w:type="dxa"/>
            <w:vAlign w:val="center"/>
          </w:tcPr>
          <w:p w14:paraId="51E936FC">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r>
      <w:tr w14:paraId="17B4A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restart"/>
            <w:vAlign w:val="center"/>
          </w:tcPr>
          <w:p w14:paraId="49EDD24C">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个别</w:t>
            </w:r>
          </w:p>
          <w:p w14:paraId="43A97FF5">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因素</w:t>
            </w:r>
          </w:p>
        </w:tc>
        <w:tc>
          <w:tcPr>
            <w:tcW w:w="571" w:type="dxa"/>
            <w:vAlign w:val="center"/>
          </w:tcPr>
          <w:p w14:paraId="589EA561">
            <w:pPr>
              <w:widowControl/>
              <w:adjustRightInd/>
              <w:spacing w:line="240" w:lineRule="exact"/>
              <w:jc w:val="both"/>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建筑规模</w:t>
            </w:r>
          </w:p>
          <w:p w14:paraId="593B7019">
            <w:pPr>
              <w:spacing w:line="240" w:lineRule="exact"/>
              <w:jc w:val="center"/>
              <w:rPr>
                <w:rFonts w:hint="eastAsia" w:ascii="Arial" w:hAnsi="Arial" w:eastAsia="仿宋" w:cs="Arial"/>
                <w:snapToGrid w:val="0"/>
                <w:sz w:val="18"/>
                <w:szCs w:val="18"/>
                <w:highlight w:val="none"/>
                <w:lang w:eastAsia="zh-CN"/>
              </w:rPr>
            </w:pPr>
            <w:r>
              <w:rPr>
                <w:rFonts w:hint="eastAsia" w:ascii="Arial" w:hAnsi="Arial" w:eastAsia="仿宋" w:cs="Arial"/>
                <w:snapToGrid w:val="0"/>
                <w:sz w:val="18"/>
                <w:szCs w:val="18"/>
                <w:highlight w:val="none"/>
                <w:lang w:eastAsia="zh-CN"/>
              </w:rPr>
              <w:t>（</w:t>
            </w:r>
            <w:r>
              <w:rPr>
                <w:rFonts w:ascii="Arial" w:hAnsi="Arial" w:eastAsia="仿宋" w:cs="Arial"/>
                <w:snapToGrid w:val="0"/>
                <w:sz w:val="18"/>
                <w:szCs w:val="18"/>
                <w:highlight w:val="none"/>
              </w:rPr>
              <w:t>平方米</w:t>
            </w:r>
            <w:r>
              <w:rPr>
                <w:rFonts w:hint="eastAsia" w:ascii="Arial" w:hAnsi="Arial" w:eastAsia="仿宋" w:cs="Arial"/>
                <w:snapToGrid w:val="0"/>
                <w:sz w:val="18"/>
                <w:szCs w:val="18"/>
                <w:highlight w:val="none"/>
                <w:lang w:eastAsia="zh-CN"/>
              </w:rPr>
              <w:t>）</w:t>
            </w:r>
          </w:p>
        </w:tc>
        <w:tc>
          <w:tcPr>
            <w:tcW w:w="1840" w:type="dxa"/>
            <w:vAlign w:val="center"/>
          </w:tcPr>
          <w:p w14:paraId="58486492">
            <w:pPr>
              <w:spacing w:line="240" w:lineRule="exact"/>
              <w:jc w:val="center"/>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val="en-US" w:eastAsia="zh-CN"/>
              </w:rPr>
              <w:t>300</w:t>
            </w:r>
          </w:p>
        </w:tc>
        <w:tc>
          <w:tcPr>
            <w:tcW w:w="487" w:type="dxa"/>
            <w:vAlign w:val="center"/>
          </w:tcPr>
          <w:p w14:paraId="6C4707AF">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7BFEABD2">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600</w:t>
            </w:r>
          </w:p>
        </w:tc>
        <w:tc>
          <w:tcPr>
            <w:tcW w:w="530" w:type="dxa"/>
            <w:vAlign w:val="center"/>
          </w:tcPr>
          <w:p w14:paraId="7412A32D">
            <w:pPr>
              <w:spacing w:line="240" w:lineRule="exact"/>
              <w:jc w:val="center"/>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val="en-US" w:eastAsia="zh-CN"/>
              </w:rPr>
              <w:t>99</w:t>
            </w:r>
          </w:p>
        </w:tc>
        <w:tc>
          <w:tcPr>
            <w:tcW w:w="1409" w:type="dxa"/>
            <w:vAlign w:val="center"/>
          </w:tcPr>
          <w:p w14:paraId="0A0AFA59">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1050</w:t>
            </w:r>
          </w:p>
        </w:tc>
        <w:tc>
          <w:tcPr>
            <w:tcW w:w="533" w:type="dxa"/>
            <w:vAlign w:val="center"/>
          </w:tcPr>
          <w:p w14:paraId="6232EBB1">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9</w:t>
            </w:r>
            <w:r>
              <w:rPr>
                <w:rFonts w:hint="eastAsia" w:ascii="Arial" w:hAnsi="Arial" w:eastAsia="仿宋" w:cs="Arial"/>
                <w:snapToGrid w:val="0"/>
                <w:sz w:val="18"/>
                <w:szCs w:val="18"/>
                <w:highlight w:val="none"/>
                <w:lang w:val="en-US" w:eastAsia="zh-CN"/>
              </w:rPr>
              <w:t>8</w:t>
            </w:r>
          </w:p>
        </w:tc>
        <w:tc>
          <w:tcPr>
            <w:tcW w:w="1213" w:type="dxa"/>
            <w:vAlign w:val="center"/>
          </w:tcPr>
          <w:p w14:paraId="5688CA74">
            <w:pPr>
              <w:spacing w:line="240" w:lineRule="exact"/>
              <w:jc w:val="center"/>
              <w:rPr>
                <w:rFonts w:hint="default" w:ascii="Arial" w:hAnsi="Arial" w:eastAsia="仿宋" w:cs="Arial"/>
                <w:snapToGrid w:val="0"/>
                <w:sz w:val="18"/>
                <w:szCs w:val="18"/>
                <w:highlight w:val="none"/>
                <w:lang w:val="en-US" w:eastAsia="zh-CN"/>
              </w:rPr>
            </w:pPr>
            <w:r>
              <w:rPr>
                <w:rFonts w:hint="eastAsia" w:ascii="Arial" w:hAnsi="Arial" w:eastAsia="仿宋" w:cs="Arial"/>
                <w:snapToGrid w:val="0"/>
                <w:sz w:val="18"/>
                <w:szCs w:val="18"/>
                <w:highlight w:val="none"/>
                <w:lang w:val="en-US" w:eastAsia="zh-CN"/>
              </w:rPr>
              <w:t>132</w:t>
            </w:r>
          </w:p>
        </w:tc>
        <w:tc>
          <w:tcPr>
            <w:tcW w:w="622" w:type="dxa"/>
            <w:vAlign w:val="center"/>
          </w:tcPr>
          <w:p w14:paraId="58CBA638">
            <w:pPr>
              <w:spacing w:line="240" w:lineRule="exact"/>
              <w:jc w:val="center"/>
              <w:rPr>
                <w:rFonts w:hint="eastAsia" w:ascii="Arial" w:hAnsi="Arial" w:eastAsia="仿宋" w:cs="Arial"/>
                <w:snapToGrid w:val="0"/>
                <w:sz w:val="18"/>
                <w:szCs w:val="18"/>
                <w:highlight w:val="none"/>
                <w:lang w:val="en-US" w:eastAsia="zh-CN"/>
              </w:rPr>
            </w:pPr>
            <w:r>
              <w:rPr>
                <w:rFonts w:ascii="Arial" w:hAnsi="Arial" w:eastAsia="仿宋" w:cs="Arial"/>
                <w:snapToGrid w:val="0"/>
                <w:sz w:val="18"/>
                <w:szCs w:val="18"/>
                <w:highlight w:val="none"/>
                <w:lang w:eastAsia="zh-Hans"/>
              </w:rPr>
              <w:t>10</w:t>
            </w:r>
            <w:r>
              <w:rPr>
                <w:rFonts w:hint="eastAsia" w:ascii="Arial" w:hAnsi="Arial" w:eastAsia="仿宋" w:cs="Arial"/>
                <w:snapToGrid w:val="0"/>
                <w:sz w:val="18"/>
                <w:szCs w:val="18"/>
                <w:highlight w:val="none"/>
                <w:lang w:val="en-US" w:eastAsia="zh-CN"/>
              </w:rPr>
              <w:t>0</w:t>
            </w:r>
          </w:p>
        </w:tc>
      </w:tr>
      <w:tr w14:paraId="4D09C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08DC65ED">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0A3EDFCF">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建筑结构</w:t>
            </w:r>
          </w:p>
        </w:tc>
        <w:tc>
          <w:tcPr>
            <w:tcW w:w="1840" w:type="dxa"/>
            <w:vAlign w:val="center"/>
          </w:tcPr>
          <w:p w14:paraId="291CD035">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钢混</w:t>
            </w:r>
          </w:p>
        </w:tc>
        <w:tc>
          <w:tcPr>
            <w:tcW w:w="487" w:type="dxa"/>
            <w:vAlign w:val="center"/>
          </w:tcPr>
          <w:p w14:paraId="516C4A15">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4262F6BF">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钢混</w:t>
            </w:r>
          </w:p>
        </w:tc>
        <w:tc>
          <w:tcPr>
            <w:tcW w:w="530" w:type="dxa"/>
            <w:vAlign w:val="center"/>
          </w:tcPr>
          <w:p w14:paraId="69A0E589">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5C92A50A">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钢混</w:t>
            </w:r>
          </w:p>
        </w:tc>
        <w:tc>
          <w:tcPr>
            <w:tcW w:w="533" w:type="dxa"/>
            <w:vAlign w:val="center"/>
          </w:tcPr>
          <w:p w14:paraId="00D25C89">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213" w:type="dxa"/>
            <w:vAlign w:val="center"/>
          </w:tcPr>
          <w:p w14:paraId="21349677">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钢混</w:t>
            </w:r>
          </w:p>
        </w:tc>
        <w:tc>
          <w:tcPr>
            <w:tcW w:w="622" w:type="dxa"/>
            <w:vAlign w:val="center"/>
          </w:tcPr>
          <w:p w14:paraId="797D0A87">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r>
      <w:tr w14:paraId="602BA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103FB1E7">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7698983F">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成新度</w:t>
            </w:r>
          </w:p>
        </w:tc>
        <w:tc>
          <w:tcPr>
            <w:tcW w:w="1840" w:type="dxa"/>
            <w:vAlign w:val="center"/>
          </w:tcPr>
          <w:p w14:paraId="5715A4F8">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90%—100%（含）</w:t>
            </w:r>
          </w:p>
        </w:tc>
        <w:tc>
          <w:tcPr>
            <w:tcW w:w="487" w:type="dxa"/>
            <w:vAlign w:val="center"/>
          </w:tcPr>
          <w:p w14:paraId="74669023">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1DB48AF3">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80%—90%（含）</w:t>
            </w:r>
          </w:p>
        </w:tc>
        <w:tc>
          <w:tcPr>
            <w:tcW w:w="530" w:type="dxa"/>
            <w:vAlign w:val="center"/>
          </w:tcPr>
          <w:p w14:paraId="3243460C">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99</w:t>
            </w:r>
          </w:p>
        </w:tc>
        <w:tc>
          <w:tcPr>
            <w:tcW w:w="1409" w:type="dxa"/>
            <w:vAlign w:val="center"/>
          </w:tcPr>
          <w:p w14:paraId="59E315EC">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80%—90%（含）</w:t>
            </w:r>
          </w:p>
        </w:tc>
        <w:tc>
          <w:tcPr>
            <w:tcW w:w="533" w:type="dxa"/>
            <w:vAlign w:val="center"/>
          </w:tcPr>
          <w:p w14:paraId="77CCD739">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99</w:t>
            </w:r>
          </w:p>
        </w:tc>
        <w:tc>
          <w:tcPr>
            <w:tcW w:w="1213" w:type="dxa"/>
            <w:vAlign w:val="center"/>
          </w:tcPr>
          <w:p w14:paraId="08699368">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80%—90%（含）</w:t>
            </w:r>
          </w:p>
        </w:tc>
        <w:tc>
          <w:tcPr>
            <w:tcW w:w="622" w:type="dxa"/>
            <w:vAlign w:val="center"/>
          </w:tcPr>
          <w:p w14:paraId="5548AD42">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99</w:t>
            </w:r>
          </w:p>
        </w:tc>
      </w:tr>
      <w:tr w14:paraId="35FBB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jc w:val="center"/>
        </w:trPr>
        <w:tc>
          <w:tcPr>
            <w:tcW w:w="477" w:type="dxa"/>
            <w:vMerge w:val="continue"/>
            <w:textDirection w:val="tbRlV"/>
            <w:vAlign w:val="center"/>
          </w:tcPr>
          <w:p w14:paraId="06451F12">
            <w:pPr>
              <w:widowControl/>
              <w:adjustRightInd/>
              <w:spacing w:line="240" w:lineRule="exact"/>
              <w:jc w:val="center"/>
              <w:textAlignment w:val="auto"/>
              <w:rPr>
                <w:rFonts w:ascii="Arial" w:hAnsi="Arial" w:eastAsia="仿宋" w:cs="Arial"/>
                <w:snapToGrid w:val="0"/>
                <w:sz w:val="18"/>
                <w:szCs w:val="18"/>
                <w:highlight w:val="none"/>
              </w:rPr>
            </w:pPr>
          </w:p>
        </w:tc>
        <w:tc>
          <w:tcPr>
            <w:tcW w:w="571" w:type="dxa"/>
            <w:vAlign w:val="center"/>
          </w:tcPr>
          <w:p w14:paraId="24C5B4C8">
            <w:pPr>
              <w:widowControl/>
              <w:adjustRightInd/>
              <w:spacing w:line="240" w:lineRule="exact"/>
              <w:jc w:val="center"/>
              <w:textAlignment w:val="auto"/>
              <w:rPr>
                <w:rFonts w:ascii="Arial" w:hAnsi="Arial" w:eastAsia="仿宋" w:cs="Arial"/>
                <w:snapToGrid w:val="0"/>
                <w:sz w:val="18"/>
                <w:szCs w:val="18"/>
                <w:highlight w:val="none"/>
              </w:rPr>
            </w:pPr>
            <w:r>
              <w:rPr>
                <w:rFonts w:ascii="Arial" w:hAnsi="Arial" w:eastAsia="仿宋" w:cs="Arial"/>
                <w:snapToGrid w:val="0"/>
                <w:sz w:val="18"/>
                <w:szCs w:val="18"/>
                <w:highlight w:val="none"/>
              </w:rPr>
              <w:t>层高</w:t>
            </w:r>
          </w:p>
        </w:tc>
        <w:tc>
          <w:tcPr>
            <w:tcW w:w="1840" w:type="dxa"/>
            <w:vAlign w:val="center"/>
          </w:tcPr>
          <w:p w14:paraId="4FB51BD2">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标准层高</w:t>
            </w:r>
          </w:p>
        </w:tc>
        <w:tc>
          <w:tcPr>
            <w:tcW w:w="487" w:type="dxa"/>
            <w:vAlign w:val="center"/>
          </w:tcPr>
          <w:p w14:paraId="71F925D9">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502" w:type="dxa"/>
            <w:vAlign w:val="center"/>
          </w:tcPr>
          <w:p w14:paraId="7E2DD882">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标准层高</w:t>
            </w:r>
          </w:p>
        </w:tc>
        <w:tc>
          <w:tcPr>
            <w:tcW w:w="530" w:type="dxa"/>
            <w:vAlign w:val="center"/>
          </w:tcPr>
          <w:p w14:paraId="3FD7FBF9">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409" w:type="dxa"/>
            <w:vAlign w:val="center"/>
          </w:tcPr>
          <w:p w14:paraId="5BEA45F7">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标准层高</w:t>
            </w:r>
          </w:p>
        </w:tc>
        <w:tc>
          <w:tcPr>
            <w:tcW w:w="533" w:type="dxa"/>
            <w:vAlign w:val="center"/>
          </w:tcPr>
          <w:p w14:paraId="458AEBA6">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c>
          <w:tcPr>
            <w:tcW w:w="1213" w:type="dxa"/>
            <w:vAlign w:val="center"/>
          </w:tcPr>
          <w:p w14:paraId="7D7F0DC0">
            <w:pPr>
              <w:spacing w:line="240" w:lineRule="exact"/>
              <w:jc w:val="center"/>
              <w:rPr>
                <w:rFonts w:ascii="Arial" w:hAnsi="Arial" w:eastAsia="仿宋" w:cs="Arial"/>
                <w:snapToGrid w:val="0"/>
                <w:sz w:val="18"/>
                <w:szCs w:val="18"/>
                <w:highlight w:val="none"/>
                <w:lang w:eastAsia="zh-Hans"/>
              </w:rPr>
            </w:pPr>
            <w:r>
              <w:rPr>
                <w:rFonts w:hint="eastAsia" w:ascii="Arial" w:hAnsi="Arial" w:eastAsia="仿宋" w:cs="Arial"/>
                <w:snapToGrid w:val="0"/>
                <w:sz w:val="18"/>
                <w:szCs w:val="18"/>
                <w:highlight w:val="none"/>
                <w:lang w:eastAsia="zh-Hans"/>
              </w:rPr>
              <w:t>标准层高</w:t>
            </w:r>
          </w:p>
        </w:tc>
        <w:tc>
          <w:tcPr>
            <w:tcW w:w="622" w:type="dxa"/>
            <w:vAlign w:val="center"/>
          </w:tcPr>
          <w:p w14:paraId="0E3F85C6">
            <w:pPr>
              <w:spacing w:line="240" w:lineRule="exact"/>
              <w:jc w:val="center"/>
              <w:rPr>
                <w:rFonts w:ascii="Arial" w:hAnsi="Arial" w:eastAsia="仿宋" w:cs="Arial"/>
                <w:snapToGrid w:val="0"/>
                <w:sz w:val="18"/>
                <w:szCs w:val="18"/>
                <w:highlight w:val="none"/>
                <w:lang w:eastAsia="zh-Hans"/>
              </w:rPr>
            </w:pPr>
            <w:r>
              <w:rPr>
                <w:rFonts w:ascii="Arial" w:hAnsi="Arial" w:eastAsia="仿宋" w:cs="Arial"/>
                <w:snapToGrid w:val="0"/>
                <w:sz w:val="18"/>
                <w:szCs w:val="18"/>
                <w:highlight w:val="none"/>
                <w:lang w:eastAsia="zh-Hans"/>
              </w:rPr>
              <w:t>100</w:t>
            </w:r>
          </w:p>
        </w:tc>
      </w:tr>
    </w:tbl>
    <w:p w14:paraId="5A630494">
      <w:pPr>
        <w:keepNext w:val="0"/>
        <w:keepLines w:val="0"/>
        <w:pageBreakBefore w:val="0"/>
        <w:widowControl w:val="0"/>
        <w:kinsoku/>
        <w:wordWrap/>
        <w:overflowPunct/>
        <w:topLinePunct w:val="0"/>
        <w:autoSpaceDE/>
        <w:autoSpaceDN/>
        <w:bidi w:val="0"/>
        <w:adjustRightInd w:val="0"/>
        <w:snapToGrid/>
        <w:spacing w:before="170" w:after="50" w:line="300" w:lineRule="auto"/>
        <w:ind w:firstLine="560" w:firstLineChars="200"/>
        <w:jc w:val="both"/>
        <w:textAlignment w:val="baseline"/>
        <w:rPr>
          <w:rFonts w:hint="eastAsia" w:ascii="Arial" w:hAnsi="Arial" w:eastAsia="仿宋_GB2312" w:cs="Arial"/>
          <w:sz w:val="28"/>
          <w:highlight w:val="none"/>
        </w:rPr>
      </w:pPr>
      <w:r>
        <w:rPr>
          <w:rFonts w:hint="eastAsia" w:ascii="Arial" w:hAnsi="Arial" w:eastAsia="仿宋_GB2312" w:cs="Arial"/>
          <w:sz w:val="28"/>
          <w:highlight w:val="none"/>
        </w:rPr>
        <w:t>根据估价对象与比较实例各种因素具体情况，编制比较因素条件指数表。比较因素指数确定如下:</w:t>
      </w:r>
    </w:p>
    <w:p w14:paraId="542B09D6">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a</w:t>
      </w:r>
      <w:r>
        <w:rPr>
          <w:rFonts w:hint="eastAsia" w:ascii="Arial" w:hAnsi="Arial" w:eastAsia="仿宋_GB2312" w:cs="Arial"/>
          <w:sz w:val="28"/>
          <w:highlight w:val="none"/>
        </w:rPr>
        <w:t>交易时间</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估价对象估价期日为</w:t>
      </w:r>
      <w:r>
        <w:rPr>
          <w:rFonts w:hint="eastAsia" w:ascii="Arial" w:hAnsi="Arial" w:eastAsia="仿宋_GB2312" w:cs="Arial"/>
          <w:sz w:val="28"/>
          <w:highlight w:val="none"/>
          <w:lang w:eastAsia="zh-CN"/>
        </w:rPr>
        <w:t>2026年3月26日</w:t>
      </w:r>
      <w:r>
        <w:rPr>
          <w:rFonts w:hint="eastAsia" w:ascii="Arial" w:hAnsi="Arial" w:eastAsia="仿宋_GB2312" w:cs="Arial"/>
          <w:sz w:val="28"/>
          <w:highlight w:val="none"/>
        </w:rPr>
        <w:t>与三个比较实例交易时间接近，故不作修正</w:t>
      </w:r>
      <w:r>
        <w:rPr>
          <w:rFonts w:hint="eastAsia" w:ascii="Arial" w:hAnsi="Arial" w:eastAsia="仿宋_GB2312" w:cs="Arial"/>
          <w:sz w:val="28"/>
          <w:highlight w:val="none"/>
          <w:lang w:eastAsia="zh-CN"/>
        </w:rPr>
        <w:t>；</w:t>
      </w:r>
    </w:p>
    <w:p w14:paraId="381CEA46">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交易情况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估价对象与三个比较实例交易情况均为正常，故不作修正</w:t>
      </w:r>
      <w:r>
        <w:rPr>
          <w:rFonts w:hint="eastAsia" w:ascii="Arial" w:hAnsi="Arial" w:eastAsia="仿宋_GB2312" w:cs="Arial"/>
          <w:sz w:val="28"/>
          <w:highlight w:val="none"/>
          <w:lang w:eastAsia="zh-CN"/>
        </w:rPr>
        <w:t>；</w:t>
      </w:r>
    </w:p>
    <w:p w14:paraId="49868F14">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房屋用途</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根据实际情况进行适当修正；</w:t>
      </w:r>
    </w:p>
    <w:p w14:paraId="4CF76FE6">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d</w:t>
      </w:r>
      <w:r>
        <w:rPr>
          <w:rFonts w:hint="eastAsia" w:ascii="Arial" w:hAnsi="Arial" w:eastAsia="仿宋_GB2312" w:cs="Arial"/>
          <w:sz w:val="28"/>
          <w:highlight w:val="none"/>
        </w:rPr>
        <w:t>区域及个别因素修正</w:t>
      </w:r>
      <w:r>
        <w:rPr>
          <w:rFonts w:hint="eastAsia" w:ascii="Arial" w:hAnsi="Arial" w:eastAsia="仿宋_GB2312" w:cs="Arial"/>
          <w:sz w:val="28"/>
          <w:highlight w:val="none"/>
          <w:lang w:eastAsia="zh-CN"/>
        </w:rPr>
        <w:t>：</w:t>
      </w:r>
    </w:p>
    <w:p w14:paraId="1680F1D2">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rPr>
        <w:t>①区域因素</w:t>
      </w:r>
      <w:r>
        <w:rPr>
          <w:rFonts w:hint="eastAsia" w:ascii="Arial" w:hAnsi="Arial" w:eastAsia="仿宋_GB2312" w:cs="Arial"/>
          <w:sz w:val="28"/>
          <w:highlight w:val="none"/>
          <w:lang w:eastAsia="zh-CN"/>
        </w:rPr>
        <w:t>：</w:t>
      </w:r>
    </w:p>
    <w:p w14:paraId="0B8A3805">
      <w:pPr>
        <w:spacing w:before="50" w:after="50" w:line="300" w:lineRule="auto"/>
        <w:ind w:firstLine="560" w:firstLineChars="200"/>
        <w:jc w:val="both"/>
        <w:rPr>
          <w:rFonts w:hint="default" w:ascii="Arial" w:hAnsi="Arial" w:eastAsia="仿宋_GB2312" w:cs="Arial"/>
          <w:sz w:val="28"/>
          <w:highlight w:val="none"/>
          <w:lang w:val="en-US"/>
        </w:rPr>
      </w:pPr>
      <w:r>
        <w:rPr>
          <w:rFonts w:hint="eastAsia" w:ascii="Arial" w:hAnsi="Arial" w:eastAsia="仿宋_GB2312" w:cs="Arial"/>
          <w:sz w:val="28"/>
          <w:highlight w:val="none"/>
          <w:lang w:val="en-US" w:eastAsia="zh-CN"/>
        </w:rPr>
        <w:t>a）物业集聚程度：分为大型物业集群为优：较多大型物业为较优：有一定数量的中小型物业为一般：独立的小型物业为较劣：物业零星分布为劣，共五个等级。以估价对象的等级指数为100，每相差一个等级，指数相应修正3；</w:t>
      </w:r>
    </w:p>
    <w:p w14:paraId="1FED072E">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交通便捷度</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根据交通和路网状况划分，分为区域内路网密集、交通便捷为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区域内路网较密、交通较便捷为较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区域内路网一般、交通为一般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区域内路网较稀、交通较不便捷为较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区域内路网稀少、交通不便捷为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，共五个等级。以估价对象为100，每相差一个等级，指数相应修正</w:t>
      </w:r>
      <w:r>
        <w:rPr>
          <w:rFonts w:hint="eastAsia" w:ascii="Arial" w:hAnsi="Arial" w:eastAsia="仿宋_GB2312" w:cs="Arial"/>
          <w:sz w:val="28"/>
          <w:highlight w:val="none"/>
          <w:lang w:val="en-US" w:eastAsia="zh-CN"/>
        </w:rPr>
        <w:t>3；</w:t>
      </w:r>
    </w:p>
    <w:p w14:paraId="1B258E06">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公共服务设施状况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区域内有大型、齐全公用服务设施为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区域内有齐全的公用服务设施为较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区域内有较少的公用服务设施为一般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区域内有小型、少量的公用服务设施为较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区域内缺乏公用服务设施为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，五个等级。以估价对象为100，每相差一个等级，指数相应修正</w:t>
      </w:r>
      <w:r>
        <w:rPr>
          <w:rFonts w:hint="eastAsia" w:ascii="Arial" w:hAnsi="Arial" w:eastAsia="仿宋_GB2312" w:cs="Arial"/>
          <w:sz w:val="28"/>
          <w:highlight w:val="none"/>
          <w:lang w:val="en-US" w:eastAsia="zh-CN"/>
        </w:rPr>
        <w:t>4</w:t>
      </w:r>
      <w:r>
        <w:rPr>
          <w:rFonts w:hint="eastAsia" w:ascii="Arial" w:hAnsi="Arial" w:eastAsia="仿宋_GB2312" w:cs="Arial"/>
          <w:sz w:val="28"/>
          <w:highlight w:val="none"/>
        </w:rPr>
        <w:t>;</w:t>
      </w:r>
    </w:p>
    <w:p w14:paraId="1B57B342">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d）红线外基础设施水平：</w:t>
      </w:r>
      <w:r>
        <w:rPr>
          <w:rFonts w:hint="eastAsia" w:ascii="Arial" w:hAnsi="Arial" w:eastAsia="仿宋_GB2312" w:cs="Arial"/>
          <w:sz w:val="28"/>
          <w:highlight w:val="none"/>
        </w:rPr>
        <w:t>基础设施配套完善为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w:t>
      </w:r>
      <w:r>
        <w:rPr>
          <w:rFonts w:hint="eastAsia" w:ascii="Arial" w:hAnsi="Arial" w:eastAsia="仿宋_GB2312" w:cs="Arial"/>
          <w:sz w:val="28"/>
          <w:highlight w:val="none"/>
          <w:lang w:val="en-US" w:eastAsia="zh-CN"/>
        </w:rPr>
        <w:t>较</w:t>
      </w:r>
      <w:r>
        <w:rPr>
          <w:rFonts w:hint="eastAsia" w:ascii="Arial" w:hAnsi="Arial" w:eastAsia="仿宋_GB2312" w:cs="Arial"/>
          <w:sz w:val="28"/>
          <w:highlight w:val="none"/>
        </w:rPr>
        <w:t>完善为</w:t>
      </w:r>
      <w:r>
        <w:rPr>
          <w:rFonts w:hint="eastAsia" w:ascii="Arial" w:hAnsi="Arial" w:eastAsia="仿宋_GB2312" w:cs="Arial"/>
          <w:sz w:val="28"/>
          <w:highlight w:val="none"/>
          <w:lang w:val="en-US" w:eastAsia="zh-CN"/>
        </w:rPr>
        <w:t>较好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基础设施配套一般为一般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基础设施配套较不完善为较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基础设施配套不完善为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五个等级。以估价对象为100，每相差一通，指数相应修正 1</w:t>
      </w:r>
      <w:r>
        <w:rPr>
          <w:rFonts w:hint="eastAsia" w:ascii="Arial" w:hAnsi="Arial" w:eastAsia="仿宋_GB2312" w:cs="Arial"/>
          <w:sz w:val="28"/>
          <w:highlight w:val="none"/>
          <w:lang w:eastAsia="zh-CN"/>
        </w:rPr>
        <w:t>；</w:t>
      </w:r>
    </w:p>
    <w:p w14:paraId="6F584867">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e）</w:t>
      </w:r>
      <w:r>
        <w:rPr>
          <w:rFonts w:hint="eastAsia" w:ascii="Arial" w:hAnsi="Arial" w:eastAsia="仿宋_GB2312" w:cs="Arial"/>
          <w:sz w:val="28"/>
          <w:highlight w:val="none"/>
        </w:rPr>
        <w:t>自然和人文环境状况</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区域内有众多高等院校、大型公园和公共绿地、基本无噪声和大气污染为</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区域内有公园和公共绿地，临近高等院校，噪声和大气污染较小为较</w:t>
      </w:r>
      <w:r>
        <w:rPr>
          <w:rFonts w:hint="eastAsia" w:ascii="Arial" w:hAnsi="Arial" w:eastAsia="仿宋_GB2312" w:cs="Arial"/>
          <w:sz w:val="28"/>
          <w:highlight w:val="none"/>
          <w:lang w:val="en-US" w:eastAsia="zh-CN"/>
        </w:rPr>
        <w:t>好；</w:t>
      </w:r>
      <w:r>
        <w:rPr>
          <w:rFonts w:hint="eastAsia" w:ascii="Arial" w:hAnsi="Arial" w:eastAsia="仿宋_GB2312" w:cs="Arial"/>
          <w:sz w:val="28"/>
          <w:highlight w:val="none"/>
        </w:rPr>
        <w:t>区域内有小型公共绿地和专科院校，噪声和大气污染较小为一般</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区域内有基本绿地，噪声和大气污染较严重为较</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区域内有基本绿地，靠近污染源，噪声和大气污染严重为</w:t>
      </w:r>
      <w:r>
        <w:rPr>
          <w:rFonts w:hint="eastAsia" w:ascii="Arial" w:hAnsi="Arial" w:eastAsia="仿宋_GB2312" w:cs="Arial"/>
          <w:sz w:val="28"/>
          <w:highlight w:val="none"/>
          <w:lang w:val="en-US" w:eastAsia="zh-CN"/>
        </w:rPr>
        <w:t>差；</w:t>
      </w:r>
      <w:r>
        <w:rPr>
          <w:rFonts w:hint="eastAsia" w:ascii="Arial" w:hAnsi="Arial" w:eastAsia="仿宋_GB2312" w:cs="Arial"/>
          <w:sz w:val="28"/>
          <w:highlight w:val="none"/>
        </w:rPr>
        <w:t>五个等级。以估价对象为100，每相差一个等级，指数相应修正</w:t>
      </w:r>
      <w:r>
        <w:rPr>
          <w:rFonts w:hint="eastAsia" w:ascii="Arial" w:hAnsi="Arial" w:eastAsia="仿宋_GB2312" w:cs="Arial"/>
          <w:sz w:val="28"/>
          <w:highlight w:val="none"/>
          <w:lang w:val="en-US" w:eastAsia="zh-CN"/>
        </w:rPr>
        <w:t>5</w:t>
      </w:r>
      <w:r>
        <w:rPr>
          <w:rFonts w:hint="eastAsia" w:ascii="Arial" w:hAnsi="Arial" w:eastAsia="仿宋_GB2312" w:cs="Arial"/>
          <w:sz w:val="28"/>
          <w:highlight w:val="none"/>
        </w:rPr>
        <w:t>。</w:t>
      </w:r>
    </w:p>
    <w:p w14:paraId="1736271B">
      <w:pPr>
        <w:spacing w:before="50" w:after="50"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②个别因素:</w:t>
      </w:r>
    </w:p>
    <w:p w14:paraId="6B7EDFB2">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a）建筑规模：根据实际情况进行适当修正；</w:t>
      </w:r>
    </w:p>
    <w:p w14:paraId="2AE16B87">
      <w:pPr>
        <w:spacing w:before="50" w:after="50" w:line="300" w:lineRule="auto"/>
        <w:ind w:firstLine="560" w:firstLineChars="200"/>
        <w:jc w:val="both"/>
        <w:rPr>
          <w:rFonts w:hint="eastAsia" w:ascii="Arial" w:hAnsi="Arial" w:eastAsia="仿宋_GB2312" w:cs="Arial"/>
          <w:sz w:val="28"/>
          <w:highlight w:val="none"/>
          <w:lang w:eastAsia="zh-CN"/>
        </w:rPr>
      </w:pPr>
      <w:r>
        <w:rPr>
          <w:rFonts w:hint="eastAsia" w:ascii="Arial" w:hAnsi="Arial" w:eastAsia="仿宋_GB2312" w:cs="Arial"/>
          <w:sz w:val="28"/>
          <w:highlight w:val="none"/>
          <w:lang w:val="en-US" w:eastAsia="zh-CN"/>
        </w:rPr>
        <w:t>b）</w:t>
      </w:r>
      <w:r>
        <w:rPr>
          <w:rFonts w:hint="eastAsia" w:ascii="Arial" w:hAnsi="Arial" w:eastAsia="仿宋_GB2312" w:cs="Arial"/>
          <w:sz w:val="28"/>
          <w:highlight w:val="none"/>
        </w:rPr>
        <w:t>建筑结构</w:t>
      </w:r>
      <w:r>
        <w:rPr>
          <w:rFonts w:hint="eastAsia" w:ascii="Arial" w:hAnsi="Arial" w:eastAsia="仿宋_GB2312" w:cs="Arial"/>
          <w:sz w:val="28"/>
          <w:highlight w:val="none"/>
          <w:lang w:val="en-US" w:eastAsia="zh-CN"/>
        </w:rPr>
        <w:t>：</w:t>
      </w:r>
      <w:r>
        <w:rPr>
          <w:rFonts w:hint="eastAsia" w:ascii="Arial" w:hAnsi="Arial" w:eastAsia="仿宋_GB2312" w:cs="Arial"/>
          <w:sz w:val="28"/>
          <w:highlight w:val="none"/>
        </w:rPr>
        <w:t>分为简易、砖木、砖混、钢混、钢结构五个等级，以估价对象为100，每增加或降低一个等级，指数相应增加或减少</w:t>
      </w:r>
      <w:r>
        <w:rPr>
          <w:rFonts w:hint="eastAsia" w:ascii="Arial" w:hAnsi="Arial" w:eastAsia="仿宋_GB2312" w:cs="Arial"/>
          <w:sz w:val="28"/>
          <w:highlight w:val="none"/>
          <w:lang w:val="en-US" w:eastAsia="zh-CN"/>
        </w:rPr>
        <w:t>2</w:t>
      </w:r>
      <w:r>
        <w:rPr>
          <w:rFonts w:hint="eastAsia" w:ascii="Arial" w:hAnsi="Arial" w:eastAsia="仿宋_GB2312" w:cs="Arial"/>
          <w:sz w:val="28"/>
          <w:highlight w:val="none"/>
          <w:lang w:eastAsia="zh-CN"/>
        </w:rPr>
        <w:t>；</w:t>
      </w:r>
    </w:p>
    <w:p w14:paraId="17D7BF41">
      <w:pPr>
        <w:spacing w:before="50" w:after="50"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c）成新度：根据实际情况进行适当修正；</w:t>
      </w:r>
    </w:p>
    <w:p w14:paraId="569861BA">
      <w:pPr>
        <w:spacing w:before="50" w:after="50" w:line="300" w:lineRule="auto"/>
        <w:ind w:firstLine="560" w:firstLineChars="200"/>
        <w:jc w:val="both"/>
        <w:rPr>
          <w:rFonts w:ascii="Arial" w:hAnsi="Arial" w:eastAsia="仿宋" w:cs="Arial"/>
          <w:b/>
          <w:bCs/>
          <w:szCs w:val="28"/>
          <w:highlight w:val="none"/>
        </w:rPr>
      </w:pPr>
      <w:r>
        <w:rPr>
          <w:rFonts w:hint="eastAsia" w:ascii="Arial" w:hAnsi="Arial" w:eastAsia="仿宋_GB2312" w:cs="Arial"/>
          <w:sz w:val="28"/>
          <w:highlight w:val="none"/>
          <w:lang w:val="en-US" w:eastAsia="zh-CN"/>
        </w:rPr>
        <w:t>d）层高：根据实际情况进行适当修正；</w:t>
      </w:r>
    </w:p>
    <w:p w14:paraId="5D1D81F1">
      <w:pPr>
        <w:spacing w:before="240" w:beforeLines="100" w:line="440" w:lineRule="exact"/>
        <w:jc w:val="center"/>
        <w:rPr>
          <w:rFonts w:ascii="Arial" w:hAnsi="Arial" w:eastAsia="仿宋" w:cs="Arial"/>
          <w:b/>
          <w:bCs/>
          <w:szCs w:val="28"/>
          <w:highlight w:val="none"/>
        </w:rPr>
      </w:pPr>
      <w:r>
        <w:rPr>
          <w:rFonts w:ascii="Arial" w:hAnsi="Arial" w:eastAsia="仿宋" w:cs="Arial"/>
          <w:b/>
          <w:bCs/>
          <w:szCs w:val="28"/>
          <w:highlight w:val="none"/>
        </w:rPr>
        <w:t>表6：因素修正和调整系数表</w:t>
      </w:r>
    </w:p>
    <w:tbl>
      <w:tblPr>
        <w:tblStyle w:val="34"/>
        <w:tblW w:w="4937" w:type="pct"/>
        <w:jc w:val="center"/>
        <w:tblLayout w:type="fixed"/>
        <w:tblCellMar>
          <w:top w:w="57" w:type="dxa"/>
          <w:left w:w="57" w:type="dxa"/>
          <w:bottom w:w="57" w:type="dxa"/>
          <w:right w:w="57" w:type="dxa"/>
        </w:tblCellMar>
      </w:tblPr>
      <w:tblGrid>
        <w:gridCol w:w="1171"/>
        <w:gridCol w:w="1833"/>
        <w:gridCol w:w="2115"/>
        <w:gridCol w:w="2115"/>
        <w:gridCol w:w="2115"/>
      </w:tblGrid>
      <w:tr w14:paraId="562DA27D">
        <w:tblPrEx>
          <w:tblCellMar>
            <w:top w:w="57" w:type="dxa"/>
            <w:left w:w="57" w:type="dxa"/>
            <w:bottom w:w="57" w:type="dxa"/>
            <w:right w:w="57" w:type="dxa"/>
          </w:tblCellMar>
        </w:tblPrEx>
        <w:trPr>
          <w:trHeight w:val="280" w:hRule="atLeast"/>
          <w:jc w:val="center"/>
        </w:trPr>
        <w:tc>
          <w:tcPr>
            <w:tcW w:w="1606" w:type="pct"/>
            <w:gridSpan w:val="2"/>
            <w:vMerge w:val="restart"/>
            <w:tcBorders>
              <w:top w:val="single" w:color="auto" w:sz="4" w:space="0"/>
              <w:left w:val="single" w:color="auto" w:sz="4" w:space="0"/>
              <w:bottom w:val="single" w:color="auto" w:sz="4" w:space="0"/>
              <w:right w:val="single" w:color="auto" w:sz="4" w:space="0"/>
              <w:tl2br w:val="single" w:color="auto" w:sz="4" w:space="0"/>
            </w:tcBorders>
            <w:noWrap/>
            <w:vAlign w:val="center"/>
          </w:tcPr>
          <w:p w14:paraId="500EDBBB">
            <w:pPr>
              <w:widowControl/>
              <w:adjustRightInd/>
              <w:spacing w:line="240" w:lineRule="exact"/>
              <w:jc w:val="righ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可比案例</w:t>
            </w:r>
          </w:p>
          <w:p w14:paraId="65108553">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比较因素</w:t>
            </w:r>
          </w:p>
        </w:tc>
        <w:tc>
          <w:tcPr>
            <w:tcW w:w="1131" w:type="pct"/>
            <w:tcBorders>
              <w:top w:val="single" w:color="auto" w:sz="4" w:space="0"/>
              <w:left w:val="nil"/>
              <w:bottom w:val="single" w:color="auto" w:sz="4" w:space="0"/>
              <w:right w:val="single" w:color="auto" w:sz="4" w:space="0"/>
            </w:tcBorders>
            <w:noWrap/>
            <w:vAlign w:val="center"/>
          </w:tcPr>
          <w:p w14:paraId="45D7ACAD">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案例G</w:t>
            </w:r>
          </w:p>
        </w:tc>
        <w:tc>
          <w:tcPr>
            <w:tcW w:w="1131" w:type="pct"/>
            <w:tcBorders>
              <w:top w:val="single" w:color="auto" w:sz="4" w:space="0"/>
              <w:left w:val="nil"/>
              <w:bottom w:val="single" w:color="auto" w:sz="4" w:space="0"/>
              <w:right w:val="single" w:color="auto" w:sz="4" w:space="0"/>
            </w:tcBorders>
            <w:noWrap/>
            <w:vAlign w:val="center"/>
          </w:tcPr>
          <w:p w14:paraId="7E08356C">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案例H</w:t>
            </w:r>
          </w:p>
        </w:tc>
        <w:tc>
          <w:tcPr>
            <w:tcW w:w="1131" w:type="pct"/>
            <w:tcBorders>
              <w:top w:val="single" w:color="auto" w:sz="4" w:space="0"/>
              <w:left w:val="nil"/>
              <w:bottom w:val="single" w:color="auto" w:sz="4" w:space="0"/>
              <w:right w:val="single" w:color="auto" w:sz="4" w:space="0"/>
            </w:tcBorders>
            <w:noWrap/>
            <w:vAlign w:val="center"/>
          </w:tcPr>
          <w:p w14:paraId="1BF66281">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案例I</w:t>
            </w:r>
          </w:p>
        </w:tc>
      </w:tr>
      <w:tr w14:paraId="27C1A95D">
        <w:tblPrEx>
          <w:tblCellMar>
            <w:top w:w="57" w:type="dxa"/>
            <w:left w:w="57" w:type="dxa"/>
            <w:bottom w:w="57" w:type="dxa"/>
            <w:right w:w="57" w:type="dxa"/>
          </w:tblCellMar>
        </w:tblPrEx>
        <w:trPr>
          <w:trHeight w:val="280" w:hRule="atLeast"/>
          <w:jc w:val="center"/>
        </w:trPr>
        <w:tc>
          <w:tcPr>
            <w:tcW w:w="1606" w:type="pct"/>
            <w:gridSpan w:val="2"/>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2FBF7505">
            <w:pPr>
              <w:widowControl/>
              <w:adjustRightInd/>
              <w:spacing w:line="240" w:lineRule="exact"/>
              <w:textAlignment w:val="auto"/>
              <w:rPr>
                <w:rFonts w:ascii="Arial" w:hAnsi="Arial" w:eastAsia="仿宋" w:cs="Arial"/>
                <w:snapToGrid w:val="0"/>
                <w:sz w:val="20"/>
                <w:szCs w:val="21"/>
                <w:highlight w:val="none"/>
              </w:rPr>
            </w:pPr>
          </w:p>
        </w:tc>
        <w:tc>
          <w:tcPr>
            <w:tcW w:w="1131" w:type="pct"/>
            <w:tcBorders>
              <w:top w:val="nil"/>
              <w:left w:val="nil"/>
              <w:bottom w:val="single" w:color="auto" w:sz="4" w:space="0"/>
              <w:right w:val="single" w:color="auto" w:sz="4" w:space="0"/>
            </w:tcBorders>
            <w:noWrap/>
            <w:vAlign w:val="bottom"/>
          </w:tcPr>
          <w:p w14:paraId="5EF911F6">
            <w:pPr>
              <w:widowControl/>
              <w:adjustRightInd/>
              <w:spacing w:line="240" w:lineRule="exact"/>
              <w:jc w:val="center"/>
              <w:textAlignment w:val="auto"/>
              <w:rPr>
                <w:rFonts w:ascii="Arial" w:hAnsi="Arial" w:eastAsia="仿宋" w:cs="Arial"/>
                <w:snapToGrid w:val="0"/>
                <w:sz w:val="20"/>
                <w:szCs w:val="21"/>
                <w:highlight w:val="none"/>
                <w:lang w:eastAsia="zh-Hans"/>
              </w:rPr>
            </w:pPr>
            <w:r>
              <w:rPr>
                <w:rFonts w:hint="eastAsia" w:ascii="Arial" w:hAnsi="Arial" w:eastAsia="仿宋" w:cs="Arial"/>
                <w:snapToGrid w:val="0"/>
                <w:sz w:val="20"/>
                <w:szCs w:val="21"/>
                <w:highlight w:val="none"/>
                <w:lang w:eastAsia="zh-Hans"/>
              </w:rPr>
              <w:t>数码视讯产业园</w:t>
            </w:r>
          </w:p>
        </w:tc>
        <w:tc>
          <w:tcPr>
            <w:tcW w:w="1131" w:type="pct"/>
            <w:tcBorders>
              <w:top w:val="nil"/>
              <w:left w:val="nil"/>
              <w:bottom w:val="single" w:color="auto" w:sz="4" w:space="0"/>
              <w:right w:val="single" w:color="auto" w:sz="4" w:space="0"/>
            </w:tcBorders>
            <w:noWrap/>
            <w:vAlign w:val="bottom"/>
          </w:tcPr>
          <w:p w14:paraId="1432FFB5">
            <w:pPr>
              <w:widowControl/>
              <w:adjustRightInd/>
              <w:spacing w:line="240" w:lineRule="exact"/>
              <w:jc w:val="center"/>
              <w:textAlignment w:val="auto"/>
              <w:rPr>
                <w:rFonts w:ascii="Arial" w:hAnsi="Arial" w:eastAsia="仿宋" w:cs="Arial"/>
                <w:snapToGrid w:val="0"/>
                <w:sz w:val="20"/>
                <w:szCs w:val="21"/>
                <w:highlight w:val="none"/>
                <w:lang w:eastAsia="zh-Hans"/>
              </w:rPr>
            </w:pPr>
            <w:r>
              <w:rPr>
                <w:rFonts w:hint="eastAsia" w:ascii="Arial" w:hAnsi="Arial" w:eastAsia="仿宋" w:cs="Arial"/>
                <w:snapToGrid w:val="0"/>
                <w:sz w:val="20"/>
                <w:szCs w:val="21"/>
                <w:highlight w:val="none"/>
                <w:lang w:eastAsia="zh-Hans"/>
              </w:rPr>
              <w:t>博润中心</w:t>
            </w:r>
          </w:p>
        </w:tc>
        <w:tc>
          <w:tcPr>
            <w:tcW w:w="1131" w:type="pct"/>
            <w:tcBorders>
              <w:top w:val="nil"/>
              <w:left w:val="nil"/>
              <w:bottom w:val="single" w:color="auto" w:sz="4" w:space="0"/>
              <w:right w:val="single" w:color="auto" w:sz="4" w:space="0"/>
            </w:tcBorders>
            <w:noWrap/>
            <w:vAlign w:val="bottom"/>
          </w:tcPr>
          <w:p w14:paraId="03888778">
            <w:pPr>
              <w:widowControl/>
              <w:adjustRightInd/>
              <w:spacing w:line="240" w:lineRule="exact"/>
              <w:jc w:val="center"/>
              <w:textAlignment w:val="auto"/>
              <w:rPr>
                <w:rFonts w:ascii="Arial" w:hAnsi="Arial" w:eastAsia="仿宋" w:cs="Arial"/>
                <w:snapToGrid w:val="0"/>
                <w:sz w:val="20"/>
                <w:szCs w:val="21"/>
                <w:highlight w:val="none"/>
                <w:lang w:eastAsia="zh-Hans"/>
              </w:rPr>
            </w:pPr>
            <w:r>
              <w:rPr>
                <w:rFonts w:hint="eastAsia" w:ascii="Arial" w:hAnsi="Arial" w:eastAsia="仿宋" w:cs="Arial"/>
                <w:snapToGrid w:val="0"/>
                <w:sz w:val="20"/>
                <w:szCs w:val="21"/>
                <w:highlight w:val="none"/>
                <w:lang w:eastAsia="zh-Hans"/>
              </w:rPr>
              <w:t>城建道桥大厦</w:t>
            </w:r>
          </w:p>
        </w:tc>
      </w:tr>
      <w:tr w14:paraId="69822788">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4B8B130D">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交易时间</w:t>
            </w:r>
          </w:p>
        </w:tc>
        <w:tc>
          <w:tcPr>
            <w:tcW w:w="1131" w:type="pct"/>
            <w:tcBorders>
              <w:top w:val="nil"/>
              <w:left w:val="nil"/>
              <w:bottom w:val="single" w:color="auto" w:sz="4" w:space="0"/>
              <w:right w:val="single" w:color="auto" w:sz="4" w:space="0"/>
            </w:tcBorders>
            <w:noWrap/>
            <w:vAlign w:val="center"/>
          </w:tcPr>
          <w:p w14:paraId="3166B164">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4BB010BC">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3C7EDA1C">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r>
      <w:tr w14:paraId="41AD29DA">
        <w:tblPrEx>
          <w:tblCellMar>
            <w:top w:w="57" w:type="dxa"/>
            <w:left w:w="57" w:type="dxa"/>
            <w:bottom w:w="57" w:type="dxa"/>
            <w:right w:w="57" w:type="dxa"/>
          </w:tblCellMar>
        </w:tblPrEx>
        <w:trPr>
          <w:trHeight w:val="280" w:hRule="atLeast"/>
          <w:jc w:val="center"/>
        </w:trPr>
        <w:tc>
          <w:tcPr>
            <w:tcW w:w="1606" w:type="pct"/>
            <w:gridSpan w:val="2"/>
            <w:tcBorders>
              <w:top w:val="single" w:color="auto" w:sz="4" w:space="0"/>
              <w:left w:val="single" w:color="auto" w:sz="4" w:space="0"/>
              <w:bottom w:val="single" w:color="auto" w:sz="4" w:space="0"/>
              <w:right w:val="single" w:color="000000" w:sz="4" w:space="0"/>
            </w:tcBorders>
            <w:noWrap/>
            <w:vAlign w:val="bottom"/>
          </w:tcPr>
          <w:p w14:paraId="4133718F">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交易情况</w:t>
            </w:r>
          </w:p>
        </w:tc>
        <w:tc>
          <w:tcPr>
            <w:tcW w:w="1131" w:type="pct"/>
            <w:tcBorders>
              <w:top w:val="nil"/>
              <w:left w:val="nil"/>
              <w:bottom w:val="single" w:color="auto" w:sz="4" w:space="0"/>
              <w:right w:val="single" w:color="auto" w:sz="4" w:space="0"/>
            </w:tcBorders>
            <w:noWrap/>
            <w:vAlign w:val="center"/>
          </w:tcPr>
          <w:p w14:paraId="6D985D07">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0935CCD5">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6FFFC172">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r>
      <w:tr w14:paraId="57C8F3F6">
        <w:tblPrEx>
          <w:tblCellMar>
            <w:top w:w="57" w:type="dxa"/>
            <w:left w:w="57" w:type="dxa"/>
            <w:bottom w:w="57" w:type="dxa"/>
            <w:right w:w="57" w:type="dxa"/>
          </w:tblCellMar>
        </w:tblPrEx>
        <w:trPr>
          <w:trHeight w:val="296" w:hRule="atLeast"/>
          <w:jc w:val="center"/>
        </w:trPr>
        <w:tc>
          <w:tcPr>
            <w:tcW w:w="1606" w:type="pct"/>
            <w:gridSpan w:val="2"/>
            <w:tcBorders>
              <w:top w:val="single" w:color="auto" w:sz="4" w:space="0"/>
              <w:left w:val="single" w:color="auto" w:sz="4" w:space="0"/>
              <w:bottom w:val="single" w:color="auto" w:sz="4" w:space="0"/>
              <w:right w:val="single" w:color="auto" w:sz="4" w:space="0"/>
            </w:tcBorders>
            <w:noWrap/>
            <w:vAlign w:val="center"/>
          </w:tcPr>
          <w:p w14:paraId="2B2B585A">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用途</w:t>
            </w:r>
          </w:p>
        </w:tc>
        <w:tc>
          <w:tcPr>
            <w:tcW w:w="1131" w:type="pct"/>
            <w:tcBorders>
              <w:top w:val="nil"/>
              <w:left w:val="nil"/>
              <w:bottom w:val="single" w:color="auto" w:sz="4" w:space="0"/>
              <w:right w:val="single" w:color="auto" w:sz="4" w:space="0"/>
            </w:tcBorders>
            <w:noWrap/>
            <w:vAlign w:val="center"/>
          </w:tcPr>
          <w:p w14:paraId="38E94B77">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5</w:t>
            </w:r>
          </w:p>
        </w:tc>
        <w:tc>
          <w:tcPr>
            <w:tcW w:w="1131" w:type="pct"/>
            <w:tcBorders>
              <w:top w:val="nil"/>
              <w:left w:val="nil"/>
              <w:bottom w:val="single" w:color="auto" w:sz="4" w:space="0"/>
              <w:right w:val="single" w:color="auto" w:sz="4" w:space="0"/>
            </w:tcBorders>
            <w:noWrap/>
            <w:vAlign w:val="center"/>
          </w:tcPr>
          <w:p w14:paraId="6900D4BE">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5</w:t>
            </w:r>
          </w:p>
        </w:tc>
        <w:tc>
          <w:tcPr>
            <w:tcW w:w="1131" w:type="pct"/>
            <w:tcBorders>
              <w:top w:val="nil"/>
              <w:left w:val="nil"/>
              <w:bottom w:val="single" w:color="auto" w:sz="4" w:space="0"/>
              <w:right w:val="single" w:color="auto" w:sz="4" w:space="0"/>
            </w:tcBorders>
            <w:noWrap/>
            <w:vAlign w:val="center"/>
          </w:tcPr>
          <w:p w14:paraId="5FEE65EC">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5</w:t>
            </w:r>
          </w:p>
        </w:tc>
      </w:tr>
      <w:tr w14:paraId="081A4615">
        <w:tblPrEx>
          <w:tblCellMar>
            <w:top w:w="57" w:type="dxa"/>
            <w:left w:w="57" w:type="dxa"/>
            <w:bottom w:w="57" w:type="dxa"/>
            <w:right w:w="57" w:type="dxa"/>
          </w:tblCellMar>
        </w:tblPrEx>
        <w:trPr>
          <w:trHeight w:val="280" w:hRule="atLeast"/>
          <w:jc w:val="center"/>
        </w:trPr>
        <w:tc>
          <w:tcPr>
            <w:tcW w:w="626" w:type="pct"/>
            <w:vMerge w:val="restart"/>
            <w:tcBorders>
              <w:top w:val="single" w:color="auto" w:sz="4" w:space="0"/>
              <w:left w:val="single" w:color="auto" w:sz="4" w:space="0"/>
              <w:bottom w:val="single" w:color="000000" w:sz="4" w:space="0"/>
              <w:right w:val="single" w:color="auto" w:sz="4" w:space="0"/>
            </w:tcBorders>
            <w:noWrap/>
            <w:vAlign w:val="center"/>
          </w:tcPr>
          <w:p w14:paraId="53440D6A">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区域因素</w:t>
            </w:r>
          </w:p>
        </w:tc>
        <w:tc>
          <w:tcPr>
            <w:tcW w:w="980" w:type="pct"/>
            <w:tcBorders>
              <w:top w:val="single" w:color="auto" w:sz="4" w:space="0"/>
              <w:left w:val="nil"/>
              <w:bottom w:val="single" w:color="auto" w:sz="4" w:space="0"/>
              <w:right w:val="single" w:color="auto" w:sz="4" w:space="0"/>
            </w:tcBorders>
            <w:noWrap/>
            <w:vAlign w:val="center"/>
          </w:tcPr>
          <w:p w14:paraId="74C38EAB">
            <w:pPr>
              <w:widowControl/>
              <w:adjustRightInd/>
              <w:spacing w:line="240" w:lineRule="exact"/>
              <w:textAlignment w:val="auto"/>
              <w:rPr>
                <w:rFonts w:ascii="Arial" w:hAnsi="Arial" w:eastAsia="仿宋" w:cs="Arial"/>
                <w:snapToGrid w:val="0"/>
                <w:sz w:val="20"/>
                <w:szCs w:val="21"/>
                <w:highlight w:val="none"/>
                <w:lang w:eastAsia="zh-Hans"/>
              </w:rPr>
            </w:pPr>
            <w:r>
              <w:rPr>
                <w:rFonts w:ascii="Arial" w:hAnsi="Arial" w:eastAsia="仿宋" w:cs="Arial"/>
                <w:snapToGrid w:val="0"/>
                <w:sz w:val="20"/>
                <w:szCs w:val="21"/>
                <w:highlight w:val="none"/>
                <w:lang w:eastAsia="zh-Hans"/>
              </w:rPr>
              <w:t>物业集聚程度</w:t>
            </w:r>
          </w:p>
        </w:tc>
        <w:tc>
          <w:tcPr>
            <w:tcW w:w="1131" w:type="pct"/>
            <w:tcBorders>
              <w:top w:val="nil"/>
              <w:left w:val="nil"/>
              <w:bottom w:val="single" w:color="auto" w:sz="4" w:space="0"/>
              <w:right w:val="single" w:color="auto" w:sz="4" w:space="0"/>
            </w:tcBorders>
            <w:noWrap/>
            <w:vAlign w:val="center"/>
          </w:tcPr>
          <w:p w14:paraId="0D453D4C">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344D33CC">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6</w:t>
            </w:r>
          </w:p>
        </w:tc>
        <w:tc>
          <w:tcPr>
            <w:tcW w:w="1131" w:type="pct"/>
            <w:tcBorders>
              <w:top w:val="nil"/>
              <w:left w:val="nil"/>
              <w:bottom w:val="single" w:color="auto" w:sz="4" w:space="0"/>
              <w:right w:val="single" w:color="auto" w:sz="4" w:space="0"/>
            </w:tcBorders>
            <w:noWrap/>
            <w:vAlign w:val="center"/>
          </w:tcPr>
          <w:p w14:paraId="10C8F2E0">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6</w:t>
            </w:r>
          </w:p>
        </w:tc>
      </w:tr>
      <w:tr w14:paraId="5A21BB9E">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72FF4AC6">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nil"/>
              <w:left w:val="nil"/>
              <w:bottom w:val="single" w:color="auto" w:sz="4" w:space="0"/>
              <w:right w:val="single" w:color="auto" w:sz="4" w:space="0"/>
            </w:tcBorders>
            <w:noWrap/>
            <w:vAlign w:val="center"/>
          </w:tcPr>
          <w:p w14:paraId="46E48225">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交通便捷度</w:t>
            </w:r>
          </w:p>
        </w:tc>
        <w:tc>
          <w:tcPr>
            <w:tcW w:w="1131" w:type="pct"/>
            <w:tcBorders>
              <w:top w:val="nil"/>
              <w:left w:val="nil"/>
              <w:bottom w:val="single" w:color="auto" w:sz="4" w:space="0"/>
              <w:right w:val="single" w:color="auto" w:sz="4" w:space="0"/>
            </w:tcBorders>
            <w:noWrap/>
            <w:vAlign w:val="center"/>
          </w:tcPr>
          <w:p w14:paraId="476194CA">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0595F0F0">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6</w:t>
            </w:r>
          </w:p>
        </w:tc>
        <w:tc>
          <w:tcPr>
            <w:tcW w:w="1131" w:type="pct"/>
            <w:tcBorders>
              <w:top w:val="nil"/>
              <w:left w:val="nil"/>
              <w:bottom w:val="single" w:color="auto" w:sz="4" w:space="0"/>
              <w:right w:val="single" w:color="auto" w:sz="4" w:space="0"/>
            </w:tcBorders>
            <w:noWrap/>
            <w:vAlign w:val="center"/>
          </w:tcPr>
          <w:p w14:paraId="6448DBB6">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6</w:t>
            </w:r>
          </w:p>
        </w:tc>
      </w:tr>
      <w:tr w14:paraId="3940085A">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5B2788D1">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nil"/>
              <w:left w:val="nil"/>
              <w:bottom w:val="single" w:color="auto" w:sz="4" w:space="0"/>
              <w:right w:val="single" w:color="auto" w:sz="4" w:space="0"/>
            </w:tcBorders>
            <w:noWrap/>
            <w:vAlign w:val="center"/>
          </w:tcPr>
          <w:p w14:paraId="16B8B3C3">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公共配套设施</w:t>
            </w:r>
          </w:p>
        </w:tc>
        <w:tc>
          <w:tcPr>
            <w:tcW w:w="1131" w:type="pct"/>
            <w:tcBorders>
              <w:top w:val="nil"/>
              <w:left w:val="nil"/>
              <w:bottom w:val="single" w:color="auto" w:sz="4" w:space="0"/>
              <w:right w:val="single" w:color="auto" w:sz="4" w:space="0"/>
            </w:tcBorders>
            <w:noWrap/>
            <w:vAlign w:val="center"/>
          </w:tcPr>
          <w:p w14:paraId="46D500A7">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7486E513">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4</w:t>
            </w:r>
          </w:p>
        </w:tc>
        <w:tc>
          <w:tcPr>
            <w:tcW w:w="1131" w:type="pct"/>
            <w:tcBorders>
              <w:top w:val="nil"/>
              <w:left w:val="nil"/>
              <w:bottom w:val="single" w:color="auto" w:sz="4" w:space="0"/>
              <w:right w:val="single" w:color="auto" w:sz="4" w:space="0"/>
            </w:tcBorders>
            <w:noWrap/>
            <w:vAlign w:val="center"/>
          </w:tcPr>
          <w:p w14:paraId="760F0502">
            <w:pPr>
              <w:spacing w:line="240" w:lineRule="exact"/>
              <w:jc w:val="center"/>
              <w:rPr>
                <w:rFonts w:hint="eastAsia" w:ascii="Arial" w:hAnsi="Arial" w:eastAsia="仿宋" w:cs="Arial"/>
                <w:snapToGrid w:val="0"/>
                <w:sz w:val="20"/>
                <w:szCs w:val="21"/>
                <w:highlight w:val="none"/>
                <w:lang w:val="en-US" w:eastAsia="zh-CN"/>
              </w:rPr>
            </w:pPr>
            <w:r>
              <w:rPr>
                <w:rFonts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4</w:t>
            </w:r>
          </w:p>
        </w:tc>
      </w:tr>
      <w:tr w14:paraId="611B6AE9">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688D2A74">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nil"/>
              <w:left w:val="nil"/>
              <w:bottom w:val="single" w:color="auto" w:sz="4" w:space="0"/>
              <w:right w:val="single" w:color="auto" w:sz="4" w:space="0"/>
            </w:tcBorders>
            <w:noWrap/>
            <w:vAlign w:val="center"/>
          </w:tcPr>
          <w:p w14:paraId="0AA2821B">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基础设施水平</w:t>
            </w:r>
          </w:p>
        </w:tc>
        <w:tc>
          <w:tcPr>
            <w:tcW w:w="1131" w:type="pct"/>
            <w:tcBorders>
              <w:top w:val="nil"/>
              <w:left w:val="nil"/>
              <w:bottom w:val="single" w:color="auto" w:sz="4" w:space="0"/>
              <w:right w:val="single" w:color="auto" w:sz="4" w:space="0"/>
            </w:tcBorders>
            <w:noWrap/>
            <w:vAlign w:val="center"/>
          </w:tcPr>
          <w:p w14:paraId="1765F0BF">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3CD185EF">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4D0C04A7">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r>
      <w:tr w14:paraId="1CEE5720">
        <w:tblPrEx>
          <w:tblCellMar>
            <w:top w:w="57" w:type="dxa"/>
            <w:left w:w="57" w:type="dxa"/>
            <w:bottom w:w="57" w:type="dxa"/>
            <w:right w:w="57" w:type="dxa"/>
          </w:tblCellMar>
        </w:tblPrEx>
        <w:trPr>
          <w:trHeight w:val="280" w:hRule="atLeast"/>
          <w:jc w:val="center"/>
        </w:trPr>
        <w:tc>
          <w:tcPr>
            <w:tcW w:w="626" w:type="pct"/>
            <w:vMerge w:val="continue"/>
            <w:tcBorders>
              <w:top w:val="single" w:color="auto" w:sz="4" w:space="0"/>
              <w:left w:val="single" w:color="auto" w:sz="4" w:space="0"/>
              <w:bottom w:val="single" w:color="000000" w:sz="4" w:space="0"/>
              <w:right w:val="single" w:color="auto" w:sz="4" w:space="0"/>
            </w:tcBorders>
            <w:vAlign w:val="center"/>
          </w:tcPr>
          <w:p w14:paraId="73E14A3A">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nil"/>
              <w:left w:val="nil"/>
              <w:bottom w:val="single" w:color="auto" w:sz="4" w:space="0"/>
              <w:right w:val="single" w:color="auto" w:sz="4" w:space="0"/>
            </w:tcBorders>
            <w:noWrap/>
            <w:vAlign w:val="center"/>
          </w:tcPr>
          <w:p w14:paraId="24E98E41">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自然及人文环境</w:t>
            </w:r>
          </w:p>
        </w:tc>
        <w:tc>
          <w:tcPr>
            <w:tcW w:w="1131" w:type="pct"/>
            <w:tcBorders>
              <w:top w:val="nil"/>
              <w:left w:val="nil"/>
              <w:bottom w:val="single" w:color="auto" w:sz="4" w:space="0"/>
              <w:right w:val="single" w:color="auto" w:sz="4" w:space="0"/>
            </w:tcBorders>
            <w:noWrap/>
            <w:vAlign w:val="center"/>
          </w:tcPr>
          <w:p w14:paraId="2F031EC5">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25C0262A">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5</w:t>
            </w:r>
          </w:p>
        </w:tc>
        <w:tc>
          <w:tcPr>
            <w:tcW w:w="1131" w:type="pct"/>
            <w:tcBorders>
              <w:top w:val="nil"/>
              <w:left w:val="nil"/>
              <w:bottom w:val="single" w:color="auto" w:sz="4" w:space="0"/>
              <w:right w:val="single" w:color="auto" w:sz="4" w:space="0"/>
            </w:tcBorders>
            <w:noWrap/>
            <w:vAlign w:val="center"/>
          </w:tcPr>
          <w:p w14:paraId="5784CE62">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r>
      <w:tr w14:paraId="76F4798A">
        <w:tblPrEx>
          <w:tblCellMar>
            <w:top w:w="57" w:type="dxa"/>
            <w:left w:w="57" w:type="dxa"/>
            <w:bottom w:w="57" w:type="dxa"/>
            <w:right w:w="57" w:type="dxa"/>
          </w:tblCellMar>
        </w:tblPrEx>
        <w:trPr>
          <w:trHeight w:val="412" w:hRule="atLeast"/>
          <w:jc w:val="center"/>
        </w:trPr>
        <w:tc>
          <w:tcPr>
            <w:tcW w:w="626" w:type="pct"/>
            <w:vMerge w:val="restart"/>
            <w:tcBorders>
              <w:top w:val="nil"/>
              <w:left w:val="single" w:color="auto" w:sz="4" w:space="0"/>
              <w:bottom w:val="single" w:color="000000" w:sz="4" w:space="0"/>
              <w:right w:val="single" w:color="auto" w:sz="4" w:space="0"/>
            </w:tcBorders>
            <w:noWrap/>
            <w:vAlign w:val="center"/>
          </w:tcPr>
          <w:p w14:paraId="7E913213">
            <w:pPr>
              <w:widowControl/>
              <w:adjustRightInd/>
              <w:spacing w:line="240" w:lineRule="exact"/>
              <w:jc w:val="center"/>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个别因素</w:t>
            </w:r>
          </w:p>
        </w:tc>
        <w:tc>
          <w:tcPr>
            <w:tcW w:w="980" w:type="pct"/>
            <w:tcBorders>
              <w:top w:val="single" w:color="auto" w:sz="4" w:space="0"/>
              <w:left w:val="nil"/>
              <w:bottom w:val="single" w:color="auto" w:sz="4" w:space="0"/>
              <w:right w:val="single" w:color="auto" w:sz="4" w:space="0"/>
            </w:tcBorders>
            <w:noWrap/>
            <w:vAlign w:val="center"/>
          </w:tcPr>
          <w:p w14:paraId="233AFFBC">
            <w:pPr>
              <w:spacing w:line="240" w:lineRule="exact"/>
              <w:rPr>
                <w:rFonts w:ascii="Arial" w:hAnsi="Arial" w:eastAsia="仿宋" w:cs="Arial"/>
                <w:snapToGrid w:val="0"/>
                <w:sz w:val="20"/>
                <w:szCs w:val="21"/>
                <w:highlight w:val="none"/>
              </w:rPr>
            </w:pPr>
            <w:r>
              <w:rPr>
                <w:rFonts w:ascii="Arial" w:hAnsi="Arial" w:eastAsia="仿宋" w:cs="Arial"/>
                <w:snapToGrid w:val="0"/>
                <w:sz w:val="20"/>
                <w:szCs w:val="21"/>
                <w:highlight w:val="none"/>
              </w:rPr>
              <w:t>项目建筑规模</w:t>
            </w:r>
          </w:p>
        </w:tc>
        <w:tc>
          <w:tcPr>
            <w:tcW w:w="1131" w:type="pct"/>
            <w:tcBorders>
              <w:top w:val="single" w:color="auto" w:sz="4" w:space="0"/>
              <w:left w:val="nil"/>
              <w:bottom w:val="single" w:color="auto" w:sz="4" w:space="0"/>
              <w:right w:val="single" w:color="auto" w:sz="4" w:space="0"/>
            </w:tcBorders>
            <w:noWrap/>
            <w:vAlign w:val="center"/>
          </w:tcPr>
          <w:p w14:paraId="29719A74">
            <w:pPr>
              <w:spacing w:line="240" w:lineRule="exact"/>
              <w:jc w:val="center"/>
              <w:rPr>
                <w:rFonts w:hint="default"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w:t>
            </w:r>
            <w:r>
              <w:rPr>
                <w:rFonts w:hint="eastAsia" w:ascii="Arial" w:hAnsi="Arial" w:eastAsia="仿宋" w:cs="Arial"/>
                <w:snapToGrid w:val="0"/>
                <w:sz w:val="20"/>
                <w:szCs w:val="21"/>
                <w:highlight w:val="none"/>
                <w:lang w:val="en-US" w:eastAsia="zh-CN"/>
              </w:rPr>
              <w:t>99</w:t>
            </w:r>
          </w:p>
        </w:tc>
        <w:tc>
          <w:tcPr>
            <w:tcW w:w="1131" w:type="pct"/>
            <w:tcBorders>
              <w:top w:val="single" w:color="auto" w:sz="4" w:space="0"/>
              <w:left w:val="nil"/>
              <w:bottom w:val="single" w:color="auto" w:sz="4" w:space="0"/>
              <w:right w:val="single" w:color="auto" w:sz="4" w:space="0"/>
            </w:tcBorders>
            <w:noWrap/>
            <w:vAlign w:val="center"/>
          </w:tcPr>
          <w:p w14:paraId="063F0EBD">
            <w:pPr>
              <w:spacing w:line="240" w:lineRule="exact"/>
              <w:jc w:val="center"/>
              <w:rPr>
                <w:rFonts w:hint="eastAsia"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rPr>
              <w:t>100/9</w:t>
            </w:r>
            <w:r>
              <w:rPr>
                <w:rFonts w:hint="eastAsia" w:ascii="Arial" w:hAnsi="Arial" w:eastAsia="仿宋" w:cs="Arial"/>
                <w:snapToGrid w:val="0"/>
                <w:sz w:val="20"/>
                <w:szCs w:val="21"/>
                <w:highlight w:val="none"/>
                <w:lang w:val="en-US" w:eastAsia="zh-CN"/>
              </w:rPr>
              <w:t>8</w:t>
            </w:r>
          </w:p>
        </w:tc>
        <w:tc>
          <w:tcPr>
            <w:tcW w:w="1131" w:type="pct"/>
            <w:tcBorders>
              <w:top w:val="single" w:color="auto" w:sz="4" w:space="0"/>
              <w:left w:val="nil"/>
              <w:bottom w:val="single" w:color="auto" w:sz="4" w:space="0"/>
              <w:right w:val="single" w:color="auto" w:sz="4" w:space="0"/>
            </w:tcBorders>
            <w:noWrap/>
            <w:vAlign w:val="center"/>
          </w:tcPr>
          <w:p w14:paraId="3C251DC9">
            <w:pPr>
              <w:spacing w:line="240" w:lineRule="exact"/>
              <w:jc w:val="center"/>
              <w:rPr>
                <w:rFonts w:hint="eastAsia" w:ascii="Arial" w:hAnsi="Arial" w:eastAsia="仿宋" w:cs="Arial"/>
                <w:snapToGrid w:val="0"/>
                <w:sz w:val="20"/>
                <w:szCs w:val="21"/>
                <w:highlight w:val="none"/>
                <w:lang w:val="en-US" w:eastAsia="zh-CN"/>
              </w:rPr>
            </w:pPr>
            <w:r>
              <w:rPr>
                <w:rFonts w:ascii="Arial" w:hAnsi="Arial" w:eastAsia="仿宋" w:cs="Arial"/>
                <w:snapToGrid w:val="0"/>
                <w:sz w:val="20"/>
                <w:szCs w:val="21"/>
                <w:highlight w:val="none"/>
              </w:rPr>
              <w:t>100/10</w:t>
            </w:r>
            <w:r>
              <w:rPr>
                <w:rFonts w:hint="eastAsia" w:ascii="Arial" w:hAnsi="Arial" w:eastAsia="仿宋" w:cs="Arial"/>
                <w:snapToGrid w:val="0"/>
                <w:sz w:val="20"/>
                <w:szCs w:val="21"/>
                <w:highlight w:val="none"/>
                <w:lang w:val="en-US" w:eastAsia="zh-CN"/>
              </w:rPr>
              <w:t>0</w:t>
            </w:r>
          </w:p>
        </w:tc>
      </w:tr>
      <w:tr w14:paraId="6323FCF4">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1BE794F4">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single" w:color="auto" w:sz="4" w:space="0"/>
              <w:left w:val="nil"/>
              <w:bottom w:val="single" w:color="auto" w:sz="4" w:space="0"/>
              <w:right w:val="single" w:color="auto" w:sz="4" w:space="0"/>
            </w:tcBorders>
            <w:noWrap/>
            <w:vAlign w:val="center"/>
          </w:tcPr>
          <w:p w14:paraId="1E4A04D2">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建筑结构</w:t>
            </w:r>
          </w:p>
        </w:tc>
        <w:tc>
          <w:tcPr>
            <w:tcW w:w="1131" w:type="pct"/>
            <w:tcBorders>
              <w:top w:val="single" w:color="auto" w:sz="4" w:space="0"/>
              <w:left w:val="nil"/>
              <w:bottom w:val="single" w:color="auto" w:sz="4" w:space="0"/>
              <w:right w:val="single" w:color="auto" w:sz="4" w:space="0"/>
            </w:tcBorders>
            <w:noWrap/>
            <w:vAlign w:val="center"/>
          </w:tcPr>
          <w:p w14:paraId="18A7BE43">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single" w:color="auto" w:sz="4" w:space="0"/>
              <w:left w:val="nil"/>
              <w:bottom w:val="single" w:color="auto" w:sz="4" w:space="0"/>
              <w:right w:val="single" w:color="auto" w:sz="4" w:space="0"/>
            </w:tcBorders>
            <w:noWrap/>
            <w:vAlign w:val="center"/>
          </w:tcPr>
          <w:p w14:paraId="763ADF3D">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single" w:color="auto" w:sz="4" w:space="0"/>
              <w:left w:val="nil"/>
              <w:bottom w:val="single" w:color="auto" w:sz="4" w:space="0"/>
              <w:right w:val="single" w:color="auto" w:sz="4" w:space="0"/>
            </w:tcBorders>
            <w:noWrap/>
            <w:vAlign w:val="center"/>
          </w:tcPr>
          <w:p w14:paraId="4B930B44">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r>
      <w:tr w14:paraId="18FE1D14">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76AC00E4">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nil"/>
              <w:left w:val="nil"/>
              <w:bottom w:val="single" w:color="auto" w:sz="4" w:space="0"/>
              <w:right w:val="single" w:color="auto" w:sz="4" w:space="0"/>
            </w:tcBorders>
            <w:noWrap/>
            <w:vAlign w:val="center"/>
          </w:tcPr>
          <w:p w14:paraId="3FAB2C61">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公共部分装修</w:t>
            </w:r>
          </w:p>
        </w:tc>
        <w:tc>
          <w:tcPr>
            <w:tcW w:w="1131" w:type="pct"/>
            <w:tcBorders>
              <w:top w:val="nil"/>
              <w:left w:val="nil"/>
              <w:bottom w:val="single" w:color="auto" w:sz="4" w:space="0"/>
              <w:right w:val="single" w:color="auto" w:sz="4" w:space="0"/>
            </w:tcBorders>
            <w:noWrap/>
            <w:vAlign w:val="center"/>
          </w:tcPr>
          <w:p w14:paraId="24D26154">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35EC900F">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4F5F604C">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r>
      <w:tr w14:paraId="1DEE5773">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67AE3718">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nil"/>
              <w:left w:val="nil"/>
              <w:bottom w:val="single" w:color="auto" w:sz="4" w:space="0"/>
              <w:right w:val="single" w:color="auto" w:sz="4" w:space="0"/>
            </w:tcBorders>
            <w:noWrap/>
            <w:vAlign w:val="center"/>
          </w:tcPr>
          <w:p w14:paraId="218481B7">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成新度</w:t>
            </w:r>
          </w:p>
        </w:tc>
        <w:tc>
          <w:tcPr>
            <w:tcW w:w="1131" w:type="pct"/>
            <w:tcBorders>
              <w:top w:val="nil"/>
              <w:left w:val="nil"/>
              <w:bottom w:val="single" w:color="auto" w:sz="4" w:space="0"/>
              <w:right w:val="single" w:color="auto" w:sz="4" w:space="0"/>
            </w:tcBorders>
            <w:noWrap/>
            <w:vAlign w:val="center"/>
          </w:tcPr>
          <w:p w14:paraId="737115D4">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100/99</w:t>
            </w:r>
          </w:p>
        </w:tc>
        <w:tc>
          <w:tcPr>
            <w:tcW w:w="1131" w:type="pct"/>
            <w:tcBorders>
              <w:top w:val="nil"/>
              <w:left w:val="nil"/>
              <w:bottom w:val="single" w:color="auto" w:sz="4" w:space="0"/>
              <w:right w:val="single" w:color="auto" w:sz="4" w:space="0"/>
            </w:tcBorders>
            <w:noWrap/>
            <w:vAlign w:val="center"/>
          </w:tcPr>
          <w:p w14:paraId="545F69BD">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100/99</w:t>
            </w:r>
          </w:p>
        </w:tc>
        <w:tc>
          <w:tcPr>
            <w:tcW w:w="1131" w:type="pct"/>
            <w:tcBorders>
              <w:top w:val="nil"/>
              <w:left w:val="nil"/>
              <w:bottom w:val="single" w:color="auto" w:sz="4" w:space="0"/>
              <w:right w:val="single" w:color="auto" w:sz="4" w:space="0"/>
            </w:tcBorders>
            <w:noWrap/>
            <w:vAlign w:val="center"/>
          </w:tcPr>
          <w:p w14:paraId="6B685E16">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100/99</w:t>
            </w:r>
          </w:p>
        </w:tc>
      </w:tr>
      <w:tr w14:paraId="6DBB5DCC">
        <w:tblPrEx>
          <w:tblCellMar>
            <w:top w:w="57" w:type="dxa"/>
            <w:left w:w="57" w:type="dxa"/>
            <w:bottom w:w="57" w:type="dxa"/>
            <w:right w:w="57" w:type="dxa"/>
          </w:tblCellMar>
        </w:tblPrEx>
        <w:trPr>
          <w:trHeight w:val="280" w:hRule="atLeast"/>
          <w:jc w:val="center"/>
        </w:trPr>
        <w:tc>
          <w:tcPr>
            <w:tcW w:w="626" w:type="pct"/>
            <w:vMerge w:val="continue"/>
            <w:tcBorders>
              <w:top w:val="nil"/>
              <w:left w:val="single" w:color="auto" w:sz="4" w:space="0"/>
              <w:bottom w:val="single" w:color="000000" w:sz="4" w:space="0"/>
              <w:right w:val="single" w:color="auto" w:sz="4" w:space="0"/>
            </w:tcBorders>
            <w:vAlign w:val="center"/>
          </w:tcPr>
          <w:p w14:paraId="5B9D8827">
            <w:pPr>
              <w:widowControl/>
              <w:adjustRightInd/>
              <w:spacing w:line="240" w:lineRule="exact"/>
              <w:textAlignment w:val="auto"/>
              <w:rPr>
                <w:rFonts w:ascii="Arial" w:hAnsi="Arial" w:eastAsia="仿宋" w:cs="Arial"/>
                <w:snapToGrid w:val="0"/>
                <w:sz w:val="20"/>
                <w:szCs w:val="21"/>
                <w:highlight w:val="none"/>
              </w:rPr>
            </w:pPr>
          </w:p>
        </w:tc>
        <w:tc>
          <w:tcPr>
            <w:tcW w:w="980" w:type="pct"/>
            <w:tcBorders>
              <w:top w:val="nil"/>
              <w:left w:val="nil"/>
              <w:bottom w:val="single" w:color="auto" w:sz="4" w:space="0"/>
              <w:right w:val="single" w:color="auto" w:sz="4" w:space="0"/>
            </w:tcBorders>
            <w:noWrap/>
            <w:vAlign w:val="center"/>
          </w:tcPr>
          <w:p w14:paraId="457D34E8">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层高</w:t>
            </w:r>
          </w:p>
        </w:tc>
        <w:tc>
          <w:tcPr>
            <w:tcW w:w="1131" w:type="pct"/>
            <w:tcBorders>
              <w:top w:val="nil"/>
              <w:left w:val="nil"/>
              <w:bottom w:val="single" w:color="auto" w:sz="4" w:space="0"/>
              <w:right w:val="single" w:color="auto" w:sz="4" w:space="0"/>
            </w:tcBorders>
            <w:noWrap/>
            <w:vAlign w:val="center"/>
          </w:tcPr>
          <w:p w14:paraId="6F6381F8">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577DF131">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c>
          <w:tcPr>
            <w:tcW w:w="1131" w:type="pct"/>
            <w:tcBorders>
              <w:top w:val="nil"/>
              <w:left w:val="nil"/>
              <w:bottom w:val="single" w:color="auto" w:sz="4" w:space="0"/>
              <w:right w:val="single" w:color="auto" w:sz="4" w:space="0"/>
            </w:tcBorders>
            <w:noWrap/>
            <w:vAlign w:val="center"/>
          </w:tcPr>
          <w:p w14:paraId="159AC66F">
            <w:pPr>
              <w:spacing w:line="240" w:lineRule="exact"/>
              <w:jc w:val="center"/>
              <w:rPr>
                <w:rFonts w:ascii="Arial" w:hAnsi="Arial" w:eastAsia="仿宋" w:cs="Arial"/>
                <w:snapToGrid w:val="0"/>
                <w:sz w:val="20"/>
                <w:szCs w:val="21"/>
                <w:highlight w:val="none"/>
              </w:rPr>
            </w:pPr>
            <w:r>
              <w:rPr>
                <w:rFonts w:hint="eastAsia" w:ascii="Arial" w:hAnsi="Arial" w:eastAsia="仿宋" w:cs="Arial"/>
                <w:snapToGrid w:val="0"/>
                <w:sz w:val="20"/>
                <w:szCs w:val="21"/>
                <w:highlight w:val="none"/>
              </w:rPr>
              <w:t>100/100</w:t>
            </w:r>
          </w:p>
        </w:tc>
      </w:tr>
      <w:tr w14:paraId="41C34687">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480A5445">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成交单价（元/平方米</w:t>
            </w:r>
            <w:r>
              <w:rPr>
                <w:rFonts w:ascii="Arial" w:hAnsi="Arial" w:eastAsia="微软雅黑" w:cs="Arial"/>
                <w:snapToGrid w:val="0"/>
                <w:sz w:val="20"/>
                <w:szCs w:val="21"/>
                <w:highlight w:val="none"/>
              </w:rPr>
              <w:t>•</w:t>
            </w:r>
            <w:r>
              <w:rPr>
                <w:rFonts w:ascii="Arial" w:hAnsi="Arial" w:eastAsia="仿宋" w:cs="Arial"/>
                <w:snapToGrid w:val="0"/>
                <w:sz w:val="20"/>
                <w:szCs w:val="21"/>
                <w:highlight w:val="none"/>
              </w:rPr>
              <w:t>天）</w:t>
            </w:r>
          </w:p>
        </w:tc>
        <w:tc>
          <w:tcPr>
            <w:tcW w:w="1131" w:type="pct"/>
            <w:tcBorders>
              <w:top w:val="nil"/>
              <w:left w:val="nil"/>
              <w:bottom w:val="single" w:color="auto" w:sz="4" w:space="0"/>
              <w:right w:val="single" w:color="auto" w:sz="4" w:space="0"/>
            </w:tcBorders>
            <w:noWrap/>
            <w:vAlign w:val="center"/>
          </w:tcPr>
          <w:p w14:paraId="4F4FA9F7">
            <w:pPr>
              <w:spacing w:line="240" w:lineRule="exact"/>
              <w:jc w:val="center"/>
              <w:rPr>
                <w:rFonts w:hint="default"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lang w:val="en-US" w:eastAsia="zh-CN"/>
              </w:rPr>
              <w:t>2.2</w:t>
            </w:r>
          </w:p>
        </w:tc>
        <w:tc>
          <w:tcPr>
            <w:tcW w:w="1131" w:type="pct"/>
            <w:tcBorders>
              <w:top w:val="nil"/>
              <w:left w:val="nil"/>
              <w:bottom w:val="single" w:color="auto" w:sz="4" w:space="0"/>
              <w:right w:val="single" w:color="auto" w:sz="4" w:space="0"/>
            </w:tcBorders>
            <w:noWrap/>
            <w:vAlign w:val="center"/>
          </w:tcPr>
          <w:p w14:paraId="3E384CD6">
            <w:pPr>
              <w:spacing w:line="240" w:lineRule="exact"/>
              <w:jc w:val="center"/>
              <w:rPr>
                <w:rFonts w:hint="default"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lang w:val="en-US" w:eastAsia="zh-CN"/>
              </w:rPr>
              <w:t>2.8</w:t>
            </w:r>
          </w:p>
        </w:tc>
        <w:tc>
          <w:tcPr>
            <w:tcW w:w="1131" w:type="pct"/>
            <w:tcBorders>
              <w:top w:val="nil"/>
              <w:left w:val="nil"/>
              <w:bottom w:val="single" w:color="auto" w:sz="4" w:space="0"/>
              <w:right w:val="single" w:color="auto" w:sz="4" w:space="0"/>
            </w:tcBorders>
            <w:noWrap/>
            <w:vAlign w:val="center"/>
          </w:tcPr>
          <w:p w14:paraId="10E87AFF">
            <w:pPr>
              <w:spacing w:line="240" w:lineRule="exact"/>
              <w:jc w:val="center"/>
              <w:rPr>
                <w:rFonts w:hint="default"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lang w:val="en-US" w:eastAsia="zh-CN"/>
              </w:rPr>
              <w:t>2.3</w:t>
            </w:r>
          </w:p>
        </w:tc>
      </w:tr>
      <w:tr w14:paraId="277C3BD9">
        <w:tblPrEx>
          <w:tblCellMar>
            <w:top w:w="57" w:type="dxa"/>
            <w:left w:w="57" w:type="dxa"/>
            <w:bottom w:w="57" w:type="dxa"/>
            <w:right w:w="57" w:type="dxa"/>
          </w:tblCellMar>
        </w:tblPrEx>
        <w:trPr>
          <w:trHeight w:val="280" w:hRule="atLeast"/>
          <w:jc w:val="center"/>
        </w:trPr>
        <w:tc>
          <w:tcPr>
            <w:tcW w:w="1606" w:type="pct"/>
            <w:gridSpan w:val="2"/>
            <w:tcBorders>
              <w:top w:val="nil"/>
              <w:left w:val="single" w:color="auto" w:sz="4" w:space="0"/>
              <w:bottom w:val="single" w:color="auto" w:sz="4" w:space="0"/>
              <w:right w:val="single" w:color="auto" w:sz="4" w:space="0"/>
            </w:tcBorders>
            <w:noWrap/>
            <w:vAlign w:val="bottom"/>
          </w:tcPr>
          <w:p w14:paraId="7B75843A">
            <w:pPr>
              <w:widowControl/>
              <w:adjustRightInd/>
              <w:spacing w:line="240" w:lineRule="exact"/>
              <w:textAlignment w:val="auto"/>
              <w:rPr>
                <w:rFonts w:ascii="Arial" w:hAnsi="Arial" w:eastAsia="仿宋" w:cs="Arial"/>
                <w:snapToGrid w:val="0"/>
                <w:sz w:val="20"/>
                <w:szCs w:val="21"/>
                <w:highlight w:val="none"/>
              </w:rPr>
            </w:pPr>
            <w:r>
              <w:rPr>
                <w:rFonts w:ascii="Arial" w:hAnsi="Arial" w:eastAsia="仿宋" w:cs="Arial"/>
                <w:snapToGrid w:val="0"/>
                <w:sz w:val="20"/>
                <w:szCs w:val="21"/>
                <w:highlight w:val="none"/>
              </w:rPr>
              <w:t>比较价格（元/平方米</w:t>
            </w:r>
            <w:r>
              <w:rPr>
                <w:rFonts w:ascii="Arial" w:hAnsi="Arial" w:eastAsia="微软雅黑" w:cs="Arial"/>
                <w:snapToGrid w:val="0"/>
                <w:sz w:val="20"/>
                <w:szCs w:val="21"/>
                <w:highlight w:val="none"/>
              </w:rPr>
              <w:t>•</w:t>
            </w:r>
            <w:r>
              <w:rPr>
                <w:rFonts w:ascii="Arial" w:hAnsi="Arial" w:eastAsia="仿宋" w:cs="Arial"/>
                <w:snapToGrid w:val="0"/>
                <w:sz w:val="20"/>
                <w:szCs w:val="21"/>
                <w:highlight w:val="none"/>
              </w:rPr>
              <w:t>天）</w:t>
            </w:r>
          </w:p>
        </w:tc>
        <w:tc>
          <w:tcPr>
            <w:tcW w:w="1131" w:type="pct"/>
            <w:tcBorders>
              <w:top w:val="nil"/>
              <w:left w:val="nil"/>
              <w:bottom w:val="single" w:color="auto" w:sz="4" w:space="0"/>
              <w:right w:val="single" w:color="auto" w:sz="4" w:space="0"/>
            </w:tcBorders>
            <w:noWrap/>
            <w:vAlign w:val="center"/>
          </w:tcPr>
          <w:p w14:paraId="665EA772">
            <w:pPr>
              <w:spacing w:line="240" w:lineRule="exact"/>
              <w:jc w:val="center"/>
              <w:rPr>
                <w:rFonts w:hint="default"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lang w:val="en-US" w:eastAsia="zh-CN"/>
              </w:rPr>
              <w:t>2.1</w:t>
            </w:r>
          </w:p>
        </w:tc>
        <w:tc>
          <w:tcPr>
            <w:tcW w:w="1131" w:type="pct"/>
            <w:tcBorders>
              <w:top w:val="nil"/>
              <w:left w:val="nil"/>
              <w:bottom w:val="single" w:color="auto" w:sz="4" w:space="0"/>
              <w:right w:val="single" w:color="auto" w:sz="4" w:space="0"/>
            </w:tcBorders>
            <w:noWrap/>
            <w:vAlign w:val="center"/>
          </w:tcPr>
          <w:p w14:paraId="584A9C5A">
            <w:pPr>
              <w:spacing w:line="240" w:lineRule="exact"/>
              <w:jc w:val="center"/>
              <w:rPr>
                <w:rFonts w:hint="default"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lang w:val="en-US" w:eastAsia="zh-CN"/>
              </w:rPr>
              <w:t>2.2</w:t>
            </w:r>
          </w:p>
        </w:tc>
        <w:tc>
          <w:tcPr>
            <w:tcW w:w="1131" w:type="pct"/>
            <w:tcBorders>
              <w:top w:val="nil"/>
              <w:left w:val="nil"/>
              <w:bottom w:val="single" w:color="auto" w:sz="4" w:space="0"/>
              <w:right w:val="single" w:color="auto" w:sz="4" w:space="0"/>
            </w:tcBorders>
            <w:noWrap/>
            <w:vAlign w:val="center"/>
          </w:tcPr>
          <w:p w14:paraId="415CFDAA">
            <w:pPr>
              <w:spacing w:line="240" w:lineRule="exact"/>
              <w:jc w:val="center"/>
              <w:rPr>
                <w:rFonts w:hint="default" w:ascii="Arial" w:hAnsi="Arial" w:eastAsia="仿宋" w:cs="Arial"/>
                <w:snapToGrid w:val="0"/>
                <w:sz w:val="20"/>
                <w:szCs w:val="21"/>
                <w:highlight w:val="none"/>
                <w:lang w:val="en-US" w:eastAsia="zh-CN"/>
              </w:rPr>
            </w:pPr>
            <w:r>
              <w:rPr>
                <w:rFonts w:hint="eastAsia" w:ascii="Arial" w:hAnsi="Arial" w:eastAsia="仿宋" w:cs="Arial"/>
                <w:snapToGrid w:val="0"/>
                <w:sz w:val="20"/>
                <w:szCs w:val="21"/>
                <w:highlight w:val="none"/>
                <w:lang w:val="en-US" w:eastAsia="zh-CN"/>
              </w:rPr>
              <w:t>1.9</w:t>
            </w:r>
          </w:p>
        </w:tc>
      </w:tr>
    </w:tbl>
    <w:p w14:paraId="6410CC8C">
      <w:pPr>
        <w:spacing w:before="50" w:after="50" w:line="300" w:lineRule="auto"/>
        <w:ind w:firstLine="560" w:firstLineChars="200"/>
        <w:rPr>
          <w:rFonts w:ascii="Arial" w:hAnsi="Arial" w:eastAsia="仿宋" w:cs="Arial"/>
          <w:sz w:val="28"/>
          <w:highlight w:val="none"/>
        </w:rPr>
      </w:pPr>
      <w:r>
        <w:rPr>
          <w:rFonts w:ascii="Arial" w:hAnsi="Arial" w:eastAsia="仿宋" w:cs="Arial"/>
          <w:sz w:val="28"/>
          <w:highlight w:val="none"/>
        </w:rPr>
        <w:t>经过比较分析，以上三个案例修正后的比准价格差异在合理范围之内，能够真实的反应估价对象的市场租金水平。故取其简单算术平均值作为估价对象</w:t>
      </w:r>
      <w:r>
        <w:rPr>
          <w:rFonts w:ascii="Arial" w:hAnsi="Arial" w:eastAsia="仿宋" w:cs="Arial"/>
          <w:sz w:val="28"/>
          <w:highlight w:val="none"/>
          <w:lang w:eastAsia="zh-Hans"/>
        </w:rPr>
        <w:t>公共服务</w:t>
      </w:r>
      <w:r>
        <w:rPr>
          <w:rFonts w:ascii="Arial" w:hAnsi="Arial" w:eastAsia="仿宋" w:cs="Arial"/>
          <w:sz w:val="28"/>
          <w:highlight w:val="none"/>
        </w:rPr>
        <w:t>用途房地产的市场租金水平。</w:t>
      </w:r>
    </w:p>
    <w:p w14:paraId="7383F318">
      <w:pPr>
        <w:spacing w:before="50" w:after="50" w:line="300" w:lineRule="auto"/>
        <w:ind w:firstLine="560" w:firstLineChars="200"/>
        <w:rPr>
          <w:rFonts w:ascii="Arial" w:hAnsi="Arial" w:eastAsia="仿宋" w:cs="Arial"/>
          <w:sz w:val="28"/>
          <w:highlight w:val="none"/>
        </w:rPr>
      </w:pPr>
      <w:r>
        <w:rPr>
          <w:rFonts w:ascii="Arial" w:hAnsi="Arial" w:eastAsia="仿宋" w:cs="Arial"/>
          <w:sz w:val="28"/>
          <w:highlight w:val="none"/>
        </w:rPr>
        <w:t>比准价格</w:t>
      </w:r>
      <w:r>
        <w:rPr>
          <w:rFonts w:hint="eastAsia" w:ascii="Arial" w:hAnsi="Arial" w:eastAsia="仿宋" w:cs="Arial"/>
          <w:sz w:val="28"/>
          <w:highlight w:val="none"/>
          <w:lang w:eastAsia="zh-CN"/>
        </w:rPr>
        <w:t>＝</w:t>
      </w:r>
      <w:r>
        <w:rPr>
          <w:rFonts w:ascii="Arial" w:hAnsi="Arial" w:eastAsia="仿宋" w:cs="Arial"/>
          <w:sz w:val="28"/>
          <w:highlight w:val="none"/>
        </w:rPr>
        <w:t>（</w:t>
      </w:r>
      <w:r>
        <w:rPr>
          <w:rFonts w:hint="eastAsia" w:ascii="Arial" w:hAnsi="Arial" w:eastAsia="仿宋" w:cs="Arial"/>
          <w:sz w:val="28"/>
          <w:highlight w:val="none"/>
          <w:lang w:val="en-US" w:eastAsia="zh-CN"/>
        </w:rPr>
        <w:t>2.1</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2.2</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1.9</w:t>
      </w:r>
      <w:r>
        <w:rPr>
          <w:rFonts w:ascii="Arial" w:hAnsi="Arial" w:eastAsia="仿宋" w:cs="Arial"/>
          <w:sz w:val="28"/>
          <w:highlight w:val="none"/>
        </w:rPr>
        <w:t>）</w:t>
      </w:r>
      <w:r>
        <w:rPr>
          <w:rFonts w:hint="eastAsia" w:ascii="Arial" w:hAnsi="Arial" w:eastAsia="仿宋" w:cs="Arial"/>
          <w:sz w:val="28"/>
          <w:highlight w:val="none"/>
          <w:lang w:eastAsia="zh-CN"/>
        </w:rPr>
        <w:t>÷</w:t>
      </w:r>
      <w:r>
        <w:rPr>
          <w:rFonts w:ascii="Arial" w:hAnsi="Arial" w:eastAsia="仿宋" w:cs="Arial"/>
          <w:sz w:val="28"/>
          <w:highlight w:val="none"/>
        </w:rPr>
        <w:t>3</w:t>
      </w:r>
    </w:p>
    <w:p w14:paraId="2811D090">
      <w:pPr>
        <w:spacing w:before="50" w:after="50" w:line="300" w:lineRule="auto"/>
        <w:ind w:firstLine="1680" w:firstLineChars="600"/>
        <w:rPr>
          <w:rFonts w:ascii="Arial" w:hAnsi="Arial" w:eastAsia="仿宋" w:cs="Arial"/>
          <w:b/>
          <w:sz w:val="28"/>
          <w:highlight w:val="none"/>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2.1</w:t>
      </w:r>
      <w:r>
        <w:rPr>
          <w:rFonts w:ascii="Arial" w:hAnsi="Arial" w:eastAsia="仿宋" w:cs="Arial"/>
          <w:sz w:val="28"/>
          <w:highlight w:val="none"/>
        </w:rPr>
        <w:t>（元/平方米﹒天）</w:t>
      </w:r>
    </w:p>
    <w:p w14:paraId="4E7AED11">
      <w:pPr>
        <w:spacing w:before="50" w:after="50" w:line="300" w:lineRule="auto"/>
        <w:ind w:firstLine="560" w:firstLineChars="200"/>
        <w:rPr>
          <w:rFonts w:ascii="Arial" w:hAnsi="Arial" w:eastAsia="仿宋" w:cs="Arial"/>
          <w:sz w:val="28"/>
          <w:highlight w:val="none"/>
        </w:rPr>
      </w:pPr>
      <w:r>
        <w:rPr>
          <w:rFonts w:ascii="Arial" w:hAnsi="Arial" w:eastAsia="仿宋" w:cs="Arial"/>
          <w:sz w:val="28"/>
          <w:highlight w:val="none"/>
        </w:rPr>
        <w:t>B.收益还原法求取估价对象</w:t>
      </w:r>
      <w:r>
        <w:rPr>
          <w:rFonts w:ascii="Arial" w:hAnsi="Arial" w:eastAsia="仿宋" w:cs="Arial"/>
          <w:sz w:val="28"/>
          <w:highlight w:val="none"/>
          <w:lang w:eastAsia="zh-Hans"/>
        </w:rPr>
        <w:t>公共服务</w:t>
      </w:r>
      <w:r>
        <w:rPr>
          <w:rFonts w:ascii="Arial" w:hAnsi="Arial" w:eastAsia="仿宋" w:cs="Arial"/>
          <w:sz w:val="28"/>
          <w:highlight w:val="none"/>
        </w:rPr>
        <w:t>用房开发完成后不动产价值</w:t>
      </w:r>
    </w:p>
    <w:p w14:paraId="5CE58D53">
      <w:pPr>
        <w:spacing w:before="50" w:after="50" w:line="300" w:lineRule="auto"/>
        <w:ind w:firstLine="560" w:firstLineChars="200"/>
        <w:rPr>
          <w:rFonts w:ascii="Arial" w:hAnsi="Arial" w:eastAsia="仿宋" w:cs="Arial"/>
          <w:sz w:val="28"/>
          <w:highlight w:val="none"/>
        </w:rPr>
      </w:pPr>
      <w:r>
        <w:rPr>
          <w:rFonts w:ascii="Arial" w:hAnsi="Arial" w:eastAsia="仿宋" w:cs="Arial"/>
          <w:sz w:val="28"/>
          <w:highlight w:val="none"/>
        </w:rPr>
        <w:t>（A）求取房地年未来第一年净收益</w:t>
      </w:r>
    </w:p>
    <w:p w14:paraId="6D6B956C">
      <w:pPr>
        <w:spacing w:line="300" w:lineRule="auto"/>
        <w:ind w:right="205" w:firstLine="840" w:firstLineChars="300"/>
        <w:rPr>
          <w:rFonts w:ascii="Arial" w:hAnsi="Arial" w:eastAsia="仿宋" w:cs="Arial"/>
          <w:sz w:val="28"/>
          <w:highlight w:val="none"/>
        </w:rPr>
      </w:pPr>
      <w:r>
        <w:rPr>
          <w:rFonts w:hint="eastAsia" w:ascii="Arial" w:hAnsi="Arial" w:eastAsia="仿宋" w:cs="Arial"/>
          <w:sz w:val="28"/>
          <w:highlight w:val="none"/>
          <w:lang w:val="en-US" w:eastAsia="zh-CN"/>
        </w:rPr>
        <w:t>a</w:t>
      </w:r>
      <w:r>
        <w:rPr>
          <w:rFonts w:ascii="Arial" w:hAnsi="Arial" w:eastAsia="仿宋" w:cs="Arial"/>
          <w:sz w:val="28"/>
          <w:highlight w:val="none"/>
        </w:rPr>
        <w:t>未来第一年总收益</w:t>
      </w:r>
    </w:p>
    <w:p w14:paraId="53503C21">
      <w:pPr>
        <w:spacing w:line="300" w:lineRule="auto"/>
        <w:ind w:right="205" w:firstLine="840" w:firstLineChars="300"/>
        <w:rPr>
          <w:rFonts w:ascii="Arial" w:hAnsi="Arial" w:eastAsia="仿宋" w:cs="Arial"/>
          <w:sz w:val="28"/>
          <w:highlight w:val="none"/>
        </w:rPr>
      </w:pPr>
      <w:r>
        <w:rPr>
          <w:rFonts w:ascii="Arial" w:hAnsi="Arial" w:eastAsia="仿宋" w:cs="Arial"/>
          <w:sz w:val="28"/>
          <w:highlight w:val="none"/>
        </w:rPr>
        <w:fldChar w:fldCharType="begin"/>
      </w:r>
      <w:r>
        <w:rPr>
          <w:rFonts w:ascii="Arial" w:hAnsi="Arial" w:eastAsia="仿宋" w:cs="Arial"/>
          <w:sz w:val="28"/>
          <w:highlight w:val="none"/>
        </w:rPr>
        <w:instrText xml:space="preserve"> </w:instrText>
      </w:r>
      <w:r>
        <w:rPr>
          <w:rFonts w:hint="eastAsia" w:ascii="Arial" w:hAnsi="Arial" w:eastAsia="仿宋" w:cs="Arial"/>
          <w:sz w:val="28"/>
          <w:highlight w:val="none"/>
        </w:rPr>
        <w:instrText xml:space="preserve">= 1 \* GB3</w:instrText>
      </w:r>
      <w:r>
        <w:rPr>
          <w:rFonts w:ascii="Arial" w:hAnsi="Arial" w:eastAsia="仿宋" w:cs="Arial"/>
          <w:sz w:val="28"/>
          <w:highlight w:val="none"/>
        </w:rPr>
        <w:instrText xml:space="preserve"> </w:instrText>
      </w:r>
      <w:r>
        <w:rPr>
          <w:rFonts w:ascii="Arial" w:hAnsi="Arial" w:eastAsia="仿宋" w:cs="Arial"/>
          <w:sz w:val="28"/>
          <w:highlight w:val="none"/>
        </w:rPr>
        <w:fldChar w:fldCharType="separate"/>
      </w:r>
      <w:r>
        <w:rPr>
          <w:rFonts w:hint="eastAsia" w:ascii="Arial" w:hAnsi="Arial" w:eastAsia="仿宋" w:cs="Arial"/>
          <w:sz w:val="28"/>
          <w:highlight w:val="none"/>
        </w:rPr>
        <w:t>①</w:t>
      </w:r>
      <w:r>
        <w:rPr>
          <w:rFonts w:ascii="Arial" w:hAnsi="Arial" w:eastAsia="仿宋" w:cs="Arial"/>
          <w:sz w:val="28"/>
          <w:highlight w:val="none"/>
        </w:rPr>
        <w:fldChar w:fldCharType="end"/>
      </w:r>
      <w:r>
        <w:rPr>
          <w:rFonts w:hint="eastAsia" w:ascii="Arial" w:hAnsi="Arial" w:eastAsia="仿宋" w:cs="Arial"/>
          <w:sz w:val="28"/>
          <w:highlight w:val="none"/>
        </w:rPr>
        <w:t>潜在毛租金收入</w:t>
      </w:r>
    </w:p>
    <w:p w14:paraId="481FAD68">
      <w:pPr>
        <w:spacing w:line="300" w:lineRule="auto"/>
        <w:ind w:right="205" w:firstLine="700" w:firstLineChars="250"/>
        <w:rPr>
          <w:rFonts w:ascii="Arial" w:hAnsi="Arial" w:eastAsia="仿宋" w:cs="Arial"/>
          <w:sz w:val="28"/>
          <w:highlight w:val="none"/>
        </w:rPr>
      </w:pPr>
      <w:r>
        <w:rPr>
          <w:rFonts w:ascii="Arial" w:hAnsi="Arial" w:eastAsia="仿宋" w:cs="Arial"/>
          <w:sz w:val="28"/>
          <w:highlight w:val="none"/>
        </w:rPr>
        <w:t>依据上述采用市场比较法确定估价对象</w:t>
      </w:r>
      <w:r>
        <w:rPr>
          <w:rFonts w:ascii="Arial" w:hAnsi="Arial" w:eastAsia="仿宋" w:cs="Arial"/>
          <w:sz w:val="28"/>
          <w:highlight w:val="none"/>
          <w:lang w:eastAsia="zh-Hans"/>
        </w:rPr>
        <w:t>公共服务</w:t>
      </w:r>
      <w:r>
        <w:rPr>
          <w:rFonts w:ascii="Arial" w:hAnsi="Arial" w:eastAsia="仿宋" w:cs="Arial"/>
          <w:sz w:val="28"/>
          <w:highlight w:val="none"/>
        </w:rPr>
        <w:t>用房租金水平平均为2.</w:t>
      </w:r>
      <w:r>
        <w:rPr>
          <w:rFonts w:hint="eastAsia" w:ascii="Arial" w:hAnsi="Arial" w:eastAsia="仿宋" w:cs="Arial"/>
          <w:sz w:val="28"/>
          <w:highlight w:val="none"/>
          <w:lang w:val="en-US" w:eastAsia="zh-CN"/>
        </w:rPr>
        <w:t>1</w:t>
      </w:r>
      <w:r>
        <w:rPr>
          <w:rFonts w:ascii="Arial" w:hAnsi="Arial" w:eastAsia="仿宋" w:cs="Arial"/>
          <w:sz w:val="28"/>
          <w:highlight w:val="none"/>
        </w:rPr>
        <w:t>元/天</w:t>
      </w:r>
      <w:r>
        <w:rPr>
          <w:rFonts w:ascii="Arial" w:hAnsi="Arial" w:eastAsia="微软雅黑" w:cs="Arial"/>
          <w:sz w:val="28"/>
          <w:highlight w:val="none"/>
        </w:rPr>
        <w:t>•</w:t>
      </w:r>
      <w:r>
        <w:rPr>
          <w:rFonts w:ascii="Arial" w:hAnsi="Arial" w:eastAsia="仿宋" w:cs="Arial"/>
          <w:sz w:val="28"/>
          <w:highlight w:val="none"/>
        </w:rPr>
        <w:t xml:space="preserve">平方米；每年按365天计算。则有： </w:t>
      </w:r>
    </w:p>
    <w:p w14:paraId="024C4C72">
      <w:pPr>
        <w:spacing w:line="300" w:lineRule="auto"/>
        <w:ind w:right="205" w:firstLine="560" w:firstLineChars="200"/>
        <w:rPr>
          <w:rFonts w:ascii="Arial" w:hAnsi="Arial" w:eastAsia="仿宋" w:cs="Arial"/>
          <w:sz w:val="28"/>
          <w:highlight w:val="none"/>
        </w:rPr>
      </w:pPr>
      <w:r>
        <w:rPr>
          <w:rFonts w:ascii="Arial" w:hAnsi="Arial" w:eastAsia="仿宋" w:cs="Arial"/>
          <w:sz w:val="28"/>
          <w:highlight w:val="none"/>
        </w:rPr>
        <w:t>未来第一年年租金收入</w:t>
      </w:r>
    </w:p>
    <w:p w14:paraId="441D66D7">
      <w:pPr>
        <w:spacing w:line="300" w:lineRule="auto"/>
        <w:ind w:right="205" w:firstLine="560" w:firstLineChars="200"/>
        <w:rPr>
          <w:rFonts w:ascii="Arial" w:hAnsi="Arial" w:eastAsia="仿宋" w:cs="Arial"/>
          <w:sz w:val="28"/>
          <w:highlight w:val="none"/>
        </w:rPr>
      </w:pPr>
      <w:r>
        <w:rPr>
          <w:rFonts w:hint="eastAsia" w:ascii="Arial" w:hAnsi="Arial" w:eastAsia="仿宋" w:cs="Arial"/>
          <w:sz w:val="28"/>
          <w:highlight w:val="none"/>
          <w:lang w:eastAsia="zh-CN"/>
        </w:rPr>
        <w:t>＝</w:t>
      </w:r>
      <w:r>
        <w:rPr>
          <w:rFonts w:ascii="Arial" w:hAnsi="Arial" w:eastAsia="仿宋" w:cs="Arial"/>
          <w:sz w:val="28"/>
          <w:highlight w:val="none"/>
        </w:rPr>
        <w:t>2.</w:t>
      </w:r>
      <w:r>
        <w:rPr>
          <w:rFonts w:hint="eastAsia" w:ascii="Arial" w:hAnsi="Arial" w:eastAsia="仿宋" w:cs="Arial"/>
          <w:sz w:val="28"/>
          <w:highlight w:val="none"/>
          <w:lang w:val="en-US" w:eastAsia="zh-CN"/>
        </w:rPr>
        <w:t>1</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300</w:t>
      </w:r>
      <w:r>
        <w:rPr>
          <w:rFonts w:hint="eastAsia" w:ascii="Arial" w:hAnsi="Arial" w:eastAsia="仿宋" w:cs="Arial"/>
          <w:sz w:val="28"/>
          <w:highlight w:val="none"/>
          <w:lang w:eastAsia="zh-CN"/>
        </w:rPr>
        <w:t>×</w:t>
      </w:r>
      <w:r>
        <w:rPr>
          <w:rFonts w:ascii="Arial" w:hAnsi="Arial" w:eastAsia="仿宋" w:cs="Arial"/>
          <w:sz w:val="28"/>
          <w:highlight w:val="none"/>
        </w:rPr>
        <w:t>365</w:t>
      </w:r>
      <w:r>
        <w:rPr>
          <w:rFonts w:hint="eastAsia" w:ascii="Arial" w:hAnsi="Arial" w:eastAsia="仿宋" w:cs="Arial"/>
          <w:sz w:val="28"/>
          <w:highlight w:val="none"/>
          <w:lang w:eastAsia="zh-CN"/>
        </w:rPr>
        <w:t>÷</w:t>
      </w:r>
      <w:r>
        <w:rPr>
          <w:rFonts w:ascii="Arial" w:hAnsi="Arial" w:eastAsia="仿宋" w:cs="Arial"/>
          <w:sz w:val="28"/>
          <w:highlight w:val="none"/>
        </w:rPr>
        <w:t>10000</w:t>
      </w:r>
    </w:p>
    <w:p w14:paraId="36FF0D24">
      <w:pPr>
        <w:spacing w:line="300" w:lineRule="auto"/>
        <w:ind w:right="205" w:firstLine="560" w:firstLineChars="200"/>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22.9950</w:t>
      </w:r>
      <w:r>
        <w:rPr>
          <w:rFonts w:ascii="Arial" w:hAnsi="Arial" w:eastAsia="仿宋" w:cs="Arial"/>
          <w:sz w:val="28"/>
          <w:highlight w:val="none"/>
        </w:rPr>
        <w:t>（万元）</w:t>
      </w:r>
    </w:p>
    <w:p w14:paraId="2DBFC331">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② 空置和收租损失</w:t>
      </w:r>
    </w:p>
    <w:p w14:paraId="1CA2D92A">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经评估专业人员对估价对象所在区域</w:t>
      </w:r>
      <w:r>
        <w:rPr>
          <w:rFonts w:hint="eastAsia" w:ascii="Arial" w:hAnsi="Arial" w:eastAsia="仿宋" w:cs="Arial"/>
          <w:sz w:val="28"/>
          <w:highlight w:val="none"/>
          <w:lang w:val="en-US" w:eastAsia="zh-CN"/>
        </w:rPr>
        <w:t>公共服务</w:t>
      </w:r>
      <w:r>
        <w:rPr>
          <w:rFonts w:hint="eastAsia" w:ascii="Arial" w:hAnsi="Arial" w:eastAsia="仿宋" w:cs="Arial"/>
          <w:sz w:val="28"/>
          <w:highlight w:val="none"/>
        </w:rPr>
        <w:t>用房租赁市场的调查了解，该区域</w:t>
      </w:r>
      <w:r>
        <w:rPr>
          <w:rFonts w:hint="eastAsia" w:ascii="Arial" w:hAnsi="Arial" w:eastAsia="仿宋" w:cs="Arial"/>
          <w:sz w:val="28"/>
          <w:highlight w:val="none"/>
          <w:lang w:val="en-US" w:eastAsia="zh-CN"/>
        </w:rPr>
        <w:t>物业</w:t>
      </w:r>
      <w:r>
        <w:rPr>
          <w:rFonts w:hint="eastAsia" w:ascii="Arial" w:hAnsi="Arial" w:eastAsia="仿宋" w:cs="Arial"/>
          <w:sz w:val="28"/>
          <w:highlight w:val="none"/>
        </w:rPr>
        <w:t>聚集度较差，对该类物业的需求度一般，平均空置率水平在</w:t>
      </w:r>
      <w:r>
        <w:rPr>
          <w:rFonts w:hint="eastAsia" w:ascii="Arial" w:hAnsi="Arial" w:eastAsia="仿宋" w:cs="Arial"/>
          <w:sz w:val="28"/>
          <w:highlight w:val="none"/>
          <w:lang w:val="en-US" w:eastAsia="zh-CN"/>
        </w:rPr>
        <w:t>8</w:t>
      </w:r>
      <w:r>
        <w:rPr>
          <w:rFonts w:hint="eastAsia" w:ascii="Arial" w:hAnsi="Arial" w:eastAsia="仿宋" w:cs="Arial"/>
          <w:sz w:val="28"/>
          <w:highlight w:val="none"/>
        </w:rPr>
        <w:t>%</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15</w:t>
      </w:r>
      <w:r>
        <w:rPr>
          <w:rFonts w:hint="eastAsia" w:ascii="Arial" w:hAnsi="Arial" w:eastAsia="仿宋" w:cs="Arial"/>
          <w:sz w:val="28"/>
          <w:highlight w:val="none"/>
        </w:rPr>
        <w:t>%左右。估价对象具体位置条件分析，综合确定其空置率为</w:t>
      </w:r>
      <w:r>
        <w:rPr>
          <w:rFonts w:hint="eastAsia" w:ascii="Arial" w:hAnsi="Arial" w:eastAsia="仿宋" w:cs="Arial"/>
          <w:sz w:val="28"/>
          <w:highlight w:val="none"/>
          <w:lang w:val="en-US" w:eastAsia="zh-CN"/>
        </w:rPr>
        <w:t>10</w:t>
      </w:r>
      <w:r>
        <w:rPr>
          <w:rFonts w:hint="eastAsia" w:ascii="Arial" w:hAnsi="Arial" w:eastAsia="仿宋" w:cs="Arial"/>
          <w:sz w:val="28"/>
          <w:highlight w:val="none"/>
        </w:rPr>
        <w:t>%。则有：</w:t>
      </w:r>
    </w:p>
    <w:p w14:paraId="1A726FF5">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空置和收租损失＝潜在毛租金收入</w:t>
      </w:r>
      <w:r>
        <w:rPr>
          <w:rFonts w:hint="eastAsia" w:ascii="Arial" w:hAnsi="Arial" w:eastAsia="仿宋" w:cs="Arial"/>
          <w:sz w:val="28"/>
          <w:highlight w:val="none"/>
          <w:lang w:eastAsia="zh-CN"/>
        </w:rPr>
        <w:t>×</w:t>
      </w:r>
      <w:r>
        <w:rPr>
          <w:rFonts w:hint="eastAsia" w:ascii="Arial" w:hAnsi="Arial" w:eastAsia="仿宋" w:cs="Arial"/>
          <w:sz w:val="28"/>
          <w:highlight w:val="none"/>
        </w:rPr>
        <w:t>空置率＝</w:t>
      </w:r>
      <w:r>
        <w:rPr>
          <w:rFonts w:hint="eastAsia" w:ascii="Arial" w:hAnsi="Arial" w:eastAsia="仿宋" w:cs="Arial"/>
          <w:sz w:val="28"/>
          <w:highlight w:val="none"/>
          <w:lang w:val="en-US" w:eastAsia="zh-CN"/>
        </w:rPr>
        <w:t>22.9950</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10</w:t>
      </w:r>
      <w:r>
        <w:rPr>
          <w:rFonts w:hint="eastAsia" w:ascii="Arial" w:hAnsi="Arial" w:eastAsia="仿宋" w:cs="Arial"/>
          <w:sz w:val="28"/>
          <w:highlight w:val="none"/>
        </w:rPr>
        <w:t>%＝</w:t>
      </w:r>
      <w:r>
        <w:rPr>
          <w:rFonts w:hint="eastAsia" w:ascii="Arial" w:hAnsi="Arial" w:eastAsia="仿宋" w:cs="Arial"/>
          <w:sz w:val="28"/>
          <w:highlight w:val="none"/>
          <w:lang w:val="en-US" w:eastAsia="zh-CN"/>
        </w:rPr>
        <w:t>2.2995</w:t>
      </w:r>
      <w:r>
        <w:rPr>
          <w:rFonts w:hint="eastAsia" w:ascii="Arial" w:hAnsi="Arial" w:eastAsia="仿宋" w:cs="Arial"/>
          <w:sz w:val="28"/>
          <w:highlight w:val="none"/>
        </w:rPr>
        <w:t>（万元）</w:t>
      </w:r>
    </w:p>
    <w:p w14:paraId="38F33967">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③ 有效毛租金收入</w:t>
      </w:r>
    </w:p>
    <w:p w14:paraId="0F734CFE">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年有效毛租金收入是潜在毛租金收人减去空置和收租损失后的收人。估价对象的年有效毛租金收入为：</w:t>
      </w:r>
    </w:p>
    <w:p w14:paraId="3161BFD8">
      <w:pPr>
        <w:spacing w:line="300" w:lineRule="auto"/>
        <w:ind w:right="205" w:firstLine="560" w:firstLineChars="200"/>
        <w:jc w:val="both"/>
        <w:rPr>
          <w:rFonts w:ascii="Arial" w:hAnsi="Arial" w:eastAsia="仿宋" w:cs="Arial"/>
          <w:sz w:val="28"/>
          <w:highlight w:val="none"/>
        </w:rPr>
      </w:pPr>
      <w:r>
        <w:rPr>
          <w:rFonts w:hint="eastAsia" w:ascii="Arial" w:hAnsi="Arial" w:eastAsia="仿宋" w:cs="Arial"/>
          <w:sz w:val="28"/>
          <w:highlight w:val="none"/>
        </w:rPr>
        <w:t>有效毛租金收入＝年潜在毛租金收入－空置和收租损失＝</w:t>
      </w:r>
      <w:r>
        <w:rPr>
          <w:rFonts w:hint="eastAsia" w:ascii="Arial" w:hAnsi="Arial" w:eastAsia="仿宋" w:cs="Arial"/>
          <w:sz w:val="28"/>
          <w:highlight w:val="none"/>
          <w:lang w:val="en-US" w:eastAsia="zh-CN"/>
        </w:rPr>
        <w:t>22.9950</w:t>
      </w:r>
      <w:r>
        <w:rPr>
          <w:rFonts w:hint="eastAsia" w:ascii="Arial" w:hAnsi="Arial" w:eastAsia="仿宋" w:cs="Arial"/>
          <w:sz w:val="28"/>
          <w:highlight w:val="none"/>
        </w:rPr>
        <w:t>－</w:t>
      </w:r>
      <w:r>
        <w:rPr>
          <w:rFonts w:hint="eastAsia" w:ascii="Arial" w:hAnsi="Arial" w:eastAsia="仿宋" w:cs="Arial"/>
          <w:sz w:val="28"/>
          <w:highlight w:val="none"/>
          <w:lang w:val="en-US" w:eastAsia="zh-CN"/>
        </w:rPr>
        <w:t>2.2995</w:t>
      </w:r>
      <w:r>
        <w:rPr>
          <w:rFonts w:hint="eastAsia" w:ascii="Arial" w:hAnsi="Arial" w:eastAsia="仿宋" w:cs="Arial"/>
          <w:sz w:val="28"/>
          <w:highlight w:val="none"/>
        </w:rPr>
        <w:t>＝</w:t>
      </w:r>
      <w:r>
        <w:rPr>
          <w:rFonts w:hint="eastAsia" w:ascii="Arial" w:hAnsi="Arial" w:eastAsia="仿宋" w:cs="Arial"/>
          <w:sz w:val="28"/>
          <w:highlight w:val="none"/>
          <w:lang w:val="en-US" w:eastAsia="zh-CN"/>
        </w:rPr>
        <w:t>20.6955</w:t>
      </w:r>
      <w:r>
        <w:rPr>
          <w:rFonts w:hint="eastAsia" w:ascii="Arial" w:hAnsi="Arial" w:eastAsia="仿宋" w:cs="Arial"/>
          <w:sz w:val="28"/>
          <w:highlight w:val="none"/>
        </w:rPr>
        <w:t>（万元）</w:t>
      </w:r>
    </w:p>
    <w:p w14:paraId="71A7F00C">
      <w:pPr>
        <w:spacing w:line="300" w:lineRule="auto"/>
        <w:ind w:right="205" w:firstLine="560" w:firstLineChars="200"/>
        <w:rPr>
          <w:rFonts w:ascii="Arial" w:hAnsi="Arial" w:eastAsia="仿宋" w:cs="Arial"/>
          <w:sz w:val="28"/>
          <w:highlight w:val="none"/>
        </w:rPr>
      </w:pPr>
      <w:r>
        <w:rPr>
          <w:rFonts w:ascii="Arial" w:hAnsi="Arial" w:eastAsia="仿宋" w:cs="Arial"/>
          <w:sz w:val="28"/>
          <w:highlight w:val="none"/>
        </w:rPr>
        <w:t>b.押金利息</w:t>
      </w:r>
    </w:p>
    <w:p w14:paraId="742FDA04">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根据评估专业人员对于租赁市场的调查，目前与估价对象同类物业的押金通常为</w:t>
      </w:r>
      <w:r>
        <w:rPr>
          <w:rFonts w:hint="eastAsia" w:ascii="Arial" w:hAnsi="Arial" w:eastAsia="仿宋" w:cs="Arial"/>
          <w:sz w:val="28"/>
          <w:highlight w:val="none"/>
          <w:lang w:val="en-US" w:eastAsia="zh-CN"/>
        </w:rPr>
        <w:t>1</w:t>
      </w:r>
      <w:r>
        <w:rPr>
          <w:rFonts w:hint="eastAsia" w:ascii="Arial" w:hAnsi="Arial" w:eastAsia="仿宋" w:cs="Arial"/>
          <w:sz w:val="28"/>
          <w:highlight w:val="none"/>
        </w:rPr>
        <w:t>个月的租金。因此，本次评估按照上述计算的有效毛租金收入折算至月租金，并按照1年期存款利率1.5%计算押金利息。则有：</w:t>
      </w:r>
    </w:p>
    <w:p w14:paraId="5EE78B4C">
      <w:pPr>
        <w:spacing w:line="300" w:lineRule="auto"/>
        <w:ind w:right="205" w:firstLine="560" w:firstLineChars="200"/>
        <w:rPr>
          <w:rFonts w:ascii="Arial" w:hAnsi="Arial" w:eastAsia="仿宋" w:cs="Arial"/>
          <w:sz w:val="28"/>
          <w:highlight w:val="none"/>
        </w:rPr>
      </w:pPr>
      <w:r>
        <w:rPr>
          <w:rFonts w:ascii="Arial" w:hAnsi="Arial" w:eastAsia="仿宋" w:cs="Arial"/>
          <w:sz w:val="28"/>
          <w:highlight w:val="none"/>
        </w:rPr>
        <w:t>押金利息</w:t>
      </w:r>
    </w:p>
    <w:p w14:paraId="24FD9979">
      <w:pPr>
        <w:spacing w:line="300" w:lineRule="auto"/>
        <w:ind w:right="205" w:firstLine="560" w:firstLineChars="200"/>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20.6955</w:t>
      </w:r>
      <w:r>
        <w:rPr>
          <w:rFonts w:hint="eastAsia" w:ascii="Arial" w:hAnsi="Arial" w:eastAsia="仿宋" w:cs="Arial"/>
          <w:sz w:val="28"/>
          <w:highlight w:val="none"/>
          <w:lang w:eastAsia="zh-CN"/>
        </w:rPr>
        <w:t>÷</w:t>
      </w:r>
      <w:r>
        <w:rPr>
          <w:rFonts w:ascii="Arial" w:hAnsi="Arial" w:eastAsia="仿宋" w:cs="Arial"/>
          <w:sz w:val="28"/>
          <w:highlight w:val="none"/>
        </w:rPr>
        <w:t>12</w:t>
      </w:r>
      <w:r>
        <w:rPr>
          <w:rFonts w:hint="eastAsia" w:ascii="Arial" w:hAnsi="Arial" w:eastAsia="仿宋" w:cs="Arial"/>
          <w:sz w:val="28"/>
          <w:highlight w:val="none"/>
          <w:lang w:eastAsia="zh-CN"/>
        </w:rPr>
        <w:t>×</w:t>
      </w:r>
      <w:r>
        <w:rPr>
          <w:rFonts w:ascii="Arial" w:hAnsi="Arial" w:eastAsia="仿宋" w:cs="Arial"/>
          <w:sz w:val="28"/>
          <w:highlight w:val="none"/>
        </w:rPr>
        <w:t>1.5%</w:t>
      </w:r>
    </w:p>
    <w:p w14:paraId="693244F0">
      <w:pPr>
        <w:spacing w:line="300" w:lineRule="auto"/>
        <w:ind w:right="205" w:firstLine="560" w:firstLineChars="200"/>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0.0259</w:t>
      </w:r>
      <w:r>
        <w:rPr>
          <w:rFonts w:ascii="Arial" w:hAnsi="Arial" w:eastAsia="仿宋" w:cs="Arial"/>
          <w:sz w:val="28"/>
          <w:highlight w:val="none"/>
        </w:rPr>
        <w:t>（万元）</w:t>
      </w:r>
    </w:p>
    <w:p w14:paraId="4D5E1B3A">
      <w:pPr>
        <w:spacing w:line="300" w:lineRule="auto"/>
        <w:ind w:right="205" w:firstLine="560" w:firstLineChars="200"/>
        <w:rPr>
          <w:rFonts w:hint="eastAsia" w:ascii="Arial" w:hAnsi="Arial" w:eastAsia="仿宋" w:cs="Arial"/>
          <w:sz w:val="28"/>
          <w:highlight w:val="none"/>
          <w:lang w:val="en-US" w:eastAsia="zh-CN"/>
        </w:rPr>
      </w:pPr>
      <w:r>
        <w:rPr>
          <w:rFonts w:ascii="Arial" w:hAnsi="Arial" w:eastAsia="仿宋" w:cs="Arial"/>
          <w:sz w:val="28"/>
          <w:highlight w:val="none"/>
        </w:rPr>
        <w:t>c.</w:t>
      </w:r>
      <w:r>
        <w:rPr>
          <w:rFonts w:hint="eastAsia" w:ascii="Arial" w:hAnsi="Arial" w:eastAsia="仿宋" w:cs="Arial"/>
          <w:sz w:val="28"/>
          <w:highlight w:val="none"/>
          <w:lang w:val="en-US" w:eastAsia="zh-CN"/>
        </w:rPr>
        <w:t>其他收入</w:t>
      </w:r>
    </w:p>
    <w:p w14:paraId="05CA4421">
      <w:pPr>
        <w:spacing w:line="300" w:lineRule="auto"/>
        <w:ind w:right="205" w:firstLine="560" w:firstLineChars="200"/>
        <w:rPr>
          <w:rFonts w:hint="default" w:ascii="Arial" w:hAnsi="Arial" w:eastAsia="仿宋" w:cs="Arial"/>
          <w:sz w:val="28"/>
          <w:highlight w:val="none"/>
          <w:lang w:val="en-US" w:eastAsia="zh-CN"/>
        </w:rPr>
      </w:pPr>
      <w:r>
        <w:rPr>
          <w:rFonts w:hint="default" w:ascii="Arial" w:hAnsi="Arial" w:eastAsia="仿宋" w:cs="Arial"/>
          <w:sz w:val="28"/>
          <w:highlight w:val="none"/>
          <w:lang w:val="en-US" w:eastAsia="zh-CN"/>
        </w:rPr>
        <w:t>估价对象不存在其他收入。</w:t>
      </w:r>
    </w:p>
    <w:p w14:paraId="5C7AFE8E">
      <w:pPr>
        <w:spacing w:line="300" w:lineRule="auto"/>
        <w:ind w:right="205" w:firstLine="560" w:firstLineChars="200"/>
        <w:rPr>
          <w:rFonts w:ascii="Arial" w:hAnsi="Arial" w:eastAsia="仿宋" w:cs="Arial"/>
          <w:sz w:val="28"/>
          <w:highlight w:val="none"/>
        </w:rPr>
      </w:pPr>
      <w:r>
        <w:rPr>
          <w:rFonts w:hint="eastAsia" w:ascii="Arial" w:hAnsi="Arial" w:eastAsia="仿宋" w:cs="Arial"/>
          <w:sz w:val="28"/>
          <w:highlight w:val="none"/>
          <w:lang w:val="en-US" w:eastAsia="zh-CN"/>
        </w:rPr>
        <w:t>d</w:t>
      </w:r>
      <w:r>
        <w:rPr>
          <w:rFonts w:ascii="Arial" w:hAnsi="Arial" w:eastAsia="仿宋" w:cs="Arial"/>
          <w:sz w:val="28"/>
          <w:highlight w:val="none"/>
        </w:rPr>
        <w:t>.</w:t>
      </w:r>
      <w:r>
        <w:rPr>
          <w:rFonts w:hint="eastAsia" w:ascii="Arial" w:hAnsi="Arial" w:eastAsia="仿宋" w:cs="Arial"/>
          <w:sz w:val="28"/>
          <w:highlight w:val="none"/>
        </w:rPr>
        <w:t>未来第一年有效毛收入</w:t>
      </w:r>
    </w:p>
    <w:p w14:paraId="2DFC9C15">
      <w:pPr>
        <w:spacing w:line="300" w:lineRule="auto"/>
        <w:ind w:right="205" w:firstLine="560" w:firstLineChars="200"/>
        <w:jc w:val="both"/>
        <w:rPr>
          <w:rFonts w:hint="eastAsia" w:ascii="Arial" w:hAnsi="Arial" w:eastAsia="仿宋" w:cs="Arial"/>
          <w:sz w:val="28"/>
          <w:highlight w:val="none"/>
          <w:lang w:eastAsia="zh-CN"/>
        </w:rPr>
      </w:pPr>
      <w:r>
        <w:rPr>
          <w:rFonts w:hint="eastAsia" w:ascii="Arial" w:hAnsi="Arial" w:eastAsia="仿宋" w:cs="Arial"/>
          <w:sz w:val="28"/>
          <w:highlight w:val="none"/>
          <w:lang w:eastAsia="zh-CN"/>
        </w:rPr>
        <w:t>综上，估价对象未来第一年的有效毛收入为有效毛租金收入加上押金利息及其他收入。则有：</w:t>
      </w:r>
    </w:p>
    <w:p w14:paraId="479DA370">
      <w:pPr>
        <w:spacing w:line="300" w:lineRule="auto"/>
        <w:ind w:right="205" w:firstLine="560" w:firstLineChars="200"/>
        <w:rPr>
          <w:rFonts w:hint="eastAsia" w:ascii="Arial" w:hAnsi="Arial" w:eastAsia="仿宋" w:cs="Arial"/>
          <w:sz w:val="28"/>
          <w:highlight w:val="none"/>
          <w:lang w:eastAsia="zh-CN"/>
        </w:rPr>
      </w:pPr>
      <w:r>
        <w:rPr>
          <w:rFonts w:hint="eastAsia" w:ascii="Arial" w:hAnsi="Arial" w:eastAsia="仿宋" w:cs="Arial"/>
          <w:sz w:val="28"/>
          <w:highlight w:val="none"/>
          <w:lang w:eastAsia="zh-CN"/>
        </w:rPr>
        <w:t>未来第一年有效毛收入</w:t>
      </w:r>
    </w:p>
    <w:p w14:paraId="78469BE4">
      <w:pPr>
        <w:spacing w:line="300" w:lineRule="auto"/>
        <w:ind w:right="205" w:firstLine="560" w:firstLineChars="200"/>
        <w:rPr>
          <w:rFonts w:hint="eastAsia" w:ascii="Arial" w:hAnsi="Arial" w:eastAsia="仿宋" w:cs="Arial"/>
          <w:sz w:val="28"/>
          <w:highlight w:val="none"/>
          <w:lang w:eastAsia="zh-CN"/>
        </w:rPr>
      </w:pPr>
      <w:r>
        <w:rPr>
          <w:rFonts w:hint="eastAsia" w:ascii="Arial" w:hAnsi="Arial" w:eastAsia="仿宋" w:cs="Arial"/>
          <w:sz w:val="28"/>
          <w:highlight w:val="none"/>
          <w:lang w:eastAsia="zh-CN"/>
        </w:rPr>
        <w:t>＝有效毛租金收入＋利息＋其他收入</w:t>
      </w:r>
    </w:p>
    <w:p w14:paraId="55D190BC">
      <w:pPr>
        <w:spacing w:line="300" w:lineRule="auto"/>
        <w:ind w:right="205" w:firstLine="560" w:firstLineChars="200"/>
        <w:rPr>
          <w:rFonts w:hint="default" w:ascii="Arial" w:hAnsi="Arial" w:eastAsia="仿宋" w:cs="Arial"/>
          <w:sz w:val="28"/>
          <w:highlight w:val="none"/>
          <w:lang w:val="en-US" w:eastAsia="zh-CN"/>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20.6955</w:t>
      </w:r>
      <w:r>
        <w:rPr>
          <w:rFonts w:ascii="Arial" w:hAnsi="Arial" w:eastAsia="仿宋" w:cs="Arial"/>
          <w:sz w:val="28"/>
          <w:highlight w:val="none"/>
        </w:rPr>
        <w:t>＋</w:t>
      </w:r>
      <w:r>
        <w:rPr>
          <w:rFonts w:hint="eastAsia" w:ascii="Arial" w:hAnsi="Arial" w:eastAsia="仿宋" w:cs="Arial"/>
          <w:sz w:val="28"/>
          <w:highlight w:val="none"/>
          <w:lang w:val="en-US" w:eastAsia="zh-CN"/>
        </w:rPr>
        <w:t>0.0259</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0</w:t>
      </w:r>
    </w:p>
    <w:p w14:paraId="5ADE3558">
      <w:pPr>
        <w:spacing w:line="300" w:lineRule="auto"/>
        <w:ind w:right="205" w:firstLine="560" w:firstLineChars="200"/>
        <w:rPr>
          <w:rFonts w:ascii="Arial" w:hAnsi="Arial" w:eastAsia="仿宋" w:cs="Arial"/>
          <w:sz w:val="28"/>
          <w:highlight w:val="none"/>
        </w:rPr>
      </w:pP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20.7214</w:t>
      </w:r>
      <w:r>
        <w:rPr>
          <w:rFonts w:ascii="Arial" w:hAnsi="Arial" w:eastAsia="仿宋" w:cs="Arial"/>
          <w:sz w:val="28"/>
          <w:highlight w:val="none"/>
        </w:rPr>
        <w:t>（万元）</w:t>
      </w:r>
    </w:p>
    <w:p w14:paraId="7B9AEF1F">
      <w:pPr>
        <w:spacing w:line="300" w:lineRule="auto"/>
        <w:ind w:right="205" w:firstLine="560" w:firstLineChars="200"/>
        <w:rPr>
          <w:rFonts w:ascii="Arial" w:hAnsi="Arial" w:eastAsia="仿宋" w:cs="Arial"/>
          <w:sz w:val="28"/>
          <w:highlight w:val="none"/>
        </w:rPr>
      </w:pPr>
      <w:r>
        <w:rPr>
          <w:rFonts w:ascii="Arial" w:hAnsi="Arial" w:eastAsia="仿宋" w:cs="Arial"/>
          <w:sz w:val="28"/>
          <w:highlight w:val="none"/>
        </w:rPr>
        <w:t>（</w:t>
      </w:r>
      <w:r>
        <w:rPr>
          <w:rFonts w:hint="eastAsia" w:ascii="Arial" w:hAnsi="Arial" w:eastAsia="仿宋" w:cs="Arial"/>
          <w:sz w:val="28"/>
          <w:highlight w:val="none"/>
          <w:lang w:val="en-US" w:eastAsia="zh-CN"/>
        </w:rPr>
        <w:t>B</w:t>
      </w:r>
      <w:r>
        <w:rPr>
          <w:rFonts w:ascii="Arial" w:hAnsi="Arial" w:eastAsia="仿宋" w:cs="Arial"/>
          <w:sz w:val="28"/>
          <w:highlight w:val="none"/>
        </w:rPr>
        <w:t>）</w:t>
      </w:r>
      <w:r>
        <w:rPr>
          <w:rFonts w:hint="eastAsia" w:ascii="Arial" w:hAnsi="Arial" w:eastAsia="仿宋" w:cs="Arial"/>
          <w:sz w:val="28"/>
          <w:highlight w:val="none"/>
          <w:lang w:val="en-US" w:eastAsia="zh-CN"/>
        </w:rPr>
        <w:t>年经营费用</w:t>
      </w:r>
    </w:p>
    <w:p w14:paraId="05B0D671">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A）</w:t>
      </w:r>
      <w:r>
        <w:rPr>
          <w:rFonts w:hint="eastAsia" w:ascii="Arial" w:hAnsi="Arial" w:eastAsia="仿宋" w:cs="Arial"/>
          <w:sz w:val="28"/>
          <w:highlight w:val="none"/>
        </w:rPr>
        <w:t>税费</w:t>
      </w:r>
    </w:p>
    <w:p w14:paraId="05376257">
      <w:pPr>
        <w:spacing w:line="300" w:lineRule="auto"/>
        <w:ind w:right="205" w:firstLine="560" w:firstLineChars="200"/>
        <w:rPr>
          <w:rFonts w:hint="eastAsia" w:ascii="Arial" w:hAnsi="Arial" w:eastAsia="仿宋" w:cs="Arial"/>
          <w:sz w:val="28"/>
          <w:highlight w:val="none"/>
        </w:rPr>
      </w:pPr>
      <w:r>
        <w:rPr>
          <w:rFonts w:ascii="Arial" w:hAnsi="Arial" w:eastAsia="仿宋" w:cs="Arial"/>
          <w:sz w:val="28"/>
          <w:highlight w:val="none"/>
        </w:rPr>
        <w:fldChar w:fldCharType="begin"/>
      </w:r>
      <w:r>
        <w:rPr>
          <w:rFonts w:ascii="Arial" w:hAnsi="Arial" w:eastAsia="仿宋" w:cs="Arial"/>
          <w:sz w:val="28"/>
          <w:highlight w:val="none"/>
        </w:rPr>
        <w:instrText xml:space="preserve"> </w:instrText>
      </w:r>
      <w:r>
        <w:rPr>
          <w:rFonts w:hint="eastAsia" w:ascii="Arial" w:hAnsi="Arial" w:eastAsia="仿宋" w:cs="Arial"/>
          <w:sz w:val="28"/>
          <w:highlight w:val="none"/>
        </w:rPr>
        <w:instrText xml:space="preserve">= 1 \* GB3</w:instrText>
      </w:r>
      <w:r>
        <w:rPr>
          <w:rFonts w:ascii="Arial" w:hAnsi="Arial" w:eastAsia="仿宋" w:cs="Arial"/>
          <w:sz w:val="28"/>
          <w:highlight w:val="none"/>
        </w:rPr>
        <w:instrText xml:space="preserve"> </w:instrText>
      </w:r>
      <w:r>
        <w:rPr>
          <w:rFonts w:ascii="Arial" w:hAnsi="Arial" w:eastAsia="仿宋" w:cs="Arial"/>
          <w:sz w:val="28"/>
          <w:highlight w:val="none"/>
        </w:rPr>
        <w:fldChar w:fldCharType="separate"/>
      </w:r>
      <w:r>
        <w:rPr>
          <w:rFonts w:hint="eastAsia" w:ascii="Arial" w:hAnsi="Arial" w:eastAsia="仿宋" w:cs="Arial"/>
          <w:sz w:val="28"/>
          <w:highlight w:val="none"/>
        </w:rPr>
        <w:t>①</w:t>
      </w:r>
      <w:r>
        <w:rPr>
          <w:rFonts w:ascii="Arial" w:hAnsi="Arial" w:eastAsia="仿宋" w:cs="Arial"/>
          <w:sz w:val="28"/>
          <w:highlight w:val="none"/>
        </w:rPr>
        <w:fldChar w:fldCharType="end"/>
      </w:r>
      <w:r>
        <w:rPr>
          <w:rFonts w:hint="eastAsia" w:ascii="Arial" w:hAnsi="Arial" w:eastAsia="仿宋" w:cs="Arial"/>
          <w:sz w:val="28"/>
          <w:highlight w:val="none"/>
        </w:rPr>
        <w:t xml:space="preserve"> 增值税及附加</w:t>
      </w:r>
    </w:p>
    <w:p w14:paraId="1FAF303B">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对估价对象在运营期间所产生的增值税及附加税费，遵循《中华人民共和国增值税法》所确立的价外税原则及一般计税方法进行估算。</w:t>
      </w:r>
    </w:p>
    <w:p w14:paraId="21774A8B">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 xml:space="preserve">增值税： </w:t>
      </w:r>
    </w:p>
    <w:p w14:paraId="3DD261E2">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a.销项税额</w:t>
      </w:r>
    </w:p>
    <w:p w14:paraId="09734660">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以预测的年不含增值税租金收入（即有效毛租金收入）为计税基础，按不动产租赁服务适用的增值税税率（本报告按照一般纳税人、一般计税方法为前提，设定销项税率为9%）计算销项税额。则有：</w:t>
      </w:r>
    </w:p>
    <w:p w14:paraId="393BE885">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销项税额</w:t>
      </w:r>
      <w:bookmarkStart w:id="385" w:name="OLE_LINK18"/>
      <w:r>
        <w:rPr>
          <w:rFonts w:hint="eastAsia" w:ascii="Arial" w:hAnsi="Arial" w:eastAsia="仿宋" w:cs="Arial"/>
          <w:sz w:val="28"/>
          <w:highlight w:val="none"/>
        </w:rPr>
        <w:t>＝有效毛租金收入</w:t>
      </w:r>
      <w:r>
        <w:rPr>
          <w:rFonts w:hint="eastAsia" w:ascii="Arial" w:hAnsi="Arial" w:eastAsia="仿宋" w:cs="Arial"/>
          <w:sz w:val="28"/>
          <w:highlight w:val="none"/>
          <w:lang w:eastAsia="zh-CN"/>
        </w:rPr>
        <w:t>×</w:t>
      </w:r>
      <w:r>
        <w:rPr>
          <w:rFonts w:hint="eastAsia" w:ascii="Arial" w:hAnsi="Arial" w:eastAsia="仿宋" w:cs="Arial"/>
          <w:sz w:val="28"/>
          <w:highlight w:val="none"/>
        </w:rPr>
        <w:t>增值税适用税率</w:t>
      </w:r>
      <w:bookmarkEnd w:id="385"/>
      <w:r>
        <w:rPr>
          <w:rFonts w:hint="eastAsia" w:ascii="Arial" w:hAnsi="Arial" w:eastAsia="仿宋" w:cs="Arial"/>
          <w:sz w:val="28"/>
          <w:highlight w:val="none"/>
        </w:rPr>
        <w:t>＝</w:t>
      </w:r>
      <w:r>
        <w:rPr>
          <w:rFonts w:hint="eastAsia" w:ascii="Arial" w:hAnsi="Arial" w:eastAsia="仿宋" w:cs="Arial"/>
          <w:sz w:val="28"/>
          <w:highlight w:val="none"/>
          <w:lang w:val="en-US" w:eastAsia="zh-CN"/>
        </w:rPr>
        <w:t>20.6955</w:t>
      </w:r>
      <w:r>
        <w:rPr>
          <w:rFonts w:hint="eastAsia" w:ascii="Arial" w:hAnsi="Arial" w:eastAsia="仿宋" w:cs="Arial"/>
          <w:sz w:val="28"/>
          <w:highlight w:val="none"/>
          <w:lang w:eastAsia="zh-CN"/>
        </w:rPr>
        <w:t>×</w:t>
      </w:r>
      <w:r>
        <w:rPr>
          <w:rFonts w:hint="eastAsia" w:ascii="Arial" w:hAnsi="Arial" w:eastAsia="仿宋" w:cs="Arial"/>
          <w:sz w:val="28"/>
          <w:highlight w:val="none"/>
        </w:rPr>
        <w:t>9%＝</w:t>
      </w:r>
      <w:r>
        <w:rPr>
          <w:rFonts w:hint="eastAsia" w:ascii="Arial" w:hAnsi="Arial" w:eastAsia="仿宋" w:cs="Arial"/>
          <w:sz w:val="28"/>
          <w:highlight w:val="none"/>
          <w:lang w:val="en-US" w:eastAsia="zh-CN"/>
        </w:rPr>
        <w:t>1.8626</w:t>
      </w:r>
      <w:r>
        <w:rPr>
          <w:rFonts w:hint="eastAsia" w:ascii="Arial" w:hAnsi="Arial" w:eastAsia="仿宋" w:cs="Arial"/>
          <w:sz w:val="28"/>
          <w:highlight w:val="none"/>
        </w:rPr>
        <w:t>（万元）</w:t>
      </w:r>
    </w:p>
    <w:p w14:paraId="05CD1B55">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b.可抵扣的进项税额</w:t>
      </w:r>
    </w:p>
    <w:p w14:paraId="7534388E">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在年经营费用中，本次评估以维修费、保险费及管理费用均符合抵扣条件为前提。以上述各项成本的不含增值税金额为基础，按其各自适用的税率计算可抵扣的进项税额，其中，维修费进项税率为9%，保险费及管理费用采用的进项税税率为6%。则有：</w:t>
      </w:r>
    </w:p>
    <w:p w14:paraId="759299FC">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可抵扣进项税额＝</w:t>
      </w:r>
      <w:bookmarkStart w:id="386" w:name="OLE_LINK31"/>
      <w:bookmarkStart w:id="387" w:name="OLE_LINK30"/>
      <w:r>
        <w:rPr>
          <w:rFonts w:hint="eastAsia" w:ascii="Arial" w:hAnsi="Arial" w:eastAsia="仿宋" w:cs="Arial"/>
          <w:sz w:val="28"/>
          <w:highlight w:val="none"/>
        </w:rPr>
        <w:t>维修费</w:t>
      </w:r>
      <w:r>
        <w:rPr>
          <w:rFonts w:hint="eastAsia" w:ascii="Arial" w:hAnsi="Arial" w:eastAsia="仿宋" w:cs="Arial"/>
          <w:sz w:val="28"/>
          <w:highlight w:val="none"/>
          <w:lang w:eastAsia="zh-CN"/>
        </w:rPr>
        <w:t>×</w:t>
      </w:r>
      <w:r>
        <w:rPr>
          <w:rFonts w:hint="eastAsia" w:ascii="Arial" w:hAnsi="Arial" w:eastAsia="仿宋" w:cs="Arial"/>
          <w:sz w:val="28"/>
          <w:highlight w:val="none"/>
        </w:rPr>
        <w:t>9%</w:t>
      </w:r>
      <w:bookmarkStart w:id="388" w:name="OLE_LINK25"/>
      <w:bookmarkStart w:id="389" w:name="OLE_LINK24"/>
      <w:r>
        <w:rPr>
          <w:rFonts w:hint="eastAsia" w:ascii="Arial" w:hAnsi="Arial" w:eastAsia="仿宋" w:cs="Arial"/>
          <w:sz w:val="28"/>
          <w:highlight w:val="none"/>
        </w:rPr>
        <w:t>＋（保险费＋管理费用）</w:t>
      </w:r>
      <w:r>
        <w:rPr>
          <w:rFonts w:hint="eastAsia" w:ascii="Arial" w:hAnsi="Arial" w:eastAsia="仿宋" w:cs="Arial"/>
          <w:sz w:val="28"/>
          <w:highlight w:val="none"/>
          <w:lang w:eastAsia="zh-CN"/>
        </w:rPr>
        <w:t>×</w:t>
      </w:r>
      <w:r>
        <w:rPr>
          <w:rFonts w:hint="eastAsia" w:ascii="Arial" w:hAnsi="Arial" w:eastAsia="仿宋" w:cs="Arial"/>
          <w:sz w:val="28"/>
          <w:highlight w:val="none"/>
        </w:rPr>
        <w:t>6%</w:t>
      </w:r>
      <w:bookmarkEnd w:id="386"/>
      <w:bookmarkEnd w:id="387"/>
      <w:bookmarkEnd w:id="388"/>
      <w:bookmarkEnd w:id="389"/>
    </w:p>
    <w:p w14:paraId="20F05F07">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c.增值税额</w:t>
      </w:r>
    </w:p>
    <w:p w14:paraId="46429D28">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 xml:space="preserve">增值税额 </w:t>
      </w:r>
      <w:r>
        <w:rPr>
          <w:rFonts w:hint="eastAsia" w:ascii="Arial" w:hAnsi="Arial" w:eastAsia="仿宋" w:cs="Arial"/>
          <w:sz w:val="28"/>
          <w:highlight w:val="none"/>
          <w:lang w:eastAsia="zh-CN"/>
        </w:rPr>
        <w:t>＝</w:t>
      </w:r>
      <w:r>
        <w:rPr>
          <w:rFonts w:hint="eastAsia" w:ascii="Arial" w:hAnsi="Arial" w:eastAsia="仿宋" w:cs="Arial"/>
          <w:sz w:val="28"/>
          <w:highlight w:val="none"/>
        </w:rPr>
        <w:t xml:space="preserve"> 销项税额－可抵扣进项税额＝</w:t>
      </w:r>
      <w:bookmarkStart w:id="390" w:name="OLE_LINK45"/>
      <w:r>
        <w:rPr>
          <w:rFonts w:hint="eastAsia" w:ascii="Arial" w:hAnsi="Arial" w:eastAsia="仿宋" w:cs="Arial"/>
          <w:sz w:val="28"/>
          <w:highlight w:val="none"/>
          <w:lang w:val="en-US" w:eastAsia="zh-CN"/>
        </w:rPr>
        <w:t>1.8626</w:t>
      </w:r>
      <w:r>
        <w:rPr>
          <w:rFonts w:hint="eastAsia" w:ascii="Arial" w:hAnsi="Arial" w:eastAsia="仿宋" w:cs="Arial"/>
          <w:sz w:val="28"/>
          <w:highlight w:val="none"/>
          <w:lang w:eastAsia="zh-CN"/>
        </w:rPr>
        <w:t>－</w:t>
      </w:r>
      <w:r>
        <w:rPr>
          <w:rFonts w:hint="eastAsia" w:ascii="Arial" w:hAnsi="Arial" w:eastAsia="仿宋" w:cs="Arial"/>
          <w:sz w:val="28"/>
          <w:highlight w:val="none"/>
        </w:rPr>
        <w:t>（维修费</w:t>
      </w:r>
      <w:r>
        <w:rPr>
          <w:rFonts w:hint="eastAsia" w:ascii="Arial" w:hAnsi="Arial" w:eastAsia="仿宋" w:cs="Arial"/>
          <w:sz w:val="28"/>
          <w:highlight w:val="none"/>
          <w:lang w:eastAsia="zh-CN"/>
        </w:rPr>
        <w:t>×</w:t>
      </w:r>
      <w:r>
        <w:rPr>
          <w:rFonts w:hint="eastAsia" w:ascii="Arial" w:hAnsi="Arial" w:eastAsia="仿宋" w:cs="Arial"/>
          <w:sz w:val="28"/>
          <w:highlight w:val="none"/>
        </w:rPr>
        <w:t>9%＋（保险费＋管理费用）</w:t>
      </w:r>
      <w:r>
        <w:rPr>
          <w:rFonts w:hint="eastAsia" w:ascii="Arial" w:hAnsi="Arial" w:eastAsia="仿宋" w:cs="Arial"/>
          <w:sz w:val="28"/>
          <w:highlight w:val="none"/>
          <w:lang w:eastAsia="zh-CN"/>
        </w:rPr>
        <w:t>×</w:t>
      </w:r>
      <w:r>
        <w:rPr>
          <w:rFonts w:hint="eastAsia" w:ascii="Arial" w:hAnsi="Arial" w:eastAsia="仿宋" w:cs="Arial"/>
          <w:sz w:val="28"/>
          <w:highlight w:val="none"/>
        </w:rPr>
        <w:t>6%）</w:t>
      </w:r>
      <w:bookmarkEnd w:id="390"/>
    </w:p>
    <w:p w14:paraId="730C185A">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附加税费</w:t>
      </w:r>
    </w:p>
    <w:p w14:paraId="6B140D6D">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a.城市维护建设税：根据《北京市财政局 国家税务总局北京市税务局北京市民政局关于明确北京市城市维护建设税纳税人所在地具体地点的通知》[京财税〔2021〕1770号]，维护建设税税率如下：（一）纳税人所在地在全市各区的街道办事处管辖范围内的，税率为7%。；（二）纳税人所在地在全市各区的镇范围内的，税率为5%；（三）纳税人所在地不在上述范围内的，税率为1%。估价对象位于</w:t>
      </w:r>
      <w:r>
        <w:rPr>
          <w:rFonts w:hint="eastAsia" w:ascii="Arial" w:hAnsi="Arial" w:eastAsia="仿宋" w:cs="Arial"/>
          <w:sz w:val="28"/>
          <w:highlight w:val="none"/>
          <w:lang w:val="en-US" w:eastAsia="zh-CN"/>
        </w:rPr>
        <w:t>北京市顺义区高丽营镇</w:t>
      </w:r>
      <w:r>
        <w:rPr>
          <w:rFonts w:hint="eastAsia" w:ascii="Arial" w:hAnsi="Arial" w:eastAsia="仿宋" w:cs="Arial"/>
          <w:sz w:val="28"/>
          <w:highlight w:val="none"/>
        </w:rPr>
        <w:t>，城市维护建设税税率为</w:t>
      </w:r>
      <w:r>
        <w:rPr>
          <w:rFonts w:hint="eastAsia" w:ascii="Arial" w:hAnsi="Arial" w:eastAsia="仿宋" w:cs="Arial"/>
          <w:sz w:val="28"/>
          <w:highlight w:val="none"/>
          <w:lang w:val="en-US" w:eastAsia="zh-CN"/>
        </w:rPr>
        <w:t>5</w:t>
      </w:r>
      <w:r>
        <w:rPr>
          <w:rFonts w:hint="eastAsia" w:ascii="Arial" w:hAnsi="Arial" w:eastAsia="仿宋" w:cs="Arial"/>
          <w:sz w:val="28"/>
          <w:highlight w:val="none"/>
        </w:rPr>
        <w:t>%。</w:t>
      </w:r>
    </w:p>
    <w:p w14:paraId="7BEA9FAC">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b.教育费附加：根据《征收教育费附加的暂行规定》（国务院令〔2005〕448号），教育费附加税税率为3%。</w:t>
      </w:r>
    </w:p>
    <w:p w14:paraId="74074A16">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c.地方教育附加：根据《财政部关于统一地方教育附加政策有关问题的通知》（财综〔2010〕98号）及《北京市人民政府关于印发北京市地方教育附加征收使用管理办法的通知》，北京市地方教育税附加税税率为2%。</w:t>
      </w:r>
    </w:p>
    <w:p w14:paraId="58C69130">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d.附加税费</w:t>
      </w:r>
    </w:p>
    <w:p w14:paraId="0EF314FD">
      <w:pPr>
        <w:spacing w:line="300" w:lineRule="auto"/>
        <w:ind w:right="205" w:firstLine="560" w:firstLineChars="200"/>
        <w:rPr>
          <w:rFonts w:hint="eastAsia" w:ascii="Arial" w:hAnsi="Arial" w:eastAsia="仿宋" w:cs="Arial"/>
          <w:sz w:val="28"/>
          <w:highlight w:val="none"/>
        </w:rPr>
      </w:pPr>
      <w:bookmarkStart w:id="391" w:name="OLE_LINK4"/>
      <w:r>
        <w:rPr>
          <w:rFonts w:hint="eastAsia" w:ascii="Arial" w:hAnsi="Arial" w:eastAsia="仿宋" w:cs="Arial"/>
          <w:sz w:val="28"/>
          <w:highlight w:val="none"/>
        </w:rPr>
        <w:t>附加税</w:t>
      </w:r>
      <w:bookmarkStart w:id="392" w:name="OLE_LINK37"/>
      <w:bookmarkStart w:id="393" w:name="OLE_LINK36"/>
      <w:bookmarkStart w:id="394" w:name="OLE_LINK41"/>
      <w:bookmarkStart w:id="395" w:name="OLE_LINK42"/>
      <w:r>
        <w:rPr>
          <w:rFonts w:hint="eastAsia" w:ascii="Arial" w:hAnsi="Arial" w:eastAsia="仿宋" w:cs="Arial"/>
          <w:sz w:val="28"/>
          <w:highlight w:val="none"/>
        </w:rPr>
        <w:t>费综合费率</w:t>
      </w:r>
      <w:bookmarkEnd w:id="391"/>
    </w:p>
    <w:p w14:paraId="155DC18E">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w:t>
      </w:r>
      <w:bookmarkEnd w:id="392"/>
      <w:bookmarkEnd w:id="393"/>
      <w:r>
        <w:rPr>
          <w:rFonts w:hint="eastAsia" w:ascii="Arial" w:hAnsi="Arial" w:eastAsia="仿宋" w:cs="Arial"/>
          <w:sz w:val="28"/>
          <w:highlight w:val="none"/>
        </w:rPr>
        <w:t>城市维护建设税</w:t>
      </w:r>
      <w:bookmarkStart w:id="396" w:name="OLE_LINK35"/>
      <w:r>
        <w:rPr>
          <w:rFonts w:hint="eastAsia" w:ascii="Arial" w:hAnsi="Arial" w:eastAsia="仿宋" w:cs="Arial"/>
          <w:sz w:val="28"/>
          <w:highlight w:val="none"/>
        </w:rPr>
        <w:t>税率</w:t>
      </w:r>
      <w:bookmarkEnd w:id="396"/>
      <w:r>
        <w:rPr>
          <w:rFonts w:hint="eastAsia" w:ascii="Arial" w:hAnsi="Arial" w:eastAsia="仿宋" w:cs="Arial"/>
          <w:sz w:val="28"/>
          <w:highlight w:val="none"/>
        </w:rPr>
        <w:t>＋教育费附加费率＋地方教育附加费率</w:t>
      </w:r>
      <w:bookmarkEnd w:id="394"/>
      <w:bookmarkEnd w:id="395"/>
    </w:p>
    <w:p w14:paraId="1D2D12F4">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w:t>
      </w:r>
      <w:r>
        <w:rPr>
          <w:rFonts w:hint="eastAsia" w:ascii="Arial" w:hAnsi="Arial" w:eastAsia="仿宋" w:cs="Arial"/>
          <w:sz w:val="28"/>
          <w:highlight w:val="none"/>
          <w:lang w:val="en-US" w:eastAsia="zh-CN"/>
        </w:rPr>
        <w:t>5</w:t>
      </w:r>
      <w:r>
        <w:rPr>
          <w:rFonts w:hint="eastAsia" w:ascii="Arial" w:hAnsi="Arial" w:eastAsia="仿宋" w:cs="Arial"/>
          <w:sz w:val="28"/>
          <w:highlight w:val="none"/>
        </w:rPr>
        <w:t>%＋3%＋2%＝</w:t>
      </w:r>
      <w:r>
        <w:rPr>
          <w:rFonts w:hint="eastAsia" w:ascii="Arial" w:hAnsi="Arial" w:eastAsia="仿宋" w:cs="Arial"/>
          <w:sz w:val="28"/>
          <w:highlight w:val="none"/>
          <w:lang w:val="en-US" w:eastAsia="zh-CN"/>
        </w:rPr>
        <w:t>10</w:t>
      </w:r>
      <w:r>
        <w:rPr>
          <w:rFonts w:hint="eastAsia" w:ascii="Arial" w:hAnsi="Arial" w:eastAsia="仿宋" w:cs="Arial"/>
          <w:sz w:val="28"/>
          <w:highlight w:val="none"/>
        </w:rPr>
        <w:t>%</w:t>
      </w:r>
    </w:p>
    <w:p w14:paraId="0F2BF161">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综上，附加税费包含</w:t>
      </w:r>
      <w:bookmarkStart w:id="397" w:name="OLE_LINK32"/>
      <w:r>
        <w:rPr>
          <w:rFonts w:hint="eastAsia" w:ascii="Arial" w:hAnsi="Arial" w:eastAsia="仿宋" w:cs="Arial"/>
          <w:sz w:val="28"/>
          <w:highlight w:val="none"/>
        </w:rPr>
        <w:t>城市维护建设税、教育费附加及地方教育附加</w:t>
      </w:r>
      <w:bookmarkEnd w:id="397"/>
      <w:r>
        <w:rPr>
          <w:rFonts w:hint="eastAsia" w:ascii="Arial" w:hAnsi="Arial" w:eastAsia="仿宋" w:cs="Arial"/>
          <w:sz w:val="28"/>
          <w:highlight w:val="none"/>
        </w:rPr>
        <w:t>，综合费率合计为</w:t>
      </w:r>
      <w:r>
        <w:rPr>
          <w:rFonts w:hint="eastAsia" w:ascii="Arial" w:hAnsi="Arial" w:eastAsia="仿宋" w:cs="Arial"/>
          <w:sz w:val="28"/>
          <w:highlight w:val="none"/>
          <w:lang w:val="en-US" w:eastAsia="zh-CN"/>
        </w:rPr>
        <w:t>10</w:t>
      </w:r>
      <w:r>
        <w:rPr>
          <w:rFonts w:hint="eastAsia" w:ascii="Arial" w:hAnsi="Arial" w:eastAsia="仿宋" w:cs="Arial"/>
          <w:sz w:val="28"/>
          <w:highlight w:val="none"/>
        </w:rPr>
        <w:t>%。</w:t>
      </w:r>
    </w:p>
    <w:p w14:paraId="7B7B84FD">
      <w:pPr>
        <w:spacing w:line="300" w:lineRule="auto"/>
        <w:ind w:right="205" w:firstLine="560" w:firstLineChars="200"/>
        <w:rPr>
          <w:rFonts w:hint="eastAsia" w:ascii="Arial" w:hAnsi="Arial" w:eastAsia="仿宋" w:cs="Arial"/>
          <w:sz w:val="28"/>
          <w:highlight w:val="none"/>
        </w:rPr>
      </w:pPr>
      <w:bookmarkStart w:id="398" w:name="OLE_LINK44"/>
      <w:bookmarkStart w:id="399" w:name="OLE_LINK43"/>
      <w:r>
        <w:rPr>
          <w:rFonts w:hint="eastAsia" w:ascii="Arial" w:hAnsi="Arial" w:eastAsia="仿宋" w:cs="Arial"/>
          <w:sz w:val="28"/>
          <w:highlight w:val="none"/>
        </w:rPr>
        <w:t>增值税及附加</w:t>
      </w:r>
      <w:bookmarkEnd w:id="398"/>
      <w:bookmarkEnd w:id="399"/>
    </w:p>
    <w:p w14:paraId="46A61499">
      <w:pPr>
        <w:spacing w:line="300" w:lineRule="auto"/>
        <w:ind w:right="205" w:firstLine="560" w:firstLineChars="200"/>
        <w:jc w:val="both"/>
        <w:rPr>
          <w:rFonts w:hint="eastAsia" w:ascii="Arial" w:hAnsi="Arial" w:eastAsia="仿宋" w:cs="Arial"/>
          <w:sz w:val="28"/>
          <w:highlight w:val="none"/>
        </w:rPr>
      </w:pPr>
      <w:bookmarkStart w:id="400" w:name="OLE_LINK15"/>
      <w:r>
        <w:rPr>
          <w:rFonts w:hint="eastAsia" w:ascii="Arial" w:hAnsi="Arial" w:eastAsia="仿宋" w:cs="Arial"/>
          <w:sz w:val="28"/>
          <w:highlight w:val="none"/>
        </w:rPr>
        <w:t>由于有效毛收入的计算中，潜在毛租金收入不含销项税额，年经营费用中的维修费、保险费、管理费用均不含可抵扣的进项税额，故此处仅将附加税费做减项处理，即：</w:t>
      </w:r>
    </w:p>
    <w:bookmarkEnd w:id="400"/>
    <w:p w14:paraId="60B42CF2">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增值税附加税费</w:t>
      </w:r>
    </w:p>
    <w:p w14:paraId="477AEC91">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w:t>
      </w:r>
      <w:bookmarkStart w:id="401" w:name="OLE_LINK46"/>
      <w:bookmarkStart w:id="402" w:name="OLE_LINK47"/>
      <w:r>
        <w:rPr>
          <w:rFonts w:hint="eastAsia" w:ascii="Arial" w:hAnsi="Arial" w:eastAsia="仿宋" w:cs="Arial"/>
          <w:sz w:val="28"/>
          <w:highlight w:val="none"/>
        </w:rPr>
        <w:t>[维修费</w:t>
      </w:r>
      <w:r>
        <w:rPr>
          <w:rFonts w:hint="eastAsia" w:ascii="Arial" w:hAnsi="Arial" w:eastAsia="仿宋" w:cs="Arial"/>
          <w:sz w:val="28"/>
          <w:highlight w:val="none"/>
          <w:lang w:eastAsia="zh-CN"/>
        </w:rPr>
        <w:t>×</w:t>
      </w:r>
      <w:r>
        <w:rPr>
          <w:rFonts w:hint="eastAsia" w:ascii="Arial" w:hAnsi="Arial" w:eastAsia="仿宋" w:cs="Arial"/>
          <w:sz w:val="28"/>
          <w:highlight w:val="none"/>
        </w:rPr>
        <w:t>9%＋（保险费＋管理费用）</w:t>
      </w:r>
      <w:r>
        <w:rPr>
          <w:rFonts w:hint="eastAsia" w:ascii="Arial" w:hAnsi="Arial" w:eastAsia="仿宋" w:cs="Arial"/>
          <w:sz w:val="28"/>
          <w:highlight w:val="none"/>
          <w:lang w:eastAsia="zh-CN"/>
        </w:rPr>
        <w:t>×</w:t>
      </w:r>
      <w:r>
        <w:rPr>
          <w:rFonts w:hint="eastAsia" w:ascii="Arial" w:hAnsi="Arial" w:eastAsia="仿宋" w:cs="Arial"/>
          <w:sz w:val="28"/>
          <w:highlight w:val="none"/>
        </w:rPr>
        <w:t>6%）]</w:t>
      </w:r>
      <w:r>
        <w:rPr>
          <w:rFonts w:hint="eastAsia" w:ascii="Arial" w:hAnsi="Arial" w:eastAsia="仿宋" w:cs="Arial"/>
          <w:sz w:val="28"/>
          <w:highlight w:val="none"/>
          <w:lang w:eastAsia="zh-CN"/>
        </w:rPr>
        <w:t>×</w:t>
      </w:r>
      <w:r>
        <w:rPr>
          <w:rFonts w:hint="eastAsia" w:ascii="Arial" w:hAnsi="Arial" w:eastAsia="仿宋" w:cs="Arial"/>
          <w:sz w:val="28"/>
          <w:highlight w:val="none"/>
        </w:rPr>
        <w:t>附加税费综合费率</w:t>
      </w:r>
    </w:p>
    <w:p w14:paraId="72030C75">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＝[维修费</w:t>
      </w:r>
      <w:r>
        <w:rPr>
          <w:rFonts w:hint="eastAsia" w:ascii="Arial" w:hAnsi="Arial" w:eastAsia="仿宋" w:cs="Arial"/>
          <w:sz w:val="28"/>
          <w:highlight w:val="none"/>
          <w:lang w:eastAsia="zh-CN"/>
        </w:rPr>
        <w:t>×</w:t>
      </w:r>
      <w:r>
        <w:rPr>
          <w:rFonts w:hint="eastAsia" w:ascii="Arial" w:hAnsi="Arial" w:eastAsia="仿宋" w:cs="Arial"/>
          <w:sz w:val="28"/>
          <w:highlight w:val="none"/>
        </w:rPr>
        <w:t>9%＋（保险费＋管理费用）</w:t>
      </w:r>
      <w:r>
        <w:rPr>
          <w:rFonts w:hint="eastAsia" w:ascii="Arial" w:hAnsi="Arial" w:eastAsia="仿宋" w:cs="Arial"/>
          <w:sz w:val="28"/>
          <w:highlight w:val="none"/>
          <w:lang w:eastAsia="zh-CN"/>
        </w:rPr>
        <w:t>×</w:t>
      </w:r>
      <w:r>
        <w:rPr>
          <w:rFonts w:hint="eastAsia" w:ascii="Arial" w:hAnsi="Arial" w:eastAsia="仿宋" w:cs="Arial"/>
          <w:sz w:val="28"/>
          <w:highlight w:val="none"/>
        </w:rPr>
        <w:t>6%）]</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10</w:t>
      </w:r>
      <w:r>
        <w:rPr>
          <w:rFonts w:hint="eastAsia" w:ascii="Arial" w:hAnsi="Arial" w:eastAsia="仿宋" w:cs="Arial"/>
          <w:sz w:val="28"/>
          <w:highlight w:val="none"/>
        </w:rPr>
        <w:t>%</w:t>
      </w:r>
      <w:bookmarkEnd w:id="401"/>
      <w:bookmarkEnd w:id="402"/>
    </w:p>
    <w:p w14:paraId="1501DAD7">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fldChar w:fldCharType="begin"/>
      </w:r>
      <w:r>
        <w:rPr>
          <w:rFonts w:hint="eastAsia" w:ascii="Arial" w:hAnsi="Arial" w:eastAsia="仿宋" w:cs="Arial"/>
          <w:sz w:val="28"/>
          <w:highlight w:val="none"/>
        </w:rPr>
        <w:instrText xml:space="preserve"> = 2 \* GB3 </w:instrText>
      </w:r>
      <w:r>
        <w:rPr>
          <w:rFonts w:hint="eastAsia" w:ascii="Arial" w:hAnsi="Arial" w:eastAsia="仿宋" w:cs="Arial"/>
          <w:sz w:val="28"/>
          <w:highlight w:val="none"/>
        </w:rPr>
        <w:fldChar w:fldCharType="separate"/>
      </w:r>
      <w:r>
        <w:rPr>
          <w:rFonts w:hint="eastAsia" w:ascii="Arial" w:hAnsi="Arial" w:eastAsia="仿宋" w:cs="Arial"/>
          <w:sz w:val="28"/>
          <w:highlight w:val="none"/>
        </w:rPr>
        <w:t>②</w:t>
      </w:r>
      <w:r>
        <w:rPr>
          <w:rFonts w:hint="eastAsia" w:ascii="Arial" w:hAnsi="Arial" w:eastAsia="仿宋" w:cs="Arial"/>
          <w:sz w:val="28"/>
          <w:highlight w:val="none"/>
        </w:rPr>
        <w:fldChar w:fldCharType="end"/>
      </w:r>
      <w:r>
        <w:rPr>
          <w:rFonts w:hint="eastAsia" w:ascii="Arial" w:hAnsi="Arial" w:eastAsia="仿宋" w:cs="Arial"/>
          <w:sz w:val="28"/>
          <w:highlight w:val="none"/>
        </w:rPr>
        <w:t xml:space="preserve"> 房产税</w:t>
      </w:r>
    </w:p>
    <w:p w14:paraId="3A81D9ED">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房产税是以房产为征税对象，由房产所有人按有关规定向税务机关缴纳的一种财产税，依据《中华人民共和国房产税暂行条例》和《北京市人民政府关于进一步落实&lt;中华人民共和国房产税暂行条例&gt;有关规定的通知》[京政发〔2016〕24号]有关规定计算，房产税依照不含税房产租金收入（即有效毛租金收入）计算缴纳的，税率为12%。</w:t>
      </w:r>
    </w:p>
    <w:p w14:paraId="1744A6E3">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房产税</w:t>
      </w:r>
      <w:bookmarkStart w:id="403" w:name="OLE_LINK82"/>
      <w:bookmarkStart w:id="404" w:name="OLE_LINK81"/>
      <w:r>
        <w:rPr>
          <w:rFonts w:hint="eastAsia" w:ascii="Arial" w:hAnsi="Arial" w:eastAsia="仿宋" w:cs="Arial"/>
          <w:sz w:val="28"/>
          <w:highlight w:val="none"/>
        </w:rPr>
        <w:t>＝有效毛租金收入</w:t>
      </w:r>
      <w:r>
        <w:rPr>
          <w:rFonts w:hint="eastAsia" w:ascii="Arial" w:hAnsi="Arial" w:eastAsia="仿宋" w:cs="Arial"/>
          <w:sz w:val="28"/>
          <w:highlight w:val="none"/>
          <w:lang w:eastAsia="zh-CN"/>
        </w:rPr>
        <w:t>×</w:t>
      </w:r>
      <w:r>
        <w:rPr>
          <w:rFonts w:hint="eastAsia" w:ascii="Arial" w:hAnsi="Arial" w:eastAsia="仿宋" w:cs="Arial"/>
          <w:sz w:val="28"/>
          <w:highlight w:val="none"/>
        </w:rPr>
        <w:t>12%</w:t>
      </w:r>
      <w:bookmarkEnd w:id="403"/>
      <w:bookmarkEnd w:id="404"/>
      <w:r>
        <w:rPr>
          <w:rFonts w:hint="eastAsia" w:ascii="Arial" w:hAnsi="Arial" w:eastAsia="仿宋" w:cs="Arial"/>
          <w:sz w:val="28"/>
          <w:highlight w:val="none"/>
        </w:rPr>
        <w:t>＝</w:t>
      </w:r>
      <w:r>
        <w:rPr>
          <w:rFonts w:hint="eastAsia" w:ascii="Arial" w:hAnsi="Arial" w:eastAsia="仿宋" w:cs="Arial"/>
          <w:sz w:val="28"/>
          <w:highlight w:val="none"/>
          <w:lang w:val="en-US" w:eastAsia="zh-CN"/>
        </w:rPr>
        <w:t>20.6955</w:t>
      </w:r>
      <w:r>
        <w:rPr>
          <w:rFonts w:hint="eastAsia" w:ascii="Arial" w:hAnsi="Arial" w:eastAsia="仿宋" w:cs="Arial"/>
          <w:sz w:val="28"/>
          <w:highlight w:val="none"/>
          <w:lang w:eastAsia="zh-CN"/>
        </w:rPr>
        <w:t>×</w:t>
      </w:r>
      <w:r>
        <w:rPr>
          <w:rFonts w:hint="eastAsia" w:ascii="Arial" w:hAnsi="Arial" w:eastAsia="仿宋" w:cs="Arial"/>
          <w:sz w:val="28"/>
          <w:highlight w:val="none"/>
        </w:rPr>
        <w:t>12%＝</w:t>
      </w:r>
      <w:r>
        <w:rPr>
          <w:rFonts w:hint="eastAsia" w:ascii="Arial" w:hAnsi="Arial" w:eastAsia="仿宋" w:cs="Arial"/>
          <w:sz w:val="28"/>
          <w:highlight w:val="none"/>
          <w:lang w:val="en-US" w:eastAsia="zh-CN"/>
        </w:rPr>
        <w:t>2.4835</w:t>
      </w:r>
      <w:r>
        <w:rPr>
          <w:rFonts w:hint="eastAsia" w:ascii="Arial" w:hAnsi="Arial" w:eastAsia="仿宋" w:cs="Arial"/>
          <w:sz w:val="28"/>
          <w:highlight w:val="none"/>
        </w:rPr>
        <w:t>（万元）</w:t>
      </w:r>
    </w:p>
    <w:p w14:paraId="368889A0">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fldChar w:fldCharType="begin"/>
      </w:r>
      <w:r>
        <w:rPr>
          <w:rFonts w:hint="eastAsia" w:ascii="Arial" w:hAnsi="Arial" w:eastAsia="仿宋" w:cs="Arial"/>
          <w:sz w:val="28"/>
          <w:highlight w:val="none"/>
        </w:rPr>
        <w:instrText xml:space="preserve"> = 3 \* GB3 </w:instrText>
      </w:r>
      <w:r>
        <w:rPr>
          <w:rFonts w:hint="eastAsia" w:ascii="Arial" w:hAnsi="Arial" w:eastAsia="仿宋" w:cs="Arial"/>
          <w:sz w:val="28"/>
          <w:highlight w:val="none"/>
        </w:rPr>
        <w:fldChar w:fldCharType="separate"/>
      </w:r>
      <w:r>
        <w:rPr>
          <w:rFonts w:hint="eastAsia" w:ascii="Arial" w:hAnsi="Arial" w:eastAsia="仿宋" w:cs="Arial"/>
          <w:sz w:val="28"/>
          <w:highlight w:val="none"/>
        </w:rPr>
        <w:t>③</w:t>
      </w:r>
      <w:r>
        <w:rPr>
          <w:rFonts w:hint="eastAsia" w:ascii="Arial" w:hAnsi="Arial" w:eastAsia="仿宋" w:cs="Arial"/>
          <w:sz w:val="28"/>
          <w:highlight w:val="none"/>
        </w:rPr>
        <w:fldChar w:fldCharType="end"/>
      </w:r>
      <w:r>
        <w:rPr>
          <w:rFonts w:hint="eastAsia" w:ascii="Arial" w:hAnsi="Arial" w:eastAsia="仿宋" w:cs="Arial"/>
          <w:sz w:val="28"/>
          <w:highlight w:val="none"/>
        </w:rPr>
        <w:t xml:space="preserve"> 城镇土地使用税</w:t>
      </w:r>
    </w:p>
    <w:p w14:paraId="7D245BC3">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根据《中华人民共和国城镇土地使用税暂行条例》[国令第〔1988〕17号，2011年修订]及《北京市实施&lt;中华人民共和国城镇土地使用税暂行条例&gt;办法》[1988年12月30日北京市人民政府京政发〔1988〕115号文件发布　根据1998年6月12日北京市人民政府第6号令第一次修改　根据2007年4月27日北京市人民政府第188号令第二次修改]，北京市土地使用税的纳税等级划分为六级，每平方米年税额分别为：一级土地30元；二级土地24元；三级土地18元；四级土地12元；五级土地3元；六级土地1.5元。</w:t>
      </w:r>
    </w:p>
    <w:p w14:paraId="3E7AF32D">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依据北京市地方税务局于2015年11月26日发布的《北京市地方税务局关于调整北京市城镇土地纳税等级分级范围的公告》，估价对象位于</w:t>
      </w:r>
      <w:r>
        <w:rPr>
          <w:rFonts w:hint="eastAsia" w:ascii="Arial" w:hAnsi="Arial" w:eastAsia="仿宋" w:cs="Arial"/>
          <w:sz w:val="28"/>
          <w:highlight w:val="none"/>
          <w:lang w:val="en-US" w:eastAsia="zh-CN"/>
        </w:rPr>
        <w:t>北京市顺义区</w:t>
      </w:r>
      <w:r>
        <w:rPr>
          <w:rFonts w:hint="eastAsia" w:ascii="Arial" w:hAnsi="Arial" w:eastAsia="仿宋" w:cs="Arial"/>
          <w:sz w:val="28"/>
          <w:highlight w:val="none"/>
        </w:rPr>
        <w:t xml:space="preserve"> ，属于北京市城镇土地纳税等级分级范围</w:t>
      </w:r>
      <w:r>
        <w:rPr>
          <w:rFonts w:hint="eastAsia" w:ascii="Arial" w:hAnsi="Arial" w:eastAsia="仿宋" w:cs="Arial"/>
          <w:sz w:val="28"/>
          <w:highlight w:val="none"/>
          <w:lang w:val="en-US" w:eastAsia="zh-CN"/>
        </w:rPr>
        <w:t>六</w:t>
      </w:r>
      <w:r>
        <w:rPr>
          <w:rFonts w:hint="eastAsia" w:ascii="Arial" w:hAnsi="Arial" w:eastAsia="仿宋" w:cs="Arial"/>
          <w:sz w:val="28"/>
          <w:highlight w:val="none"/>
        </w:rPr>
        <w:t>级土地，纳税标准为</w:t>
      </w:r>
      <w:r>
        <w:rPr>
          <w:rFonts w:hint="eastAsia" w:ascii="Arial" w:hAnsi="Arial" w:eastAsia="仿宋" w:cs="Arial"/>
          <w:sz w:val="28"/>
          <w:highlight w:val="none"/>
          <w:lang w:val="en-US" w:eastAsia="zh-CN"/>
        </w:rPr>
        <w:t>1.5</w:t>
      </w:r>
      <w:r>
        <w:rPr>
          <w:rFonts w:hint="eastAsia" w:ascii="Arial" w:hAnsi="Arial" w:eastAsia="仿宋" w:cs="Arial"/>
          <w:sz w:val="28"/>
          <w:highlight w:val="none"/>
        </w:rPr>
        <w:t>元/平方米；估价对象土地面积为</w:t>
      </w:r>
      <w:r>
        <w:rPr>
          <w:rFonts w:hint="eastAsia" w:ascii="Arial" w:hAnsi="Arial" w:eastAsia="仿宋" w:cs="Arial"/>
          <w:sz w:val="28"/>
          <w:highlight w:val="none"/>
          <w:lang w:val="en-US" w:eastAsia="zh-CN"/>
        </w:rPr>
        <w:t>236.68</w:t>
      </w:r>
      <w:r>
        <w:rPr>
          <w:rFonts w:hint="eastAsia" w:ascii="Arial" w:hAnsi="Arial" w:eastAsia="仿宋" w:cs="Arial"/>
          <w:sz w:val="28"/>
          <w:highlight w:val="none"/>
        </w:rPr>
        <w:t>平方米。则有：</w:t>
      </w:r>
    </w:p>
    <w:p w14:paraId="2BF9EC20">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城镇土地使用税＝</w:t>
      </w:r>
      <w:r>
        <w:rPr>
          <w:rFonts w:hint="eastAsia" w:ascii="Arial" w:hAnsi="Arial" w:eastAsia="仿宋" w:cs="Arial"/>
          <w:sz w:val="28"/>
          <w:highlight w:val="none"/>
          <w:lang w:val="en-US" w:eastAsia="zh-CN"/>
        </w:rPr>
        <w:t>1.5</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236.68</w:t>
      </w:r>
      <w:r>
        <w:rPr>
          <w:rFonts w:hint="eastAsia" w:ascii="Arial" w:hAnsi="Arial" w:eastAsia="仿宋" w:cs="Arial"/>
          <w:sz w:val="28"/>
          <w:highlight w:val="none"/>
        </w:rPr>
        <w:t>＝</w:t>
      </w:r>
      <w:r>
        <w:rPr>
          <w:rFonts w:hint="eastAsia" w:ascii="Arial" w:hAnsi="Arial" w:eastAsia="仿宋" w:cs="Arial"/>
          <w:sz w:val="28"/>
          <w:highlight w:val="none"/>
          <w:lang w:val="en-US" w:eastAsia="zh-CN"/>
        </w:rPr>
        <w:t>0.0355</w:t>
      </w:r>
      <w:r>
        <w:rPr>
          <w:rFonts w:hint="eastAsia" w:ascii="Arial" w:hAnsi="Arial" w:eastAsia="仿宋" w:cs="Arial"/>
          <w:sz w:val="28"/>
          <w:highlight w:val="none"/>
        </w:rPr>
        <w:t>（万元）</w:t>
      </w:r>
    </w:p>
    <w:p w14:paraId="17A8612D">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B）</w:t>
      </w:r>
      <w:r>
        <w:rPr>
          <w:rFonts w:hint="eastAsia" w:ascii="Arial" w:hAnsi="Arial" w:eastAsia="仿宋" w:cs="Arial"/>
          <w:sz w:val="28"/>
          <w:highlight w:val="none"/>
        </w:rPr>
        <w:t>维修费</w:t>
      </w:r>
    </w:p>
    <w:p w14:paraId="307985B4">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维修费指为保障房屋正常使用每年需支付的修缮费。根据项目的不同，维修保养费用一般取重置价格0.2%</w:t>
      </w:r>
      <w:r>
        <w:rPr>
          <w:rFonts w:hint="eastAsia" w:ascii="Arial" w:hAnsi="Arial" w:eastAsia="仿宋" w:cs="Arial"/>
          <w:sz w:val="28"/>
          <w:highlight w:val="none"/>
          <w:lang w:eastAsia="zh-CN"/>
        </w:rPr>
        <w:t>－</w:t>
      </w:r>
      <w:r>
        <w:rPr>
          <w:rFonts w:hint="eastAsia" w:ascii="Arial" w:hAnsi="Arial" w:eastAsia="仿宋" w:cs="Arial"/>
          <w:sz w:val="28"/>
          <w:highlight w:val="none"/>
        </w:rPr>
        <w:t>1%。本次评估根据估价对象的品质、结构、建成年代等，维修保养费按建筑物重置价的</w:t>
      </w:r>
      <w:r>
        <w:rPr>
          <w:rFonts w:hint="eastAsia" w:ascii="Arial" w:hAnsi="Arial" w:eastAsia="仿宋" w:cs="Arial"/>
          <w:sz w:val="28"/>
          <w:highlight w:val="none"/>
          <w:lang w:val="en-US" w:eastAsia="zh-CN"/>
        </w:rPr>
        <w:t>1</w:t>
      </w:r>
      <w:r>
        <w:rPr>
          <w:rFonts w:hint="eastAsia" w:ascii="Arial" w:hAnsi="Arial" w:eastAsia="仿宋" w:cs="Arial"/>
          <w:sz w:val="28"/>
          <w:highlight w:val="none"/>
        </w:rPr>
        <w:t>%计算； 其中建筑物重置价计算如下：</w:t>
      </w:r>
    </w:p>
    <w:tbl>
      <w:tblPr>
        <w:tblStyle w:val="34"/>
        <w:tblW w:w="940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57" w:type="dxa"/>
          <w:bottom w:w="57" w:type="dxa"/>
          <w:right w:w="57" w:type="dxa"/>
        </w:tblCellMar>
      </w:tblPr>
      <w:tblGrid>
        <w:gridCol w:w="816"/>
        <w:gridCol w:w="2172"/>
        <w:gridCol w:w="1692"/>
        <w:gridCol w:w="888"/>
        <w:gridCol w:w="3840"/>
      </w:tblGrid>
      <w:tr w14:paraId="1BB8E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60DD1C9F">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序号</w:t>
            </w:r>
          </w:p>
        </w:tc>
        <w:tc>
          <w:tcPr>
            <w:tcW w:w="2172" w:type="dxa"/>
            <w:shd w:val="clear" w:color="auto" w:fill="auto"/>
            <w:noWrap/>
            <w:vAlign w:val="center"/>
          </w:tcPr>
          <w:p w14:paraId="4F23AA58">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项目</w:t>
            </w:r>
          </w:p>
        </w:tc>
        <w:tc>
          <w:tcPr>
            <w:tcW w:w="1692" w:type="dxa"/>
            <w:shd w:val="clear" w:color="auto" w:fill="auto"/>
            <w:noWrap/>
            <w:vAlign w:val="center"/>
          </w:tcPr>
          <w:p w14:paraId="065DFB45">
            <w:pPr>
              <w:widowControl/>
              <w:adjustRightInd/>
              <w:spacing w:line="240" w:lineRule="exact"/>
              <w:textAlignment w:val="auto"/>
              <w:rPr>
                <w:rFonts w:hint="default" w:ascii="Arial" w:hAnsi="Arial" w:eastAsia="仿宋" w:cs="Arial"/>
                <w:bCs/>
                <w:sz w:val="21"/>
                <w:szCs w:val="21"/>
                <w:highlight w:val="none"/>
                <w:lang w:val="en-US" w:eastAsia="zh-CN"/>
              </w:rPr>
            </w:pPr>
            <w:r>
              <w:rPr>
                <w:rFonts w:ascii="Arial" w:hAnsi="Arial" w:eastAsia="仿宋" w:cs="Arial"/>
                <w:bCs/>
                <w:sz w:val="21"/>
                <w:szCs w:val="21"/>
                <w:highlight w:val="none"/>
              </w:rPr>
              <w:t>总额</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万元）</w:t>
            </w:r>
          </w:p>
        </w:tc>
        <w:tc>
          <w:tcPr>
            <w:tcW w:w="888" w:type="dxa"/>
            <w:shd w:val="clear" w:color="auto" w:fill="auto"/>
            <w:noWrap/>
            <w:vAlign w:val="center"/>
          </w:tcPr>
          <w:p w14:paraId="0E918389">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费率</w:t>
            </w:r>
          </w:p>
        </w:tc>
        <w:tc>
          <w:tcPr>
            <w:tcW w:w="3840" w:type="dxa"/>
            <w:shd w:val="clear" w:color="auto" w:fill="auto"/>
            <w:noWrap/>
            <w:vAlign w:val="center"/>
          </w:tcPr>
          <w:p w14:paraId="07D1B817">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备注</w:t>
            </w:r>
          </w:p>
        </w:tc>
      </w:tr>
      <w:tr w14:paraId="12BFD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E2EB93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1</w:t>
            </w:r>
            <w:r>
              <w:rPr>
                <w:rFonts w:hint="eastAsia" w:ascii="Arial" w:hAnsi="Arial" w:eastAsia="仿宋" w:cs="Arial"/>
                <w:bCs/>
                <w:sz w:val="21"/>
                <w:szCs w:val="21"/>
                <w:highlight w:val="none"/>
              </w:rPr>
              <w:t>）</w:t>
            </w:r>
          </w:p>
        </w:tc>
        <w:tc>
          <w:tcPr>
            <w:tcW w:w="2172" w:type="dxa"/>
            <w:shd w:val="clear" w:color="auto" w:fill="auto"/>
            <w:noWrap/>
            <w:vAlign w:val="center"/>
          </w:tcPr>
          <w:p w14:paraId="31EC9585">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建设成本</w:t>
            </w:r>
          </w:p>
        </w:tc>
        <w:tc>
          <w:tcPr>
            <w:tcW w:w="1692" w:type="dxa"/>
            <w:shd w:val="clear" w:color="auto" w:fill="auto"/>
            <w:noWrap/>
            <w:vAlign w:val="center"/>
          </w:tcPr>
          <w:p w14:paraId="296D0EC8">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150.0000</w:t>
            </w:r>
          </w:p>
        </w:tc>
        <w:tc>
          <w:tcPr>
            <w:tcW w:w="888" w:type="dxa"/>
            <w:shd w:val="clear" w:color="auto" w:fill="auto"/>
            <w:noWrap/>
            <w:vAlign w:val="center"/>
          </w:tcPr>
          <w:p w14:paraId="6B19B7FB">
            <w:pPr>
              <w:widowControl/>
              <w:adjustRightInd/>
              <w:spacing w:line="240" w:lineRule="exact"/>
              <w:jc w:val="lef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shd w:val="clear" w:color="auto" w:fill="auto"/>
            <w:noWrap/>
            <w:vAlign w:val="center"/>
          </w:tcPr>
          <w:p w14:paraId="6FECD923">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　</w:t>
            </w:r>
          </w:p>
        </w:tc>
      </w:tr>
      <w:tr w14:paraId="55BF7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7F31C30C">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rPr>
              <w:t>）</w:t>
            </w:r>
          </w:p>
        </w:tc>
        <w:tc>
          <w:tcPr>
            <w:tcW w:w="2172" w:type="dxa"/>
            <w:shd w:val="clear" w:color="auto" w:fill="auto"/>
            <w:noWrap/>
            <w:vAlign w:val="center"/>
          </w:tcPr>
          <w:p w14:paraId="0132A839">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建筑安装工程费</w:t>
            </w:r>
          </w:p>
        </w:tc>
        <w:tc>
          <w:tcPr>
            <w:tcW w:w="1692" w:type="dxa"/>
            <w:shd w:val="clear" w:color="auto" w:fill="auto"/>
            <w:noWrap/>
            <w:vAlign w:val="center"/>
          </w:tcPr>
          <w:p w14:paraId="12CD6A45">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120.0000</w:t>
            </w:r>
          </w:p>
        </w:tc>
        <w:tc>
          <w:tcPr>
            <w:tcW w:w="888" w:type="dxa"/>
            <w:shd w:val="clear" w:color="auto" w:fill="auto"/>
            <w:noWrap/>
            <w:vAlign w:val="center"/>
          </w:tcPr>
          <w:p w14:paraId="26B6B087">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4000</w:t>
            </w:r>
          </w:p>
        </w:tc>
        <w:tc>
          <w:tcPr>
            <w:tcW w:w="3840" w:type="dxa"/>
            <w:shd w:val="clear" w:color="auto" w:fill="auto"/>
            <w:noWrap/>
            <w:vAlign w:val="center"/>
          </w:tcPr>
          <w:p w14:paraId="7265B4B0">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取值同前述</w:t>
            </w:r>
          </w:p>
        </w:tc>
      </w:tr>
      <w:tr w14:paraId="48784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4C617B4">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2</w:t>
            </w:r>
            <w:r>
              <w:rPr>
                <w:rFonts w:hint="eastAsia" w:ascii="Arial" w:hAnsi="Arial" w:eastAsia="仿宋" w:cs="Arial"/>
                <w:bCs/>
                <w:sz w:val="21"/>
                <w:szCs w:val="21"/>
                <w:highlight w:val="none"/>
              </w:rPr>
              <w:t>）</w:t>
            </w:r>
          </w:p>
        </w:tc>
        <w:tc>
          <w:tcPr>
            <w:tcW w:w="2172" w:type="dxa"/>
            <w:shd w:val="clear" w:color="auto" w:fill="auto"/>
            <w:noWrap/>
            <w:vAlign w:val="center"/>
          </w:tcPr>
          <w:p w14:paraId="7C5879C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前期费用</w:t>
            </w:r>
          </w:p>
        </w:tc>
        <w:tc>
          <w:tcPr>
            <w:tcW w:w="1692" w:type="dxa"/>
            <w:shd w:val="clear" w:color="auto" w:fill="auto"/>
            <w:noWrap/>
            <w:vAlign w:val="center"/>
          </w:tcPr>
          <w:p w14:paraId="3313B2AF">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9.6000</w:t>
            </w:r>
          </w:p>
        </w:tc>
        <w:tc>
          <w:tcPr>
            <w:tcW w:w="888" w:type="dxa"/>
            <w:shd w:val="clear" w:color="auto" w:fill="auto"/>
            <w:noWrap/>
            <w:vAlign w:val="center"/>
          </w:tcPr>
          <w:p w14:paraId="7BD761CB">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8%</w:t>
            </w:r>
          </w:p>
        </w:tc>
        <w:tc>
          <w:tcPr>
            <w:tcW w:w="3840" w:type="dxa"/>
            <w:shd w:val="clear" w:color="auto" w:fill="auto"/>
            <w:noWrap/>
            <w:vAlign w:val="center"/>
          </w:tcPr>
          <w:p w14:paraId="077B8DA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以建安费用为基数，取值同前</w:t>
            </w:r>
          </w:p>
        </w:tc>
      </w:tr>
      <w:tr w14:paraId="62DBF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35B3DA6C">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3</w:t>
            </w:r>
            <w:r>
              <w:rPr>
                <w:rFonts w:hint="eastAsia" w:ascii="Arial" w:hAnsi="Arial" w:eastAsia="仿宋" w:cs="Arial"/>
                <w:bCs/>
                <w:sz w:val="21"/>
                <w:szCs w:val="21"/>
                <w:highlight w:val="none"/>
              </w:rPr>
              <w:t>）</w:t>
            </w:r>
          </w:p>
        </w:tc>
        <w:tc>
          <w:tcPr>
            <w:tcW w:w="2172" w:type="dxa"/>
            <w:shd w:val="clear" w:color="auto" w:fill="auto"/>
            <w:noWrap/>
            <w:vAlign w:val="center"/>
          </w:tcPr>
          <w:p w14:paraId="570FA9B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公共配套设施费用</w:t>
            </w:r>
          </w:p>
        </w:tc>
        <w:tc>
          <w:tcPr>
            <w:tcW w:w="1692" w:type="dxa"/>
            <w:shd w:val="clear" w:color="auto" w:fill="auto"/>
            <w:noWrap/>
            <w:vAlign w:val="center"/>
          </w:tcPr>
          <w:p w14:paraId="6D9ECE03">
            <w:pPr>
              <w:widowControl/>
              <w:adjustRightInd/>
              <w:spacing w:line="240" w:lineRule="exact"/>
              <w:jc w:val="lef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888" w:type="dxa"/>
            <w:shd w:val="clear" w:color="auto" w:fill="auto"/>
            <w:noWrap/>
            <w:vAlign w:val="center"/>
          </w:tcPr>
          <w:p w14:paraId="6FEA69A0">
            <w:pPr>
              <w:widowControl/>
              <w:adjustRightInd/>
              <w:spacing w:line="240" w:lineRule="exact"/>
              <w:jc w:val="lef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不计取</w:t>
            </w:r>
          </w:p>
        </w:tc>
        <w:tc>
          <w:tcPr>
            <w:tcW w:w="3840" w:type="dxa"/>
            <w:shd w:val="clear" w:color="auto" w:fill="auto"/>
            <w:noWrap/>
            <w:vAlign w:val="center"/>
          </w:tcPr>
          <w:p w14:paraId="3ED6938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同前取值　</w:t>
            </w:r>
          </w:p>
        </w:tc>
      </w:tr>
      <w:tr w14:paraId="0C1AA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19C51D4">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4）</w:t>
            </w:r>
          </w:p>
        </w:tc>
        <w:tc>
          <w:tcPr>
            <w:tcW w:w="2172" w:type="dxa"/>
            <w:shd w:val="clear" w:color="auto" w:fill="auto"/>
            <w:noWrap/>
            <w:vAlign w:val="center"/>
          </w:tcPr>
          <w:p w14:paraId="63A58C0F">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基础设施建设费</w:t>
            </w:r>
          </w:p>
        </w:tc>
        <w:tc>
          <w:tcPr>
            <w:tcW w:w="1692" w:type="dxa"/>
            <w:shd w:val="clear" w:color="auto" w:fill="auto"/>
            <w:noWrap/>
            <w:vAlign w:val="center"/>
          </w:tcPr>
          <w:p w14:paraId="7B38DC35">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12.0000</w:t>
            </w:r>
          </w:p>
        </w:tc>
        <w:tc>
          <w:tcPr>
            <w:tcW w:w="888" w:type="dxa"/>
            <w:shd w:val="clear" w:color="auto" w:fill="auto"/>
            <w:noWrap/>
            <w:vAlign w:val="center"/>
          </w:tcPr>
          <w:p w14:paraId="3128BDD0">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10%</w:t>
            </w:r>
          </w:p>
        </w:tc>
        <w:tc>
          <w:tcPr>
            <w:tcW w:w="3840" w:type="dxa"/>
            <w:shd w:val="clear" w:color="auto" w:fill="auto"/>
            <w:noWrap/>
            <w:vAlign w:val="center"/>
          </w:tcPr>
          <w:p w14:paraId="2D7DD279">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城市基础设施建设费和红线外市政费用归为土地开发成本，此处不计入；红线内市政费用同前取值</w:t>
            </w:r>
          </w:p>
        </w:tc>
      </w:tr>
      <w:tr w14:paraId="41795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315C3EC1">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5）</w:t>
            </w:r>
          </w:p>
        </w:tc>
        <w:tc>
          <w:tcPr>
            <w:tcW w:w="2172" w:type="dxa"/>
            <w:shd w:val="clear" w:color="auto" w:fill="auto"/>
            <w:noWrap/>
            <w:vAlign w:val="center"/>
          </w:tcPr>
          <w:p w14:paraId="2F67E06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其他工程费</w:t>
            </w:r>
          </w:p>
        </w:tc>
        <w:tc>
          <w:tcPr>
            <w:tcW w:w="1692" w:type="dxa"/>
            <w:shd w:val="clear" w:color="auto" w:fill="auto"/>
            <w:noWrap/>
            <w:vAlign w:val="center"/>
          </w:tcPr>
          <w:p w14:paraId="714146F5">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6.0000</w:t>
            </w:r>
          </w:p>
        </w:tc>
        <w:tc>
          <w:tcPr>
            <w:tcW w:w="888" w:type="dxa"/>
            <w:shd w:val="clear" w:color="auto" w:fill="auto"/>
            <w:noWrap/>
            <w:vAlign w:val="center"/>
          </w:tcPr>
          <w:p w14:paraId="53253951">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5%</w:t>
            </w:r>
          </w:p>
        </w:tc>
        <w:tc>
          <w:tcPr>
            <w:tcW w:w="3840" w:type="dxa"/>
            <w:shd w:val="clear" w:color="auto" w:fill="auto"/>
            <w:noWrap/>
            <w:vAlign w:val="center"/>
          </w:tcPr>
          <w:p w14:paraId="1951FFA8">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以建安费用为基数，取值同前</w:t>
            </w:r>
          </w:p>
        </w:tc>
      </w:tr>
      <w:tr w14:paraId="09745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0FC147A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6</w:t>
            </w:r>
            <w:r>
              <w:rPr>
                <w:rFonts w:hint="eastAsia" w:ascii="Arial" w:hAnsi="Arial" w:eastAsia="仿宋" w:cs="Arial"/>
                <w:bCs/>
                <w:sz w:val="21"/>
                <w:szCs w:val="21"/>
                <w:highlight w:val="none"/>
              </w:rPr>
              <w:t>）</w:t>
            </w:r>
          </w:p>
        </w:tc>
        <w:tc>
          <w:tcPr>
            <w:tcW w:w="2172" w:type="dxa"/>
            <w:shd w:val="clear" w:color="auto" w:fill="auto"/>
            <w:noWrap/>
            <w:vAlign w:val="center"/>
          </w:tcPr>
          <w:p w14:paraId="06CE6D27">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开发期间税费</w:t>
            </w:r>
          </w:p>
        </w:tc>
        <w:tc>
          <w:tcPr>
            <w:tcW w:w="1692" w:type="dxa"/>
            <w:shd w:val="clear" w:color="auto" w:fill="auto"/>
            <w:noWrap/>
            <w:vAlign w:val="center"/>
          </w:tcPr>
          <w:p w14:paraId="523C94EF">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2.4000</w:t>
            </w:r>
          </w:p>
        </w:tc>
        <w:tc>
          <w:tcPr>
            <w:tcW w:w="888" w:type="dxa"/>
            <w:shd w:val="clear" w:color="auto" w:fill="auto"/>
            <w:noWrap/>
            <w:vAlign w:val="center"/>
          </w:tcPr>
          <w:p w14:paraId="6ED6E719">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2%</w:t>
            </w:r>
          </w:p>
        </w:tc>
        <w:tc>
          <w:tcPr>
            <w:tcW w:w="3840" w:type="dxa"/>
            <w:shd w:val="clear" w:color="auto" w:fill="auto"/>
            <w:noWrap/>
            <w:vAlign w:val="center"/>
          </w:tcPr>
          <w:p w14:paraId="23E04F50">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以建安费用为基数，取值同前</w:t>
            </w:r>
          </w:p>
        </w:tc>
      </w:tr>
      <w:tr w14:paraId="5C856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74B11AD0">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2</w:t>
            </w:r>
            <w:r>
              <w:rPr>
                <w:rFonts w:hint="eastAsia" w:ascii="Arial" w:hAnsi="Arial" w:eastAsia="仿宋" w:cs="Arial"/>
                <w:bCs/>
                <w:sz w:val="21"/>
                <w:szCs w:val="21"/>
                <w:highlight w:val="none"/>
              </w:rPr>
              <w:t>）</w:t>
            </w:r>
          </w:p>
        </w:tc>
        <w:tc>
          <w:tcPr>
            <w:tcW w:w="2172" w:type="dxa"/>
            <w:shd w:val="clear" w:color="auto" w:fill="auto"/>
            <w:noWrap/>
            <w:vAlign w:val="center"/>
          </w:tcPr>
          <w:p w14:paraId="0742AAD1">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管理费用</w:t>
            </w:r>
          </w:p>
        </w:tc>
        <w:tc>
          <w:tcPr>
            <w:tcW w:w="1692" w:type="dxa"/>
            <w:shd w:val="clear" w:color="auto" w:fill="auto"/>
            <w:noWrap/>
            <w:vAlign w:val="center"/>
          </w:tcPr>
          <w:p w14:paraId="61F4BC67">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4.5000</w:t>
            </w:r>
          </w:p>
        </w:tc>
        <w:tc>
          <w:tcPr>
            <w:tcW w:w="888" w:type="dxa"/>
            <w:shd w:val="clear" w:color="auto" w:fill="auto"/>
            <w:noWrap/>
            <w:vAlign w:val="center"/>
          </w:tcPr>
          <w:p w14:paraId="78045AF3">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3%</w:t>
            </w:r>
          </w:p>
        </w:tc>
        <w:tc>
          <w:tcPr>
            <w:tcW w:w="3840" w:type="dxa"/>
            <w:shd w:val="clear" w:color="auto" w:fill="auto"/>
            <w:noWrap/>
            <w:vAlign w:val="center"/>
          </w:tcPr>
          <w:p w14:paraId="79D60365">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以（</w:t>
            </w:r>
            <w:r>
              <w:rPr>
                <w:rFonts w:ascii="Arial" w:hAnsi="Arial" w:eastAsia="仿宋" w:cs="Arial"/>
                <w:bCs/>
                <w:sz w:val="21"/>
                <w:szCs w:val="21"/>
                <w:highlight w:val="none"/>
              </w:rPr>
              <w:t>1</w:t>
            </w:r>
            <w:r>
              <w:rPr>
                <w:rFonts w:hint="eastAsia" w:ascii="Arial" w:hAnsi="Arial" w:eastAsia="仿宋" w:cs="Arial"/>
                <w:bCs/>
                <w:sz w:val="21"/>
                <w:szCs w:val="21"/>
                <w:highlight w:val="none"/>
              </w:rPr>
              <w:t>）为基数，取值同前</w:t>
            </w:r>
          </w:p>
        </w:tc>
      </w:tr>
      <w:tr w14:paraId="658AC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688D631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3</w:t>
            </w:r>
            <w:r>
              <w:rPr>
                <w:rFonts w:hint="eastAsia" w:ascii="Arial" w:hAnsi="Arial" w:eastAsia="仿宋" w:cs="Arial"/>
                <w:bCs/>
                <w:sz w:val="21"/>
                <w:szCs w:val="21"/>
                <w:highlight w:val="none"/>
              </w:rPr>
              <w:t>）</w:t>
            </w:r>
          </w:p>
        </w:tc>
        <w:tc>
          <w:tcPr>
            <w:tcW w:w="2172" w:type="dxa"/>
            <w:shd w:val="clear" w:color="auto" w:fill="auto"/>
            <w:noWrap/>
            <w:vAlign w:val="center"/>
          </w:tcPr>
          <w:p w14:paraId="1E6AA486">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销售费用</w:t>
            </w:r>
          </w:p>
        </w:tc>
        <w:tc>
          <w:tcPr>
            <w:tcW w:w="1692" w:type="dxa"/>
            <w:shd w:val="clear" w:color="auto" w:fill="auto"/>
            <w:noWrap/>
            <w:vAlign w:val="center"/>
          </w:tcPr>
          <w:p w14:paraId="6B910157">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888" w:type="dxa"/>
            <w:shd w:val="clear" w:color="auto" w:fill="auto"/>
            <w:noWrap/>
            <w:vAlign w:val="center"/>
          </w:tcPr>
          <w:p w14:paraId="57E22621">
            <w:pPr>
              <w:widowControl/>
              <w:adjustRightInd/>
              <w:spacing w:line="240" w:lineRule="exact"/>
              <w:jc w:val="lef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不计取</w:t>
            </w:r>
          </w:p>
        </w:tc>
        <w:tc>
          <w:tcPr>
            <w:tcW w:w="3840" w:type="dxa"/>
            <w:shd w:val="clear" w:color="auto" w:fill="auto"/>
            <w:noWrap/>
            <w:vAlign w:val="center"/>
          </w:tcPr>
          <w:p w14:paraId="647E65AF">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以建筑物重置价值为基数，取值同前</w:t>
            </w:r>
          </w:p>
        </w:tc>
      </w:tr>
      <w:tr w14:paraId="06173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38477BBB">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4</w:t>
            </w:r>
            <w:r>
              <w:rPr>
                <w:rFonts w:hint="eastAsia" w:ascii="Arial" w:hAnsi="Arial" w:eastAsia="仿宋" w:cs="Arial"/>
                <w:bCs/>
                <w:sz w:val="21"/>
                <w:szCs w:val="21"/>
                <w:highlight w:val="none"/>
              </w:rPr>
              <w:t>）</w:t>
            </w:r>
          </w:p>
        </w:tc>
        <w:tc>
          <w:tcPr>
            <w:tcW w:w="2172" w:type="dxa"/>
            <w:shd w:val="clear" w:color="auto" w:fill="auto"/>
            <w:noWrap/>
            <w:vAlign w:val="center"/>
          </w:tcPr>
          <w:p w14:paraId="7CC304E1">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投资利息</w:t>
            </w:r>
          </w:p>
        </w:tc>
        <w:tc>
          <w:tcPr>
            <w:tcW w:w="1692" w:type="dxa"/>
            <w:shd w:val="clear" w:color="auto" w:fill="auto"/>
            <w:noWrap/>
            <w:vAlign w:val="center"/>
          </w:tcPr>
          <w:p w14:paraId="1E31394A">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7.5927＋0V</w:t>
            </w:r>
            <w:r>
              <w:rPr>
                <w:rFonts w:hint="eastAsia" w:ascii="Arial" w:hAnsi="Arial" w:eastAsia="仿宋" w:cs="Arial"/>
                <w:bCs/>
                <w:sz w:val="21"/>
                <w:szCs w:val="21"/>
                <w:highlight w:val="none"/>
                <w:vertAlign w:val="subscript"/>
                <w:lang w:val="en-US" w:eastAsia="zh-CN"/>
              </w:rPr>
              <w:t>建</w:t>
            </w:r>
          </w:p>
        </w:tc>
        <w:tc>
          <w:tcPr>
            <w:tcW w:w="888" w:type="dxa"/>
            <w:shd w:val="clear" w:color="auto" w:fill="auto"/>
            <w:noWrap/>
            <w:vAlign w:val="center"/>
          </w:tcPr>
          <w:p w14:paraId="562BC6B9">
            <w:pPr>
              <w:widowControl/>
              <w:adjustRightInd/>
              <w:spacing w:line="240" w:lineRule="exact"/>
              <w:jc w:val="lef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shd w:val="clear" w:color="auto" w:fill="auto"/>
            <w:noWrap/>
            <w:vAlign w:val="center"/>
          </w:tcPr>
          <w:p w14:paraId="07C6399E">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建设期为</w:t>
            </w:r>
            <w:r>
              <w:rPr>
                <w:rFonts w:hint="eastAsia" w:ascii="Arial" w:hAnsi="Arial" w:eastAsia="仿宋" w:cs="Arial"/>
                <w:bCs/>
                <w:sz w:val="21"/>
                <w:szCs w:val="21"/>
                <w:highlight w:val="none"/>
                <w:lang w:val="en-US" w:eastAsia="zh-CN"/>
              </w:rPr>
              <w:t>3</w:t>
            </w:r>
            <w:r>
              <w:rPr>
                <w:rFonts w:hint="eastAsia" w:ascii="Arial" w:hAnsi="Arial" w:eastAsia="仿宋" w:cs="Arial"/>
                <w:bCs/>
                <w:sz w:val="21"/>
                <w:szCs w:val="21"/>
                <w:highlight w:val="none"/>
              </w:rPr>
              <w:t>年，</w:t>
            </w:r>
            <w:r>
              <w:rPr>
                <w:rFonts w:ascii="Arial" w:hAnsi="Arial" w:eastAsia="仿宋" w:cs="Arial"/>
                <w:bCs/>
                <w:sz w:val="21"/>
                <w:szCs w:val="21"/>
                <w:highlight w:val="none"/>
              </w:rPr>
              <w:t>复利计息</w:t>
            </w:r>
          </w:p>
        </w:tc>
      </w:tr>
      <w:tr w14:paraId="0047A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319352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rPr>
              <w:t>）</w:t>
            </w:r>
          </w:p>
        </w:tc>
        <w:tc>
          <w:tcPr>
            <w:tcW w:w="2172" w:type="dxa"/>
            <w:shd w:val="clear" w:color="auto" w:fill="auto"/>
            <w:noWrap/>
            <w:vAlign w:val="center"/>
          </w:tcPr>
          <w:p w14:paraId="5CC3655F">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1</w:t>
            </w:r>
            <w:r>
              <w:rPr>
                <w:rFonts w:hint="eastAsia" w:ascii="Arial" w:hAnsi="Arial" w:eastAsia="仿宋" w:cs="Arial"/>
                <w:bCs/>
                <w:sz w:val="21"/>
                <w:szCs w:val="21"/>
                <w:highlight w:val="none"/>
              </w:rPr>
              <w:t>）、（</w:t>
            </w:r>
            <w:r>
              <w:rPr>
                <w:rFonts w:ascii="Arial" w:hAnsi="Arial" w:eastAsia="仿宋" w:cs="Arial"/>
                <w:bCs/>
                <w:sz w:val="21"/>
                <w:szCs w:val="21"/>
                <w:highlight w:val="none"/>
              </w:rPr>
              <w:t>2</w:t>
            </w:r>
            <w:r>
              <w:rPr>
                <w:rFonts w:hint="eastAsia" w:ascii="Arial" w:hAnsi="Arial" w:eastAsia="仿宋" w:cs="Arial"/>
                <w:bCs/>
                <w:sz w:val="21"/>
                <w:szCs w:val="21"/>
                <w:highlight w:val="none"/>
              </w:rPr>
              <w:t>）项产生的利息</w:t>
            </w:r>
          </w:p>
        </w:tc>
        <w:tc>
          <w:tcPr>
            <w:tcW w:w="1692" w:type="dxa"/>
            <w:shd w:val="clear" w:color="auto" w:fill="auto"/>
            <w:noWrap/>
            <w:vAlign w:val="center"/>
          </w:tcPr>
          <w:p w14:paraId="6635574C">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7.5927</w:t>
            </w:r>
          </w:p>
        </w:tc>
        <w:tc>
          <w:tcPr>
            <w:tcW w:w="888" w:type="dxa"/>
            <w:shd w:val="clear" w:color="auto" w:fill="auto"/>
            <w:noWrap/>
            <w:vAlign w:val="center"/>
          </w:tcPr>
          <w:p w14:paraId="6D31B75A">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3.25%</w:t>
            </w:r>
          </w:p>
        </w:tc>
        <w:tc>
          <w:tcPr>
            <w:tcW w:w="3840" w:type="dxa"/>
            <w:vMerge w:val="restart"/>
            <w:shd w:val="clear" w:color="auto" w:fill="auto"/>
            <w:noWrap/>
            <w:vAlign w:val="center"/>
          </w:tcPr>
          <w:p w14:paraId="66C7CBD1">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建设期均匀投入</w:t>
            </w:r>
          </w:p>
        </w:tc>
      </w:tr>
      <w:tr w14:paraId="38922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C825F45">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2</w:t>
            </w:r>
            <w:r>
              <w:rPr>
                <w:rFonts w:hint="eastAsia" w:ascii="Arial" w:hAnsi="Arial" w:eastAsia="仿宋" w:cs="Arial"/>
                <w:bCs/>
                <w:sz w:val="21"/>
                <w:szCs w:val="21"/>
                <w:highlight w:val="none"/>
              </w:rPr>
              <w:t>）</w:t>
            </w:r>
          </w:p>
        </w:tc>
        <w:tc>
          <w:tcPr>
            <w:tcW w:w="2172" w:type="dxa"/>
            <w:shd w:val="clear" w:color="auto" w:fill="auto"/>
            <w:noWrap/>
            <w:vAlign w:val="center"/>
          </w:tcPr>
          <w:p w14:paraId="40E9B77F">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（3）项产生的利息</w:t>
            </w:r>
          </w:p>
        </w:tc>
        <w:tc>
          <w:tcPr>
            <w:tcW w:w="1692" w:type="dxa"/>
            <w:shd w:val="clear" w:color="auto" w:fill="auto"/>
            <w:noWrap/>
            <w:vAlign w:val="center"/>
          </w:tcPr>
          <w:p w14:paraId="7A42670B">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0.0000</w:t>
            </w:r>
          </w:p>
        </w:tc>
        <w:tc>
          <w:tcPr>
            <w:tcW w:w="888" w:type="dxa"/>
            <w:shd w:val="clear" w:color="auto" w:fill="auto"/>
            <w:noWrap/>
            <w:vAlign w:val="center"/>
          </w:tcPr>
          <w:p w14:paraId="30F00DB6">
            <w:pPr>
              <w:widowControl/>
              <w:adjustRightInd/>
              <w:spacing w:line="240" w:lineRule="exact"/>
              <w:jc w:val="lef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vMerge w:val="continue"/>
            <w:shd w:val="clear" w:color="auto" w:fill="auto"/>
            <w:noWrap w:val="0"/>
            <w:vAlign w:val="center"/>
          </w:tcPr>
          <w:p w14:paraId="18822CB8">
            <w:pPr>
              <w:widowControl/>
              <w:adjustRightInd/>
              <w:spacing w:line="240" w:lineRule="exact"/>
              <w:textAlignment w:val="auto"/>
              <w:rPr>
                <w:rFonts w:ascii="Arial" w:hAnsi="Arial" w:eastAsia="仿宋" w:cs="Arial"/>
                <w:bCs/>
                <w:sz w:val="21"/>
                <w:szCs w:val="21"/>
                <w:highlight w:val="none"/>
              </w:rPr>
            </w:pPr>
          </w:p>
        </w:tc>
      </w:tr>
      <w:tr w14:paraId="1DD95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377BED12">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5</w:t>
            </w:r>
            <w:r>
              <w:rPr>
                <w:rFonts w:hint="eastAsia" w:ascii="Arial" w:hAnsi="Arial" w:eastAsia="仿宋" w:cs="Arial"/>
                <w:bCs/>
                <w:sz w:val="21"/>
                <w:szCs w:val="21"/>
                <w:highlight w:val="none"/>
              </w:rPr>
              <w:t>）</w:t>
            </w:r>
          </w:p>
        </w:tc>
        <w:tc>
          <w:tcPr>
            <w:tcW w:w="2172" w:type="dxa"/>
            <w:shd w:val="clear" w:color="auto" w:fill="auto"/>
            <w:noWrap/>
            <w:vAlign w:val="center"/>
          </w:tcPr>
          <w:p w14:paraId="653DD53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开发利润</w:t>
            </w:r>
          </w:p>
        </w:tc>
        <w:tc>
          <w:tcPr>
            <w:tcW w:w="1692" w:type="dxa"/>
            <w:shd w:val="clear" w:color="auto" w:fill="auto"/>
            <w:noWrap/>
            <w:vAlign w:val="center"/>
          </w:tcPr>
          <w:p w14:paraId="31B072FD">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15.4500＋0V</w:t>
            </w:r>
            <w:r>
              <w:rPr>
                <w:rFonts w:hint="eastAsia" w:ascii="Arial" w:hAnsi="Arial" w:eastAsia="仿宋" w:cs="Arial"/>
                <w:bCs/>
                <w:sz w:val="21"/>
                <w:szCs w:val="21"/>
                <w:highlight w:val="none"/>
                <w:vertAlign w:val="subscript"/>
                <w:lang w:val="en-US" w:eastAsia="zh-CN"/>
              </w:rPr>
              <w:t>建</w:t>
            </w:r>
          </w:p>
        </w:tc>
        <w:tc>
          <w:tcPr>
            <w:tcW w:w="888" w:type="dxa"/>
            <w:shd w:val="clear" w:color="auto" w:fill="auto"/>
            <w:noWrap/>
            <w:vAlign w:val="center"/>
          </w:tcPr>
          <w:p w14:paraId="32B36810">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shd w:val="clear" w:color="auto" w:fill="auto"/>
            <w:noWrap w:val="0"/>
            <w:vAlign w:val="center"/>
          </w:tcPr>
          <w:p w14:paraId="160959B7">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1</w:t>
            </w:r>
            <w:r>
              <w:rPr>
                <w:rFonts w:hint="eastAsia" w:ascii="Arial" w:hAnsi="Arial" w:eastAsia="仿宋" w:cs="Arial"/>
                <w:bCs/>
                <w:sz w:val="21"/>
                <w:szCs w:val="21"/>
                <w:highlight w:val="none"/>
              </w:rPr>
              <w:t>）</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w:t>
            </w:r>
            <w:r>
              <w:rPr>
                <w:rFonts w:ascii="Arial" w:hAnsi="Arial" w:eastAsia="仿宋" w:cs="Arial"/>
                <w:bCs/>
                <w:sz w:val="21"/>
                <w:szCs w:val="21"/>
                <w:highlight w:val="none"/>
              </w:rPr>
              <w:t>3</w:t>
            </w:r>
            <w:r>
              <w:rPr>
                <w:rFonts w:hint="eastAsia" w:ascii="Arial" w:hAnsi="Arial" w:eastAsia="仿宋" w:cs="Arial"/>
                <w:bCs/>
                <w:sz w:val="21"/>
                <w:szCs w:val="21"/>
                <w:highlight w:val="none"/>
              </w:rPr>
              <w:t>）项乘投资利润率，取值依据同前</w:t>
            </w:r>
          </w:p>
        </w:tc>
      </w:tr>
      <w:tr w14:paraId="55E69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0A1CCE7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rPr>
              <w:t>）</w:t>
            </w:r>
          </w:p>
        </w:tc>
        <w:tc>
          <w:tcPr>
            <w:tcW w:w="2172" w:type="dxa"/>
            <w:shd w:val="clear" w:color="auto" w:fill="auto"/>
            <w:noWrap/>
            <w:vAlign w:val="center"/>
          </w:tcPr>
          <w:p w14:paraId="3819246E">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1</w:t>
            </w:r>
            <w:r>
              <w:rPr>
                <w:rFonts w:hint="eastAsia" w:ascii="Arial" w:hAnsi="Arial" w:eastAsia="仿宋" w:cs="Arial"/>
                <w:bCs/>
                <w:sz w:val="21"/>
                <w:szCs w:val="21"/>
                <w:highlight w:val="none"/>
              </w:rPr>
              <w:t>）、（</w:t>
            </w:r>
            <w:r>
              <w:rPr>
                <w:rFonts w:ascii="Arial" w:hAnsi="Arial" w:eastAsia="仿宋" w:cs="Arial"/>
                <w:bCs/>
                <w:sz w:val="21"/>
                <w:szCs w:val="21"/>
                <w:highlight w:val="none"/>
              </w:rPr>
              <w:t>2</w:t>
            </w:r>
            <w:r>
              <w:rPr>
                <w:rFonts w:hint="eastAsia" w:ascii="Arial" w:hAnsi="Arial" w:eastAsia="仿宋" w:cs="Arial"/>
                <w:bCs/>
                <w:sz w:val="21"/>
                <w:szCs w:val="21"/>
                <w:highlight w:val="none"/>
              </w:rPr>
              <w:t>）项产生的利润</w:t>
            </w:r>
          </w:p>
        </w:tc>
        <w:tc>
          <w:tcPr>
            <w:tcW w:w="1692" w:type="dxa"/>
            <w:shd w:val="clear" w:color="auto" w:fill="auto"/>
            <w:noWrap/>
            <w:vAlign w:val="center"/>
          </w:tcPr>
          <w:p w14:paraId="3DD4B4CD">
            <w:pPr>
              <w:widowControl/>
              <w:adjustRightInd/>
              <w:spacing w:line="240" w:lineRule="exact"/>
              <w:jc w:val="lef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15.4500</w:t>
            </w:r>
          </w:p>
        </w:tc>
        <w:tc>
          <w:tcPr>
            <w:tcW w:w="888" w:type="dxa"/>
            <w:shd w:val="clear" w:color="auto" w:fill="auto"/>
            <w:noWrap/>
            <w:vAlign w:val="center"/>
          </w:tcPr>
          <w:p w14:paraId="7EB95095">
            <w:pPr>
              <w:widowControl/>
              <w:adjustRightInd/>
              <w:spacing w:line="240" w:lineRule="exact"/>
              <w:jc w:val="lef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10%</w:t>
            </w:r>
          </w:p>
        </w:tc>
        <w:tc>
          <w:tcPr>
            <w:tcW w:w="3840" w:type="dxa"/>
            <w:shd w:val="clear" w:color="auto" w:fill="auto"/>
            <w:noWrap w:val="0"/>
            <w:vAlign w:val="center"/>
          </w:tcPr>
          <w:p w14:paraId="1CA411E7">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　</w:t>
            </w:r>
          </w:p>
        </w:tc>
      </w:tr>
      <w:tr w14:paraId="67E53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159BE789">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2</w:t>
            </w:r>
            <w:r>
              <w:rPr>
                <w:rFonts w:hint="eastAsia" w:ascii="Arial" w:hAnsi="Arial" w:eastAsia="仿宋" w:cs="Arial"/>
                <w:bCs/>
                <w:sz w:val="21"/>
                <w:szCs w:val="21"/>
                <w:highlight w:val="none"/>
              </w:rPr>
              <w:t>）</w:t>
            </w:r>
          </w:p>
        </w:tc>
        <w:tc>
          <w:tcPr>
            <w:tcW w:w="2172" w:type="dxa"/>
            <w:shd w:val="clear" w:color="auto" w:fill="auto"/>
            <w:noWrap/>
            <w:vAlign w:val="center"/>
          </w:tcPr>
          <w:p w14:paraId="3A96C1F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3</w:t>
            </w:r>
            <w:r>
              <w:rPr>
                <w:rFonts w:hint="eastAsia" w:ascii="Arial" w:hAnsi="Arial" w:eastAsia="仿宋" w:cs="Arial"/>
                <w:bCs/>
                <w:sz w:val="21"/>
                <w:szCs w:val="21"/>
                <w:highlight w:val="none"/>
              </w:rPr>
              <w:t>）项产生的利润</w:t>
            </w:r>
          </w:p>
        </w:tc>
        <w:tc>
          <w:tcPr>
            <w:tcW w:w="1692" w:type="dxa"/>
            <w:shd w:val="clear" w:color="auto" w:fill="auto"/>
            <w:noWrap/>
            <w:vAlign w:val="center"/>
          </w:tcPr>
          <w:p w14:paraId="7B245EFE">
            <w:pPr>
              <w:widowControl/>
              <w:adjustRightInd/>
              <w:spacing w:line="240" w:lineRule="exact"/>
              <w:jc w:val="lef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0.0000</w:t>
            </w:r>
          </w:p>
        </w:tc>
        <w:tc>
          <w:tcPr>
            <w:tcW w:w="888" w:type="dxa"/>
            <w:shd w:val="clear" w:color="auto" w:fill="auto"/>
            <w:noWrap/>
            <w:vAlign w:val="center"/>
          </w:tcPr>
          <w:p w14:paraId="29D2B98C">
            <w:pPr>
              <w:widowControl/>
              <w:adjustRightInd/>
              <w:spacing w:line="240" w:lineRule="exact"/>
              <w:jc w:val="lef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shd w:val="clear" w:color="auto" w:fill="auto"/>
            <w:noWrap w:val="0"/>
            <w:vAlign w:val="center"/>
          </w:tcPr>
          <w:p w14:paraId="51FE21A2">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　</w:t>
            </w:r>
          </w:p>
        </w:tc>
      </w:tr>
      <w:tr w14:paraId="63896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596B102C">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w:t>
            </w:r>
            <w:r>
              <w:rPr>
                <w:rFonts w:ascii="Arial" w:hAnsi="Arial" w:eastAsia="仿宋" w:cs="Arial"/>
                <w:bCs/>
                <w:sz w:val="21"/>
                <w:szCs w:val="21"/>
                <w:highlight w:val="none"/>
              </w:rPr>
              <w:t>6</w:t>
            </w:r>
            <w:r>
              <w:rPr>
                <w:rFonts w:hint="eastAsia" w:ascii="Arial" w:hAnsi="Arial" w:eastAsia="仿宋" w:cs="Arial"/>
                <w:bCs/>
                <w:sz w:val="21"/>
                <w:szCs w:val="21"/>
                <w:highlight w:val="none"/>
              </w:rPr>
              <w:t>）</w:t>
            </w:r>
          </w:p>
        </w:tc>
        <w:tc>
          <w:tcPr>
            <w:tcW w:w="2172" w:type="dxa"/>
            <w:shd w:val="clear" w:color="auto" w:fill="auto"/>
            <w:noWrap/>
            <w:vAlign w:val="center"/>
          </w:tcPr>
          <w:p w14:paraId="480F236C">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销售税费</w:t>
            </w:r>
          </w:p>
        </w:tc>
        <w:tc>
          <w:tcPr>
            <w:tcW w:w="1692" w:type="dxa"/>
            <w:shd w:val="clear" w:color="auto" w:fill="auto"/>
            <w:noWrap/>
            <w:vAlign w:val="center"/>
          </w:tcPr>
          <w:p w14:paraId="26D9E94B">
            <w:pPr>
              <w:widowControl/>
              <w:adjustRightInd/>
              <w:spacing w:line="240" w:lineRule="exact"/>
              <w:jc w:val="lef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0.0000</w:t>
            </w:r>
          </w:p>
        </w:tc>
        <w:tc>
          <w:tcPr>
            <w:tcW w:w="888" w:type="dxa"/>
            <w:shd w:val="clear" w:color="auto" w:fill="auto"/>
            <w:noWrap/>
            <w:vAlign w:val="center"/>
          </w:tcPr>
          <w:p w14:paraId="4FF18242">
            <w:pPr>
              <w:widowControl/>
              <w:adjustRightInd/>
              <w:spacing w:line="240" w:lineRule="exact"/>
              <w:jc w:val="lef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shd w:val="clear" w:color="auto" w:fill="auto"/>
            <w:noWrap/>
            <w:vAlign w:val="center"/>
          </w:tcPr>
          <w:p w14:paraId="33476240">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销售税费主要包括增值税及附加。增值税为价外税，基于《增值税法》价税分离原则，此处不将其作为成本计入。</w:t>
            </w:r>
          </w:p>
        </w:tc>
      </w:tr>
      <w:tr w14:paraId="5B990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46CD32D2">
            <w:pPr>
              <w:widowControl/>
              <w:adjustRightInd/>
              <w:spacing w:line="240" w:lineRule="exact"/>
              <w:textAlignment w:val="auto"/>
              <w:rPr>
                <w:rFonts w:ascii="Arial" w:hAnsi="Arial" w:eastAsia="仿宋" w:cs="Arial"/>
                <w:bCs/>
                <w:sz w:val="21"/>
                <w:szCs w:val="21"/>
                <w:highlight w:val="none"/>
              </w:rPr>
            </w:pPr>
            <w:bookmarkStart w:id="405" w:name="OLE_LINK89"/>
            <w:bookmarkStart w:id="406" w:name="OLE_LINK88"/>
            <w:r>
              <w:rPr>
                <w:rFonts w:hint="eastAsia" w:ascii="Arial" w:hAnsi="Arial" w:eastAsia="仿宋" w:cs="Arial"/>
                <w:bCs/>
                <w:sz w:val="21"/>
                <w:szCs w:val="21"/>
                <w:highlight w:val="none"/>
              </w:rPr>
              <w:t>（7）</w:t>
            </w:r>
            <w:bookmarkEnd w:id="405"/>
            <w:bookmarkEnd w:id="406"/>
          </w:p>
        </w:tc>
        <w:tc>
          <w:tcPr>
            <w:tcW w:w="2172" w:type="dxa"/>
            <w:shd w:val="clear" w:color="auto" w:fill="auto"/>
            <w:noWrap/>
            <w:vAlign w:val="center"/>
          </w:tcPr>
          <w:p w14:paraId="0AAAE2C9">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建筑物重置价值</w:t>
            </w:r>
          </w:p>
        </w:tc>
        <w:tc>
          <w:tcPr>
            <w:tcW w:w="1692" w:type="dxa"/>
            <w:shd w:val="clear" w:color="auto" w:fill="auto"/>
            <w:noWrap/>
            <w:vAlign w:val="center"/>
          </w:tcPr>
          <w:p w14:paraId="0A1B8FE4">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177.5427</w:t>
            </w:r>
          </w:p>
        </w:tc>
        <w:tc>
          <w:tcPr>
            <w:tcW w:w="888" w:type="dxa"/>
            <w:shd w:val="clear" w:color="auto" w:fill="auto"/>
            <w:noWrap/>
            <w:vAlign w:val="center"/>
          </w:tcPr>
          <w:p w14:paraId="25D9D744">
            <w:pPr>
              <w:widowControl/>
              <w:adjustRightInd/>
              <w:spacing w:line="240" w:lineRule="exac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shd w:val="clear" w:color="auto" w:fill="auto"/>
            <w:noWrap/>
            <w:vAlign w:val="center"/>
          </w:tcPr>
          <w:p w14:paraId="4F2EE446">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前述六项相加</w:t>
            </w:r>
          </w:p>
        </w:tc>
      </w:tr>
      <w:tr w14:paraId="3D23F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2A3172DA">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（8）</w:t>
            </w:r>
          </w:p>
        </w:tc>
        <w:tc>
          <w:tcPr>
            <w:tcW w:w="2172" w:type="dxa"/>
            <w:shd w:val="clear" w:color="auto" w:fill="auto"/>
            <w:noWrap/>
            <w:vAlign w:val="center"/>
          </w:tcPr>
          <w:p w14:paraId="3813411B">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建筑物折旧</w:t>
            </w:r>
          </w:p>
        </w:tc>
        <w:tc>
          <w:tcPr>
            <w:tcW w:w="1692" w:type="dxa"/>
            <w:shd w:val="clear" w:color="auto" w:fill="auto"/>
            <w:noWrap/>
            <w:vAlign w:val="center"/>
          </w:tcPr>
          <w:p w14:paraId="3277755D">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100%</w:t>
            </w:r>
          </w:p>
        </w:tc>
        <w:tc>
          <w:tcPr>
            <w:tcW w:w="888" w:type="dxa"/>
            <w:shd w:val="clear" w:color="auto" w:fill="auto"/>
            <w:noWrap/>
            <w:vAlign w:val="center"/>
          </w:tcPr>
          <w:p w14:paraId="24B333A3">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成新率</w:t>
            </w:r>
          </w:p>
        </w:tc>
        <w:tc>
          <w:tcPr>
            <w:tcW w:w="3840" w:type="dxa"/>
            <w:shd w:val="clear" w:color="auto" w:fill="auto"/>
            <w:noWrap/>
            <w:vAlign w:val="center"/>
          </w:tcPr>
          <w:p w14:paraId="67515D9B">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建筑物重置价值</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（1</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成新率）</w:t>
            </w:r>
          </w:p>
        </w:tc>
      </w:tr>
      <w:tr w14:paraId="486AA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57" w:type="dxa"/>
            <w:bottom w:w="57" w:type="dxa"/>
            <w:right w:w="57" w:type="dxa"/>
          </w:tblCellMar>
        </w:tblPrEx>
        <w:trPr>
          <w:cantSplit/>
        </w:trPr>
        <w:tc>
          <w:tcPr>
            <w:tcW w:w="816" w:type="dxa"/>
            <w:shd w:val="clear" w:color="auto" w:fill="auto"/>
            <w:noWrap/>
            <w:vAlign w:val="center"/>
          </w:tcPr>
          <w:p w14:paraId="7D01B6C5">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（9）</w:t>
            </w:r>
          </w:p>
        </w:tc>
        <w:tc>
          <w:tcPr>
            <w:tcW w:w="2172" w:type="dxa"/>
            <w:shd w:val="clear" w:color="auto" w:fill="auto"/>
            <w:noWrap/>
            <w:vAlign w:val="center"/>
          </w:tcPr>
          <w:p w14:paraId="55CECA38">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建筑物现值</w:t>
            </w:r>
          </w:p>
        </w:tc>
        <w:tc>
          <w:tcPr>
            <w:tcW w:w="1692" w:type="dxa"/>
            <w:shd w:val="clear" w:color="auto" w:fill="auto"/>
            <w:noWrap/>
            <w:vAlign w:val="center"/>
          </w:tcPr>
          <w:p w14:paraId="631D1C0C">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177.5427</w:t>
            </w:r>
          </w:p>
        </w:tc>
        <w:tc>
          <w:tcPr>
            <w:tcW w:w="888" w:type="dxa"/>
            <w:shd w:val="clear" w:color="auto" w:fill="auto"/>
            <w:noWrap/>
            <w:vAlign w:val="center"/>
          </w:tcPr>
          <w:p w14:paraId="2147F9D2">
            <w:pPr>
              <w:widowControl/>
              <w:adjustRightInd/>
              <w:spacing w:line="240" w:lineRule="exact"/>
              <w:textAlignment w:val="auto"/>
              <w:rPr>
                <w:rFonts w:hint="eastAsia"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w:t>
            </w:r>
          </w:p>
        </w:tc>
        <w:tc>
          <w:tcPr>
            <w:tcW w:w="3840" w:type="dxa"/>
            <w:shd w:val="clear" w:color="auto" w:fill="auto"/>
            <w:noWrap/>
            <w:vAlign w:val="center"/>
          </w:tcPr>
          <w:p w14:paraId="10603455">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建筑物重置价值－建筑物折旧</w:t>
            </w:r>
          </w:p>
        </w:tc>
      </w:tr>
    </w:tbl>
    <w:p w14:paraId="5B049E46">
      <w:pPr>
        <w:wordWrap w:val="0"/>
        <w:overflowPunct w:val="0"/>
        <w:autoSpaceDE w:val="0"/>
        <w:autoSpaceDN w:val="0"/>
        <w:spacing w:line="276" w:lineRule="auto"/>
        <w:ind w:firstLine="360" w:firstLineChars="200"/>
        <w:jc w:val="both"/>
        <w:outlineLvl w:val="0"/>
        <w:rPr>
          <w:rFonts w:ascii="Arial" w:hAnsi="Arial" w:eastAsia="华文细黑" w:cs="Arial"/>
          <w:sz w:val="18"/>
          <w:szCs w:val="21"/>
          <w:highlight w:val="none"/>
        </w:rPr>
      </w:pPr>
      <w:r>
        <w:rPr>
          <w:rFonts w:ascii="Arial" w:hAnsi="Arial" w:eastAsia="华文细黑" w:cs="Arial"/>
          <w:sz w:val="18"/>
          <w:szCs w:val="21"/>
          <w:highlight w:val="none"/>
        </w:rPr>
        <w:t>注：房产原值即为建筑物重置价值；</w:t>
      </w:r>
    </w:p>
    <w:p w14:paraId="4F36AB70">
      <w:pPr>
        <w:wordWrap w:val="0"/>
        <w:overflowPunct w:val="0"/>
        <w:autoSpaceDE w:val="0"/>
        <w:autoSpaceDN w:val="0"/>
        <w:spacing w:line="276" w:lineRule="auto"/>
        <w:ind w:firstLine="360" w:firstLineChars="200"/>
        <w:jc w:val="both"/>
        <w:outlineLvl w:val="0"/>
        <w:rPr>
          <w:rFonts w:ascii="Arial" w:hAnsi="Arial" w:eastAsia="华文细黑" w:cs="Arial"/>
          <w:sz w:val="18"/>
          <w:szCs w:val="21"/>
          <w:highlight w:val="none"/>
        </w:rPr>
      </w:pPr>
      <w:r>
        <w:rPr>
          <w:rFonts w:ascii="Arial" w:hAnsi="Arial" w:eastAsia="华文细黑" w:cs="Arial"/>
          <w:sz w:val="18"/>
          <w:szCs w:val="21"/>
          <w:highlight w:val="none"/>
        </w:rPr>
        <w:t>依上述所示，估价对象总用地规模为</w:t>
      </w:r>
      <w:r>
        <w:rPr>
          <w:rFonts w:hint="eastAsia" w:ascii="Arial" w:hAnsi="Arial" w:eastAsia="华文细黑" w:cs="Arial"/>
          <w:sz w:val="18"/>
          <w:szCs w:val="21"/>
          <w:highlight w:val="none"/>
          <w:lang w:eastAsia="zh-CN"/>
        </w:rPr>
        <w:t>56790.45</w:t>
      </w:r>
      <w:r>
        <w:rPr>
          <w:rFonts w:hint="eastAsia" w:ascii="Arial" w:hAnsi="Arial" w:eastAsia="华文细黑" w:cs="Arial"/>
          <w:sz w:val="18"/>
          <w:szCs w:val="21"/>
          <w:highlight w:val="none"/>
        </w:rPr>
        <w:t>平</w:t>
      </w:r>
      <w:r>
        <w:rPr>
          <w:rFonts w:ascii="Arial" w:hAnsi="Arial" w:eastAsia="华文细黑" w:cs="Arial"/>
          <w:sz w:val="18"/>
          <w:szCs w:val="21"/>
          <w:highlight w:val="none"/>
        </w:rPr>
        <w:t>方米，总建筑规模为68148.54</w:t>
      </w:r>
      <w:r>
        <w:rPr>
          <w:rFonts w:hint="eastAsia" w:ascii="Arial" w:hAnsi="Arial" w:eastAsia="华文细黑" w:cs="Arial"/>
          <w:sz w:val="18"/>
          <w:szCs w:val="21"/>
          <w:highlight w:val="none"/>
        </w:rPr>
        <w:t>平</w:t>
      </w:r>
      <w:r>
        <w:rPr>
          <w:rFonts w:ascii="Arial" w:hAnsi="Arial" w:eastAsia="华文细黑" w:cs="Arial"/>
          <w:sz w:val="18"/>
          <w:szCs w:val="21"/>
          <w:highlight w:val="none"/>
        </w:rPr>
        <w:t>方米，本次评估设定公共服务用途出让地上建筑规模为</w:t>
      </w:r>
      <w:r>
        <w:rPr>
          <w:rFonts w:hint="eastAsia" w:ascii="Arial" w:hAnsi="Arial" w:eastAsia="华文细黑" w:cs="Arial"/>
          <w:sz w:val="18"/>
          <w:szCs w:val="21"/>
          <w:highlight w:val="none"/>
          <w:lang w:val="en-US" w:eastAsia="zh-CN"/>
        </w:rPr>
        <w:t>300</w:t>
      </w:r>
      <w:r>
        <w:rPr>
          <w:rFonts w:ascii="Arial" w:hAnsi="Arial" w:eastAsia="华文细黑" w:cs="Arial"/>
          <w:sz w:val="18"/>
          <w:szCs w:val="21"/>
          <w:highlight w:val="none"/>
        </w:rPr>
        <w:t>.00</w:t>
      </w:r>
      <w:r>
        <w:rPr>
          <w:rFonts w:hint="eastAsia" w:ascii="Arial" w:hAnsi="Arial" w:eastAsia="华文细黑" w:cs="Arial"/>
          <w:sz w:val="18"/>
          <w:szCs w:val="21"/>
          <w:highlight w:val="none"/>
        </w:rPr>
        <w:t>平</w:t>
      </w:r>
      <w:r>
        <w:rPr>
          <w:rFonts w:ascii="Arial" w:hAnsi="Arial" w:eastAsia="华文细黑" w:cs="Arial"/>
          <w:sz w:val="18"/>
          <w:szCs w:val="21"/>
          <w:highlight w:val="none"/>
        </w:rPr>
        <w:t>方米，其分摊土地面积</w:t>
      </w:r>
      <w:r>
        <w:rPr>
          <w:rFonts w:hint="eastAsia" w:ascii="Arial" w:hAnsi="Arial" w:eastAsia="华文细黑" w:cs="Arial"/>
          <w:sz w:val="18"/>
          <w:szCs w:val="21"/>
          <w:highlight w:val="none"/>
          <w:lang w:eastAsia="zh-CN"/>
        </w:rPr>
        <w:t>＝</w:t>
      </w:r>
      <w:r>
        <w:rPr>
          <w:rFonts w:hint="eastAsia" w:ascii="Arial" w:hAnsi="Arial" w:eastAsia="华文细黑" w:cs="Arial"/>
          <w:sz w:val="18"/>
          <w:szCs w:val="21"/>
          <w:highlight w:val="none"/>
          <w:lang w:val="en-US" w:eastAsia="zh-CN"/>
        </w:rPr>
        <w:t>300.</w:t>
      </w:r>
      <w:r>
        <w:rPr>
          <w:rFonts w:ascii="Arial" w:hAnsi="Arial" w:eastAsia="华文细黑" w:cs="Arial"/>
          <w:sz w:val="18"/>
          <w:szCs w:val="21"/>
          <w:highlight w:val="none"/>
        </w:rPr>
        <w:t>.00</w:t>
      </w:r>
      <w:r>
        <w:rPr>
          <w:rFonts w:hint="eastAsia" w:ascii="Arial" w:hAnsi="Arial" w:eastAsia="华文细黑" w:cs="Arial"/>
          <w:sz w:val="18"/>
          <w:szCs w:val="21"/>
          <w:highlight w:val="none"/>
          <w:lang w:eastAsia="zh-CN"/>
        </w:rPr>
        <w:t>÷</w:t>
      </w:r>
      <w:r>
        <w:rPr>
          <w:rFonts w:ascii="Arial" w:hAnsi="Arial" w:eastAsia="华文细黑" w:cs="Arial"/>
          <w:sz w:val="18"/>
          <w:szCs w:val="21"/>
          <w:highlight w:val="none"/>
        </w:rPr>
        <w:t>68148.54</w:t>
      </w:r>
      <w:r>
        <w:rPr>
          <w:rFonts w:hint="eastAsia" w:ascii="Arial" w:hAnsi="Arial" w:eastAsia="华文细黑" w:cs="Arial"/>
          <w:sz w:val="18"/>
          <w:szCs w:val="21"/>
          <w:highlight w:val="none"/>
          <w:lang w:eastAsia="zh-CN"/>
        </w:rPr>
        <w:t>×56790.45＝</w:t>
      </w:r>
      <w:r>
        <w:rPr>
          <w:rFonts w:hint="eastAsia" w:ascii="Arial" w:hAnsi="Arial" w:eastAsia="华文细黑" w:cs="Arial"/>
          <w:sz w:val="18"/>
          <w:szCs w:val="21"/>
          <w:highlight w:val="none"/>
          <w:lang w:val="en-US" w:eastAsia="zh-CN"/>
        </w:rPr>
        <w:t>236.68</w:t>
      </w:r>
      <w:r>
        <w:rPr>
          <w:rFonts w:ascii="Arial" w:hAnsi="Arial" w:eastAsia="华文细黑" w:cs="Arial"/>
          <w:sz w:val="18"/>
          <w:szCs w:val="21"/>
          <w:highlight w:val="none"/>
        </w:rPr>
        <w:t>平方米</w:t>
      </w:r>
    </w:p>
    <w:p w14:paraId="0F923AEB">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则有：</w:t>
      </w:r>
    </w:p>
    <w:p w14:paraId="29429DA5">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维修费</w:t>
      </w:r>
      <w:bookmarkStart w:id="407" w:name="OLE_LINK90"/>
      <w:bookmarkStart w:id="408" w:name="OLE_LINK91"/>
      <w:r>
        <w:rPr>
          <w:rFonts w:hint="eastAsia" w:ascii="Arial" w:hAnsi="Arial" w:eastAsia="仿宋" w:cs="Arial"/>
          <w:sz w:val="28"/>
          <w:highlight w:val="none"/>
        </w:rPr>
        <w:t>＝建筑物重置价值</w:t>
      </w:r>
      <w:r>
        <w:rPr>
          <w:rFonts w:hint="eastAsia" w:ascii="Arial" w:hAnsi="Arial" w:eastAsia="仿宋" w:cs="Arial"/>
          <w:sz w:val="28"/>
          <w:highlight w:val="none"/>
          <w:lang w:eastAsia="zh-CN"/>
        </w:rPr>
        <w:t>×</w:t>
      </w:r>
      <w:r>
        <w:rPr>
          <w:rFonts w:hint="eastAsia" w:ascii="Arial" w:hAnsi="Arial" w:eastAsia="仿宋" w:cs="Arial"/>
          <w:sz w:val="28"/>
          <w:highlight w:val="none"/>
        </w:rPr>
        <w:t>维修费率</w:t>
      </w:r>
      <w:bookmarkEnd w:id="407"/>
      <w:bookmarkEnd w:id="408"/>
      <w:r>
        <w:rPr>
          <w:rFonts w:hint="eastAsia" w:ascii="Arial" w:hAnsi="Arial" w:eastAsia="仿宋" w:cs="Arial"/>
          <w:sz w:val="28"/>
          <w:highlight w:val="none"/>
        </w:rPr>
        <w:t>＝</w:t>
      </w:r>
      <w:r>
        <w:rPr>
          <w:rFonts w:hint="eastAsia" w:ascii="Arial" w:hAnsi="Arial" w:eastAsia="仿宋" w:cs="Arial"/>
          <w:sz w:val="28"/>
          <w:highlight w:val="none"/>
          <w:lang w:val="en-US" w:eastAsia="zh-CN"/>
        </w:rPr>
        <w:t>177.5427</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w:t>
      </w:r>
      <w:r>
        <w:rPr>
          <w:rFonts w:hint="eastAsia" w:ascii="Arial" w:hAnsi="Arial" w:eastAsia="仿宋" w:cs="Arial"/>
          <w:sz w:val="28"/>
          <w:highlight w:val="none"/>
        </w:rPr>
        <w:t>%＝</w:t>
      </w:r>
      <w:r>
        <w:rPr>
          <w:rFonts w:hint="eastAsia" w:ascii="Arial" w:hAnsi="Arial" w:eastAsia="仿宋" w:cs="Arial"/>
          <w:sz w:val="28"/>
          <w:highlight w:val="none"/>
          <w:lang w:val="en-US" w:eastAsia="zh-CN"/>
        </w:rPr>
        <w:t>1.7754</w:t>
      </w:r>
      <w:r>
        <w:rPr>
          <w:rFonts w:hint="eastAsia" w:ascii="Arial" w:hAnsi="Arial" w:eastAsia="仿宋" w:cs="Arial"/>
          <w:sz w:val="28"/>
          <w:highlight w:val="none"/>
        </w:rPr>
        <w:t>（万元）</w:t>
      </w:r>
    </w:p>
    <w:p w14:paraId="07AF411B">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C）</w:t>
      </w:r>
      <w:r>
        <w:rPr>
          <w:rFonts w:hint="eastAsia" w:ascii="Arial" w:hAnsi="Arial" w:eastAsia="仿宋" w:cs="Arial"/>
          <w:sz w:val="28"/>
          <w:highlight w:val="none"/>
        </w:rPr>
        <w:t>保险费</w:t>
      </w:r>
    </w:p>
    <w:p w14:paraId="154800FE">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保险费指房产所有人为使自己的房产避免意外损失而向保险公司支付的费用，一般按房屋重置成新价格乘以保险费率计算，根据经评估专业人员问询保险机构，依据项目的不同，保险费率一般在0.1%</w:t>
      </w:r>
      <w:r>
        <w:rPr>
          <w:rFonts w:hint="eastAsia" w:ascii="Arial" w:hAnsi="Arial" w:eastAsia="仿宋" w:cs="Arial"/>
          <w:sz w:val="28"/>
          <w:highlight w:val="none"/>
          <w:lang w:eastAsia="zh-CN"/>
        </w:rPr>
        <w:t>－</w:t>
      </w:r>
      <w:r>
        <w:rPr>
          <w:rFonts w:hint="eastAsia" w:ascii="Arial" w:hAnsi="Arial" w:eastAsia="仿宋" w:cs="Arial"/>
          <w:sz w:val="28"/>
          <w:highlight w:val="none"/>
        </w:rPr>
        <w:t>0.2%。依前表，建筑物现值为</w:t>
      </w:r>
      <w:r>
        <w:rPr>
          <w:rFonts w:hint="eastAsia" w:ascii="Arial" w:hAnsi="Arial" w:eastAsia="仿宋" w:cs="Arial"/>
          <w:sz w:val="28"/>
          <w:highlight w:val="none"/>
          <w:lang w:val="en-US" w:eastAsia="zh-CN"/>
        </w:rPr>
        <w:t>177.5427</w:t>
      </w:r>
      <w:r>
        <w:rPr>
          <w:rFonts w:hint="eastAsia" w:ascii="Arial" w:hAnsi="Arial" w:eastAsia="仿宋" w:cs="Arial"/>
          <w:sz w:val="28"/>
          <w:highlight w:val="none"/>
        </w:rPr>
        <w:t>万元，本次评估根据估价对象实际情况，按</w:t>
      </w:r>
      <w:r>
        <w:rPr>
          <w:rFonts w:hint="eastAsia" w:ascii="Arial" w:hAnsi="Arial" w:eastAsia="仿宋" w:cs="Arial"/>
          <w:sz w:val="28"/>
          <w:highlight w:val="none"/>
          <w:lang w:val="en-US" w:eastAsia="zh-CN"/>
        </w:rPr>
        <w:t>建筑物现值</w:t>
      </w:r>
      <w:r>
        <w:rPr>
          <w:rFonts w:hint="eastAsia" w:ascii="Arial" w:hAnsi="Arial" w:eastAsia="仿宋" w:cs="Arial"/>
          <w:sz w:val="28"/>
          <w:highlight w:val="none"/>
        </w:rPr>
        <w:t>的</w:t>
      </w:r>
      <w:r>
        <w:rPr>
          <w:rFonts w:hint="eastAsia" w:ascii="Arial" w:hAnsi="Arial" w:eastAsia="仿宋" w:cs="Arial"/>
          <w:sz w:val="28"/>
          <w:highlight w:val="none"/>
          <w:lang w:val="en-US" w:eastAsia="zh-CN"/>
        </w:rPr>
        <w:t>0.2</w:t>
      </w:r>
      <w:r>
        <w:rPr>
          <w:rFonts w:hint="eastAsia" w:ascii="Arial" w:hAnsi="Arial" w:eastAsia="仿宋" w:cs="Arial"/>
          <w:sz w:val="28"/>
          <w:highlight w:val="none"/>
        </w:rPr>
        <w:t>%计算</w:t>
      </w:r>
      <w:r>
        <w:rPr>
          <w:rFonts w:hint="eastAsia" w:ascii="Arial" w:hAnsi="Arial" w:eastAsia="仿宋" w:cs="Arial"/>
          <w:sz w:val="28"/>
          <w:highlight w:val="none"/>
          <w:lang w:eastAsia="zh-CN"/>
        </w:rPr>
        <w:t>，</w:t>
      </w:r>
      <w:r>
        <w:rPr>
          <w:rFonts w:hint="eastAsia" w:ascii="Arial" w:hAnsi="Arial" w:eastAsia="仿宋" w:cs="Arial"/>
          <w:sz w:val="28"/>
          <w:highlight w:val="none"/>
        </w:rPr>
        <w:t>则有：</w:t>
      </w:r>
    </w:p>
    <w:p w14:paraId="33CB4DD4">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rPr>
        <w:t>保险费＝建筑物现值</w:t>
      </w:r>
      <w:r>
        <w:rPr>
          <w:rFonts w:hint="eastAsia" w:ascii="Arial" w:hAnsi="Arial" w:eastAsia="仿宋" w:cs="Arial"/>
          <w:sz w:val="28"/>
          <w:highlight w:val="none"/>
          <w:lang w:eastAsia="zh-CN"/>
        </w:rPr>
        <w:t>×</w:t>
      </w:r>
      <w:r>
        <w:rPr>
          <w:rFonts w:hint="eastAsia" w:ascii="Arial" w:hAnsi="Arial" w:eastAsia="仿宋" w:cs="Arial"/>
          <w:sz w:val="28"/>
          <w:highlight w:val="none"/>
        </w:rPr>
        <w:t>保险费率＝</w:t>
      </w:r>
      <w:r>
        <w:rPr>
          <w:rFonts w:hint="eastAsia" w:ascii="Arial" w:hAnsi="Arial" w:eastAsia="仿宋" w:cs="Arial"/>
          <w:sz w:val="28"/>
          <w:highlight w:val="none"/>
          <w:lang w:val="en-US" w:eastAsia="zh-CN"/>
        </w:rPr>
        <w:t>177.5427</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0.2</w:t>
      </w:r>
      <w:r>
        <w:rPr>
          <w:rFonts w:hint="eastAsia" w:ascii="Arial" w:hAnsi="Arial" w:eastAsia="仿宋" w:cs="Arial"/>
          <w:sz w:val="28"/>
          <w:highlight w:val="none"/>
        </w:rPr>
        <w:t>%＝</w:t>
      </w:r>
      <w:r>
        <w:rPr>
          <w:rFonts w:hint="eastAsia" w:ascii="Arial" w:hAnsi="Arial" w:eastAsia="仿宋" w:cs="Arial"/>
          <w:sz w:val="28"/>
          <w:highlight w:val="none"/>
          <w:lang w:val="en-US" w:eastAsia="zh-CN"/>
        </w:rPr>
        <w:t>0.3551</w:t>
      </w:r>
      <w:r>
        <w:rPr>
          <w:rFonts w:hint="eastAsia" w:ascii="Arial" w:hAnsi="Arial" w:eastAsia="仿宋" w:cs="Arial"/>
          <w:sz w:val="28"/>
          <w:highlight w:val="none"/>
        </w:rPr>
        <w:t>（万元）</w:t>
      </w:r>
    </w:p>
    <w:p w14:paraId="3019722C">
      <w:pPr>
        <w:spacing w:line="300" w:lineRule="auto"/>
        <w:ind w:right="205" w:firstLine="560" w:firstLineChars="200"/>
        <w:jc w:val="both"/>
        <w:rPr>
          <w:rFonts w:hint="eastAsia" w:ascii="Arial" w:hAnsi="Arial" w:eastAsia="仿宋" w:cs="Arial"/>
          <w:sz w:val="28"/>
          <w:highlight w:val="none"/>
        </w:rPr>
      </w:pPr>
      <w:r>
        <w:rPr>
          <w:rFonts w:hint="eastAsia" w:ascii="Arial" w:hAnsi="Arial" w:eastAsia="仿宋" w:cs="Arial"/>
          <w:sz w:val="28"/>
          <w:highlight w:val="none"/>
          <w:lang w:val="en-US" w:eastAsia="zh-CN"/>
        </w:rPr>
        <w:t>D）</w:t>
      </w:r>
      <w:r>
        <w:rPr>
          <w:rFonts w:hint="eastAsia" w:ascii="Arial" w:hAnsi="Arial" w:eastAsia="仿宋" w:cs="Arial"/>
          <w:sz w:val="28"/>
          <w:highlight w:val="none"/>
        </w:rPr>
        <w:t>管理费用，指对出租房屋进行必要的管理所需的费用，如管理人员工资、物业费等，同类房地产的管理费水平一般占年收入的1%</w:t>
      </w:r>
      <w:r>
        <w:rPr>
          <w:rFonts w:hint="eastAsia" w:ascii="Arial" w:hAnsi="Arial" w:eastAsia="仿宋" w:cs="Arial"/>
          <w:sz w:val="28"/>
          <w:highlight w:val="none"/>
          <w:lang w:eastAsia="zh-CN"/>
        </w:rPr>
        <w:t>－</w:t>
      </w:r>
      <w:r>
        <w:rPr>
          <w:rFonts w:hint="eastAsia" w:ascii="Arial" w:hAnsi="Arial" w:eastAsia="仿宋" w:cs="Arial"/>
          <w:sz w:val="28"/>
          <w:highlight w:val="none"/>
        </w:rPr>
        <w:t>2%。本次评估根据估价对象实际情况，按年有效毛收入的1</w:t>
      </w:r>
      <w:r>
        <w:rPr>
          <w:rFonts w:hint="eastAsia" w:ascii="Arial" w:hAnsi="Arial" w:eastAsia="仿宋" w:cs="Arial"/>
          <w:sz w:val="28"/>
          <w:highlight w:val="none"/>
          <w:lang w:val="en-US" w:eastAsia="zh-CN"/>
        </w:rPr>
        <w:t>.5</w:t>
      </w:r>
      <w:r>
        <w:rPr>
          <w:rFonts w:hint="eastAsia" w:ascii="Arial" w:hAnsi="Arial" w:eastAsia="仿宋" w:cs="Arial"/>
          <w:sz w:val="28"/>
          <w:highlight w:val="none"/>
        </w:rPr>
        <w:t>%计算</w:t>
      </w:r>
      <w:r>
        <w:rPr>
          <w:rFonts w:hint="eastAsia" w:ascii="Arial" w:hAnsi="Arial" w:eastAsia="仿宋" w:cs="Arial"/>
          <w:sz w:val="28"/>
          <w:highlight w:val="none"/>
          <w:lang w:eastAsia="zh-CN"/>
        </w:rPr>
        <w:t>，</w:t>
      </w:r>
      <w:r>
        <w:rPr>
          <w:rFonts w:hint="eastAsia" w:ascii="Arial" w:hAnsi="Arial" w:eastAsia="仿宋" w:cs="Arial"/>
          <w:sz w:val="28"/>
          <w:highlight w:val="none"/>
        </w:rPr>
        <w:t>则有：</w:t>
      </w:r>
    </w:p>
    <w:p w14:paraId="5FCF28AA">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管理费用＝</w:t>
      </w:r>
      <w:r>
        <w:rPr>
          <w:rFonts w:hint="eastAsia" w:ascii="Arial" w:hAnsi="Arial" w:eastAsia="仿宋" w:cs="Arial"/>
          <w:sz w:val="28"/>
          <w:highlight w:val="none"/>
          <w:lang w:val="en-US" w:eastAsia="zh-CN"/>
        </w:rPr>
        <w:t>20.7214</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1.5</w:t>
      </w:r>
      <w:r>
        <w:rPr>
          <w:rFonts w:hint="eastAsia" w:ascii="Arial" w:hAnsi="Arial" w:eastAsia="仿宋" w:cs="Arial"/>
          <w:sz w:val="28"/>
          <w:highlight w:val="none"/>
        </w:rPr>
        <w:t>%＝</w:t>
      </w:r>
      <w:r>
        <w:rPr>
          <w:rFonts w:hint="eastAsia" w:ascii="Arial" w:hAnsi="Arial" w:eastAsia="仿宋" w:cs="Arial"/>
          <w:sz w:val="28"/>
          <w:highlight w:val="none"/>
          <w:lang w:val="en-US" w:eastAsia="zh-CN"/>
        </w:rPr>
        <w:t>0.3108</w:t>
      </w:r>
      <w:r>
        <w:rPr>
          <w:rFonts w:hint="eastAsia" w:ascii="Arial" w:hAnsi="Arial" w:eastAsia="仿宋" w:cs="Arial"/>
          <w:sz w:val="28"/>
          <w:highlight w:val="none"/>
        </w:rPr>
        <w:t>（万元）</w:t>
      </w:r>
    </w:p>
    <w:p w14:paraId="77F22F22">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E）</w:t>
      </w:r>
      <w:r>
        <w:rPr>
          <w:rFonts w:hint="eastAsia" w:ascii="Arial" w:hAnsi="Arial" w:eastAsia="仿宋" w:cs="Arial"/>
          <w:sz w:val="28"/>
          <w:highlight w:val="none"/>
        </w:rPr>
        <w:t>年经营费用汇总如下：</w:t>
      </w:r>
    </w:p>
    <w:tbl>
      <w:tblPr>
        <w:tblStyle w:val="34"/>
        <w:tblW w:w="9299" w:type="dxa"/>
        <w:jc w:val="center"/>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Layout w:type="fixed"/>
        <w:tblCellMar>
          <w:top w:w="57" w:type="dxa"/>
          <w:left w:w="85" w:type="dxa"/>
          <w:bottom w:w="57" w:type="dxa"/>
          <w:right w:w="85" w:type="dxa"/>
        </w:tblCellMar>
      </w:tblPr>
      <w:tblGrid>
        <w:gridCol w:w="852"/>
        <w:gridCol w:w="1548"/>
        <w:gridCol w:w="1476"/>
        <w:gridCol w:w="5423"/>
      </w:tblGrid>
      <w:tr w14:paraId="3F121D54">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2C4C97BF">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序号</w:t>
            </w:r>
          </w:p>
        </w:tc>
        <w:tc>
          <w:tcPr>
            <w:tcW w:w="1548" w:type="dxa"/>
            <w:noWrap/>
            <w:vAlign w:val="center"/>
          </w:tcPr>
          <w:p w14:paraId="7AF82EC1">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项目名称</w:t>
            </w:r>
          </w:p>
        </w:tc>
        <w:tc>
          <w:tcPr>
            <w:tcW w:w="1476" w:type="dxa"/>
            <w:noWrap/>
            <w:vAlign w:val="center"/>
          </w:tcPr>
          <w:p w14:paraId="77A86B53">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总额（万元）</w:t>
            </w:r>
          </w:p>
        </w:tc>
        <w:tc>
          <w:tcPr>
            <w:tcW w:w="5423" w:type="dxa"/>
            <w:noWrap w:val="0"/>
            <w:vAlign w:val="top"/>
          </w:tcPr>
          <w:p w14:paraId="41E1205B">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备注</w:t>
            </w:r>
          </w:p>
        </w:tc>
      </w:tr>
      <w:tr w14:paraId="6F4FCAF5">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3CC677F8">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1）</w:t>
            </w:r>
          </w:p>
        </w:tc>
        <w:tc>
          <w:tcPr>
            <w:tcW w:w="1548" w:type="dxa"/>
            <w:noWrap/>
            <w:vAlign w:val="center"/>
          </w:tcPr>
          <w:p w14:paraId="72D52014">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税费</w:t>
            </w:r>
          </w:p>
        </w:tc>
        <w:tc>
          <w:tcPr>
            <w:tcW w:w="1476" w:type="dxa"/>
            <w:noWrap/>
            <w:vAlign w:val="center"/>
          </w:tcPr>
          <w:p w14:paraId="7CDF380B">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2.6853</w:t>
            </w:r>
          </w:p>
        </w:tc>
        <w:tc>
          <w:tcPr>
            <w:tcW w:w="5423" w:type="dxa"/>
            <w:noWrap w:val="0"/>
            <w:vAlign w:val="top"/>
          </w:tcPr>
          <w:p w14:paraId="3A5DEEAE">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w:t>
            </w:r>
          </w:p>
        </w:tc>
      </w:tr>
      <w:tr w14:paraId="01CED4D0">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trHeight w:val="108" w:hRule="atLeast"/>
          <w:jc w:val="center"/>
        </w:trPr>
        <w:tc>
          <w:tcPr>
            <w:tcW w:w="852" w:type="dxa"/>
            <w:noWrap/>
            <w:vAlign w:val="center"/>
          </w:tcPr>
          <w:p w14:paraId="1603E477">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A</w:t>
            </w:r>
          </w:p>
        </w:tc>
        <w:tc>
          <w:tcPr>
            <w:tcW w:w="1548" w:type="dxa"/>
            <w:noWrap/>
            <w:vAlign w:val="center"/>
          </w:tcPr>
          <w:p w14:paraId="63D9AE68">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增值税及附加</w:t>
            </w:r>
          </w:p>
        </w:tc>
        <w:tc>
          <w:tcPr>
            <w:tcW w:w="1476" w:type="dxa"/>
            <w:noWrap/>
            <w:vAlign w:val="center"/>
          </w:tcPr>
          <w:p w14:paraId="24334D4A">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0.1663</w:t>
            </w:r>
          </w:p>
        </w:tc>
        <w:tc>
          <w:tcPr>
            <w:tcW w:w="5423" w:type="dxa"/>
            <w:noWrap w:val="0"/>
            <w:vAlign w:val="top"/>
          </w:tcPr>
          <w:p w14:paraId="20F874E4">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依前述，仅将增值税的附加税费做减项处理，公式为：</w:t>
            </w:r>
          </w:p>
          <w:p w14:paraId="03B9C2A3">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增值税附加税费</w:t>
            </w:r>
          </w:p>
          <w:p w14:paraId="312F731C">
            <w:pPr>
              <w:widowControl/>
              <w:adjustRightInd/>
              <w:spacing w:line="240" w:lineRule="exact"/>
              <w:textAlignment w:val="auto"/>
              <w:rPr>
                <w:rFonts w:hint="eastAsia" w:ascii="Arial" w:hAnsi="Arial" w:eastAsia="仿宋" w:cs="Arial"/>
                <w:bCs/>
                <w:sz w:val="21"/>
                <w:szCs w:val="21"/>
                <w:highlight w:val="none"/>
              </w:rPr>
            </w:pPr>
            <w:bookmarkStart w:id="409" w:name="OLE_LINK49"/>
            <w:bookmarkStart w:id="410" w:name="OLE_LINK48"/>
            <w:r>
              <w:rPr>
                <w:rFonts w:hint="eastAsia" w:ascii="Arial" w:hAnsi="Arial" w:eastAsia="仿宋" w:cs="Arial"/>
                <w:bCs/>
                <w:sz w:val="21"/>
                <w:szCs w:val="21"/>
                <w:highlight w:val="none"/>
              </w:rPr>
              <w:t>＝</w:t>
            </w:r>
            <w:bookmarkEnd w:id="409"/>
            <w:bookmarkEnd w:id="410"/>
            <w:bookmarkStart w:id="411" w:name="OLE_LINK50"/>
            <w:bookmarkStart w:id="412" w:name="OLE_LINK51"/>
            <w:r>
              <w:rPr>
                <w:rFonts w:hint="eastAsia" w:ascii="Arial" w:hAnsi="Arial" w:eastAsia="仿宋" w:cs="Arial"/>
                <w:bCs/>
                <w:sz w:val="21"/>
                <w:szCs w:val="21"/>
                <w:highlight w:val="none"/>
              </w:rPr>
              <w:t>[1.86</w:t>
            </w:r>
            <w:r>
              <w:rPr>
                <w:rFonts w:hint="eastAsia" w:ascii="Arial" w:hAnsi="Arial" w:eastAsia="仿宋" w:cs="Arial"/>
                <w:bCs/>
                <w:sz w:val="21"/>
                <w:szCs w:val="21"/>
                <w:highlight w:val="none"/>
                <w:lang w:val="en-US" w:eastAsia="zh-CN"/>
              </w:rPr>
              <w:t>2</w:t>
            </w:r>
            <w:r>
              <w:rPr>
                <w:rFonts w:hint="eastAsia" w:ascii="Arial" w:hAnsi="Arial" w:eastAsia="仿宋" w:cs="Arial"/>
                <w:bCs/>
                <w:sz w:val="21"/>
                <w:szCs w:val="21"/>
                <w:highlight w:val="none"/>
              </w:rPr>
              <w:t>6</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（维修费</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9%＋（保险费＋管理费用）</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6%））]</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10</w:t>
            </w:r>
            <w:r>
              <w:rPr>
                <w:rFonts w:hint="eastAsia" w:ascii="Arial" w:hAnsi="Arial" w:eastAsia="仿宋" w:cs="Arial"/>
                <w:bCs/>
                <w:sz w:val="21"/>
                <w:szCs w:val="21"/>
                <w:highlight w:val="none"/>
              </w:rPr>
              <w:t>%</w:t>
            </w:r>
            <w:bookmarkEnd w:id="411"/>
            <w:bookmarkEnd w:id="412"/>
          </w:p>
          <w:p w14:paraId="498B015E">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＝[1.86</w:t>
            </w:r>
            <w:r>
              <w:rPr>
                <w:rFonts w:hint="eastAsia" w:ascii="Arial" w:hAnsi="Arial" w:eastAsia="仿宋" w:cs="Arial"/>
                <w:bCs/>
                <w:sz w:val="21"/>
                <w:szCs w:val="21"/>
                <w:highlight w:val="none"/>
                <w:lang w:val="en-US" w:eastAsia="zh-CN"/>
              </w:rPr>
              <w:t>2</w:t>
            </w:r>
            <w:r>
              <w:rPr>
                <w:rFonts w:hint="eastAsia" w:ascii="Arial" w:hAnsi="Arial" w:eastAsia="仿宋" w:cs="Arial"/>
                <w:bCs/>
                <w:sz w:val="21"/>
                <w:szCs w:val="21"/>
                <w:highlight w:val="none"/>
              </w:rPr>
              <w:t>6</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（1.7754</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9%＋（0.3551＋0.3108）</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rPr>
              <w:t>6%））]</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10</w:t>
            </w:r>
            <w:r>
              <w:rPr>
                <w:rFonts w:hint="eastAsia" w:ascii="Arial" w:hAnsi="Arial" w:eastAsia="仿宋" w:cs="Arial"/>
                <w:bCs/>
                <w:sz w:val="21"/>
                <w:szCs w:val="21"/>
                <w:highlight w:val="none"/>
              </w:rPr>
              <w:t>%</w:t>
            </w:r>
          </w:p>
          <w:p w14:paraId="1182120E">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rPr>
              <w:t>＝</w:t>
            </w:r>
            <w:r>
              <w:rPr>
                <w:rFonts w:hint="eastAsia" w:ascii="Arial" w:hAnsi="Arial" w:eastAsia="仿宋" w:cs="Arial"/>
                <w:bCs/>
                <w:sz w:val="21"/>
                <w:szCs w:val="21"/>
                <w:highlight w:val="none"/>
                <w:lang w:val="en-US" w:eastAsia="zh-CN"/>
              </w:rPr>
              <w:t>0.1663</w:t>
            </w:r>
          </w:p>
        </w:tc>
      </w:tr>
      <w:tr w14:paraId="1ED36AE5">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286ED40A">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B</w:t>
            </w:r>
          </w:p>
        </w:tc>
        <w:tc>
          <w:tcPr>
            <w:tcW w:w="1548" w:type="dxa"/>
            <w:noWrap/>
            <w:vAlign w:val="center"/>
          </w:tcPr>
          <w:p w14:paraId="03045F2C">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房产税</w:t>
            </w:r>
          </w:p>
        </w:tc>
        <w:tc>
          <w:tcPr>
            <w:tcW w:w="1476" w:type="dxa"/>
            <w:noWrap/>
            <w:vAlign w:val="center"/>
          </w:tcPr>
          <w:p w14:paraId="246BCF05">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2.4835</w:t>
            </w:r>
          </w:p>
        </w:tc>
        <w:tc>
          <w:tcPr>
            <w:tcW w:w="5423" w:type="dxa"/>
            <w:noWrap w:val="0"/>
            <w:vAlign w:val="top"/>
          </w:tcPr>
          <w:p w14:paraId="27C39CFA">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w:t>
            </w:r>
          </w:p>
        </w:tc>
      </w:tr>
      <w:tr w14:paraId="601826BE">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447B8514">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C</w:t>
            </w:r>
          </w:p>
        </w:tc>
        <w:tc>
          <w:tcPr>
            <w:tcW w:w="1548" w:type="dxa"/>
            <w:noWrap/>
            <w:vAlign w:val="center"/>
          </w:tcPr>
          <w:p w14:paraId="0C6E6769">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土地使用税</w:t>
            </w:r>
          </w:p>
        </w:tc>
        <w:tc>
          <w:tcPr>
            <w:tcW w:w="1476" w:type="dxa"/>
            <w:noWrap/>
            <w:vAlign w:val="center"/>
          </w:tcPr>
          <w:p w14:paraId="68127EEA">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0.0355</w:t>
            </w:r>
          </w:p>
        </w:tc>
        <w:tc>
          <w:tcPr>
            <w:tcW w:w="5423" w:type="dxa"/>
            <w:noWrap w:val="0"/>
            <w:vAlign w:val="top"/>
          </w:tcPr>
          <w:p w14:paraId="1E970CA2">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w:t>
            </w:r>
          </w:p>
        </w:tc>
      </w:tr>
      <w:tr w14:paraId="08405FD7">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2D4B0F10">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2）</w:t>
            </w:r>
          </w:p>
        </w:tc>
        <w:tc>
          <w:tcPr>
            <w:tcW w:w="1548" w:type="dxa"/>
            <w:noWrap/>
            <w:vAlign w:val="center"/>
          </w:tcPr>
          <w:p w14:paraId="476B90E6">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维修费</w:t>
            </w:r>
          </w:p>
        </w:tc>
        <w:tc>
          <w:tcPr>
            <w:tcW w:w="1476" w:type="dxa"/>
            <w:noWrap/>
            <w:vAlign w:val="center"/>
          </w:tcPr>
          <w:p w14:paraId="5DB04EC9">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1.7754</w:t>
            </w:r>
          </w:p>
        </w:tc>
        <w:tc>
          <w:tcPr>
            <w:tcW w:w="5423" w:type="dxa"/>
            <w:noWrap w:val="0"/>
            <w:vAlign w:val="top"/>
          </w:tcPr>
          <w:p w14:paraId="01A5848A">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w:t>
            </w:r>
          </w:p>
        </w:tc>
      </w:tr>
      <w:tr w14:paraId="4CCAB8CB">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3FF8AF88">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3）</w:t>
            </w:r>
          </w:p>
        </w:tc>
        <w:tc>
          <w:tcPr>
            <w:tcW w:w="1548" w:type="dxa"/>
            <w:noWrap/>
            <w:vAlign w:val="center"/>
          </w:tcPr>
          <w:p w14:paraId="0879F2EA">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保险费</w:t>
            </w:r>
          </w:p>
        </w:tc>
        <w:tc>
          <w:tcPr>
            <w:tcW w:w="1476" w:type="dxa"/>
            <w:noWrap/>
            <w:vAlign w:val="center"/>
          </w:tcPr>
          <w:p w14:paraId="32C7F775">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0.3551</w:t>
            </w:r>
          </w:p>
        </w:tc>
        <w:tc>
          <w:tcPr>
            <w:tcW w:w="5423" w:type="dxa"/>
            <w:noWrap w:val="0"/>
            <w:vAlign w:val="top"/>
          </w:tcPr>
          <w:p w14:paraId="7FE76DA2">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w:t>
            </w:r>
          </w:p>
        </w:tc>
      </w:tr>
      <w:tr w14:paraId="5DF4E874">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31B1869B">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4）</w:t>
            </w:r>
          </w:p>
        </w:tc>
        <w:tc>
          <w:tcPr>
            <w:tcW w:w="1548" w:type="dxa"/>
            <w:noWrap/>
            <w:vAlign w:val="center"/>
          </w:tcPr>
          <w:p w14:paraId="53A971AE">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管理费用</w:t>
            </w:r>
          </w:p>
        </w:tc>
        <w:tc>
          <w:tcPr>
            <w:tcW w:w="1476" w:type="dxa"/>
            <w:noWrap/>
            <w:vAlign w:val="center"/>
          </w:tcPr>
          <w:p w14:paraId="7193C2A0">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0.3108</w:t>
            </w:r>
          </w:p>
        </w:tc>
        <w:tc>
          <w:tcPr>
            <w:tcW w:w="5423" w:type="dxa"/>
            <w:noWrap w:val="0"/>
            <w:vAlign w:val="top"/>
          </w:tcPr>
          <w:p w14:paraId="586DF9FF">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w:t>
            </w:r>
          </w:p>
        </w:tc>
      </w:tr>
      <w:tr w14:paraId="5F0FD9F2">
        <w:tblPrEx>
          <w:tblBorders>
            <w:top w:val="single" w:color="404040" w:sz="4" w:space="0"/>
            <w:left w:val="single" w:color="404040" w:sz="4" w:space="0"/>
            <w:bottom w:val="single" w:color="404040" w:sz="4" w:space="0"/>
            <w:right w:val="single" w:color="404040" w:sz="4" w:space="0"/>
            <w:insideH w:val="single" w:color="404040" w:sz="4" w:space="0"/>
            <w:insideV w:val="single" w:color="404040" w:sz="4" w:space="0"/>
          </w:tblBorders>
          <w:tblCellMar>
            <w:top w:w="57" w:type="dxa"/>
            <w:left w:w="85" w:type="dxa"/>
            <w:bottom w:w="57" w:type="dxa"/>
            <w:right w:w="85" w:type="dxa"/>
          </w:tblCellMar>
        </w:tblPrEx>
        <w:trPr>
          <w:cantSplit/>
          <w:jc w:val="center"/>
        </w:trPr>
        <w:tc>
          <w:tcPr>
            <w:tcW w:w="852" w:type="dxa"/>
            <w:noWrap/>
            <w:vAlign w:val="center"/>
          </w:tcPr>
          <w:p w14:paraId="4D31DA7F">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5）</w:t>
            </w:r>
          </w:p>
        </w:tc>
        <w:tc>
          <w:tcPr>
            <w:tcW w:w="1548" w:type="dxa"/>
            <w:noWrap/>
            <w:vAlign w:val="center"/>
          </w:tcPr>
          <w:p w14:paraId="2197F02C">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年经营费用</w:t>
            </w:r>
          </w:p>
        </w:tc>
        <w:tc>
          <w:tcPr>
            <w:tcW w:w="1476" w:type="dxa"/>
            <w:noWrap/>
            <w:vAlign w:val="center"/>
          </w:tcPr>
          <w:p w14:paraId="1F50225D">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5.1266</w:t>
            </w:r>
          </w:p>
        </w:tc>
        <w:tc>
          <w:tcPr>
            <w:tcW w:w="5423" w:type="dxa"/>
            <w:noWrap w:val="0"/>
            <w:vAlign w:val="top"/>
          </w:tcPr>
          <w:p w14:paraId="56E2A69D">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w:t>
            </w:r>
          </w:p>
        </w:tc>
      </w:tr>
    </w:tbl>
    <w:p w14:paraId="3325EC3B">
      <w:pPr>
        <w:overflowPunct w:val="0"/>
        <w:autoSpaceDE w:val="0"/>
        <w:autoSpaceDN w:val="0"/>
        <w:spacing w:line="240" w:lineRule="exact"/>
        <w:jc w:val="both"/>
        <w:textAlignment w:val="auto"/>
        <w:rPr>
          <w:rFonts w:hint="eastAsia" w:ascii="Arial" w:hAnsi="Arial" w:eastAsia="华文细黑"/>
          <w:sz w:val="18"/>
          <w:szCs w:val="21"/>
          <w:highlight w:val="none"/>
        </w:rPr>
      </w:pPr>
    </w:p>
    <w:p w14:paraId="209AFDE3">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（C</w:t>
      </w:r>
      <w:r>
        <w:rPr>
          <w:rFonts w:hint="eastAsia" w:ascii="Arial" w:hAnsi="Arial" w:eastAsia="仿宋" w:cs="Arial"/>
          <w:sz w:val="28"/>
          <w:highlight w:val="none"/>
        </w:rPr>
        <w:t>） 房地年净收益（A）：</w:t>
      </w:r>
    </w:p>
    <w:p w14:paraId="51C073C5">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房地年净收益＝未来第一年有效毛收入－年经营费用＝</w:t>
      </w:r>
      <w:r>
        <w:rPr>
          <w:rFonts w:hint="eastAsia" w:ascii="Arial" w:hAnsi="Arial" w:eastAsia="仿宋" w:cs="Arial"/>
          <w:sz w:val="28"/>
          <w:highlight w:val="none"/>
          <w:lang w:val="en-US" w:eastAsia="zh-CN"/>
        </w:rPr>
        <w:t>20.7214</w:t>
      </w:r>
      <w:r>
        <w:rPr>
          <w:rFonts w:hint="eastAsia" w:ascii="Arial" w:hAnsi="Arial" w:eastAsia="仿宋" w:cs="Arial"/>
          <w:sz w:val="28"/>
          <w:highlight w:val="none"/>
        </w:rPr>
        <w:t>－5.1266＝</w:t>
      </w:r>
      <w:r>
        <w:rPr>
          <w:rFonts w:hint="eastAsia" w:ascii="Arial" w:hAnsi="Arial" w:eastAsia="仿宋" w:cs="Arial"/>
          <w:sz w:val="28"/>
          <w:highlight w:val="none"/>
          <w:lang w:val="en-US" w:eastAsia="zh-CN"/>
        </w:rPr>
        <w:t>15.5948</w:t>
      </w:r>
      <w:r>
        <w:rPr>
          <w:rFonts w:hint="eastAsia" w:ascii="Arial" w:hAnsi="Arial" w:eastAsia="仿宋" w:cs="Arial"/>
          <w:sz w:val="28"/>
          <w:highlight w:val="none"/>
        </w:rPr>
        <w:t>（万元）</w:t>
      </w:r>
    </w:p>
    <w:p w14:paraId="57D3630A">
      <w:pPr>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br w:type="page"/>
      </w:r>
    </w:p>
    <w:p w14:paraId="18B2DC13">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A）</w:t>
      </w:r>
      <w:r>
        <w:rPr>
          <w:rFonts w:hint="eastAsia" w:ascii="Arial" w:hAnsi="Arial" w:eastAsia="仿宋" w:cs="Arial"/>
          <w:sz w:val="28"/>
          <w:highlight w:val="none"/>
        </w:rPr>
        <w:t>报酬率（Y）</w:t>
      </w:r>
      <w:r>
        <w:rPr>
          <w:rFonts w:hint="eastAsia" w:ascii="Arial" w:hAnsi="Arial" w:eastAsia="仿宋" w:cs="Arial"/>
          <w:sz w:val="28"/>
          <w:highlight w:val="none"/>
        </w:rPr>
        <w:tab/>
      </w:r>
    </w:p>
    <w:p w14:paraId="755D00B8">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报酬率的确定方法有市场提取法、安全利率加风险调整值法、复合投资收益率法、投资收益率排序插入法等方法。本次测算采取安全利率加风险调整值法；以安全利率加上风险调整值作为报酬率。其中安全利率可以选用同一时期的中国人民银行公布的一年定期存款年利率（</w:t>
      </w:r>
      <w:r>
        <w:rPr>
          <w:rFonts w:hint="eastAsia" w:ascii="Arial" w:hAnsi="Arial" w:eastAsia="仿宋" w:cs="Arial"/>
          <w:sz w:val="28"/>
          <w:highlight w:val="none"/>
          <w:lang w:val="en-US" w:eastAsia="zh-CN"/>
        </w:rPr>
        <w:t>1.5</w:t>
      </w:r>
      <w:r>
        <w:rPr>
          <w:rFonts w:hint="eastAsia" w:ascii="Arial" w:hAnsi="Arial" w:eastAsia="仿宋" w:cs="Arial"/>
          <w:sz w:val="28"/>
          <w:highlight w:val="none"/>
        </w:rPr>
        <w:t>%），风险调整值则可以根据估价对象所在地区的经济现状及未来预测、估价对象的用途等自身特点确定，经调查，一般为3%</w:t>
      </w:r>
      <w:r>
        <w:rPr>
          <w:rFonts w:hint="eastAsia" w:ascii="Arial" w:hAnsi="Arial" w:eastAsia="仿宋" w:cs="Arial"/>
          <w:sz w:val="28"/>
          <w:highlight w:val="none"/>
          <w:lang w:eastAsia="zh-CN"/>
        </w:rPr>
        <w:t>－</w:t>
      </w:r>
      <w:r>
        <w:rPr>
          <w:rFonts w:hint="eastAsia" w:ascii="Arial" w:hAnsi="Arial" w:eastAsia="仿宋" w:cs="Arial"/>
          <w:sz w:val="28"/>
          <w:highlight w:val="none"/>
        </w:rPr>
        <w:t>5%之间，本次评估依据估价对象所在项目特点，取风险调整值为</w:t>
      </w:r>
      <w:r>
        <w:rPr>
          <w:rFonts w:hint="eastAsia" w:ascii="Arial" w:hAnsi="Arial" w:eastAsia="仿宋" w:cs="Arial"/>
          <w:sz w:val="28"/>
          <w:highlight w:val="none"/>
          <w:lang w:val="en-US" w:eastAsia="zh-CN"/>
        </w:rPr>
        <w:t>4.5</w:t>
      </w:r>
      <w:r>
        <w:rPr>
          <w:rFonts w:hint="eastAsia" w:ascii="Arial" w:hAnsi="Arial" w:eastAsia="仿宋" w:cs="Arial"/>
          <w:sz w:val="28"/>
          <w:highlight w:val="none"/>
        </w:rPr>
        <w:t>%，则依据安全利率加风险调整值法可以得出报酬率为</w:t>
      </w:r>
      <w:r>
        <w:rPr>
          <w:rFonts w:hint="eastAsia" w:ascii="Arial" w:hAnsi="Arial" w:eastAsia="仿宋" w:cs="Arial"/>
          <w:sz w:val="28"/>
          <w:highlight w:val="none"/>
          <w:lang w:val="en-US" w:eastAsia="zh-CN"/>
        </w:rPr>
        <w:t>5</w:t>
      </w:r>
      <w:r>
        <w:rPr>
          <w:rFonts w:hint="eastAsia" w:ascii="Arial" w:hAnsi="Arial" w:eastAsia="仿宋" w:cs="Arial"/>
          <w:sz w:val="28"/>
          <w:highlight w:val="none"/>
        </w:rPr>
        <w:t>%。</w:t>
      </w:r>
    </w:p>
    <w:p w14:paraId="157F2C15">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B）</w:t>
      </w:r>
      <w:r>
        <w:rPr>
          <w:rFonts w:hint="eastAsia" w:ascii="Arial" w:hAnsi="Arial" w:eastAsia="仿宋" w:cs="Arial"/>
          <w:sz w:val="28"/>
          <w:highlight w:val="none"/>
        </w:rPr>
        <w:t>净收益逐年增长比率（g）</w:t>
      </w:r>
    </w:p>
    <w:p w14:paraId="64B81B73">
      <w:pPr>
        <w:spacing w:line="300" w:lineRule="auto"/>
        <w:ind w:right="205" w:firstLine="560" w:firstLineChars="200"/>
        <w:rPr>
          <w:rFonts w:hint="eastAsia" w:ascii="Arial" w:hAnsi="Arial" w:eastAsia="仿宋" w:cs="Arial"/>
          <w:sz w:val="28"/>
          <w:highlight w:val="none"/>
          <w:lang w:eastAsia="zh-CN"/>
        </w:rPr>
      </w:pPr>
      <w:r>
        <w:rPr>
          <w:rFonts w:hint="eastAsia" w:ascii="Arial" w:hAnsi="Arial" w:eastAsia="仿宋" w:cs="Arial"/>
          <w:sz w:val="28"/>
          <w:highlight w:val="none"/>
          <w:lang w:eastAsia="zh-CN"/>
        </w:rPr>
        <w:t>北京市近年来的公共服务用房租金水平呈平稳趋势。根据区域房地产市场的调查情况，区域类似物业租金增减幅度情况，分析估价对象所在位置具体情况，本次评估依据估价目的，确定其净收益逐年增长比率为0%。</w:t>
      </w:r>
    </w:p>
    <w:p w14:paraId="4275C293">
      <w:pPr>
        <w:spacing w:line="300" w:lineRule="auto"/>
        <w:ind w:right="205" w:firstLine="560" w:firstLineChars="200"/>
        <w:rPr>
          <w:rFonts w:ascii="Arial" w:hAnsi="Arial" w:eastAsia="仿宋" w:cs="Arial"/>
          <w:sz w:val="28"/>
          <w:szCs w:val="28"/>
          <w:highlight w:val="none"/>
        </w:rPr>
      </w:pPr>
      <w:r>
        <w:rPr>
          <w:rFonts w:hint="eastAsia" w:ascii="Arial" w:hAnsi="Arial" w:eastAsia="仿宋" w:cs="Arial"/>
          <w:sz w:val="28"/>
          <w:highlight w:val="none"/>
          <w:lang w:val="en-US" w:eastAsia="zh-CN"/>
        </w:rPr>
        <w:t>C）</w:t>
      </w:r>
      <w:r>
        <w:rPr>
          <w:rFonts w:ascii="Arial" w:hAnsi="Arial" w:eastAsia="仿宋" w:cs="Arial"/>
          <w:sz w:val="28"/>
          <w:szCs w:val="28"/>
          <w:highlight w:val="none"/>
        </w:rPr>
        <w:t>收益年期（n）</w:t>
      </w:r>
    </w:p>
    <w:p w14:paraId="163B28D3">
      <w:pPr>
        <w:spacing w:line="300" w:lineRule="auto"/>
        <w:ind w:right="205" w:firstLine="560" w:firstLineChars="200"/>
        <w:rPr>
          <w:rFonts w:ascii="Arial" w:hAnsi="Arial" w:eastAsia="仿宋" w:cs="Arial"/>
          <w:sz w:val="28"/>
          <w:szCs w:val="28"/>
          <w:highlight w:val="none"/>
        </w:rPr>
      </w:pPr>
      <w:r>
        <w:rPr>
          <w:rFonts w:ascii="Arial" w:hAnsi="Arial" w:eastAsia="仿宋" w:cs="Arial"/>
          <w:sz w:val="28"/>
          <w:szCs w:val="28"/>
          <w:highlight w:val="none"/>
        </w:rPr>
        <w:t>估价对象用途为</w:t>
      </w:r>
      <w:r>
        <w:rPr>
          <w:rFonts w:ascii="Arial" w:hAnsi="Arial" w:eastAsia="仿宋" w:cs="Arial"/>
          <w:sz w:val="28"/>
          <w:szCs w:val="28"/>
          <w:highlight w:val="none"/>
          <w:lang w:eastAsia="zh-Hans"/>
        </w:rPr>
        <w:t>公共服务</w:t>
      </w:r>
      <w:r>
        <w:rPr>
          <w:rFonts w:ascii="Arial" w:hAnsi="Arial" w:eastAsia="仿宋" w:cs="Arial"/>
          <w:sz w:val="28"/>
          <w:szCs w:val="28"/>
          <w:highlight w:val="none"/>
        </w:rPr>
        <w:t>，设定出让国有建设用地使用权剩余土地使用年限为50年，</w:t>
      </w:r>
      <w:r>
        <w:rPr>
          <w:rFonts w:hint="eastAsia" w:ascii="Arial" w:hAnsi="Arial" w:eastAsia="仿宋" w:cs="Arial"/>
          <w:sz w:val="28"/>
          <w:szCs w:val="28"/>
          <w:highlight w:val="none"/>
        </w:rPr>
        <w:t>建设期</w:t>
      </w:r>
      <w:r>
        <w:rPr>
          <w:rFonts w:ascii="Arial" w:hAnsi="Arial" w:eastAsia="仿宋" w:cs="Arial"/>
          <w:sz w:val="28"/>
          <w:szCs w:val="28"/>
          <w:highlight w:val="none"/>
          <w:lang w:eastAsia="zh-Hans"/>
        </w:rPr>
        <w:t>为</w:t>
      </w:r>
      <w:r>
        <w:rPr>
          <w:rFonts w:hint="eastAsia" w:ascii="Arial" w:hAnsi="Arial" w:eastAsia="仿宋" w:cs="Arial"/>
          <w:sz w:val="28"/>
          <w:szCs w:val="28"/>
          <w:highlight w:val="none"/>
          <w:lang w:val="en-US" w:eastAsia="zh-CN"/>
        </w:rPr>
        <w:t>3</w:t>
      </w:r>
      <w:r>
        <w:rPr>
          <w:rFonts w:ascii="Arial" w:hAnsi="Arial" w:eastAsia="仿宋" w:cs="Arial"/>
          <w:sz w:val="28"/>
          <w:szCs w:val="28"/>
          <w:highlight w:val="none"/>
          <w:lang w:eastAsia="zh-Hans"/>
        </w:rPr>
        <w:t>年，则建成后剩余土地使用年限为</w:t>
      </w:r>
      <w:r>
        <w:rPr>
          <w:rFonts w:hint="eastAsia" w:ascii="Arial" w:hAnsi="Arial" w:eastAsia="仿宋" w:cs="Arial"/>
          <w:sz w:val="28"/>
          <w:szCs w:val="28"/>
          <w:highlight w:val="none"/>
          <w:lang w:val="en-US" w:eastAsia="zh-CN"/>
        </w:rPr>
        <w:t>47</w:t>
      </w:r>
      <w:r>
        <w:rPr>
          <w:rFonts w:ascii="Arial" w:hAnsi="Arial" w:eastAsia="仿宋" w:cs="Arial"/>
          <w:sz w:val="28"/>
          <w:szCs w:val="28"/>
          <w:highlight w:val="none"/>
          <w:lang w:eastAsia="zh-Hans"/>
        </w:rPr>
        <w:t>年</w:t>
      </w:r>
      <w:r>
        <w:rPr>
          <w:rFonts w:ascii="Arial" w:hAnsi="Arial" w:eastAsia="仿宋" w:cs="Arial"/>
          <w:sz w:val="28"/>
          <w:szCs w:val="28"/>
          <w:highlight w:val="none"/>
        </w:rPr>
        <w:t>。估价对象所在物业为钢混结构，经济耐用年限为60年；本次评估设定估价对象成新率为100%，故剩余经济耐用年限为60年。估价对象剩余土地使用年限短于剩余经济耐用年限。故，本次评估收益年期按照土地使用年期计算，即47年。</w:t>
      </w:r>
    </w:p>
    <w:p w14:paraId="1FDA9E0B">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lang w:val="en-US" w:eastAsia="zh-CN"/>
        </w:rPr>
        <w:t>（D）</w:t>
      </w:r>
      <w:r>
        <w:rPr>
          <w:rFonts w:hint="eastAsia" w:ascii="Arial" w:hAnsi="Arial" w:eastAsia="仿宋" w:cs="Arial"/>
          <w:sz w:val="28"/>
          <w:highlight w:val="none"/>
        </w:rPr>
        <w:t>收益价值</w:t>
      </w:r>
    </w:p>
    <w:p w14:paraId="16367BD9">
      <w:pPr>
        <w:spacing w:line="300" w:lineRule="auto"/>
        <w:ind w:right="205" w:firstLine="560" w:firstLineChars="200"/>
        <w:rPr>
          <w:rFonts w:hint="eastAsia" w:ascii="Arial" w:hAnsi="Arial" w:eastAsia="仿宋" w:cs="Arial"/>
          <w:sz w:val="28"/>
          <w:highlight w:val="none"/>
        </w:rPr>
      </w:pPr>
      <w:r>
        <w:rPr>
          <w:rFonts w:hint="eastAsia" w:ascii="Arial" w:hAnsi="Arial" w:eastAsia="仿宋" w:cs="Arial"/>
          <w:sz w:val="28"/>
          <w:highlight w:val="none"/>
        </w:rPr>
        <w:t>收益价值</w:t>
      </w:r>
    </w:p>
    <w:p w14:paraId="40B919EF">
      <w:pPr>
        <w:spacing w:line="300" w:lineRule="auto"/>
        <w:ind w:right="205" w:firstLine="560" w:firstLineChars="200"/>
        <w:rPr>
          <w:rFonts w:hint="eastAsia"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A</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{1－[（1＋g）</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（1＋Y）]</w:t>
      </w:r>
      <w:r>
        <w:rPr>
          <w:rFonts w:hint="eastAsia" w:ascii="Arial" w:hAnsi="Arial" w:eastAsia="仿宋" w:cs="Arial"/>
          <w:sz w:val="28"/>
          <w:szCs w:val="28"/>
          <w:highlight w:val="none"/>
          <w:vertAlign w:val="superscript"/>
        </w:rPr>
        <w:t>n</w:t>
      </w:r>
      <w:r>
        <w:rPr>
          <w:rFonts w:hint="eastAsia"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（Y</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g）</w:t>
      </w:r>
    </w:p>
    <w:p w14:paraId="75318869">
      <w:pPr>
        <w:spacing w:line="300" w:lineRule="auto"/>
        <w:ind w:right="205" w:firstLine="560" w:firstLineChars="200"/>
        <w:rPr>
          <w:rFonts w:hint="eastAsia" w:ascii="Arial" w:hAnsi="Arial" w:eastAsia="仿宋" w:cs="Arial"/>
          <w:sz w:val="28"/>
          <w:szCs w:val="28"/>
          <w:highlight w:val="none"/>
        </w:rPr>
      </w:pPr>
      <w:r>
        <w:rPr>
          <w:rFonts w:hint="eastAsia" w:ascii="Arial" w:hAnsi="Arial" w:eastAsia="仿宋" w:cs="Arial"/>
          <w:sz w:val="28"/>
          <w:szCs w:val="28"/>
          <w:highlight w:val="none"/>
        </w:rPr>
        <w:t>＝</w:t>
      </w:r>
      <w:bookmarkStart w:id="413" w:name="OLE_LINK2"/>
      <w:bookmarkStart w:id="414" w:name="OLE_LINK1"/>
      <w:r>
        <w:rPr>
          <w:rFonts w:hint="eastAsia" w:ascii="Arial" w:hAnsi="Arial" w:eastAsia="仿宋" w:cs="Arial"/>
          <w:sz w:val="28"/>
          <w:szCs w:val="28"/>
          <w:highlight w:val="none"/>
          <w:lang w:val="en-US" w:eastAsia="zh-CN"/>
        </w:rPr>
        <w:t>15.5948</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{1－[(1＋</w:t>
      </w:r>
      <w:r>
        <w:rPr>
          <w:rFonts w:hint="eastAsia" w:ascii="Arial" w:hAnsi="Arial" w:eastAsia="仿宋" w:cs="Arial"/>
          <w:sz w:val="28"/>
          <w:szCs w:val="28"/>
          <w:highlight w:val="none"/>
          <w:lang w:val="en-US" w:eastAsia="zh-CN"/>
        </w:rPr>
        <w:t>0</w:t>
      </w:r>
      <w:r>
        <w:rPr>
          <w:rFonts w:hint="eastAsia" w:ascii="Arial" w:hAnsi="Arial" w:eastAsia="仿宋" w:cs="Arial"/>
          <w:sz w:val="28"/>
          <w:szCs w:val="28"/>
          <w:highlight w:val="none"/>
        </w:rPr>
        <w:t xml:space="preserve">%) </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(1＋</w:t>
      </w:r>
      <w:r>
        <w:rPr>
          <w:rFonts w:hint="eastAsia" w:ascii="Arial" w:hAnsi="Arial" w:eastAsia="仿宋" w:cs="Arial"/>
          <w:sz w:val="28"/>
          <w:szCs w:val="28"/>
          <w:highlight w:val="none"/>
          <w:lang w:val="en-US" w:eastAsia="zh-CN"/>
        </w:rPr>
        <w:t>5</w:t>
      </w:r>
      <w:r>
        <w:rPr>
          <w:rFonts w:hint="eastAsia" w:ascii="Arial" w:hAnsi="Arial" w:eastAsia="仿宋" w:cs="Arial"/>
          <w:sz w:val="28"/>
          <w:szCs w:val="28"/>
          <w:highlight w:val="none"/>
        </w:rPr>
        <w:t>%)]</w:t>
      </w:r>
      <w:r>
        <w:rPr>
          <w:rFonts w:hint="eastAsia" w:ascii="Arial" w:hAnsi="Arial" w:eastAsia="仿宋" w:cs="Arial"/>
          <w:sz w:val="28"/>
          <w:szCs w:val="28"/>
          <w:highlight w:val="none"/>
          <w:vertAlign w:val="superscript"/>
          <w:lang w:val="en-US" w:eastAsia="zh-CN"/>
        </w:rPr>
        <w:t>47</w:t>
      </w:r>
      <w:r>
        <w:rPr>
          <w:rFonts w:hint="eastAsia" w:ascii="Arial" w:hAnsi="Arial" w:eastAsia="仿宋" w:cs="Arial"/>
          <w:sz w:val="28"/>
          <w:szCs w:val="28"/>
          <w:highlight w:val="none"/>
        </w:rPr>
        <w:t>}</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rPr>
        <w:t>（</w:t>
      </w:r>
      <w:r>
        <w:rPr>
          <w:rFonts w:hint="eastAsia" w:ascii="Arial" w:hAnsi="Arial" w:eastAsia="仿宋" w:cs="Arial"/>
          <w:sz w:val="28"/>
          <w:szCs w:val="28"/>
          <w:highlight w:val="none"/>
          <w:lang w:val="en-US" w:eastAsia="zh-CN"/>
        </w:rPr>
        <w:t>5</w:t>
      </w:r>
      <w:r>
        <w:rPr>
          <w:rFonts w:hint="eastAsia" w:ascii="Arial" w:hAnsi="Arial" w:eastAsia="仿宋" w:cs="Arial"/>
          <w:sz w:val="28"/>
          <w:szCs w:val="28"/>
          <w:highlight w:val="none"/>
        </w:rPr>
        <w:t>%－</w:t>
      </w:r>
      <w:r>
        <w:rPr>
          <w:rFonts w:hint="eastAsia" w:ascii="Arial" w:hAnsi="Arial" w:eastAsia="仿宋" w:cs="Arial"/>
          <w:sz w:val="28"/>
          <w:szCs w:val="28"/>
          <w:highlight w:val="none"/>
          <w:lang w:val="en-US" w:eastAsia="zh-CN"/>
        </w:rPr>
        <w:t>0</w:t>
      </w:r>
      <w:r>
        <w:rPr>
          <w:rFonts w:hint="eastAsia" w:ascii="Arial" w:hAnsi="Arial" w:eastAsia="仿宋" w:cs="Arial"/>
          <w:sz w:val="28"/>
          <w:szCs w:val="28"/>
          <w:highlight w:val="none"/>
        </w:rPr>
        <w:t>%）</w:t>
      </w:r>
      <w:bookmarkEnd w:id="413"/>
      <w:bookmarkEnd w:id="414"/>
    </w:p>
    <w:p w14:paraId="7C314E00">
      <w:pPr>
        <w:spacing w:line="300" w:lineRule="auto"/>
        <w:ind w:right="205" w:firstLine="560" w:firstLineChars="200"/>
        <w:rPr>
          <w:rFonts w:hint="eastAsia" w:ascii="Arial" w:hAnsi="Arial" w:eastAsia="仿宋" w:cs="Arial"/>
          <w:sz w:val="28"/>
          <w:szCs w:val="28"/>
          <w:highlight w:val="none"/>
        </w:rPr>
      </w:pPr>
      <w:r>
        <w:rPr>
          <w:rFonts w:hint="eastAsia" w:ascii="Arial" w:hAnsi="Arial" w:eastAsia="仿宋" w:cs="Arial"/>
          <w:sz w:val="28"/>
          <w:szCs w:val="28"/>
          <w:highlight w:val="none"/>
        </w:rPr>
        <w:t>＝</w:t>
      </w:r>
      <w:r>
        <w:rPr>
          <w:rFonts w:hint="eastAsia" w:ascii="Arial" w:hAnsi="Arial" w:eastAsia="仿宋" w:cs="Arial"/>
          <w:sz w:val="28"/>
          <w:szCs w:val="28"/>
          <w:highlight w:val="none"/>
          <w:lang w:val="en-US" w:eastAsia="zh-CN"/>
        </w:rPr>
        <w:t>305.6472</w:t>
      </w:r>
      <w:r>
        <w:rPr>
          <w:rFonts w:hint="eastAsia" w:ascii="Arial" w:hAnsi="Arial" w:eastAsia="仿宋" w:cs="Arial"/>
          <w:sz w:val="28"/>
          <w:szCs w:val="28"/>
          <w:highlight w:val="none"/>
        </w:rPr>
        <w:t>（万元）</w:t>
      </w:r>
    </w:p>
    <w:p w14:paraId="47DF1D7C">
      <w:pPr>
        <w:spacing w:line="300" w:lineRule="auto"/>
        <w:ind w:firstLine="560" w:firstLineChars="200"/>
        <w:rPr>
          <w:rFonts w:ascii="Arial" w:hAnsi="Arial" w:eastAsia="仿宋" w:cs="Arial"/>
          <w:sz w:val="28"/>
          <w:szCs w:val="28"/>
          <w:highlight w:val="none"/>
          <w:lang w:eastAsia="zh-Hans"/>
        </w:rPr>
      </w:pPr>
      <w:r>
        <w:rPr>
          <w:rFonts w:ascii="Arial" w:hAnsi="Arial" w:eastAsia="仿宋" w:cs="Arial"/>
          <w:sz w:val="28"/>
          <w:szCs w:val="28"/>
          <w:highlight w:val="none"/>
          <w:lang w:eastAsia="zh-Hans"/>
        </w:rPr>
        <w:t>公共服务用房房地产单价</w:t>
      </w:r>
    </w:p>
    <w:p w14:paraId="1B3E2D3B">
      <w:pPr>
        <w:spacing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305.6472</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300</w:t>
      </w:r>
      <w:r>
        <w:rPr>
          <w:rFonts w:hint="eastAsia" w:ascii="Arial" w:hAnsi="Arial" w:eastAsia="仿宋" w:cs="Arial"/>
          <w:sz w:val="28"/>
          <w:szCs w:val="28"/>
          <w:highlight w:val="none"/>
          <w:lang w:eastAsia="zh-CN"/>
        </w:rPr>
        <w:t>×</w:t>
      </w:r>
      <w:r>
        <w:rPr>
          <w:rFonts w:ascii="Arial" w:hAnsi="Arial" w:eastAsia="仿宋" w:cs="Arial"/>
          <w:sz w:val="28"/>
          <w:szCs w:val="28"/>
          <w:highlight w:val="none"/>
        </w:rPr>
        <w:t>10000</w:t>
      </w:r>
    </w:p>
    <w:p w14:paraId="377D9F4E">
      <w:pPr>
        <w:spacing w:line="300" w:lineRule="auto"/>
        <w:ind w:firstLine="560" w:firstLineChars="200"/>
        <w:rPr>
          <w:rFonts w:ascii="Arial" w:hAnsi="Arial" w:eastAsia="仿宋" w:cs="Arial"/>
          <w:sz w:val="28"/>
          <w:szCs w:val="28"/>
          <w:highlight w:val="none"/>
          <w:lang w:eastAsia="zh-Hans"/>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10188</w:t>
      </w:r>
      <w:r>
        <w:rPr>
          <w:rFonts w:ascii="Arial" w:hAnsi="Arial" w:eastAsia="仿宋" w:cs="Arial"/>
          <w:sz w:val="28"/>
          <w:szCs w:val="28"/>
          <w:highlight w:val="none"/>
          <w:lang w:eastAsia="zh-Hans"/>
        </w:rPr>
        <w:t>（元/平方米）</w:t>
      </w:r>
    </w:p>
    <w:p w14:paraId="075BF64F">
      <w:pPr>
        <w:spacing w:before="120" w:beforeLines="50" w:after="120" w:afterLines="50" w:line="300" w:lineRule="auto"/>
        <w:ind w:firstLine="560" w:firstLineChars="200"/>
        <w:rPr>
          <w:rFonts w:ascii="Arial" w:hAnsi="Arial" w:eastAsia="仿宋" w:cs="Arial"/>
          <w:sz w:val="28"/>
          <w:szCs w:val="28"/>
          <w:highlight w:val="none"/>
        </w:rPr>
      </w:pPr>
      <w:r>
        <w:rPr>
          <w:rFonts w:ascii="Arial" w:hAnsi="Arial" w:eastAsia="仿宋" w:cs="Arial"/>
          <w:sz w:val="28"/>
          <w:szCs w:val="28"/>
          <w:highlight w:val="none"/>
        </w:rPr>
        <w:t>C.开发成本</w:t>
      </w:r>
    </w:p>
    <w:p w14:paraId="4F929A19">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根据《北京市国有建设用地使用权出让地价评估技术导则》</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2026年2月10日实施）</w:t>
      </w:r>
      <w:r>
        <w:rPr>
          <w:rFonts w:hint="eastAsia" w:ascii="Arial" w:hAnsi="Arial" w:eastAsia="仿宋_GB2312"/>
          <w:sz w:val="28"/>
          <w:highlight w:val="none"/>
        </w:rPr>
        <w:t>6.2.1开发成本确定:</w:t>
      </w:r>
    </w:p>
    <w:p w14:paraId="6D37ECD7">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开发成本是项目开发建设期间所发生的客观费用的总和。</w:t>
      </w:r>
    </w:p>
    <w:p w14:paraId="591E0BDE">
      <w:pPr>
        <w:spacing w:line="300" w:lineRule="auto"/>
        <w:ind w:firstLine="560" w:firstLineChars="200"/>
        <w:jc w:val="both"/>
        <w:rPr>
          <w:rFonts w:hint="eastAsia" w:ascii="Arial" w:hAnsi="Arial" w:eastAsia="仿宋_GB2312"/>
          <w:sz w:val="28"/>
          <w:highlight w:val="none"/>
          <w:lang w:eastAsia="zh-CN"/>
        </w:rPr>
      </w:pPr>
      <w:r>
        <w:rPr>
          <w:rFonts w:hint="eastAsia" w:ascii="Arial" w:hAnsi="Arial" w:eastAsia="仿宋_GB2312"/>
          <w:sz w:val="28"/>
          <w:highlight w:val="none"/>
        </w:rPr>
        <w:t>开发成本计算公式为</w:t>
      </w:r>
      <w:r>
        <w:rPr>
          <w:rFonts w:hint="eastAsia" w:ascii="Arial" w:hAnsi="Arial" w:eastAsia="仿宋_GB2312"/>
          <w:sz w:val="28"/>
          <w:highlight w:val="none"/>
          <w:lang w:eastAsia="zh-CN"/>
        </w:rPr>
        <w:t>：</w:t>
      </w:r>
    </w:p>
    <w:p w14:paraId="73922378">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w:t>
      </w:r>
      <w:r>
        <w:rPr>
          <w:rFonts w:hint="eastAsia" w:ascii="Arial" w:hAnsi="Arial" w:eastAsia="仿宋_GB2312"/>
          <w:sz w:val="28"/>
          <w:highlight w:val="none"/>
          <w:lang w:eastAsia="zh-CN"/>
        </w:rPr>
        <w:t>＝</w:t>
      </w:r>
      <w:r>
        <w:rPr>
          <w:rFonts w:hint="eastAsia" w:ascii="Arial" w:hAnsi="Arial" w:eastAsia="仿宋_GB2312"/>
          <w:sz w:val="28"/>
          <w:highlight w:val="none"/>
        </w:rPr>
        <w:t>购地税费</w:t>
      </w:r>
      <w:r>
        <w:rPr>
          <w:rFonts w:hint="eastAsia" w:ascii="Arial" w:hAnsi="Arial" w:eastAsia="仿宋_GB2312"/>
          <w:sz w:val="28"/>
          <w:highlight w:val="none"/>
          <w:lang w:eastAsia="zh-CN"/>
        </w:rPr>
        <w:t>＋</w:t>
      </w:r>
      <w:r>
        <w:rPr>
          <w:rFonts w:hint="eastAsia" w:ascii="Arial" w:hAnsi="Arial" w:eastAsia="仿宋_GB2312"/>
          <w:sz w:val="28"/>
          <w:highlight w:val="none"/>
        </w:rPr>
        <w:t>房屋建设成本</w:t>
      </w:r>
      <w:r>
        <w:rPr>
          <w:rFonts w:hint="eastAsia" w:ascii="Arial" w:hAnsi="Arial" w:eastAsia="仿宋_GB2312"/>
          <w:sz w:val="28"/>
          <w:highlight w:val="none"/>
          <w:lang w:eastAsia="zh-CN"/>
        </w:rPr>
        <w:t>＋</w:t>
      </w:r>
      <w:r>
        <w:rPr>
          <w:rFonts w:hint="eastAsia" w:ascii="Arial" w:hAnsi="Arial" w:eastAsia="仿宋_GB2312"/>
          <w:sz w:val="28"/>
          <w:highlight w:val="none"/>
        </w:rPr>
        <w:t>管理费用</w:t>
      </w:r>
      <w:r>
        <w:rPr>
          <w:rFonts w:hint="eastAsia" w:ascii="Arial" w:hAnsi="Arial" w:eastAsia="仿宋_GB2312"/>
          <w:sz w:val="28"/>
          <w:highlight w:val="none"/>
          <w:lang w:eastAsia="zh-CN"/>
        </w:rPr>
        <w:t>＋</w:t>
      </w:r>
      <w:r>
        <w:rPr>
          <w:rFonts w:hint="eastAsia" w:ascii="Arial" w:hAnsi="Arial" w:eastAsia="仿宋_GB2312"/>
          <w:sz w:val="28"/>
          <w:highlight w:val="none"/>
        </w:rPr>
        <w:t>销售费用</w:t>
      </w:r>
      <w:r>
        <w:rPr>
          <w:rFonts w:hint="eastAsia" w:ascii="Arial" w:hAnsi="Arial" w:eastAsia="仿宋_GB2312"/>
          <w:sz w:val="28"/>
          <w:highlight w:val="none"/>
          <w:lang w:eastAsia="zh-CN"/>
        </w:rPr>
        <w:t>＋</w:t>
      </w:r>
      <w:r>
        <w:rPr>
          <w:rFonts w:hint="eastAsia" w:ascii="Arial" w:hAnsi="Arial" w:eastAsia="仿宋_GB2312"/>
          <w:sz w:val="28"/>
          <w:highlight w:val="none"/>
        </w:rPr>
        <w:t>投资利息</w:t>
      </w:r>
      <w:r>
        <w:rPr>
          <w:rFonts w:hint="eastAsia" w:ascii="Arial" w:hAnsi="Arial" w:eastAsia="仿宋_GB2312"/>
          <w:sz w:val="28"/>
          <w:highlight w:val="none"/>
          <w:lang w:eastAsia="zh-CN"/>
        </w:rPr>
        <w:t>＋</w:t>
      </w:r>
      <w:r>
        <w:rPr>
          <w:rFonts w:hint="eastAsia" w:ascii="Arial" w:hAnsi="Arial" w:eastAsia="仿宋_GB2312"/>
          <w:sz w:val="28"/>
          <w:highlight w:val="none"/>
        </w:rPr>
        <w:t>销售税费</w:t>
      </w:r>
    </w:p>
    <w:p w14:paraId="7332B9CD">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rPr>
        <w:t>房屋建设成本</w:t>
      </w:r>
      <w:r>
        <w:rPr>
          <w:rFonts w:hint="eastAsia" w:ascii="Arial" w:hAnsi="Arial" w:eastAsia="仿宋_GB2312"/>
          <w:sz w:val="28"/>
          <w:highlight w:val="none"/>
          <w:lang w:val="en-US" w:eastAsia="zh-CN"/>
        </w:rPr>
        <w:t>＝前期费用＋建筑安装工程费＋基础设施建设费＋公共配套设施建设费＋开发期间税费＋其他工程费</w:t>
      </w:r>
    </w:p>
    <w:p w14:paraId="0ACB6179">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a.购地税费</w:t>
      </w:r>
    </w:p>
    <w:p w14:paraId="0654D44E">
      <w:pPr>
        <w:spacing w:line="300" w:lineRule="auto"/>
        <w:ind w:firstLine="560" w:firstLineChars="200"/>
        <w:jc w:val="both"/>
        <w:rPr>
          <w:rFonts w:hint="default" w:ascii="Arial" w:hAnsi="Arial" w:eastAsia="仿宋_GB2312"/>
          <w:sz w:val="28"/>
          <w:highlight w:val="none"/>
          <w:lang w:val="en-US" w:eastAsia="zh-CN"/>
        </w:rPr>
      </w:pPr>
      <w:r>
        <w:rPr>
          <w:rFonts w:hint="eastAsia" w:ascii="仿宋_GB2312" w:eastAsia="仿宋_GB2312"/>
          <w:sz w:val="28"/>
          <w:highlight w:val="none"/>
        </w:rPr>
        <w:t>设</w:t>
      </w:r>
      <w:r>
        <w:rPr>
          <w:rFonts w:hint="eastAsia" w:ascii="仿宋_GB2312" w:eastAsia="仿宋_GB2312"/>
          <w:sz w:val="28"/>
          <w:highlight w:val="none"/>
          <w:lang w:val="en-US" w:eastAsia="zh-CN"/>
        </w:rPr>
        <w:t>定</w:t>
      </w:r>
      <w:r>
        <w:rPr>
          <w:rFonts w:hint="eastAsia" w:ascii="仿宋_GB2312" w:eastAsia="仿宋_GB2312"/>
          <w:sz w:val="28"/>
          <w:highlight w:val="none"/>
        </w:rPr>
        <w:t>估价对</w:t>
      </w:r>
      <w:r>
        <w:rPr>
          <w:rFonts w:hint="eastAsia" w:ascii="Arial" w:hAnsi="Arial" w:eastAsia="仿宋_GB2312"/>
          <w:sz w:val="28"/>
          <w:highlight w:val="none"/>
        </w:rPr>
        <w:t>象于“七通”条件下的城镇住宅用地熟地总价为</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万元。取得土地的税费指契税、印花税及交易手续费等，按照《中华人民共和国印花税暂行条例》</w:t>
      </w:r>
      <w:r>
        <w:rPr>
          <w:rFonts w:hint="eastAsia" w:ascii="Arial" w:hAnsi="Arial" w:eastAsia="仿宋_GB2312"/>
          <w:sz w:val="28"/>
          <w:highlight w:val="none"/>
          <w:lang w:eastAsia="zh-CN"/>
        </w:rPr>
        <w:t>（</w:t>
      </w:r>
      <w:r>
        <w:rPr>
          <w:rFonts w:hint="eastAsia" w:ascii="Arial" w:hAnsi="Arial" w:eastAsia="仿宋_GB2312"/>
          <w:sz w:val="28"/>
          <w:highlight w:val="none"/>
        </w:rPr>
        <w:t>根据2011年1月8日《国务院关于废止和修改部分行政法规的决定》修订</w:t>
      </w:r>
      <w:r>
        <w:rPr>
          <w:rFonts w:hint="eastAsia" w:ascii="Arial" w:hAnsi="Arial" w:eastAsia="仿宋_GB2312"/>
          <w:sz w:val="28"/>
          <w:highlight w:val="none"/>
          <w:lang w:eastAsia="zh-CN"/>
        </w:rPr>
        <w:t>）</w:t>
      </w:r>
      <w:r>
        <w:rPr>
          <w:rFonts w:hint="eastAsia" w:ascii="Arial" w:hAnsi="Arial" w:eastAsia="仿宋_GB2312"/>
          <w:sz w:val="28"/>
          <w:highlight w:val="none"/>
        </w:rPr>
        <w:t>，土地使用权出让合同按产权转移书据征收印花税，印花税及交易手续费以土地价值的0.05%计算，按照《中华人民共和国契税暂行条例》</w:t>
      </w:r>
      <w:r>
        <w:rPr>
          <w:rFonts w:hint="eastAsia" w:ascii="Arial" w:hAnsi="Arial" w:eastAsia="仿宋_GB2312"/>
          <w:sz w:val="28"/>
          <w:highlight w:val="none"/>
          <w:lang w:eastAsia="zh-CN"/>
        </w:rPr>
        <w:t>（</w:t>
      </w:r>
      <w:r>
        <w:rPr>
          <w:rFonts w:hint="eastAsia" w:ascii="Arial" w:hAnsi="Arial" w:eastAsia="仿宋_GB2312"/>
          <w:sz w:val="28"/>
          <w:highlight w:val="none"/>
        </w:rPr>
        <w:t>中华人民共和国国务院令第224号</w:t>
      </w:r>
      <w:r>
        <w:rPr>
          <w:rFonts w:hint="eastAsia" w:ascii="Arial" w:hAnsi="Arial" w:eastAsia="仿宋_GB2312"/>
          <w:sz w:val="28"/>
          <w:highlight w:val="none"/>
          <w:lang w:eastAsia="zh-CN"/>
        </w:rPr>
        <w:t>）</w:t>
      </w:r>
      <w:r>
        <w:rPr>
          <w:rFonts w:hint="eastAsia" w:ascii="Arial" w:hAnsi="Arial" w:eastAsia="仿宋_GB2312"/>
          <w:sz w:val="28"/>
          <w:highlight w:val="none"/>
        </w:rPr>
        <w:t>，契税以土地成交价的3%缴纳，则两者合计为3.05%。即购地税费为3.05%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万元</w:t>
      </w:r>
      <w:r>
        <w:rPr>
          <w:rFonts w:hint="eastAsia" w:ascii="Arial" w:hAnsi="Arial" w:eastAsia="仿宋_GB2312"/>
          <w:sz w:val="28"/>
          <w:highlight w:val="none"/>
          <w:lang w:eastAsia="zh-CN"/>
        </w:rPr>
        <w:t>。</w:t>
      </w:r>
    </w:p>
    <w:p w14:paraId="4C8353CB">
      <w:pPr>
        <w:spacing w:line="300" w:lineRule="auto"/>
        <w:ind w:firstLine="560" w:firstLineChars="200"/>
        <w:jc w:val="both"/>
        <w:rPr>
          <w:rFonts w:hint="default" w:ascii="仿宋_GB2312" w:eastAsia="仿宋_GB2312"/>
          <w:sz w:val="28"/>
          <w:highlight w:val="none"/>
          <w:lang w:val="en-US" w:eastAsia="zh-CN"/>
        </w:rPr>
      </w:pPr>
      <w:r>
        <w:rPr>
          <w:rFonts w:hint="eastAsia" w:ascii="Arial" w:hAnsi="Arial" w:eastAsia="仿宋_GB2312"/>
          <w:sz w:val="28"/>
          <w:highlight w:val="none"/>
          <w:lang w:val="en-US" w:eastAsia="zh-CN"/>
        </w:rPr>
        <w:t>b</w:t>
      </w:r>
      <w:r>
        <w:rPr>
          <w:rFonts w:hint="eastAsia" w:ascii="Arial" w:hAnsi="Arial" w:eastAsia="仿宋_GB2312"/>
          <w:sz w:val="28"/>
          <w:highlight w:val="none"/>
        </w:rPr>
        <w:t>.</w:t>
      </w:r>
      <w:r>
        <w:rPr>
          <w:rFonts w:hint="eastAsia" w:ascii="仿宋_GB2312" w:eastAsia="仿宋_GB2312"/>
          <w:sz w:val="28"/>
          <w:highlight w:val="none"/>
          <w:lang w:val="en-US" w:eastAsia="zh-CN"/>
        </w:rPr>
        <w:t>房屋建设成本</w:t>
      </w:r>
    </w:p>
    <w:p w14:paraId="6813EBEE">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a）</w:t>
      </w:r>
      <w:r>
        <w:rPr>
          <w:rFonts w:hint="eastAsia" w:ascii="Arial" w:hAnsi="Arial" w:eastAsia="仿宋_GB2312"/>
          <w:sz w:val="28"/>
          <w:highlight w:val="none"/>
          <w:lang w:val="en-US" w:eastAsia="zh-CN"/>
        </w:rPr>
        <w:t>建筑安装工程费</w:t>
      </w:r>
    </w:p>
    <w:p w14:paraId="181AD86A">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rPr>
        <w:t>指建造商品房及附属工程所发生的土建工程费用、安装工程费用、装饰装修工程费用等。参照住房和城乡建设部标准定额研究所发布的北京建安成本，同时参考评估人员掌握的目前同类地区、相同档次项目的建筑结构及装修情况，</w:t>
      </w:r>
      <w:r>
        <w:rPr>
          <w:rFonts w:hint="eastAsia" w:ascii="Arial" w:hAnsi="Arial" w:eastAsia="仿宋_GB2312" w:cs="Arial"/>
          <w:sz w:val="28"/>
          <w:highlight w:val="none"/>
          <w:lang w:val="en-US" w:eastAsia="zh-CN"/>
        </w:rPr>
        <w:t>综合</w:t>
      </w:r>
      <w:r>
        <w:rPr>
          <w:rFonts w:hint="eastAsia" w:ascii="Arial" w:hAnsi="Arial" w:eastAsia="仿宋_GB2312" w:cs="Arial"/>
          <w:sz w:val="28"/>
          <w:highlight w:val="none"/>
        </w:rPr>
        <w:t>确定估价对象的建筑安装工程费用为</w:t>
      </w:r>
      <w:r>
        <w:rPr>
          <w:rFonts w:hint="eastAsia" w:ascii="Arial" w:hAnsi="Arial" w:eastAsia="仿宋_GB2312" w:cs="Arial"/>
          <w:sz w:val="28"/>
          <w:highlight w:val="none"/>
          <w:lang w:val="en-US" w:eastAsia="zh-CN"/>
        </w:rPr>
        <w:t>40</w:t>
      </w:r>
      <w:r>
        <w:rPr>
          <w:rFonts w:hint="eastAsia" w:ascii="Arial" w:hAnsi="Arial" w:eastAsia="仿宋_GB2312" w:cs="Arial"/>
          <w:sz w:val="28"/>
          <w:highlight w:val="none"/>
        </w:rPr>
        <w:t>00元/平方米</w:t>
      </w:r>
      <w:r>
        <w:rPr>
          <w:rFonts w:hint="eastAsia" w:ascii="Arial" w:hAnsi="Arial" w:eastAsia="仿宋" w:cs="Arial"/>
          <w:sz w:val="28"/>
          <w:highlight w:val="none"/>
        </w:rPr>
        <w:t>则有：</w:t>
      </w:r>
    </w:p>
    <w:p w14:paraId="2832E311">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建筑安装工程费＝40</w:t>
      </w:r>
      <w:r>
        <w:rPr>
          <w:rFonts w:ascii="Arial" w:hAnsi="Arial" w:eastAsia="仿宋_GB2312"/>
          <w:sz w:val="28"/>
          <w:highlight w:val="none"/>
        </w:rPr>
        <w:t>00</w:t>
      </w:r>
      <w:r>
        <w:rPr>
          <w:rFonts w:hint="eastAsia" w:ascii="仿宋_GB2312" w:eastAsia="仿宋_GB2312"/>
          <w:sz w:val="28"/>
          <w:highlight w:val="none"/>
          <w:lang w:eastAsia="zh-CN"/>
        </w:rPr>
        <w:t>×</w:t>
      </w:r>
      <w:r>
        <w:rPr>
          <w:rFonts w:hint="eastAsia" w:ascii="Arial" w:hAnsi="Arial" w:eastAsia="仿宋_GB2312" w:cs="Arial"/>
          <w:sz w:val="28"/>
          <w:highlight w:val="none"/>
          <w:lang w:val="en-US" w:eastAsia="zh-CN"/>
        </w:rPr>
        <w:t>300</w:t>
      </w:r>
      <w:r>
        <w:rPr>
          <w:rFonts w:hint="eastAsia" w:ascii="Arial" w:hAnsi="Arial" w:eastAsia="仿宋_GB2312" w:cs="Arial"/>
          <w:sz w:val="28"/>
          <w:highlight w:val="none"/>
          <w:lang w:eastAsia="zh-CN"/>
        </w:rPr>
        <w:t>÷</w:t>
      </w:r>
      <w:r>
        <w:rPr>
          <w:rFonts w:ascii="Arial" w:hAnsi="Arial" w:eastAsia="仿宋_GB2312" w:cs="Arial"/>
          <w:sz w:val="28"/>
          <w:highlight w:val="none"/>
        </w:rPr>
        <w:t>10000</w:t>
      </w: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120.0000</w:t>
      </w:r>
      <w:r>
        <w:rPr>
          <w:rFonts w:hint="eastAsia" w:ascii="Arial" w:hAnsi="Arial" w:eastAsia="仿宋_GB2312"/>
          <w:sz w:val="28"/>
          <w:highlight w:val="none"/>
        </w:rPr>
        <w:t>（万元）</w:t>
      </w:r>
    </w:p>
    <w:p w14:paraId="7521E795">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rPr>
        <w:t>b）</w:t>
      </w:r>
      <w:r>
        <w:rPr>
          <w:rFonts w:hint="eastAsia" w:ascii="Arial" w:hAnsi="Arial" w:eastAsia="仿宋_GB2312"/>
          <w:sz w:val="28"/>
          <w:highlight w:val="none"/>
          <w:lang w:val="en-US" w:eastAsia="zh-CN"/>
        </w:rPr>
        <w:t>前期费用</w:t>
      </w:r>
    </w:p>
    <w:p w14:paraId="67D3D54F">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rPr>
        <w:t>勘察设计和前期工程费指建造商品房及附属工程过程中勘察、测量设计、市场调研等费用。目前北京市房地产开发中该类建筑物的勘察设计和前期工程费用一般为建造成本的5</w:t>
      </w:r>
      <w:r>
        <w:rPr>
          <w:rFonts w:hint="eastAsia" w:ascii="Arial" w:hAnsi="Arial" w:eastAsia="仿宋_GB2312"/>
          <w:sz w:val="28"/>
          <w:highlight w:val="none"/>
          <w:lang w:eastAsia="zh-CN"/>
        </w:rPr>
        <w:t>－</w:t>
      </w:r>
      <w:r>
        <w:rPr>
          <w:rFonts w:hint="eastAsia" w:ascii="Arial" w:hAnsi="Arial" w:eastAsia="仿宋_GB2312"/>
          <w:sz w:val="28"/>
          <w:highlight w:val="none"/>
        </w:rPr>
        <w:t>10%之间，根据估价对象自身状况，本次评估确定勘察设计和前期工程费以建筑安装工程费为计费基础取8%，则有：</w:t>
      </w:r>
    </w:p>
    <w:p w14:paraId="7E3DC464">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勘查设计和前期工程费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59B14CE3">
      <w:pPr>
        <w:spacing w:line="300" w:lineRule="auto"/>
        <w:ind w:firstLine="3360" w:firstLineChars="12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120.0000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8</w:t>
      </w:r>
      <w:r>
        <w:rPr>
          <w:rFonts w:ascii="Arial" w:hAnsi="Arial" w:eastAsia="仿宋_GB2312"/>
          <w:sz w:val="28"/>
          <w:highlight w:val="none"/>
        </w:rPr>
        <w:t>%</w:t>
      </w:r>
    </w:p>
    <w:p w14:paraId="0B4CC594">
      <w:pPr>
        <w:spacing w:line="300" w:lineRule="auto"/>
        <w:ind w:firstLine="3360" w:firstLineChars="12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9.6000</w:t>
      </w:r>
      <w:r>
        <w:rPr>
          <w:rFonts w:hint="eastAsia" w:ascii="Arial" w:hAnsi="Arial" w:eastAsia="仿宋_GB2312"/>
          <w:sz w:val="28"/>
          <w:highlight w:val="none"/>
        </w:rPr>
        <w:t>（万元）</w:t>
      </w:r>
    </w:p>
    <w:p w14:paraId="41733622">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c）</w:t>
      </w:r>
      <w:r>
        <w:rPr>
          <w:rFonts w:hint="eastAsia" w:ascii="Arial" w:hAnsi="Arial" w:eastAsia="仿宋_GB2312"/>
          <w:sz w:val="28"/>
          <w:highlight w:val="none"/>
          <w:lang w:val="en-US" w:eastAsia="zh-CN"/>
        </w:rPr>
        <w:t>基础设施建设费</w:t>
      </w:r>
    </w:p>
    <w:p w14:paraId="06B144A9">
      <w:pPr>
        <w:spacing w:line="300" w:lineRule="auto"/>
        <w:ind w:firstLine="560" w:firstLineChars="200"/>
        <w:jc w:val="both"/>
        <w:rPr>
          <w:rFonts w:hint="eastAsia" w:ascii="Arial" w:hAnsi="Arial" w:eastAsia="仿宋_GB2312"/>
          <w:sz w:val="28"/>
          <w:highlight w:val="none"/>
        </w:rPr>
      </w:pPr>
      <w:r>
        <w:rPr>
          <w:rFonts w:hint="eastAsia" w:ascii="仿宋_GB2312" w:eastAsia="仿宋_GB2312"/>
          <w:sz w:val="28"/>
          <w:highlight w:val="none"/>
        </w:rPr>
        <w:t>基础设施建设费是指建筑物外墙外边线2m以外和项目红线范围内的道路、供水、供电、</w:t>
      </w:r>
      <w:r>
        <w:rPr>
          <w:rFonts w:hint="eastAsia" w:ascii="Arial" w:hAnsi="Arial" w:eastAsia="仿宋_GB2312"/>
          <w:sz w:val="28"/>
          <w:highlight w:val="none"/>
        </w:rPr>
        <w:t>供气、通信、绿化、环卫、排水、室外照明等设施的建设费用，以及各项设施与市政千道、千管、干线等的接口费用，北京市房地产开发项目宗地内基础设施建设费一般为建安工程费的5%</w:t>
      </w:r>
      <w:r>
        <w:rPr>
          <w:rFonts w:hint="eastAsia" w:ascii="Arial" w:hAnsi="Arial" w:eastAsia="仿宋_GB2312"/>
          <w:sz w:val="28"/>
          <w:highlight w:val="none"/>
          <w:lang w:eastAsia="zh-CN"/>
        </w:rPr>
        <w:t>－</w:t>
      </w:r>
      <w:r>
        <w:rPr>
          <w:rFonts w:hint="eastAsia" w:ascii="Arial" w:hAnsi="Arial" w:eastAsia="仿宋_GB2312"/>
          <w:sz w:val="28"/>
          <w:highlight w:val="none"/>
        </w:rPr>
        <w:t>15%。根据估价人员现场调查，通过区域电力、燃气、暖气、上下水标准及室外绿化、道路等配套情况，同时结合估价对象所处位置、建设规模等情况，基础设施建设费取建筑安装工程费的1</w:t>
      </w:r>
      <w:r>
        <w:rPr>
          <w:rFonts w:hint="eastAsia" w:ascii="Arial" w:hAnsi="Arial" w:eastAsia="仿宋_GB2312"/>
          <w:sz w:val="28"/>
          <w:highlight w:val="none"/>
          <w:lang w:val="en-US" w:eastAsia="zh-CN"/>
        </w:rPr>
        <w:t>0</w:t>
      </w:r>
      <w:r>
        <w:rPr>
          <w:rFonts w:hint="eastAsia" w:ascii="Arial" w:hAnsi="Arial" w:eastAsia="仿宋_GB2312"/>
          <w:sz w:val="28"/>
          <w:highlight w:val="none"/>
        </w:rPr>
        <w:t>%</w:t>
      </w:r>
      <w:r>
        <w:rPr>
          <w:rFonts w:hint="eastAsia" w:ascii="Arial" w:hAnsi="Arial" w:eastAsia="仿宋_GB2312"/>
          <w:sz w:val="28"/>
          <w:highlight w:val="none"/>
          <w:lang w:val="en-US" w:eastAsia="zh-CN"/>
        </w:rPr>
        <w:t>,</w:t>
      </w:r>
      <w:r>
        <w:rPr>
          <w:rFonts w:hint="eastAsia" w:ascii="Arial" w:hAnsi="Arial" w:eastAsia="仿宋_GB2312"/>
          <w:sz w:val="28"/>
          <w:highlight w:val="none"/>
        </w:rPr>
        <w:t>则有：</w:t>
      </w:r>
    </w:p>
    <w:p w14:paraId="6BC233E7">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lang w:val="en-US" w:eastAsia="zh-CN"/>
        </w:rPr>
        <w:t>基础设施建设费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302B5FC5">
      <w:pPr>
        <w:spacing w:line="300" w:lineRule="auto"/>
        <w:ind w:firstLine="3360" w:firstLineChars="12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120.0000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10</w:t>
      </w:r>
      <w:r>
        <w:rPr>
          <w:rFonts w:ascii="Arial" w:hAnsi="Arial" w:eastAsia="仿宋_GB2312"/>
          <w:sz w:val="28"/>
          <w:highlight w:val="none"/>
        </w:rPr>
        <w:t>%</w:t>
      </w:r>
    </w:p>
    <w:p w14:paraId="492192B6">
      <w:pPr>
        <w:spacing w:line="300" w:lineRule="auto"/>
        <w:ind w:firstLine="3360" w:firstLineChars="12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12.0000</w:t>
      </w:r>
      <w:r>
        <w:rPr>
          <w:rFonts w:hint="eastAsia" w:ascii="Arial" w:hAnsi="Arial" w:eastAsia="仿宋_GB2312"/>
          <w:sz w:val="28"/>
          <w:highlight w:val="none"/>
        </w:rPr>
        <w:t>（万元）</w:t>
      </w:r>
    </w:p>
    <w:p w14:paraId="21798293">
      <w:pPr>
        <w:spacing w:line="300" w:lineRule="auto"/>
        <w:ind w:firstLine="560" w:firstLineChars="200"/>
        <w:jc w:val="both"/>
        <w:rPr>
          <w:rFonts w:hint="eastAsia" w:ascii="仿宋_GB2312" w:eastAsia="仿宋_GB2312"/>
          <w:sz w:val="28"/>
          <w:highlight w:val="none"/>
        </w:rPr>
      </w:pPr>
      <w:r>
        <w:rPr>
          <w:rFonts w:hint="eastAsia" w:ascii="Arial" w:hAnsi="Arial" w:eastAsia="仿宋_GB2312"/>
          <w:sz w:val="28"/>
          <w:highlight w:val="none"/>
          <w:lang w:val="en-US" w:eastAsia="zh-CN"/>
        </w:rPr>
        <w:t>d</w:t>
      </w:r>
      <w:r>
        <w:rPr>
          <w:rFonts w:hint="eastAsia" w:ascii="Arial" w:hAnsi="Arial" w:eastAsia="仿宋_GB2312"/>
          <w:sz w:val="28"/>
          <w:highlight w:val="none"/>
        </w:rPr>
        <w:t>）</w:t>
      </w:r>
      <w:r>
        <w:rPr>
          <w:rFonts w:hint="eastAsia" w:ascii="仿宋_GB2312" w:eastAsia="仿宋_GB2312"/>
          <w:sz w:val="28"/>
          <w:highlight w:val="none"/>
        </w:rPr>
        <w:t>公共配套设施费用</w:t>
      </w:r>
    </w:p>
    <w:p w14:paraId="1EEC35AE">
      <w:pPr>
        <w:spacing w:line="300" w:lineRule="auto"/>
        <w:ind w:firstLine="560" w:firstLineChars="200"/>
        <w:jc w:val="both"/>
        <w:rPr>
          <w:rFonts w:ascii="仿宋_GB2312" w:eastAsia="仿宋_GB2312"/>
          <w:sz w:val="28"/>
          <w:highlight w:val="none"/>
        </w:rPr>
      </w:pPr>
      <w:r>
        <w:rPr>
          <w:rFonts w:hint="eastAsia" w:ascii="Arial" w:hAnsi="Arial" w:eastAsia="仿宋" w:cs="Arial"/>
          <w:sz w:val="28"/>
          <w:szCs w:val="28"/>
          <w:highlight w:val="none"/>
        </w:rPr>
        <w:t>公共配套设施建设费按照城市规划要求小区内配套的教育、医疗卫生、文化体育、社区服务等非营业性设施的建设费用。小区配套费用仅限于住宅小区开发时计取，</w:t>
      </w:r>
      <w:r>
        <w:rPr>
          <w:rFonts w:hint="eastAsia" w:ascii="Arial" w:hAnsi="Arial" w:eastAsia="仿宋" w:cs="Arial"/>
          <w:sz w:val="28"/>
          <w:szCs w:val="28"/>
          <w:highlight w:val="none"/>
          <w:lang w:val="en-US" w:eastAsia="zh-CN"/>
        </w:rPr>
        <w:t>非住宅不计取。</w:t>
      </w:r>
    </w:p>
    <w:p w14:paraId="07E3248A">
      <w:pPr>
        <w:spacing w:line="300" w:lineRule="auto"/>
        <w:ind w:firstLine="560" w:firstLineChars="200"/>
        <w:jc w:val="both"/>
        <w:rPr>
          <w:rFonts w:hint="eastAsia" w:ascii="仿宋_GB2312" w:eastAsia="仿宋_GB2312"/>
          <w:sz w:val="28"/>
          <w:highlight w:val="none"/>
        </w:rPr>
      </w:pPr>
      <w:r>
        <w:rPr>
          <w:rFonts w:hint="eastAsia" w:ascii="Arial" w:hAnsi="Arial" w:eastAsia="仿宋_GB2312"/>
          <w:sz w:val="28"/>
          <w:highlight w:val="none"/>
        </w:rPr>
        <w:t>e）</w:t>
      </w:r>
      <w:r>
        <w:rPr>
          <w:rFonts w:hint="eastAsia" w:ascii="仿宋_GB2312" w:eastAsia="仿宋_GB2312"/>
          <w:sz w:val="28"/>
          <w:highlight w:val="none"/>
        </w:rPr>
        <w:t>开发期间税费</w:t>
      </w:r>
    </w:p>
    <w:p w14:paraId="7709D4B2">
      <w:pPr>
        <w:spacing w:before="50" w:after="50" w:line="300" w:lineRule="auto"/>
        <w:ind w:firstLine="560" w:firstLineChars="200"/>
        <w:jc w:val="both"/>
        <w:rPr>
          <w:rFonts w:hint="eastAsia" w:ascii="Arial" w:hAnsi="Arial" w:eastAsia="仿宋" w:cs="Arial"/>
          <w:sz w:val="28"/>
          <w:szCs w:val="28"/>
          <w:highlight w:val="none"/>
          <w:lang w:eastAsia="zh-CN"/>
        </w:rPr>
      </w:pPr>
      <w:r>
        <w:rPr>
          <w:rFonts w:hint="eastAsia" w:ascii="仿宋_GB2312" w:eastAsia="仿宋_GB2312"/>
          <w:sz w:val="28"/>
          <w:highlight w:val="none"/>
        </w:rPr>
        <w:t>主要</w:t>
      </w:r>
      <w:r>
        <w:rPr>
          <w:rFonts w:hint="eastAsia" w:ascii="Arial" w:hAnsi="Arial" w:eastAsia="仿宋" w:cs="Arial"/>
          <w:sz w:val="28"/>
          <w:szCs w:val="28"/>
          <w:highlight w:val="none"/>
        </w:rPr>
        <w:t>包括有关部门税收和地方政府或其他有关部门收取的费用，如工程监理费、竣工验收费、绿化建设费、人防工程费等</w:t>
      </w:r>
      <w:r>
        <w:rPr>
          <w:rFonts w:hint="eastAsia" w:ascii="Arial" w:hAnsi="Arial" w:eastAsia="仿宋" w:cs="Arial"/>
          <w:sz w:val="28"/>
          <w:szCs w:val="28"/>
          <w:highlight w:val="none"/>
          <w:lang w:eastAsia="zh-CN"/>
        </w:rPr>
        <w:t>。</w:t>
      </w:r>
      <w:r>
        <w:rPr>
          <w:rFonts w:hint="eastAsia" w:ascii="仿宋_GB2312" w:eastAsia="仿宋_GB2312"/>
          <w:sz w:val="28"/>
          <w:highlight w:val="none"/>
        </w:rPr>
        <w:t>开发期间税费</w:t>
      </w:r>
      <w:r>
        <w:rPr>
          <w:rFonts w:hint="eastAsia" w:ascii="Arial" w:hAnsi="Arial" w:eastAsia="仿宋_GB2312"/>
          <w:sz w:val="28"/>
          <w:highlight w:val="none"/>
        </w:rPr>
        <w:t>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 w:cs="Arial"/>
          <w:sz w:val="28"/>
          <w:szCs w:val="28"/>
          <w:highlight w:val="none"/>
        </w:rPr>
        <w:t>根据估价对象所处区域的一般情况，并结合估价对象的实际情况，按建筑安装工程费的2%测算</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45C6D21A">
      <w:pPr>
        <w:spacing w:line="300" w:lineRule="auto"/>
        <w:ind w:firstLine="560" w:firstLineChars="200"/>
        <w:jc w:val="both"/>
        <w:rPr>
          <w:rFonts w:hint="eastAsia" w:ascii="Arial" w:hAnsi="Arial" w:eastAsia="仿宋_GB2312"/>
          <w:sz w:val="28"/>
          <w:highlight w:val="none"/>
        </w:rPr>
      </w:pPr>
      <w:r>
        <w:rPr>
          <w:rFonts w:hint="eastAsia" w:ascii="Arial" w:hAnsi="Arial" w:eastAsia="仿宋" w:cs="Arial"/>
          <w:sz w:val="28"/>
          <w:szCs w:val="28"/>
          <w:highlight w:val="none"/>
        </w:rPr>
        <w:t>开发期间税费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04A8705D">
      <w:pPr>
        <w:spacing w:line="300" w:lineRule="auto"/>
        <w:ind w:firstLine="2240" w:firstLineChars="8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120.0000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w:t>
      </w:r>
      <w:r>
        <w:rPr>
          <w:rFonts w:ascii="Arial" w:hAnsi="Arial" w:eastAsia="仿宋_GB2312"/>
          <w:sz w:val="28"/>
          <w:highlight w:val="none"/>
        </w:rPr>
        <w:t>%</w:t>
      </w:r>
    </w:p>
    <w:p w14:paraId="026AAB3F">
      <w:pPr>
        <w:spacing w:before="50" w:after="50" w:line="300" w:lineRule="auto"/>
        <w:ind w:firstLine="2240" w:firstLineChars="8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2.4000</w:t>
      </w:r>
      <w:r>
        <w:rPr>
          <w:rFonts w:hint="eastAsia" w:ascii="Arial" w:hAnsi="Arial" w:eastAsia="仿宋_GB2312"/>
          <w:sz w:val="28"/>
          <w:highlight w:val="none"/>
        </w:rPr>
        <w:t>（万元）</w:t>
      </w:r>
    </w:p>
    <w:p w14:paraId="0E568266">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rPr>
        <w:t>f）</w:t>
      </w:r>
      <w:r>
        <w:rPr>
          <w:rFonts w:hint="eastAsia" w:ascii="Arial" w:hAnsi="Arial" w:eastAsia="仿宋_GB2312"/>
          <w:sz w:val="28"/>
          <w:highlight w:val="none"/>
          <w:lang w:val="en-US" w:eastAsia="zh-CN"/>
        </w:rPr>
        <w:t>其他工程费</w:t>
      </w:r>
    </w:p>
    <w:p w14:paraId="25089CB3">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其他工程费是指在工程建设中，除建筑安装工程费和设备、工具、器具购置费以外的费用。根据目前北京市房地产开发的情况</w:t>
      </w:r>
      <w:r>
        <w:rPr>
          <w:rFonts w:hint="eastAsia" w:ascii="Arial" w:hAnsi="Arial" w:eastAsia="仿宋_GB2312"/>
          <w:sz w:val="28"/>
          <w:highlight w:val="none"/>
          <w:lang w:eastAsia="zh-CN"/>
        </w:rPr>
        <w:t>。</w:t>
      </w:r>
      <w:r>
        <w:rPr>
          <w:rFonts w:hint="eastAsia" w:ascii="Arial" w:hAnsi="Arial" w:eastAsia="仿宋_GB2312"/>
          <w:sz w:val="28"/>
          <w:highlight w:val="none"/>
        </w:rPr>
        <w:t>其他工程费一般为建筑安装工程费用的</w:t>
      </w:r>
      <w:r>
        <w:rPr>
          <w:rFonts w:hint="eastAsia" w:ascii="Arial" w:hAnsi="Arial" w:eastAsia="仿宋_GB2312"/>
          <w:sz w:val="28"/>
          <w:highlight w:val="none"/>
          <w:lang w:val="en-US" w:eastAsia="zh-CN"/>
        </w:rPr>
        <w:t>2</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hint="eastAsia" w:ascii="Arial" w:hAnsi="Arial" w:eastAsia="仿宋_GB2312"/>
          <w:sz w:val="28"/>
          <w:highlight w:val="none"/>
        </w:rPr>
        <w:t>%</w:t>
      </w:r>
      <w:r>
        <w:rPr>
          <w:rFonts w:hint="eastAsia" w:ascii="Arial" w:hAnsi="Arial" w:eastAsia="仿宋_GB2312"/>
          <w:sz w:val="28"/>
          <w:highlight w:val="none"/>
          <w:lang w:eastAsia="zh-CN"/>
        </w:rPr>
        <w:t>，</w:t>
      </w:r>
      <w:r>
        <w:rPr>
          <w:rFonts w:hint="eastAsia" w:ascii="Arial" w:hAnsi="Arial" w:eastAsia="仿宋_GB2312"/>
          <w:sz w:val="28"/>
          <w:highlight w:val="none"/>
        </w:rPr>
        <w:t>确定以建筑安装工程费用为计费基础取5%</w:t>
      </w:r>
      <w:r>
        <w:rPr>
          <w:rFonts w:hint="eastAsia" w:ascii="Arial" w:hAnsi="Arial" w:eastAsia="仿宋" w:cs="Arial"/>
          <w:sz w:val="28"/>
          <w:szCs w:val="28"/>
          <w:highlight w:val="none"/>
          <w:lang w:eastAsia="zh-CN"/>
        </w:rPr>
        <w:t>，</w:t>
      </w:r>
      <w:r>
        <w:rPr>
          <w:rFonts w:ascii="Arial" w:hAnsi="Arial" w:eastAsia="仿宋" w:cs="Arial"/>
          <w:sz w:val="28"/>
          <w:szCs w:val="28"/>
          <w:highlight w:val="none"/>
        </w:rPr>
        <w:t>则有：</w:t>
      </w:r>
    </w:p>
    <w:p w14:paraId="7AB3FE60">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其他工程费</w:t>
      </w:r>
      <w:r>
        <w:rPr>
          <w:rFonts w:hint="eastAsia" w:ascii="Arial" w:hAnsi="Arial" w:eastAsia="仿宋_GB2312"/>
          <w:sz w:val="28"/>
          <w:highlight w:val="none"/>
          <w:lang w:eastAsia="zh-CN"/>
        </w:rPr>
        <w:t>＝</w:t>
      </w:r>
      <w:r>
        <w:rPr>
          <w:rFonts w:hint="eastAsia" w:ascii="Arial" w:hAnsi="Arial" w:eastAsia="仿宋_GB2312"/>
          <w:sz w:val="28"/>
          <w:highlight w:val="none"/>
        </w:rPr>
        <w:t>建安费用</w:t>
      </w:r>
      <w:r>
        <w:rPr>
          <w:rFonts w:hint="eastAsia" w:ascii="Arial" w:hAnsi="Arial" w:eastAsia="仿宋_GB2312"/>
          <w:sz w:val="28"/>
          <w:highlight w:val="none"/>
          <w:lang w:eastAsia="zh-CN"/>
        </w:rPr>
        <w:t>×</w:t>
      </w:r>
      <w:r>
        <w:rPr>
          <w:rFonts w:hint="eastAsia" w:ascii="Arial" w:hAnsi="Arial" w:eastAsia="仿宋_GB2312"/>
          <w:sz w:val="28"/>
          <w:highlight w:val="none"/>
        </w:rPr>
        <w:t>取费标准</w:t>
      </w:r>
    </w:p>
    <w:p w14:paraId="19D58FBB">
      <w:pPr>
        <w:spacing w:line="300" w:lineRule="auto"/>
        <w:ind w:firstLine="1960" w:firstLineChars="700"/>
        <w:jc w:val="both"/>
        <w:rPr>
          <w:rFonts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120.0000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5</w:t>
      </w:r>
      <w:r>
        <w:rPr>
          <w:rFonts w:ascii="Arial" w:hAnsi="Arial" w:eastAsia="仿宋_GB2312"/>
          <w:sz w:val="28"/>
          <w:highlight w:val="none"/>
        </w:rPr>
        <w:t>%</w:t>
      </w:r>
    </w:p>
    <w:p w14:paraId="515188C3">
      <w:pPr>
        <w:spacing w:line="300" w:lineRule="auto"/>
        <w:ind w:firstLine="1960" w:firstLineChars="700"/>
        <w:jc w:val="both"/>
        <w:rPr>
          <w:rFonts w:hint="eastAsia" w:ascii="Arial" w:hAnsi="Arial"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6.0000</w:t>
      </w:r>
      <w:r>
        <w:rPr>
          <w:rFonts w:hint="eastAsia" w:ascii="Arial" w:hAnsi="Arial" w:eastAsia="仿宋_GB2312"/>
          <w:sz w:val="28"/>
          <w:highlight w:val="none"/>
        </w:rPr>
        <w:t>（万元）</w:t>
      </w:r>
    </w:p>
    <w:p w14:paraId="0F9EB4A9">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hint="eastAsia" w:ascii="Arial" w:hAnsi="Arial" w:eastAsia="仿宋_GB2312"/>
          <w:sz w:val="28"/>
          <w:highlight w:val="none"/>
        </w:rPr>
        <w:t>）房屋建设成本</w:t>
      </w:r>
    </w:p>
    <w:p w14:paraId="5189B03D">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房屋建设成本</w:t>
      </w:r>
      <w:r>
        <w:rPr>
          <w:rFonts w:hint="eastAsia" w:ascii="仿宋_GB2312" w:eastAsia="仿宋_GB2312"/>
          <w:sz w:val="28"/>
          <w:highlight w:val="none"/>
        </w:rPr>
        <w:t>为上述</w:t>
      </w:r>
      <w:r>
        <w:rPr>
          <w:rFonts w:hint="eastAsia" w:ascii="仿宋_GB2312" w:eastAsia="仿宋_GB2312"/>
          <w:sz w:val="28"/>
          <w:highlight w:val="none"/>
          <w:lang w:val="en-US" w:eastAsia="zh-CN"/>
        </w:rPr>
        <w:t>6</w:t>
      </w:r>
      <w:r>
        <w:rPr>
          <w:rFonts w:hint="eastAsia" w:ascii="仿宋_GB2312" w:eastAsia="仿宋_GB2312"/>
          <w:sz w:val="28"/>
          <w:highlight w:val="none"/>
        </w:rPr>
        <w:t>项之和，则有：</w:t>
      </w:r>
    </w:p>
    <w:p w14:paraId="2B1BFB98">
      <w:pPr>
        <w:spacing w:line="300" w:lineRule="auto"/>
        <w:ind w:firstLine="562" w:firstLineChars="201"/>
        <w:jc w:val="left"/>
        <w:rPr>
          <w:rFonts w:hint="eastAsia" w:ascii="Arial" w:hAnsi="Arial" w:eastAsia="仿宋_GB2312"/>
          <w:sz w:val="28"/>
          <w:highlight w:val="none"/>
        </w:rPr>
      </w:pPr>
      <w:r>
        <w:rPr>
          <w:rFonts w:hint="eastAsia" w:ascii="Arial" w:hAnsi="Arial" w:eastAsia="仿宋_GB2312"/>
          <w:sz w:val="28"/>
          <w:highlight w:val="none"/>
        </w:rPr>
        <w:t>房屋建设成本</w:t>
      </w:r>
    </w:p>
    <w:p w14:paraId="70B4BFBC">
      <w:pPr>
        <w:spacing w:line="300" w:lineRule="auto"/>
        <w:ind w:firstLine="562" w:firstLineChars="201"/>
        <w:jc w:val="left"/>
        <w:rPr>
          <w:rFonts w:hint="eastAsia"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 xml:space="preserve">前期费用＋建筑安装工程费＋基础设施建设费＋公共配套设施建设费＋开发期间税费＋其他工程费  </w:t>
      </w:r>
    </w:p>
    <w:p w14:paraId="0426889E">
      <w:pPr>
        <w:spacing w:line="300" w:lineRule="auto"/>
        <w:ind w:firstLine="562" w:firstLineChars="201"/>
        <w:jc w:val="both"/>
        <w:rPr>
          <w:rFonts w:hint="default"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9.6000＋120.0000＋12.0000＋0＋2.4000＋6.0000</w:t>
      </w:r>
    </w:p>
    <w:p w14:paraId="0E18798A">
      <w:pPr>
        <w:spacing w:line="300" w:lineRule="auto"/>
        <w:ind w:firstLine="562" w:firstLineChars="201"/>
        <w:jc w:val="both"/>
        <w:rPr>
          <w:rFonts w:hint="default" w:ascii="Arial" w:hAnsi="Arial" w:eastAsia="仿宋_GB2312"/>
          <w:sz w:val="28"/>
          <w:highlight w:val="none"/>
          <w:lang w:val="en-US" w:eastAsia="zh-CN"/>
        </w:rPr>
      </w:pP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150.0000</w:t>
      </w:r>
      <w:r>
        <w:rPr>
          <w:rFonts w:hint="eastAsia" w:ascii="Arial" w:hAnsi="Arial" w:eastAsia="仿宋_GB2312"/>
          <w:sz w:val="28"/>
          <w:highlight w:val="none"/>
        </w:rPr>
        <w:t>（万元）</w:t>
      </w:r>
    </w:p>
    <w:p w14:paraId="0A07E4A8">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val="en-US" w:eastAsia="zh-CN"/>
        </w:rPr>
        <w:t>c</w:t>
      </w:r>
      <w:r>
        <w:rPr>
          <w:rFonts w:hint="eastAsia" w:ascii="Arial" w:hAnsi="Arial" w:eastAsia="仿宋_GB2312" w:cs="Arial"/>
          <w:sz w:val="28"/>
          <w:highlight w:val="none"/>
        </w:rPr>
        <w:t>.</w:t>
      </w:r>
      <w:r>
        <w:rPr>
          <w:rFonts w:hint="eastAsia" w:ascii="仿宋_GB2312" w:eastAsia="仿宋_GB2312"/>
          <w:sz w:val="28"/>
          <w:highlight w:val="none"/>
        </w:rPr>
        <w:t>管理费用</w:t>
      </w:r>
    </w:p>
    <w:p w14:paraId="51FC06E9">
      <w:pPr>
        <w:spacing w:line="300" w:lineRule="auto"/>
        <w:ind w:firstLine="560" w:firstLineChars="200"/>
        <w:jc w:val="both"/>
        <w:rPr>
          <w:rFonts w:ascii="仿宋_GB2312" w:eastAsia="仿宋_GB2312"/>
          <w:sz w:val="28"/>
          <w:highlight w:val="none"/>
        </w:rPr>
      </w:pPr>
      <w:r>
        <w:rPr>
          <w:rFonts w:hint="eastAsia" w:ascii="仿宋_GB2312" w:hAnsi="Arial" w:eastAsia="仿宋_GB2312"/>
          <w:sz w:val="28"/>
          <w:highlight w:val="none"/>
        </w:rPr>
        <w:t>管</w:t>
      </w:r>
      <w:r>
        <w:rPr>
          <w:rFonts w:hint="eastAsia" w:ascii="Arial" w:hAnsi="Arial" w:eastAsia="仿宋_GB2312"/>
          <w:sz w:val="28"/>
          <w:highlight w:val="none"/>
          <w:lang w:val="en-US" w:eastAsia="zh-CN"/>
        </w:rPr>
        <w:t>理费用是房地产开发商为组织和管理房地产开发经营活动的必要支出，主要包括人员工资、办公费、差旅费等.管理费用按照房地产开发企业财务会计制度核算，根据目前北京市房地产开发中管理费用的平均水平，该类房地产开发项目的管理费用一般为房屋建设成本的1－3%之间。根据项目实际情况，确定管理费用以房屋建设成本为计费基础取 3%，</w:t>
      </w:r>
      <w:r>
        <w:rPr>
          <w:rFonts w:hint="eastAsia" w:ascii="仿宋_GB2312" w:eastAsia="仿宋_GB2312"/>
          <w:sz w:val="28"/>
          <w:highlight w:val="none"/>
        </w:rPr>
        <w:t>则有：</w:t>
      </w:r>
    </w:p>
    <w:p w14:paraId="646B2FF3">
      <w:pPr>
        <w:spacing w:line="300" w:lineRule="auto"/>
        <w:ind w:firstLine="560" w:firstLineChars="200"/>
        <w:jc w:val="both"/>
        <w:rPr>
          <w:rFonts w:hint="eastAsia" w:ascii="仿宋_GB2312" w:eastAsia="仿宋_GB2312"/>
          <w:sz w:val="28"/>
          <w:highlight w:val="none"/>
          <w:lang w:eastAsia="zh-CN"/>
        </w:rPr>
      </w:pPr>
      <w:r>
        <w:rPr>
          <w:rFonts w:hint="eastAsia" w:ascii="仿宋_GB2312" w:eastAsia="仿宋_GB2312"/>
          <w:sz w:val="28"/>
          <w:highlight w:val="none"/>
        </w:rPr>
        <w:t>管理费用</w:t>
      </w:r>
      <w:r>
        <w:rPr>
          <w:rFonts w:hint="eastAsia" w:ascii="仿宋_GB2312" w:eastAsia="仿宋_GB2312"/>
          <w:sz w:val="28"/>
          <w:highlight w:val="none"/>
          <w:lang w:eastAsia="zh-CN"/>
        </w:rPr>
        <w:t>＝</w:t>
      </w:r>
      <w:r>
        <w:rPr>
          <w:rFonts w:hint="eastAsia" w:ascii="Arial" w:hAnsi="Arial" w:eastAsia="仿宋_GB2312"/>
          <w:sz w:val="28"/>
          <w:highlight w:val="none"/>
        </w:rPr>
        <w:t>房屋建设成本</w:t>
      </w:r>
      <w:r>
        <w:rPr>
          <w:rFonts w:hint="eastAsia" w:ascii="仿宋_GB2312" w:eastAsia="仿宋_GB2312"/>
          <w:sz w:val="28"/>
          <w:highlight w:val="none"/>
          <w:lang w:eastAsia="zh-CN"/>
        </w:rPr>
        <w:t>×</w:t>
      </w:r>
      <w:r>
        <w:rPr>
          <w:rFonts w:hint="eastAsia" w:ascii="仿宋_GB2312" w:eastAsia="仿宋_GB2312"/>
          <w:sz w:val="28"/>
          <w:highlight w:val="none"/>
          <w:lang w:val="en-US" w:eastAsia="zh-CN"/>
        </w:rPr>
        <w:t>管理费率</w:t>
      </w:r>
    </w:p>
    <w:p w14:paraId="04BA6EB8">
      <w:pPr>
        <w:spacing w:line="300" w:lineRule="auto"/>
        <w:ind w:firstLine="1680" w:firstLineChars="600"/>
        <w:jc w:val="both"/>
        <w:rPr>
          <w:rFonts w:ascii="仿宋_GB2312" w:eastAsia="仿宋_GB2312"/>
          <w:sz w:val="28"/>
          <w:highlight w:val="none"/>
        </w:rPr>
      </w:pP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150.0000×3%</w:t>
      </w:r>
      <w:r>
        <w:rPr>
          <w:rFonts w:hint="eastAsia" w:ascii="仿宋_GB2312" w:eastAsia="仿宋_GB2312"/>
          <w:sz w:val="28"/>
          <w:highlight w:val="none"/>
          <w:lang w:eastAsia="zh-CN"/>
        </w:rPr>
        <w:t>＝</w:t>
      </w:r>
      <w:r>
        <w:rPr>
          <w:rFonts w:hint="eastAsia" w:ascii="Arial" w:hAnsi="Arial" w:eastAsia="仿宋_GB2312"/>
          <w:sz w:val="28"/>
          <w:highlight w:val="none"/>
          <w:lang w:val="en-US" w:eastAsia="zh-CN"/>
        </w:rPr>
        <w:t>4.5000</w:t>
      </w:r>
      <w:r>
        <w:rPr>
          <w:rFonts w:hint="eastAsia" w:ascii="Arial" w:hAnsi="Arial" w:eastAsia="仿宋_GB2312"/>
          <w:sz w:val="28"/>
          <w:highlight w:val="none"/>
        </w:rPr>
        <w:t>（</w:t>
      </w:r>
      <w:r>
        <w:rPr>
          <w:rFonts w:hint="eastAsia" w:ascii="仿宋_GB2312" w:eastAsia="仿宋_GB2312"/>
          <w:sz w:val="28"/>
          <w:highlight w:val="none"/>
        </w:rPr>
        <w:t>万元）</w:t>
      </w:r>
    </w:p>
    <w:p w14:paraId="109BB554">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d.销售费用</w:t>
      </w:r>
    </w:p>
    <w:p w14:paraId="37F9CE79">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销售费用指预售未来开发完成的房地产或者销售已经开发完成的房地产所必要的费用，包括广告费、销售资料制作费、样板房或样板间建设费售楼处建设费、销售人员费用或者销售代理费等。根据目前北京市居住用途房地产开发中销售费用的平均费用情况，该类建筑物的销售费用一般为房地产销售价格的2%－4%之间。</w:t>
      </w:r>
    </w:p>
    <w:p w14:paraId="2A2DDC76">
      <w:pPr>
        <w:spacing w:line="300" w:lineRule="auto"/>
        <w:ind w:firstLine="560" w:firstLineChars="200"/>
        <w:jc w:val="both"/>
        <w:rPr>
          <w:rFonts w:hint="eastAsia" w:ascii="仿宋_GB2312" w:hAnsi="Arial" w:eastAsia="仿宋_GB2312"/>
          <w:sz w:val="28"/>
          <w:highlight w:val="none"/>
        </w:rPr>
      </w:pPr>
      <w:r>
        <w:rPr>
          <w:rFonts w:hint="eastAsia" w:ascii="Arial" w:hAnsi="Arial" w:eastAsia="仿宋_GB2312"/>
          <w:sz w:val="28"/>
          <w:highlight w:val="none"/>
          <w:lang w:val="en-US" w:eastAsia="zh-CN"/>
        </w:rPr>
        <w:t>本次评估估价对象公共管理与公共服务用房建成后为住宅配套用房，直接对接相关单位，故本次评估不涉及销售费用。</w:t>
      </w:r>
    </w:p>
    <w:p w14:paraId="5D8DF857">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e</w:t>
      </w:r>
      <w:r>
        <w:rPr>
          <w:rFonts w:hint="eastAsia" w:ascii="Arial" w:hAnsi="Arial" w:eastAsia="仿宋_GB2312"/>
          <w:sz w:val="28"/>
          <w:highlight w:val="none"/>
        </w:rPr>
        <w:t>.投资利息</w:t>
      </w:r>
    </w:p>
    <w:p w14:paraId="26191432">
      <w:pPr>
        <w:spacing w:line="300" w:lineRule="auto"/>
        <w:ind w:firstLine="560" w:firstLineChars="200"/>
        <w:jc w:val="both"/>
        <w:rPr>
          <w:rFonts w:hint="eastAsia" w:ascii="Arial" w:hAnsi="Arial" w:eastAsia="仿宋_GB2312"/>
          <w:sz w:val="28"/>
          <w:highlight w:val="none"/>
          <w:lang w:val="en-US" w:eastAsia="zh-CN"/>
        </w:rPr>
      </w:pPr>
      <w:r>
        <w:rPr>
          <w:rFonts w:hint="eastAsia" w:ascii="仿宋_GB2312" w:eastAsia="仿宋_GB2312"/>
          <w:sz w:val="28"/>
          <w:highlight w:val="none"/>
        </w:rPr>
        <w:t>投资利息指在房地产开发完成或实现销售之前发生的所有必要费用应计算的利息。</w:t>
      </w:r>
    </w:p>
    <w:p w14:paraId="22B04108">
      <w:pPr>
        <w:spacing w:line="300" w:lineRule="auto"/>
        <w:ind w:firstLine="560" w:firstLineChars="200"/>
        <w:jc w:val="both"/>
        <w:rPr>
          <w:rFonts w:hint="default" w:ascii="Arial" w:hAnsi="Arial" w:eastAsia="仿宋_GB2312"/>
          <w:sz w:val="28"/>
          <w:highlight w:val="none"/>
          <w:lang w:val="en-US" w:eastAsia="zh-CN"/>
        </w:rPr>
      </w:pPr>
      <w:r>
        <w:rPr>
          <w:rFonts w:hint="eastAsia" w:ascii="Arial" w:hAnsi="Arial" w:eastAsia="仿宋_GB2312"/>
          <w:sz w:val="28"/>
          <w:highlight w:val="none"/>
          <w:lang w:val="en-US" w:eastAsia="zh-CN"/>
        </w:rPr>
        <w:t>本次评估综合考虑项目拟建设规模、主体结构高度以及装修状况，参考同类物业的开发周期，设定估价对象建设周期为3年。根据中国人民银行2026年3月20日公布的贷款市场报价利率（LPR）为，1年期LPR为3.0%，5 年期以上 LPR为 3.5%，由于未公布的 1－5 年期之间的具体 LPR 数据，本次评估采用插值法计算开发周期对应利率，得出3年期LPR为3.25%（3.0%＋（3－1）÷（5－1）×（3.5%－3.0%））。本次评估贷款利率取3.25%。地价款和购地税费全周期计息，房屋建设成本、管理费用、销售费用等预付资本应根据开发周期均匀投入计息，则有：</w:t>
      </w:r>
    </w:p>
    <w:p w14:paraId="049104F9">
      <w:pPr>
        <w:spacing w:line="300" w:lineRule="auto"/>
        <w:ind w:firstLine="560" w:firstLineChars="2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投资利息＝（估价对象土地价格＋购地税费）×〔（1＋年利率）</w:t>
      </w:r>
      <w:r>
        <w:rPr>
          <w:rFonts w:hint="eastAsia" w:ascii="Arial" w:hAnsi="Arial" w:eastAsia="仿宋_GB2312"/>
          <w:sz w:val="28"/>
          <w:highlight w:val="none"/>
          <w:vertAlign w:val="superscript"/>
          <w:lang w:val="en-US" w:eastAsia="zh-CN"/>
        </w:rPr>
        <w:t>项目开发周期</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〕＋（房屋建设成本＋管理费用＋销售费用）×〔（1＋年利率）</w:t>
      </w:r>
      <w:r>
        <w:rPr>
          <w:rFonts w:hint="eastAsia" w:ascii="Arial" w:hAnsi="Arial" w:eastAsia="仿宋_GB2312"/>
          <w:sz w:val="28"/>
          <w:highlight w:val="none"/>
          <w:vertAlign w:val="superscript"/>
          <w:lang w:val="en-US" w:eastAsia="zh-CN"/>
        </w:rPr>
        <w:t>（项目开发周期÷2）</w:t>
      </w:r>
      <w:r>
        <w:rPr>
          <w:rFonts w:hint="eastAsia" w:ascii="Arial" w:hAnsi="Arial" w:eastAsia="仿宋_GB2312"/>
          <w:sz w:val="28"/>
          <w:highlight w:val="none"/>
          <w:lang w:val="en-US" w:eastAsia="zh-CN"/>
        </w:rPr>
        <w:t>－1〕</w:t>
      </w:r>
    </w:p>
    <w:p w14:paraId="14318143">
      <w:pPr>
        <w:spacing w:line="300" w:lineRule="auto"/>
        <w:ind w:firstLine="1680" w:firstLineChars="600"/>
        <w:jc w:val="both"/>
        <w:rPr>
          <w:rFonts w:hint="eastAsia" w:ascii="Arial" w:hAnsi="Arial" w:eastAsia="仿宋_GB2312"/>
          <w:sz w:val="28"/>
          <w:highlight w:val="none"/>
          <w:lang w:val="en-US" w:eastAsia="zh-CN"/>
        </w:rPr>
      </w:pPr>
      <w:r>
        <w:rPr>
          <w:rFonts w:hint="eastAsia" w:ascii="Arial" w:hAnsi="Arial" w:eastAsia="仿宋_GB2312"/>
          <w:sz w:val="28"/>
          <w:highlight w:val="none"/>
          <w:lang w:val="en-US" w:eastAsia="zh-CN"/>
        </w:rPr>
        <w:t>＝（</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val="en-US" w:eastAsia="zh-CN"/>
        </w:rPr>
        <w:t>）×〔（1＋3.25%）</w:t>
      </w:r>
      <w:r>
        <w:rPr>
          <w:rFonts w:hint="eastAsia" w:ascii="Arial" w:hAnsi="Arial" w:eastAsia="仿宋_GB2312"/>
          <w:sz w:val="28"/>
          <w:highlight w:val="none"/>
          <w:vertAlign w:val="superscript"/>
          <w:lang w:val="en-US" w:eastAsia="zh-CN"/>
        </w:rPr>
        <w:t>3</w:t>
      </w:r>
      <w:r>
        <w:rPr>
          <w:rFonts w:hint="eastAsia" w:ascii="Arial" w:hAnsi="Arial" w:eastAsia="仿宋_GB2312"/>
          <w:sz w:val="28"/>
          <w:highlight w:val="none"/>
          <w:vertAlign w:val="baseline"/>
          <w:lang w:val="en-US" w:eastAsia="zh-CN"/>
        </w:rPr>
        <w:t>－1</w:t>
      </w:r>
      <w:r>
        <w:rPr>
          <w:rFonts w:hint="eastAsia" w:ascii="Arial" w:hAnsi="Arial" w:eastAsia="仿宋_GB2312"/>
          <w:sz w:val="28"/>
          <w:highlight w:val="none"/>
          <w:lang w:val="en-US" w:eastAsia="zh-CN"/>
        </w:rPr>
        <w:t>〕＋（150.0000＋4.5000＋0）×〔（1＋3.25%）</w:t>
      </w:r>
      <w:r>
        <w:rPr>
          <w:rFonts w:hint="eastAsia" w:ascii="Arial" w:hAnsi="Arial" w:eastAsia="仿宋_GB2312"/>
          <w:sz w:val="28"/>
          <w:highlight w:val="none"/>
          <w:vertAlign w:val="superscript"/>
          <w:lang w:val="en-US" w:eastAsia="zh-CN"/>
        </w:rPr>
        <w:t>（3÷2）</w:t>
      </w:r>
      <w:r>
        <w:rPr>
          <w:rFonts w:hint="eastAsia" w:ascii="Arial" w:hAnsi="Arial" w:eastAsia="仿宋_GB2312"/>
          <w:sz w:val="28"/>
          <w:highlight w:val="none"/>
          <w:lang w:val="en-US" w:eastAsia="zh-CN"/>
        </w:rPr>
        <w:t>－1〕</w:t>
      </w:r>
    </w:p>
    <w:p w14:paraId="6E80274F">
      <w:pPr>
        <w:spacing w:line="300" w:lineRule="auto"/>
        <w:ind w:firstLine="1680" w:firstLineChars="600"/>
        <w:jc w:val="both"/>
        <w:rPr>
          <w:rFonts w:hint="eastAsia" w:ascii="仿宋_GB2312" w:eastAsia="仿宋_GB2312"/>
          <w:sz w:val="28"/>
          <w:highlight w:val="none"/>
        </w:rPr>
      </w:pPr>
      <w:r>
        <w:rPr>
          <w:rFonts w:hint="eastAsia" w:ascii="Arial" w:hAnsi="Arial" w:eastAsia="仿宋_GB2312"/>
          <w:sz w:val="28"/>
          <w:highlight w:val="none"/>
          <w:lang w:val="en-US" w:eastAsia="zh-CN"/>
        </w:rPr>
        <w:t>＝7.5927＋0.1038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4BB32BA3">
      <w:pPr>
        <w:spacing w:line="300" w:lineRule="auto"/>
        <w:ind w:firstLine="560" w:firstLineChars="200"/>
        <w:jc w:val="both"/>
        <w:rPr>
          <w:rFonts w:ascii="Arial" w:hAnsi="Arial" w:eastAsia="仿宋_GB2312"/>
          <w:sz w:val="28"/>
          <w:highlight w:val="none"/>
        </w:rPr>
      </w:pPr>
      <w:r>
        <w:rPr>
          <w:rFonts w:hint="eastAsia" w:ascii="Arial" w:hAnsi="Arial" w:eastAsia="仿宋_GB2312"/>
          <w:sz w:val="28"/>
          <w:highlight w:val="none"/>
          <w:lang w:val="en-US" w:eastAsia="zh-CN"/>
        </w:rPr>
        <w:t>f</w:t>
      </w:r>
      <w:r>
        <w:rPr>
          <w:rFonts w:hint="eastAsia" w:ascii="Arial" w:hAnsi="Arial" w:eastAsia="仿宋_GB2312"/>
          <w:sz w:val="28"/>
          <w:highlight w:val="none"/>
        </w:rPr>
        <w:t>.销售税费</w:t>
      </w:r>
      <w:r>
        <w:rPr>
          <w:rFonts w:hint="eastAsia" w:ascii="Arial" w:hAnsi="Arial" w:eastAsia="仿宋_GB2312"/>
          <w:sz w:val="28"/>
          <w:highlight w:val="none"/>
        </w:rPr>
        <w:tab/>
      </w:r>
    </w:p>
    <w:p w14:paraId="2D69AD4F">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本</w:t>
      </w:r>
      <w:r>
        <w:rPr>
          <w:rFonts w:hint="eastAsia" w:ascii="Arial" w:hAnsi="Arial" w:eastAsia="仿宋_GB2312" w:cs="Arial"/>
          <w:sz w:val="28"/>
          <w:highlight w:val="none"/>
        </w:rPr>
        <w:t>处所指销售税费是指国家规定的相关销售税费。销售税费包括增值税及城市维护建设税、教育费附加和地方教育附加</w:t>
      </w:r>
      <w:r>
        <w:rPr>
          <w:rFonts w:hint="eastAsia" w:ascii="Arial" w:hAnsi="Arial" w:eastAsia="仿宋_GB2312" w:cs="Arial"/>
          <w:sz w:val="28"/>
          <w:highlight w:val="none"/>
          <w:lang w:eastAsia="zh-CN"/>
        </w:rPr>
        <w:t>。</w:t>
      </w:r>
    </w:p>
    <w:p w14:paraId="43A96E69">
      <w:pPr>
        <w:spacing w:line="300" w:lineRule="auto"/>
        <w:ind w:firstLine="560" w:firstLineChars="200"/>
        <w:jc w:val="both"/>
        <w:rPr>
          <w:rFonts w:hint="default" w:ascii="Arial" w:hAnsi="Arial" w:eastAsia="仿宋_GB2312" w:cs="Arial"/>
          <w:sz w:val="28"/>
          <w:highlight w:val="none"/>
          <w:lang w:val="en-US"/>
        </w:rPr>
      </w:pPr>
      <w:r>
        <w:rPr>
          <w:rFonts w:hint="eastAsia" w:ascii="Arial" w:hAnsi="Arial" w:eastAsia="仿宋_GB2312" w:cs="Arial"/>
          <w:sz w:val="28"/>
          <w:highlight w:val="none"/>
        </w:rPr>
        <w:t>根据</w:t>
      </w:r>
      <w:r>
        <w:rPr>
          <w:rFonts w:hint="eastAsia" w:ascii="Arial" w:hAnsi="Arial" w:eastAsia="仿宋" w:cs="Arial"/>
          <w:sz w:val="28"/>
          <w:szCs w:val="28"/>
          <w:highlight w:val="none"/>
        </w:rPr>
        <w:t>《中华人民共和国增值税法》</w:t>
      </w:r>
      <w:r>
        <w:rPr>
          <w:rFonts w:hint="eastAsia" w:ascii="Arial" w:hAnsi="Arial" w:eastAsia="仿宋" w:cs="Arial"/>
          <w:sz w:val="28"/>
          <w:szCs w:val="28"/>
          <w:highlight w:val="none"/>
          <w:lang w:val="en-US" w:eastAsia="zh-CN"/>
        </w:rPr>
        <w:t>及</w:t>
      </w:r>
      <w:r>
        <w:rPr>
          <w:rFonts w:hint="eastAsia" w:ascii="Arial" w:hAnsi="Arial" w:eastAsia="仿宋" w:cs="Arial"/>
          <w:sz w:val="28"/>
          <w:szCs w:val="28"/>
          <w:highlight w:val="none"/>
        </w:rPr>
        <w:t>《中华人民共和国增值税法实施条例》</w:t>
      </w:r>
      <w:r>
        <w:rPr>
          <w:rFonts w:hint="eastAsia" w:ascii="Arial" w:hAnsi="Arial" w:eastAsia="仿宋_GB2312" w:cs="Arial"/>
          <w:sz w:val="28"/>
          <w:highlight w:val="none"/>
          <w:lang w:val="en-US" w:eastAsia="zh-CN"/>
        </w:rPr>
        <w:t>相关规定</w:t>
      </w:r>
      <w:r>
        <w:rPr>
          <w:rFonts w:hint="eastAsia" w:ascii="Arial" w:hAnsi="Arial" w:eastAsia="仿宋_GB2312" w:cs="Arial"/>
          <w:sz w:val="28"/>
          <w:highlight w:val="none"/>
          <w:lang w:eastAsia="zh-CN"/>
        </w:rPr>
        <w:t>，对于一般纳税人自行开发销售的新建项目，</w:t>
      </w:r>
      <w:r>
        <w:rPr>
          <w:rFonts w:hint="eastAsia" w:ascii="Arial" w:hAnsi="Arial" w:eastAsia="仿宋_GB2312" w:cs="Arial"/>
          <w:sz w:val="28"/>
          <w:highlight w:val="none"/>
        </w:rPr>
        <w:t>适宜采用一般计税方式测算增值税</w:t>
      </w:r>
      <w:r>
        <w:rPr>
          <w:rFonts w:hint="eastAsia" w:ascii="Arial" w:hAnsi="Arial" w:eastAsia="仿宋_GB2312" w:cs="Arial"/>
          <w:sz w:val="28"/>
          <w:highlight w:val="none"/>
          <w:lang w:eastAsia="zh-CN"/>
        </w:rPr>
        <w:t>。</w:t>
      </w:r>
      <w:r>
        <w:rPr>
          <w:rFonts w:hint="default" w:ascii="Arial" w:hAnsi="Arial" w:eastAsia="仿宋_GB2312" w:cs="Arial"/>
          <w:sz w:val="28"/>
          <w:highlight w:val="none"/>
          <w:lang w:val="en-US" w:eastAsia="zh-CN"/>
        </w:rPr>
        <w:t>销售不动产税率为9%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进项税额中建筑安装工程费、</w:t>
      </w:r>
      <w:r>
        <w:rPr>
          <w:rFonts w:hint="eastAsia" w:ascii="Arial" w:hAnsi="Arial" w:eastAsia="仿宋_GB2312" w:cs="Arial"/>
          <w:sz w:val="28"/>
          <w:highlight w:val="none"/>
          <w:lang w:val="en-US" w:eastAsia="zh-CN"/>
        </w:rPr>
        <w:t>基础设施建设费</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公共配套设施建设费</w:t>
      </w:r>
      <w:r>
        <w:rPr>
          <w:rFonts w:hint="default" w:ascii="Arial" w:hAnsi="Arial" w:eastAsia="仿宋_GB2312" w:cs="Arial"/>
          <w:sz w:val="28"/>
          <w:highlight w:val="none"/>
          <w:lang w:val="en-US" w:eastAsia="zh-CN"/>
        </w:rPr>
        <w:t>属于建筑行业，税率为9%；</w:t>
      </w:r>
      <w:r>
        <w:rPr>
          <w:rFonts w:hint="eastAsia" w:ascii="Arial" w:hAnsi="Arial" w:eastAsia="仿宋_GB2312" w:cs="Arial"/>
          <w:sz w:val="28"/>
          <w:highlight w:val="none"/>
          <w:lang w:val="en-US" w:eastAsia="zh-CN"/>
        </w:rPr>
        <w:t>前期费用</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其他工程费、</w:t>
      </w:r>
      <w:r>
        <w:rPr>
          <w:rFonts w:hint="default" w:ascii="Arial" w:hAnsi="Arial" w:eastAsia="仿宋_GB2312" w:cs="Arial"/>
          <w:sz w:val="28"/>
          <w:highlight w:val="none"/>
          <w:lang w:val="en-US" w:eastAsia="zh-CN"/>
        </w:rPr>
        <w:t>销售费用税率为6%</w:t>
      </w:r>
      <w:r>
        <w:rPr>
          <w:rFonts w:hint="eastAsia" w:ascii="Arial" w:hAnsi="Arial" w:eastAsia="仿宋_GB2312" w:cs="Arial"/>
          <w:sz w:val="28"/>
          <w:highlight w:val="none"/>
          <w:lang w:val="en-US" w:eastAsia="zh-CN"/>
        </w:rPr>
        <w:t>。根据《北京市财政局国家税务总局北京市税务局北京市民政局关于明确北京市城市维护建设税纳税人所在地具体地点的通知》（京财税〔2021〕1770号），估价对象位于顺义区，城市维护建设税为增值税的5%；根据《国务院关于修改&lt;征收教育费附加的暂行规定&gt;的决定》，教育费附加为增值税的3%；根据《北京市地方教育附加征收使用管理办法》，地方教育附加费为增值税的2%，则有：</w:t>
      </w:r>
    </w:p>
    <w:p w14:paraId="1EF5D381">
      <w:pPr>
        <w:spacing w:line="300" w:lineRule="auto"/>
        <w:ind w:firstLine="560" w:firstLineChars="200"/>
        <w:jc w:val="both"/>
        <w:rPr>
          <w:rFonts w:hint="eastAsia" w:ascii="Arial" w:hAnsi="Arial" w:eastAsia="仿宋_GB2312" w:cs="Arial"/>
          <w:sz w:val="28"/>
          <w:highlight w:val="none"/>
        </w:rPr>
      </w:pPr>
      <w:r>
        <w:rPr>
          <w:rFonts w:hint="eastAsia" w:ascii="Arial" w:hAnsi="Arial" w:eastAsia="仿宋_GB2312" w:cs="Arial"/>
          <w:sz w:val="28"/>
          <w:highlight w:val="none"/>
          <w:lang w:val="en-US" w:eastAsia="zh-CN"/>
        </w:rPr>
        <w:t>增值税</w:t>
      </w:r>
      <w:r>
        <w:rPr>
          <w:rFonts w:hint="eastAsia" w:ascii="Arial" w:hAnsi="Arial" w:eastAsia="仿宋_GB2312" w:cs="Arial"/>
          <w:sz w:val="28"/>
          <w:highlight w:val="none"/>
        </w:rPr>
        <w:t>基本公式：增值税</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销项税额</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进项税额</w:t>
      </w:r>
    </w:p>
    <w:p w14:paraId="7E6EDD3B">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销项税额</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开发完成后</w:t>
      </w:r>
      <w:r>
        <w:rPr>
          <w:rFonts w:hint="default" w:ascii="Arial" w:hAnsi="Arial" w:eastAsia="仿宋_GB2312" w:cs="Arial"/>
          <w:sz w:val="28"/>
          <w:highlight w:val="none"/>
          <w:lang w:val="en-US" w:eastAsia="zh-CN"/>
        </w:rPr>
        <w:t>不动产总价</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土地使用权</w:t>
      </w:r>
      <w:r>
        <w:rPr>
          <w:rFonts w:hint="eastAsia" w:ascii="Arial" w:hAnsi="Arial" w:eastAsia="仿宋_GB2312"/>
          <w:sz w:val="28"/>
          <w:highlight w:val="none"/>
        </w:rPr>
        <w:t>总价</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p>
    <w:p w14:paraId="7DC33927">
      <w:pPr>
        <w:spacing w:line="300" w:lineRule="auto"/>
        <w:ind w:firstLine="560" w:firstLineChars="200"/>
        <w:jc w:val="both"/>
        <w:rPr>
          <w:rFonts w:hint="default" w:ascii="Arial" w:hAnsi="Arial" w:eastAsia="仿宋_GB2312" w:cs="Arial"/>
          <w:sz w:val="28"/>
          <w:highlight w:val="none"/>
          <w:lang w:val="en-US" w:eastAsia="zh-CN"/>
        </w:rPr>
      </w:pPr>
      <w:r>
        <w:rPr>
          <w:rFonts w:hint="default" w:ascii="Arial" w:hAnsi="Arial" w:eastAsia="仿宋_GB2312" w:cs="Arial"/>
          <w:sz w:val="28"/>
          <w:highlight w:val="none"/>
          <w:lang w:val="en-US" w:eastAsia="zh-CN"/>
        </w:rPr>
        <w:t>进项税额</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建筑安装工程费＋基础设施建设费＋公共配套设施建设费</w:t>
      </w:r>
      <w:r>
        <w:rPr>
          <w:rFonts w:hint="eastAsia" w:ascii="Arial" w:hAnsi="Arial" w:eastAsia="仿宋_GB2312" w:cs="Arial"/>
          <w:sz w:val="28"/>
          <w:highlight w:val="none"/>
          <w:lang w:val="en-US" w:eastAsia="zh-CN"/>
        </w:rPr>
        <w:t>＋开发期间税费）÷</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前期费用</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其他工程费＋</w:t>
      </w:r>
      <w:r>
        <w:rPr>
          <w:rFonts w:hint="default" w:ascii="Arial" w:hAnsi="Arial" w:eastAsia="仿宋_GB2312" w:cs="Arial"/>
          <w:sz w:val="28"/>
          <w:highlight w:val="none"/>
          <w:lang w:val="en-US" w:eastAsia="zh-CN"/>
        </w:rPr>
        <w:t>销售费用</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 xml:space="preserve">6%。 </w:t>
      </w:r>
    </w:p>
    <w:p w14:paraId="42BF6E6E">
      <w:pPr>
        <w:spacing w:line="300" w:lineRule="auto"/>
        <w:ind w:firstLine="560" w:firstLineChars="200"/>
        <w:jc w:val="left"/>
        <w:rPr>
          <w:rFonts w:hint="default" w:ascii="Arial" w:hAnsi="Arial" w:eastAsia="仿宋_GB2312"/>
          <w:sz w:val="28"/>
          <w:highlight w:val="none"/>
          <w:lang w:val="en-US" w:eastAsia="zh-CN"/>
        </w:rPr>
      </w:pPr>
      <w:r>
        <w:rPr>
          <w:rFonts w:hint="eastAsia" w:ascii="Arial" w:hAnsi="Arial" w:eastAsia="仿宋_GB2312"/>
          <w:sz w:val="28"/>
          <w:highlight w:val="none"/>
        </w:rPr>
        <w:t>销售税费</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305.6472－</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120.0000＋</w:t>
      </w:r>
    </w:p>
    <w:p w14:paraId="4AB81BAB">
      <w:pPr>
        <w:spacing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12.0000＋0＋2.4000</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9%</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w:t>
      </w:r>
      <w:r>
        <w:rPr>
          <w:rFonts w:hint="eastAsia" w:ascii="Arial" w:hAnsi="Arial" w:eastAsia="仿宋_GB2312"/>
          <w:sz w:val="28"/>
          <w:highlight w:val="none"/>
          <w:lang w:val="en-US" w:eastAsia="zh-CN"/>
        </w:rPr>
        <w:t>9.6000＋6.0000＋0</w:t>
      </w:r>
      <w:r>
        <w:rPr>
          <w:rFonts w:hint="default" w:ascii="Arial" w:hAnsi="Arial" w:eastAsia="仿宋_GB2312" w:cs="Arial"/>
          <w:sz w:val="28"/>
          <w:highlight w:val="none"/>
          <w:lang w:val="en-US" w:eastAsia="zh-CN"/>
        </w:rPr>
        <w:t>）</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1</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6%]</w:t>
      </w:r>
      <w:r>
        <w:rPr>
          <w:rFonts w:hint="eastAsia" w:ascii="Arial" w:hAnsi="Arial" w:eastAsia="仿宋_GB2312" w:cs="Arial"/>
          <w:sz w:val="28"/>
          <w:highlight w:val="none"/>
          <w:lang w:val="en-US" w:eastAsia="zh-CN"/>
        </w:rPr>
        <w:t>×（1＋5%＋3%＋2%）＝14.5822－</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r>
        <w:rPr>
          <w:rFonts w:hint="eastAsia" w:ascii="Arial" w:hAnsi="Arial" w:eastAsia="仿宋" w:cs="Arial"/>
          <w:bCs/>
          <w:sz w:val="21"/>
          <w:szCs w:val="21"/>
          <w:highlight w:val="none"/>
          <w:vertAlign w:val="subscript"/>
        </w:rPr>
        <w:t>土</w:t>
      </w:r>
      <w:r>
        <w:rPr>
          <w:rFonts w:hint="default" w:ascii="Arial" w:hAnsi="Arial" w:eastAsia="仿宋_GB2312" w:cs="Arial"/>
          <w:sz w:val="28"/>
          <w:highlight w:val="none"/>
          <w:lang w:val="en-US" w:eastAsia="zh-CN"/>
        </w:rPr>
        <w:t>（万元）</w:t>
      </w:r>
    </w:p>
    <w:p w14:paraId="02037CA5">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val="en-US" w:eastAsia="zh-CN"/>
        </w:rPr>
        <w:t>g</w:t>
      </w:r>
      <w:r>
        <w:rPr>
          <w:rFonts w:ascii="Arial" w:hAnsi="Arial" w:eastAsia="仿宋_GB2312"/>
          <w:sz w:val="28"/>
          <w:highlight w:val="none"/>
        </w:rPr>
        <w:t>.</w:t>
      </w:r>
      <w:r>
        <w:rPr>
          <w:rFonts w:hint="eastAsia" w:ascii="仿宋_GB2312" w:eastAsia="仿宋_GB2312"/>
          <w:sz w:val="28"/>
          <w:highlight w:val="none"/>
        </w:rPr>
        <w:t>开发成本</w:t>
      </w:r>
    </w:p>
    <w:p w14:paraId="0E942744">
      <w:pPr>
        <w:spacing w:line="300" w:lineRule="auto"/>
        <w:ind w:firstLine="560" w:firstLineChars="200"/>
        <w:jc w:val="both"/>
        <w:rPr>
          <w:rFonts w:ascii="仿宋_GB2312" w:eastAsia="仿宋_GB2312"/>
          <w:sz w:val="28"/>
          <w:highlight w:val="none"/>
        </w:rPr>
      </w:pPr>
      <w:r>
        <w:rPr>
          <w:rFonts w:hint="eastAsia" w:ascii="仿宋_GB2312" w:eastAsia="仿宋_GB2312"/>
          <w:sz w:val="28"/>
          <w:highlight w:val="none"/>
        </w:rPr>
        <w:t>开发成本为上述</w:t>
      </w:r>
      <w:r>
        <w:rPr>
          <w:rFonts w:hint="eastAsia" w:ascii="Arial" w:hAnsi="Arial" w:eastAsia="仿宋_GB2312"/>
          <w:sz w:val="28"/>
          <w:highlight w:val="none"/>
          <w:lang w:val="en-US" w:eastAsia="zh-CN"/>
        </w:rPr>
        <w:t>6</w:t>
      </w:r>
      <w:r>
        <w:rPr>
          <w:rFonts w:hint="eastAsia" w:ascii="仿宋_GB2312" w:eastAsia="仿宋_GB2312"/>
          <w:sz w:val="28"/>
          <w:highlight w:val="none"/>
        </w:rPr>
        <w:t>项合计，则有：</w:t>
      </w:r>
    </w:p>
    <w:p w14:paraId="6F271233">
      <w:pPr>
        <w:spacing w:line="300" w:lineRule="auto"/>
        <w:ind w:firstLine="560" w:firstLineChars="200"/>
        <w:jc w:val="both"/>
        <w:rPr>
          <w:rFonts w:hint="eastAsia" w:ascii="Arial" w:hAnsi="Arial" w:eastAsia="仿宋_GB2312"/>
          <w:sz w:val="28"/>
          <w:highlight w:val="none"/>
        </w:rPr>
      </w:pPr>
      <w:r>
        <w:rPr>
          <w:rFonts w:hint="eastAsia" w:ascii="Arial" w:hAnsi="Arial" w:eastAsia="仿宋_GB2312"/>
          <w:sz w:val="28"/>
          <w:highlight w:val="none"/>
        </w:rPr>
        <w:t>开发成本</w:t>
      </w:r>
    </w:p>
    <w:p w14:paraId="73ACCD1B">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lang w:eastAsia="zh-CN"/>
        </w:rPr>
        <w:t>＝</w:t>
      </w:r>
      <w:r>
        <w:rPr>
          <w:rFonts w:hint="eastAsia" w:ascii="Arial" w:hAnsi="Arial" w:eastAsia="仿宋_GB2312"/>
          <w:sz w:val="28"/>
          <w:highlight w:val="none"/>
        </w:rPr>
        <w:t>购地税费</w:t>
      </w:r>
      <w:r>
        <w:rPr>
          <w:rFonts w:hint="eastAsia" w:ascii="Arial" w:hAnsi="Arial" w:eastAsia="仿宋_GB2312"/>
          <w:sz w:val="28"/>
          <w:highlight w:val="none"/>
          <w:lang w:eastAsia="zh-CN"/>
        </w:rPr>
        <w:t>＋</w:t>
      </w:r>
      <w:r>
        <w:rPr>
          <w:rFonts w:hint="eastAsia" w:ascii="Arial" w:hAnsi="Arial" w:eastAsia="仿宋_GB2312"/>
          <w:sz w:val="28"/>
          <w:highlight w:val="none"/>
        </w:rPr>
        <w:t>房屋建设成本</w:t>
      </w:r>
      <w:r>
        <w:rPr>
          <w:rFonts w:hint="eastAsia" w:ascii="Arial" w:hAnsi="Arial" w:eastAsia="仿宋_GB2312"/>
          <w:sz w:val="28"/>
          <w:highlight w:val="none"/>
          <w:lang w:eastAsia="zh-CN"/>
        </w:rPr>
        <w:t>＋</w:t>
      </w:r>
      <w:r>
        <w:rPr>
          <w:rFonts w:hint="eastAsia" w:ascii="Arial" w:hAnsi="Arial" w:eastAsia="仿宋_GB2312"/>
          <w:sz w:val="28"/>
          <w:highlight w:val="none"/>
        </w:rPr>
        <w:t>管理费用</w:t>
      </w:r>
      <w:r>
        <w:rPr>
          <w:rFonts w:hint="eastAsia" w:ascii="Arial" w:hAnsi="Arial" w:eastAsia="仿宋_GB2312"/>
          <w:sz w:val="28"/>
          <w:highlight w:val="none"/>
          <w:lang w:eastAsia="zh-CN"/>
        </w:rPr>
        <w:t>＋</w:t>
      </w:r>
      <w:r>
        <w:rPr>
          <w:rFonts w:hint="eastAsia" w:ascii="Arial" w:hAnsi="Arial" w:eastAsia="仿宋_GB2312"/>
          <w:sz w:val="28"/>
          <w:highlight w:val="none"/>
        </w:rPr>
        <w:t>销售费用</w:t>
      </w:r>
      <w:r>
        <w:rPr>
          <w:rFonts w:hint="eastAsia" w:ascii="Arial" w:hAnsi="Arial" w:eastAsia="仿宋_GB2312"/>
          <w:sz w:val="28"/>
          <w:highlight w:val="none"/>
          <w:lang w:eastAsia="zh-CN"/>
        </w:rPr>
        <w:t>＋</w:t>
      </w:r>
      <w:r>
        <w:rPr>
          <w:rFonts w:hint="eastAsia" w:ascii="Arial" w:hAnsi="Arial" w:eastAsia="仿宋_GB2312"/>
          <w:sz w:val="28"/>
          <w:highlight w:val="none"/>
        </w:rPr>
        <w:t>投资利息</w:t>
      </w:r>
      <w:r>
        <w:rPr>
          <w:rFonts w:hint="eastAsia" w:ascii="Arial" w:hAnsi="Arial" w:eastAsia="仿宋_GB2312"/>
          <w:sz w:val="28"/>
          <w:highlight w:val="none"/>
          <w:lang w:eastAsia="zh-CN"/>
        </w:rPr>
        <w:t>＋</w:t>
      </w:r>
      <w:r>
        <w:rPr>
          <w:rFonts w:hint="eastAsia" w:ascii="Arial" w:hAnsi="Arial" w:eastAsia="仿宋_GB2312"/>
          <w:sz w:val="28"/>
          <w:highlight w:val="none"/>
        </w:rPr>
        <w:t>销售税费</w:t>
      </w:r>
    </w:p>
    <w:p w14:paraId="7AA1C953">
      <w:pPr>
        <w:spacing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eastAsia="zh-CN"/>
        </w:rPr>
        <w:t>＝</w:t>
      </w:r>
      <w:r>
        <w:rPr>
          <w:rFonts w:hint="eastAsia" w:ascii="Arial" w:hAnsi="Arial" w:eastAsia="仿宋_GB2312"/>
          <w:sz w:val="28"/>
          <w:highlight w:val="none"/>
        </w:rPr>
        <w:t>3.05%</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150.0000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4.5000</w:t>
      </w:r>
      <w:r>
        <w:rPr>
          <w:rFonts w:hint="eastAsia" w:ascii="Arial" w:hAnsi="Arial" w:eastAsia="仿宋" w:cs="Arial"/>
          <w:sz w:val="28"/>
          <w:highlight w:val="none"/>
          <w:lang w:eastAsia="zh-CN"/>
        </w:rPr>
        <w:t>＋</w:t>
      </w:r>
      <w:r>
        <w:rPr>
          <w:rFonts w:hint="eastAsia" w:ascii="Arial" w:hAnsi="Arial" w:eastAsia="仿宋_GB2312"/>
          <w:sz w:val="28"/>
          <w:highlight w:val="none"/>
          <w:lang w:val="en-US" w:eastAsia="zh-CN"/>
        </w:rPr>
        <w:t>0</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7.5927＋0.1038</w:t>
      </w:r>
      <w:r>
        <w:rPr>
          <w:rFonts w:ascii="Arial" w:hAnsi="Arial" w:eastAsia="仿宋_GB2312"/>
          <w:sz w:val="28"/>
          <w:highlight w:val="none"/>
        </w:rPr>
        <w:t>P</w:t>
      </w:r>
      <w:r>
        <w:rPr>
          <w:rFonts w:hint="eastAsia" w:ascii="Arial" w:hAnsi="Arial" w:eastAsia="仿宋_GB2312"/>
          <w:sz w:val="28"/>
          <w:highlight w:val="none"/>
          <w:vertAlign w:val="subscript"/>
        </w:rPr>
        <w:t>土</w:t>
      </w:r>
      <w:r>
        <w:rPr>
          <w:rFonts w:hint="eastAsia" w:ascii="Arial" w:hAnsi="Arial" w:eastAsia="仿宋_GB2312"/>
          <w:sz w:val="28"/>
          <w:highlight w:val="none"/>
          <w:lang w:eastAsia="zh-CN"/>
        </w:rPr>
        <w:t>＋</w:t>
      </w:r>
      <w:r>
        <w:rPr>
          <w:rFonts w:hint="eastAsia" w:ascii="Arial" w:hAnsi="Arial" w:eastAsia="仿宋_GB2312" w:cs="Arial"/>
          <w:sz w:val="28"/>
          <w:highlight w:val="none"/>
          <w:lang w:val="en-US" w:eastAsia="zh-CN"/>
        </w:rPr>
        <w:t>14.5822</w:t>
      </w:r>
    </w:p>
    <w:p w14:paraId="197D5281">
      <w:pPr>
        <w:spacing w:line="300" w:lineRule="auto"/>
        <w:jc w:val="both"/>
        <w:rPr>
          <w:rFonts w:ascii="Arial" w:hAnsi="Arial" w:eastAsia="仿宋_GB2312" w:cs="Arial"/>
          <w:sz w:val="28"/>
          <w:highlight w:val="none"/>
        </w:rPr>
      </w:pPr>
      <w:r>
        <w:rPr>
          <w:rFonts w:hint="eastAsia" w:ascii="Arial" w:hAnsi="Arial" w:eastAsia="仿宋_GB2312" w:cs="Arial"/>
          <w:sz w:val="28"/>
          <w:highlight w:val="none"/>
          <w:lang w:val="en-US" w:eastAsia="zh-CN"/>
        </w:rPr>
        <w:t>－</w:t>
      </w:r>
      <w:r>
        <w:rPr>
          <w:rFonts w:hint="default" w:ascii="Arial" w:hAnsi="Arial" w:eastAsia="仿宋_GB2312" w:cs="Arial"/>
          <w:sz w:val="28"/>
          <w:highlight w:val="none"/>
          <w:lang w:val="en-US" w:eastAsia="zh-CN"/>
        </w:rPr>
        <w:t>0.0</w:t>
      </w:r>
      <w:r>
        <w:rPr>
          <w:rFonts w:hint="eastAsia" w:ascii="Arial" w:hAnsi="Arial" w:eastAsia="仿宋_GB2312" w:cs="Arial"/>
          <w:sz w:val="28"/>
          <w:highlight w:val="none"/>
          <w:lang w:val="en-US" w:eastAsia="zh-CN"/>
        </w:rPr>
        <w:t>909</w:t>
      </w:r>
      <w:r>
        <w:rPr>
          <w:rFonts w:hint="default" w:ascii="Arial" w:hAnsi="Arial" w:eastAsia="仿宋_GB2312" w:cs="Arial"/>
          <w:sz w:val="28"/>
          <w:highlight w:val="none"/>
          <w:lang w:val="en-US" w:eastAsia="zh-CN"/>
        </w:rPr>
        <w:t>P</w:t>
      </w:r>
    </w:p>
    <w:p w14:paraId="09F6E0BC">
      <w:pPr>
        <w:spacing w:line="300" w:lineRule="auto"/>
        <w:ind w:firstLine="560" w:firstLineChars="200"/>
        <w:jc w:val="both"/>
        <w:rPr>
          <w:rFonts w:ascii="仿宋_GB2312" w:eastAsia="仿宋_GB2312"/>
          <w:sz w:val="28"/>
          <w:highlight w:val="none"/>
        </w:rPr>
      </w:pPr>
      <w:r>
        <w:rPr>
          <w:rFonts w:hint="eastAsia" w:ascii="Arial" w:hAnsi="Arial" w:eastAsia="仿宋_GB2312" w:cs="Arial"/>
          <w:sz w:val="28"/>
          <w:highlight w:val="none"/>
          <w:lang w:eastAsia="zh-CN"/>
        </w:rPr>
        <w:t>＝</w:t>
      </w:r>
      <w:r>
        <w:rPr>
          <w:rFonts w:hint="eastAsia" w:ascii="Arial" w:hAnsi="Arial" w:eastAsia="仿宋_GB2312"/>
          <w:sz w:val="28"/>
          <w:highlight w:val="none"/>
          <w:lang w:val="en-US" w:eastAsia="zh-CN"/>
        </w:rPr>
        <w:t>176.6749</w:t>
      </w:r>
      <w:r>
        <w:rPr>
          <w:rFonts w:hint="eastAsia" w:ascii="Arial" w:hAnsi="Arial" w:eastAsia="仿宋_GB2312"/>
          <w:sz w:val="28"/>
          <w:highlight w:val="none"/>
          <w:lang w:eastAsia="zh-CN"/>
        </w:rPr>
        <w:t>＋</w:t>
      </w:r>
      <w:r>
        <w:rPr>
          <w:rFonts w:hint="eastAsia" w:ascii="Arial" w:hAnsi="Arial" w:eastAsia="仿宋_GB2312"/>
          <w:sz w:val="28"/>
          <w:highlight w:val="none"/>
          <w:lang w:val="en-US" w:eastAsia="zh-CN"/>
        </w:rPr>
        <w:t>0.0434</w:t>
      </w:r>
      <w:r>
        <w:rPr>
          <w:rFonts w:ascii="Arial" w:hAnsi="Arial" w:eastAsia="仿宋_GB2312"/>
          <w:sz w:val="28"/>
          <w:highlight w:val="none"/>
        </w:rPr>
        <w:t xml:space="preserve"> P</w:t>
      </w:r>
      <w:r>
        <w:rPr>
          <w:rFonts w:hint="eastAsia" w:ascii="仿宋_GB2312" w:eastAsia="仿宋_GB2312"/>
          <w:sz w:val="28"/>
          <w:highlight w:val="none"/>
          <w:vertAlign w:val="subscript"/>
        </w:rPr>
        <w:t>土</w:t>
      </w:r>
      <w:r>
        <w:rPr>
          <w:rFonts w:hint="eastAsia" w:ascii="Arial" w:hAnsi="Arial" w:eastAsia="仿宋_GB2312"/>
          <w:sz w:val="28"/>
          <w:highlight w:val="none"/>
        </w:rPr>
        <w:t>（</w:t>
      </w:r>
      <w:r>
        <w:rPr>
          <w:rFonts w:hint="eastAsia" w:ascii="仿宋_GB2312" w:eastAsia="仿宋_GB2312"/>
          <w:sz w:val="28"/>
          <w:highlight w:val="none"/>
        </w:rPr>
        <w:t>万元）</w:t>
      </w:r>
    </w:p>
    <w:p w14:paraId="3E6F657A">
      <w:pPr>
        <w:spacing w:line="300" w:lineRule="auto"/>
        <w:ind w:firstLine="560" w:firstLineChars="200"/>
        <w:jc w:val="both"/>
        <w:rPr>
          <w:rFonts w:ascii="仿宋_GB2312" w:eastAsia="仿宋_GB2312"/>
          <w:sz w:val="28"/>
          <w:highlight w:val="none"/>
        </w:rPr>
      </w:pPr>
      <w:r>
        <w:rPr>
          <w:rFonts w:hint="eastAsia" w:ascii="Arial" w:hAnsi="Arial" w:eastAsia="仿宋_GB2312"/>
          <w:sz w:val="28"/>
          <w:highlight w:val="none"/>
        </w:rPr>
        <w:t>D</w:t>
      </w:r>
      <w:r>
        <w:rPr>
          <w:rFonts w:ascii="Arial" w:hAnsi="Arial" w:eastAsia="仿宋_GB2312"/>
          <w:sz w:val="28"/>
          <w:highlight w:val="none"/>
        </w:rPr>
        <w:t>.</w:t>
      </w:r>
      <w:r>
        <w:rPr>
          <w:rFonts w:hint="eastAsia" w:ascii="仿宋_GB2312" w:eastAsia="仿宋_GB2312"/>
          <w:sz w:val="28"/>
          <w:highlight w:val="none"/>
        </w:rPr>
        <w:t>开发利润（投资利润）</w:t>
      </w:r>
    </w:p>
    <w:p w14:paraId="3A064BB5">
      <w:pPr>
        <w:spacing w:line="300" w:lineRule="auto"/>
        <w:ind w:firstLine="560" w:firstLineChars="200"/>
        <w:jc w:val="both"/>
        <w:rPr>
          <w:rFonts w:hint="eastAsia" w:ascii="Arial" w:hAnsi="Arial" w:eastAsia="仿宋_GB2312" w:cs="Arial"/>
          <w:sz w:val="28"/>
          <w:highlight w:val="none"/>
          <w:lang w:val="en-US" w:eastAsia="zh-CN"/>
        </w:rPr>
      </w:pPr>
      <w:r>
        <w:rPr>
          <w:rFonts w:hint="eastAsia" w:ascii="仿宋_GB2312" w:hAnsi="Arial" w:eastAsia="仿宋_GB2312"/>
          <w:sz w:val="28"/>
          <w:highlight w:val="none"/>
        </w:rPr>
        <w:t>开发利润是指房地产开发商投资房地产开发项目应取得的资金报酬及承担</w:t>
      </w:r>
      <w:r>
        <w:rPr>
          <w:rFonts w:hint="eastAsia" w:ascii="Arial" w:hAnsi="Arial" w:eastAsia="仿宋_GB2312" w:cs="Arial"/>
          <w:sz w:val="28"/>
          <w:highlight w:val="none"/>
          <w:lang w:val="en-US" w:eastAsia="zh-CN"/>
        </w:rPr>
        <w:t xml:space="preserve">风险补偿。一般以土地或不动产总价值或全部预付资本的一定比例计算，利润率宜采用同一市场上类似土地或不动产开发项目的平均利润率。本次评估采用投资利润率，以全部预付资本的一定比例计算。 </w:t>
      </w:r>
    </w:p>
    <w:p w14:paraId="6157EA42">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根据《北京市国有建设用地使用权出让地价评估技术导则》（2026年2月10日实施），剩余法房地产开发投资利润率，参考区间值公共服务用途为10%－20%。估价对象位于北京市顺义区，结合估价对象容积率等自身条件，本次取其他商业服务用地开发商投资利润率为10%。</w:t>
      </w:r>
      <w:r>
        <w:rPr>
          <w:rFonts w:hint="eastAsia" w:ascii="仿宋_GB2312" w:eastAsia="仿宋_GB2312"/>
          <w:sz w:val="28"/>
          <w:highlight w:val="none"/>
        </w:rPr>
        <w:t>则有：</w:t>
      </w:r>
    </w:p>
    <w:p w14:paraId="43D36551">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投资利润</w:t>
      </w:r>
    </w:p>
    <w:p w14:paraId="7840F7F0">
      <w:pPr>
        <w:spacing w:line="300" w:lineRule="auto"/>
        <w:ind w:firstLine="560" w:firstLineChars="200"/>
        <w:jc w:val="both"/>
        <w:rPr>
          <w:rFonts w:hint="eastAsia"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＝（估价对象土地价格＋购地税费＋房屋建设成本＋管理费用＋销售费用）×投资利润率</w:t>
      </w:r>
    </w:p>
    <w:p w14:paraId="757D68D5">
      <w:pPr>
        <w:spacing w:line="300" w:lineRule="auto"/>
        <w:ind w:firstLine="560" w:firstLineChars="200"/>
        <w:jc w:val="both"/>
        <w:rPr>
          <w:rFonts w:hint="default" w:ascii="Arial" w:hAnsi="Arial" w:eastAsia="仿宋_GB2312" w:cs="Arial"/>
          <w:sz w:val="28"/>
          <w:highlight w:val="none"/>
          <w:lang w:val="en-US" w:eastAsia="zh-CN"/>
        </w:rPr>
      </w:pPr>
      <w:r>
        <w:rPr>
          <w:rFonts w:hint="eastAsia" w:ascii="Arial" w:hAnsi="Arial" w:eastAsia="仿宋_GB2312" w:cs="Arial"/>
          <w:sz w:val="28"/>
          <w:highlight w:val="none"/>
          <w:lang w:val="en-US" w:eastAsia="zh-CN"/>
        </w:rPr>
        <w:t>＝（</w:t>
      </w:r>
      <w:r>
        <w:rPr>
          <w:rFonts w:hint="eastAsia" w:ascii="仿宋_GB2312" w:eastAsia="仿宋_GB2312"/>
          <w:sz w:val="28"/>
          <w:highlight w:val="none"/>
        </w:rPr>
        <w:t xml:space="preserve"> </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Arial" w:hAnsi="Arial" w:eastAsia="仿宋_GB2312" w:cs="Arial"/>
          <w:sz w:val="28"/>
          <w:highlight w:val="none"/>
          <w:lang w:val="en-US" w:eastAsia="zh-CN"/>
        </w:rPr>
        <w:t>＋3.05%</w:t>
      </w:r>
      <w:r>
        <w:rPr>
          <w:rFonts w:hint="eastAsia" w:ascii="仿宋_GB2312" w:eastAsia="仿宋_GB2312"/>
          <w:sz w:val="28"/>
          <w:highlight w:val="none"/>
        </w:rPr>
        <w:t xml:space="preserve"> </w:t>
      </w:r>
      <w:r>
        <w:rPr>
          <w:rFonts w:ascii="Arial" w:hAnsi="Arial" w:eastAsia="仿宋_GB2312"/>
          <w:sz w:val="28"/>
          <w:highlight w:val="none"/>
        </w:rPr>
        <w:t>P</w:t>
      </w:r>
      <w:r>
        <w:rPr>
          <w:rFonts w:hint="eastAsia" w:ascii="仿宋_GB2312" w:eastAsia="仿宋_GB2312"/>
          <w:sz w:val="28"/>
          <w:highlight w:val="none"/>
          <w:vertAlign w:val="subscript"/>
        </w:rPr>
        <w:t>土</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150.0000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4.5000</w:t>
      </w: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7.5927</w:t>
      </w:r>
      <w:r>
        <w:rPr>
          <w:rFonts w:hint="eastAsia" w:ascii="Arial" w:hAnsi="Arial" w:eastAsia="仿宋_GB2312" w:cs="Arial"/>
          <w:sz w:val="28"/>
          <w:highlight w:val="none"/>
          <w:lang w:val="en-US" w:eastAsia="zh-CN"/>
        </w:rPr>
        <w:t>）×10%</w:t>
      </w:r>
    </w:p>
    <w:p w14:paraId="693E2246">
      <w:pPr>
        <w:spacing w:line="300" w:lineRule="auto"/>
        <w:ind w:firstLine="560" w:firstLineChars="200"/>
        <w:jc w:val="both"/>
        <w:rPr>
          <w:rFonts w:hint="eastAsia" w:ascii="Arial" w:hAnsi="Arial" w:eastAsia="仿宋" w:cs="Arial"/>
          <w:sz w:val="28"/>
          <w:szCs w:val="28"/>
          <w:highlight w:val="none"/>
          <w:lang w:val="en-US" w:eastAsia="zh-CN"/>
        </w:rPr>
      </w:pPr>
      <w:r>
        <w:rPr>
          <w:rFonts w:hint="eastAsia" w:ascii="Arial" w:hAnsi="Arial" w:eastAsia="仿宋_GB2312" w:cs="Arial"/>
          <w:sz w:val="28"/>
          <w:highlight w:val="none"/>
          <w:lang w:val="en-US" w:eastAsia="zh-CN"/>
        </w:rPr>
        <w:t>＝</w:t>
      </w:r>
      <w:r>
        <w:rPr>
          <w:rFonts w:hint="eastAsia" w:ascii="Arial" w:hAnsi="Arial" w:eastAsia="仿宋_GB2312"/>
          <w:sz w:val="28"/>
          <w:highlight w:val="none"/>
          <w:lang w:val="en-US" w:eastAsia="zh-CN"/>
        </w:rPr>
        <w:t>15.4500</w:t>
      </w:r>
      <w:r>
        <w:rPr>
          <w:rFonts w:hint="eastAsia" w:ascii="Arial" w:hAnsi="Arial" w:eastAsia="仿宋" w:cs="Arial"/>
          <w:sz w:val="28"/>
          <w:highlight w:val="none"/>
          <w:lang w:eastAsia="zh-CN"/>
        </w:rPr>
        <w:t>＋</w:t>
      </w:r>
      <w:r>
        <w:rPr>
          <w:rFonts w:ascii="Arial" w:hAnsi="Arial" w:eastAsia="仿宋" w:cs="Arial"/>
          <w:sz w:val="28"/>
          <w:highlight w:val="none"/>
        </w:rPr>
        <w:t>0.</w:t>
      </w:r>
      <w:r>
        <w:rPr>
          <w:rFonts w:hint="eastAsia" w:ascii="Arial" w:hAnsi="Arial" w:eastAsia="仿宋" w:cs="Arial"/>
          <w:sz w:val="28"/>
          <w:highlight w:val="none"/>
          <w:lang w:val="en-US" w:eastAsia="zh-CN"/>
        </w:rPr>
        <w:t>1031</w:t>
      </w:r>
      <w:r>
        <w:rPr>
          <w:rFonts w:hint="eastAsia" w:ascii="Arial" w:hAnsi="Arial" w:eastAsia="仿宋" w:cs="Arial"/>
          <w:sz w:val="28"/>
          <w:highlight w:val="none"/>
        </w:rPr>
        <w:t>P</w:t>
      </w:r>
      <w:r>
        <w:rPr>
          <w:rFonts w:hint="eastAsia" w:ascii="Arial" w:hAnsi="Arial" w:eastAsia="仿宋" w:cs="Arial"/>
          <w:sz w:val="28"/>
          <w:highlight w:val="none"/>
          <w:vertAlign w:val="subscript"/>
        </w:rPr>
        <w:t>土</w:t>
      </w:r>
      <w:r>
        <w:rPr>
          <w:rFonts w:hint="eastAsia" w:ascii="仿宋_GB2312" w:eastAsia="仿宋_GB2312"/>
          <w:sz w:val="28"/>
          <w:highlight w:val="none"/>
        </w:rPr>
        <w:t>（万元）</w:t>
      </w:r>
    </w:p>
    <w:p w14:paraId="690593BA">
      <w:pPr>
        <w:spacing w:before="50" w:after="50"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val="en-US" w:eastAsia="zh-CN"/>
        </w:rPr>
        <w:t>E.</w:t>
      </w:r>
      <w:r>
        <w:rPr>
          <w:rFonts w:ascii="Arial" w:hAnsi="Arial" w:eastAsia="仿宋" w:cs="Arial"/>
          <w:sz w:val="28"/>
          <w:szCs w:val="28"/>
          <w:highlight w:val="none"/>
        </w:rPr>
        <w:t>求取估价对象</w:t>
      </w:r>
      <w:r>
        <w:rPr>
          <w:rFonts w:ascii="Arial" w:hAnsi="Arial" w:eastAsia="仿宋" w:cs="Arial"/>
          <w:sz w:val="28"/>
          <w:szCs w:val="28"/>
          <w:highlight w:val="none"/>
          <w:lang w:eastAsia="zh-Hans"/>
        </w:rPr>
        <w:t>公共服务</w:t>
      </w:r>
      <w:r>
        <w:rPr>
          <w:rFonts w:ascii="Arial" w:hAnsi="Arial" w:eastAsia="仿宋" w:cs="Arial"/>
          <w:sz w:val="28"/>
          <w:szCs w:val="28"/>
          <w:highlight w:val="none"/>
        </w:rPr>
        <w:t>用途土地价格</w:t>
      </w:r>
    </w:p>
    <w:p w14:paraId="16013AA3">
      <w:pPr>
        <w:spacing w:before="50" w:after="50" w:line="300" w:lineRule="auto"/>
        <w:ind w:firstLine="600" w:firstLineChars="200"/>
        <w:rPr>
          <w:rFonts w:ascii="Arial" w:hAnsi="Arial" w:eastAsia="仿宋" w:cs="Arial"/>
          <w:spacing w:val="10"/>
          <w:sz w:val="28"/>
          <w:szCs w:val="28"/>
          <w:highlight w:val="none"/>
        </w:rPr>
      </w:pPr>
      <w:r>
        <w:rPr>
          <w:rFonts w:ascii="Arial" w:hAnsi="Arial" w:eastAsia="仿宋" w:cs="Arial"/>
          <w:spacing w:val="10"/>
          <w:sz w:val="28"/>
          <w:szCs w:val="28"/>
          <w:highlight w:val="none"/>
        </w:rPr>
        <w:t>土地价格（</w:t>
      </w:r>
      <w:r>
        <w:rPr>
          <w:rFonts w:ascii="Arial" w:hAnsi="Arial" w:eastAsia="仿宋" w:cs="Arial"/>
          <w:sz w:val="28"/>
          <w:szCs w:val="28"/>
          <w:highlight w:val="none"/>
        </w:rPr>
        <w:t>P</w:t>
      </w:r>
      <w:r>
        <w:rPr>
          <w:rFonts w:ascii="Arial" w:hAnsi="Arial" w:eastAsia="仿宋" w:cs="Arial"/>
          <w:sz w:val="28"/>
          <w:szCs w:val="28"/>
          <w:highlight w:val="none"/>
          <w:vertAlign w:val="subscript"/>
        </w:rPr>
        <w:t>土</w:t>
      </w:r>
      <w:r>
        <w:rPr>
          <w:rFonts w:ascii="Arial" w:hAnsi="Arial" w:eastAsia="仿宋" w:cs="Arial"/>
          <w:spacing w:val="10"/>
          <w:sz w:val="28"/>
          <w:szCs w:val="28"/>
          <w:highlight w:val="none"/>
        </w:rPr>
        <w:t>）</w:t>
      </w:r>
    </w:p>
    <w:p w14:paraId="4833408D">
      <w:pPr>
        <w:spacing w:before="50" w:after="50"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ascii="Arial" w:hAnsi="Arial" w:eastAsia="仿宋" w:cs="Arial"/>
          <w:sz w:val="28"/>
          <w:szCs w:val="28"/>
          <w:highlight w:val="none"/>
        </w:rPr>
        <w:t>开发完成后的不动产总价</w:t>
      </w:r>
      <w:r>
        <w:rPr>
          <w:rFonts w:hint="eastAsia" w:ascii="Arial" w:hAnsi="Arial" w:eastAsia="仿宋" w:cs="Arial"/>
          <w:sz w:val="28"/>
          <w:szCs w:val="28"/>
          <w:highlight w:val="none"/>
          <w:lang w:eastAsia="zh-CN"/>
        </w:rPr>
        <w:t>－</w:t>
      </w:r>
      <w:r>
        <w:rPr>
          <w:rFonts w:ascii="Arial" w:hAnsi="Arial" w:eastAsia="仿宋" w:cs="Arial"/>
          <w:sz w:val="28"/>
          <w:szCs w:val="28"/>
          <w:highlight w:val="none"/>
        </w:rPr>
        <w:t>开发成本</w:t>
      </w:r>
      <w:r>
        <w:rPr>
          <w:rFonts w:hint="eastAsia" w:ascii="Arial" w:hAnsi="Arial" w:eastAsia="仿宋" w:cs="Arial"/>
          <w:sz w:val="28"/>
          <w:szCs w:val="28"/>
          <w:highlight w:val="none"/>
          <w:lang w:eastAsia="zh-CN"/>
        </w:rPr>
        <w:t>－</w:t>
      </w:r>
      <w:r>
        <w:rPr>
          <w:rFonts w:ascii="Arial" w:hAnsi="Arial" w:eastAsia="仿宋" w:cs="Arial"/>
          <w:sz w:val="28"/>
          <w:szCs w:val="28"/>
          <w:highlight w:val="none"/>
        </w:rPr>
        <w:t>开发利润</w:t>
      </w:r>
    </w:p>
    <w:p w14:paraId="71404A0B">
      <w:pPr>
        <w:spacing w:before="50" w:after="50" w:line="300" w:lineRule="auto"/>
        <w:ind w:firstLine="560" w:firstLineChars="200"/>
        <w:rPr>
          <w:rFonts w:hint="eastAsia" w:ascii="Arial" w:hAnsi="Arial" w:eastAsia="仿宋" w:cs="Arial"/>
          <w:sz w:val="28"/>
          <w:szCs w:val="28"/>
          <w:highlight w:val="none"/>
          <w:lang w:eastAsia="zh-CN"/>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305.6472</w:t>
      </w: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176.6749</w:t>
      </w:r>
      <w:r>
        <w:rPr>
          <w:rFonts w:hint="eastAsia" w:ascii="Arial" w:hAnsi="Arial" w:eastAsia="仿宋" w:cs="Arial"/>
          <w:sz w:val="28"/>
          <w:szCs w:val="28"/>
          <w:highlight w:val="none"/>
          <w:lang w:eastAsia="zh-CN"/>
        </w:rPr>
        <w:t>＋</w:t>
      </w:r>
      <w:r>
        <w:rPr>
          <w:rFonts w:ascii="Arial" w:hAnsi="Arial" w:eastAsia="仿宋" w:cs="Arial"/>
          <w:sz w:val="28"/>
          <w:szCs w:val="28"/>
          <w:highlight w:val="none"/>
        </w:rPr>
        <w:t>0.</w:t>
      </w:r>
      <w:r>
        <w:rPr>
          <w:rFonts w:hint="eastAsia" w:ascii="Arial" w:hAnsi="Arial" w:eastAsia="仿宋" w:cs="Arial"/>
          <w:sz w:val="28"/>
          <w:szCs w:val="28"/>
          <w:highlight w:val="none"/>
          <w:lang w:val="en-US" w:eastAsia="zh-CN"/>
        </w:rPr>
        <w:t>0434</w:t>
      </w:r>
      <w:r>
        <w:rPr>
          <w:rFonts w:hint="eastAsia" w:ascii="Arial" w:hAnsi="Arial" w:eastAsia="仿宋" w:cs="Arial"/>
          <w:sz w:val="28"/>
          <w:szCs w:val="28"/>
          <w:highlight w:val="none"/>
          <w:lang w:eastAsia="zh-CN"/>
        </w:rPr>
        <w:t>×</w:t>
      </w:r>
      <w:r>
        <w:rPr>
          <w:rFonts w:ascii="Arial" w:hAnsi="Arial" w:eastAsia="仿宋" w:cs="Arial"/>
          <w:sz w:val="28"/>
          <w:szCs w:val="28"/>
          <w:highlight w:val="none"/>
        </w:rPr>
        <w:t>P</w:t>
      </w:r>
      <w:r>
        <w:rPr>
          <w:rFonts w:ascii="Arial" w:hAnsi="Arial" w:eastAsia="仿宋" w:cs="Arial"/>
          <w:sz w:val="28"/>
          <w:szCs w:val="28"/>
          <w:highlight w:val="none"/>
          <w:vertAlign w:val="subscript"/>
        </w:rPr>
        <w:t>土</w:t>
      </w:r>
      <w:r>
        <w:rPr>
          <w:rFonts w:hint="eastAsia" w:ascii="Arial" w:hAnsi="Arial" w:eastAsia="仿宋" w:cs="Arial"/>
          <w:sz w:val="28"/>
          <w:szCs w:val="28"/>
          <w:highlight w:val="none"/>
          <w:lang w:eastAsia="zh-CN"/>
        </w:rPr>
        <w:t>）－（</w:t>
      </w:r>
      <w:r>
        <w:rPr>
          <w:highlight w:val="none"/>
        </w:rPr>
        <w:t xml:space="preserve"> </w:t>
      </w:r>
      <w:r>
        <w:rPr>
          <w:rFonts w:hint="eastAsia" w:ascii="Arial" w:hAnsi="Arial" w:eastAsia="仿宋" w:cs="Arial"/>
          <w:sz w:val="28"/>
          <w:szCs w:val="28"/>
          <w:highlight w:val="none"/>
          <w:lang w:val="en-US" w:eastAsia="zh-CN"/>
        </w:rPr>
        <w:t>15.4500</w:t>
      </w:r>
      <w:r>
        <w:rPr>
          <w:rFonts w:hint="eastAsia" w:ascii="Arial" w:hAnsi="Arial" w:eastAsia="仿宋" w:cs="Arial"/>
          <w:sz w:val="28"/>
          <w:szCs w:val="28"/>
          <w:highlight w:val="none"/>
          <w:lang w:eastAsia="zh-CN"/>
        </w:rPr>
        <w:t>＋</w:t>
      </w:r>
      <w:r>
        <w:rPr>
          <w:rFonts w:ascii="Arial" w:hAnsi="Arial" w:eastAsia="仿宋" w:cs="Arial"/>
          <w:sz w:val="28"/>
          <w:szCs w:val="28"/>
          <w:highlight w:val="none"/>
        </w:rPr>
        <w:t>0.1031</w:t>
      </w:r>
      <w:r>
        <w:rPr>
          <w:rFonts w:hint="eastAsia" w:ascii="Arial" w:hAnsi="Arial" w:eastAsia="仿宋" w:cs="Arial"/>
          <w:sz w:val="28"/>
          <w:szCs w:val="28"/>
          <w:highlight w:val="none"/>
          <w:lang w:eastAsia="zh-CN"/>
        </w:rPr>
        <w:t>×</w:t>
      </w:r>
      <w:r>
        <w:rPr>
          <w:rFonts w:ascii="Arial" w:hAnsi="Arial" w:eastAsia="仿宋" w:cs="Arial"/>
          <w:sz w:val="28"/>
          <w:szCs w:val="28"/>
          <w:highlight w:val="none"/>
        </w:rPr>
        <w:t>P</w:t>
      </w:r>
      <w:r>
        <w:rPr>
          <w:rFonts w:ascii="Arial" w:hAnsi="Arial" w:eastAsia="仿宋" w:cs="Arial"/>
          <w:sz w:val="28"/>
          <w:szCs w:val="28"/>
          <w:highlight w:val="none"/>
          <w:vertAlign w:val="subscript"/>
        </w:rPr>
        <w:t>土</w:t>
      </w:r>
      <w:r>
        <w:rPr>
          <w:rFonts w:hint="eastAsia" w:ascii="Arial" w:hAnsi="Arial" w:eastAsia="仿宋" w:cs="Arial"/>
          <w:sz w:val="28"/>
          <w:szCs w:val="28"/>
          <w:highlight w:val="none"/>
          <w:lang w:eastAsia="zh-CN"/>
        </w:rPr>
        <w:t>）</w:t>
      </w:r>
    </w:p>
    <w:p w14:paraId="4A658C9E">
      <w:pPr>
        <w:spacing w:before="50" w:after="50" w:line="300" w:lineRule="auto"/>
        <w:ind w:firstLine="560" w:firstLineChars="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99.0164</w:t>
      </w:r>
      <w:r>
        <w:rPr>
          <w:rFonts w:ascii="Arial" w:hAnsi="Arial" w:eastAsia="仿宋" w:cs="Arial"/>
          <w:sz w:val="28"/>
          <w:szCs w:val="28"/>
          <w:highlight w:val="none"/>
        </w:rPr>
        <w:t>（万元）</w:t>
      </w:r>
    </w:p>
    <w:p w14:paraId="34D076B8">
      <w:pPr>
        <w:spacing w:before="50" w:after="50" w:line="300" w:lineRule="auto"/>
        <w:ind w:firstLine="560" w:firstLineChars="200"/>
        <w:rPr>
          <w:rFonts w:ascii="Arial" w:hAnsi="Arial" w:eastAsia="仿宋" w:cs="Arial"/>
          <w:spacing w:val="10"/>
          <w:sz w:val="28"/>
          <w:szCs w:val="28"/>
          <w:highlight w:val="none"/>
        </w:rPr>
      </w:pPr>
      <w:r>
        <w:rPr>
          <w:rFonts w:ascii="Arial" w:hAnsi="Arial" w:eastAsia="仿宋" w:cs="Arial"/>
          <w:sz w:val="28"/>
          <w:szCs w:val="28"/>
          <w:highlight w:val="none"/>
          <w:lang w:eastAsia="zh-Hans"/>
        </w:rPr>
        <w:t>公共服务</w:t>
      </w:r>
      <w:r>
        <w:rPr>
          <w:rFonts w:ascii="Arial" w:hAnsi="Arial" w:eastAsia="仿宋" w:cs="Arial"/>
          <w:sz w:val="28"/>
          <w:szCs w:val="28"/>
          <w:highlight w:val="none"/>
        </w:rPr>
        <w:t>用房</w:t>
      </w:r>
      <w:r>
        <w:rPr>
          <w:rFonts w:hint="eastAsia" w:ascii="Arial" w:hAnsi="Arial" w:eastAsia="仿宋" w:cs="Arial"/>
          <w:sz w:val="28"/>
          <w:szCs w:val="28"/>
          <w:highlight w:val="none"/>
          <w:lang w:eastAsia="zh-CN"/>
        </w:rPr>
        <w:t>楼面地价＝</w:t>
      </w:r>
      <w:r>
        <w:rPr>
          <w:rFonts w:ascii="Arial" w:hAnsi="Arial" w:eastAsia="仿宋" w:cs="Arial"/>
          <w:spacing w:val="10"/>
          <w:sz w:val="28"/>
          <w:szCs w:val="28"/>
          <w:highlight w:val="none"/>
        </w:rPr>
        <w:t>土地价格</w:t>
      </w:r>
      <w:r>
        <w:rPr>
          <w:rFonts w:hint="eastAsia" w:ascii="Arial" w:hAnsi="Arial" w:eastAsia="仿宋" w:cs="Arial"/>
          <w:spacing w:val="10"/>
          <w:sz w:val="28"/>
          <w:szCs w:val="28"/>
          <w:highlight w:val="none"/>
          <w:lang w:eastAsia="zh-CN"/>
        </w:rPr>
        <w:t>÷</w:t>
      </w:r>
      <w:r>
        <w:rPr>
          <w:rFonts w:ascii="Arial" w:hAnsi="Arial" w:eastAsia="仿宋" w:cs="Arial"/>
          <w:spacing w:val="10"/>
          <w:sz w:val="28"/>
          <w:szCs w:val="28"/>
          <w:highlight w:val="none"/>
        </w:rPr>
        <w:t>建筑规模</w:t>
      </w:r>
      <w:r>
        <w:rPr>
          <w:rFonts w:hint="eastAsia" w:ascii="Arial" w:hAnsi="Arial" w:eastAsia="仿宋" w:cs="Arial"/>
          <w:spacing w:val="10"/>
          <w:sz w:val="28"/>
          <w:szCs w:val="28"/>
          <w:highlight w:val="none"/>
          <w:lang w:eastAsia="zh-CN"/>
        </w:rPr>
        <w:t>×</w:t>
      </w:r>
      <w:r>
        <w:rPr>
          <w:rFonts w:ascii="Arial" w:hAnsi="Arial" w:eastAsia="仿宋" w:cs="Arial"/>
          <w:spacing w:val="10"/>
          <w:sz w:val="28"/>
          <w:szCs w:val="28"/>
          <w:highlight w:val="none"/>
        </w:rPr>
        <w:t>10000</w:t>
      </w:r>
    </w:p>
    <w:p w14:paraId="3C674B35">
      <w:pPr>
        <w:spacing w:before="50" w:after="50" w:line="300" w:lineRule="auto"/>
        <w:ind w:firstLine="3360" w:firstLineChars="1200"/>
        <w:rPr>
          <w:rFonts w:ascii="Arial" w:hAnsi="Arial" w:eastAsia="仿宋" w:cs="Arial"/>
          <w:spacing w:val="10"/>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99.0164</w:t>
      </w:r>
      <w:r>
        <w:rPr>
          <w:rFonts w:hint="eastAsia" w:ascii="Arial" w:hAnsi="Arial" w:eastAsia="仿宋" w:cs="Arial"/>
          <w:sz w:val="28"/>
          <w:szCs w:val="28"/>
          <w:highlight w:val="none"/>
          <w:lang w:eastAsia="zh-CN"/>
        </w:rPr>
        <w:t>÷</w:t>
      </w:r>
      <w:r>
        <w:rPr>
          <w:rFonts w:hint="eastAsia" w:ascii="Arial" w:hAnsi="Arial" w:eastAsia="仿宋" w:cs="Arial"/>
          <w:spacing w:val="10"/>
          <w:sz w:val="28"/>
          <w:szCs w:val="28"/>
          <w:highlight w:val="none"/>
          <w:lang w:val="en-US" w:eastAsia="zh-CN"/>
        </w:rPr>
        <w:t>300</w:t>
      </w:r>
      <w:r>
        <w:rPr>
          <w:rFonts w:hint="eastAsia" w:ascii="Arial" w:hAnsi="Arial" w:eastAsia="仿宋" w:cs="Arial"/>
          <w:spacing w:val="10"/>
          <w:sz w:val="28"/>
          <w:szCs w:val="28"/>
          <w:highlight w:val="none"/>
          <w:lang w:eastAsia="zh-CN"/>
        </w:rPr>
        <w:t>×</w:t>
      </w:r>
      <w:r>
        <w:rPr>
          <w:rFonts w:ascii="Arial" w:hAnsi="Arial" w:eastAsia="仿宋" w:cs="Arial"/>
          <w:spacing w:val="10"/>
          <w:sz w:val="28"/>
          <w:szCs w:val="28"/>
          <w:highlight w:val="none"/>
        </w:rPr>
        <w:t>10000</w:t>
      </w:r>
    </w:p>
    <w:p w14:paraId="098E3ED9">
      <w:pPr>
        <w:spacing w:before="50" w:after="50" w:line="300" w:lineRule="auto"/>
        <w:ind w:firstLine="3360" w:firstLineChars="1200"/>
        <w:rPr>
          <w:rFonts w:ascii="Arial" w:hAnsi="Arial" w:eastAsia="仿宋" w:cs="Arial"/>
          <w:sz w:val="28"/>
          <w:szCs w:val="28"/>
          <w:highlight w:val="none"/>
        </w:rPr>
      </w:pPr>
      <w:r>
        <w:rPr>
          <w:rFonts w:hint="eastAsia" w:ascii="Arial" w:hAnsi="Arial" w:eastAsia="仿宋" w:cs="Arial"/>
          <w:sz w:val="28"/>
          <w:szCs w:val="28"/>
          <w:highlight w:val="none"/>
          <w:lang w:eastAsia="zh-CN"/>
        </w:rPr>
        <w:t>＝</w:t>
      </w:r>
      <w:r>
        <w:rPr>
          <w:rFonts w:hint="eastAsia" w:ascii="Arial" w:hAnsi="Arial" w:eastAsia="仿宋" w:cs="Arial"/>
          <w:sz w:val="28"/>
          <w:szCs w:val="28"/>
          <w:highlight w:val="none"/>
          <w:lang w:val="en-US" w:eastAsia="zh-CN"/>
        </w:rPr>
        <w:t>3301</w:t>
      </w:r>
      <w:r>
        <w:rPr>
          <w:rFonts w:ascii="Arial" w:hAnsi="Arial" w:eastAsia="仿宋" w:cs="Arial"/>
          <w:sz w:val="28"/>
          <w:szCs w:val="28"/>
          <w:highlight w:val="none"/>
        </w:rPr>
        <w:t>（元/平方米）</w:t>
      </w:r>
    </w:p>
    <w:p w14:paraId="2C8F4883">
      <w:pPr>
        <w:spacing w:before="50" w:after="50" w:line="300" w:lineRule="auto"/>
        <w:ind w:firstLine="560" w:firstLineChars="200"/>
        <w:jc w:val="center"/>
        <w:rPr>
          <w:rFonts w:ascii="Arial" w:hAnsi="Arial" w:eastAsia="仿宋" w:cs="Arial"/>
          <w:sz w:val="28"/>
          <w:szCs w:val="28"/>
          <w:highlight w:val="none"/>
        </w:rPr>
      </w:pPr>
      <w:r>
        <w:rPr>
          <w:rFonts w:ascii="Arial" w:hAnsi="Arial" w:eastAsia="仿宋" w:cs="Arial"/>
          <w:sz w:val="28"/>
          <w:szCs w:val="28"/>
          <w:highlight w:val="none"/>
        </w:rPr>
        <w:t>剩余法测算表（公共服务）</w:t>
      </w:r>
    </w:p>
    <w:tbl>
      <w:tblPr>
        <w:tblStyle w:val="34"/>
        <w:tblW w:w="4997" w:type="pct"/>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611"/>
        <w:gridCol w:w="2497"/>
        <w:gridCol w:w="1890"/>
        <w:gridCol w:w="1462"/>
        <w:gridCol w:w="2944"/>
      </w:tblGrid>
      <w:tr w14:paraId="78014A0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325" w:type="pct"/>
            <w:shd w:val="clear" w:color="auto" w:fill="auto"/>
            <w:noWrap/>
            <w:vAlign w:val="center"/>
          </w:tcPr>
          <w:p w14:paraId="308A93F5">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序号</w:t>
            </w:r>
          </w:p>
        </w:tc>
        <w:tc>
          <w:tcPr>
            <w:tcW w:w="1327" w:type="pct"/>
            <w:shd w:val="clear" w:color="auto" w:fill="auto"/>
            <w:noWrap/>
            <w:vAlign w:val="center"/>
          </w:tcPr>
          <w:p w14:paraId="4353C202">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项目名称</w:t>
            </w:r>
          </w:p>
        </w:tc>
        <w:tc>
          <w:tcPr>
            <w:tcW w:w="1004" w:type="pct"/>
            <w:shd w:val="clear" w:color="auto" w:fill="auto"/>
            <w:noWrap/>
            <w:vAlign w:val="center"/>
          </w:tcPr>
          <w:p w14:paraId="0E5E603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总额</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万元）</w:t>
            </w:r>
          </w:p>
        </w:tc>
        <w:tc>
          <w:tcPr>
            <w:tcW w:w="777" w:type="pct"/>
            <w:shd w:val="clear" w:color="auto" w:fill="auto"/>
            <w:noWrap/>
            <w:vAlign w:val="center"/>
          </w:tcPr>
          <w:p w14:paraId="4015BECC">
            <w:pPr>
              <w:widowControl/>
              <w:adjustRightInd/>
              <w:spacing w:line="240" w:lineRule="exact"/>
              <w:textAlignment w:val="auto"/>
              <w:rPr>
                <w:rFonts w:hint="default" w:ascii="Arial" w:hAnsi="Arial" w:eastAsia="仿宋" w:cs="Arial"/>
                <w:bCs/>
                <w:sz w:val="21"/>
                <w:szCs w:val="21"/>
                <w:highlight w:val="none"/>
                <w:lang w:val="en-US" w:eastAsia="zh-CN"/>
              </w:rPr>
            </w:pPr>
            <w:r>
              <w:rPr>
                <w:rFonts w:ascii="Arial" w:hAnsi="Arial" w:eastAsia="仿宋" w:cs="Arial"/>
                <w:bCs/>
                <w:sz w:val="21"/>
                <w:szCs w:val="21"/>
                <w:highlight w:val="none"/>
              </w:rPr>
              <w:t>单价</w:t>
            </w:r>
            <w:r>
              <w:rPr>
                <w:rFonts w:hint="eastAsia" w:ascii="Arial" w:hAnsi="Arial" w:eastAsia="仿宋" w:cs="Arial"/>
                <w:bCs/>
                <w:sz w:val="21"/>
                <w:szCs w:val="21"/>
                <w:highlight w:val="none"/>
                <w:lang w:eastAsia="zh-CN"/>
              </w:rPr>
              <w:t>（</w:t>
            </w:r>
            <w:r>
              <w:rPr>
                <w:rFonts w:hint="eastAsia" w:ascii="Arial" w:hAnsi="Arial" w:eastAsia="仿宋" w:cs="Arial"/>
                <w:bCs/>
                <w:sz w:val="21"/>
                <w:szCs w:val="21"/>
                <w:highlight w:val="none"/>
                <w:lang w:val="en-US" w:eastAsia="zh-CN"/>
              </w:rPr>
              <w:t>元/㎡）</w:t>
            </w:r>
          </w:p>
        </w:tc>
        <w:tc>
          <w:tcPr>
            <w:tcW w:w="1565" w:type="pct"/>
          </w:tcPr>
          <w:p w14:paraId="5D901908">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备注</w:t>
            </w:r>
          </w:p>
        </w:tc>
      </w:tr>
      <w:tr w14:paraId="7F761DD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2BCA2AA1">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p>
        </w:tc>
        <w:tc>
          <w:tcPr>
            <w:tcW w:w="1327" w:type="pct"/>
            <w:shd w:val="clear" w:color="auto" w:fill="auto"/>
            <w:noWrap/>
            <w:vAlign w:val="center"/>
          </w:tcPr>
          <w:p w14:paraId="143E8C82">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开发完成后不动产总价</w:t>
            </w:r>
          </w:p>
        </w:tc>
        <w:tc>
          <w:tcPr>
            <w:tcW w:w="1833" w:type="dxa"/>
            <w:shd w:val="clear" w:color="auto" w:fill="auto"/>
            <w:noWrap/>
            <w:vAlign w:val="center"/>
          </w:tcPr>
          <w:p w14:paraId="734C8F25">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305.6472 </w:t>
            </w:r>
          </w:p>
        </w:tc>
        <w:tc>
          <w:tcPr>
            <w:tcW w:w="1418" w:type="dxa"/>
            <w:shd w:val="clear" w:color="auto" w:fill="auto"/>
            <w:noWrap/>
            <w:vAlign w:val="center"/>
          </w:tcPr>
          <w:p w14:paraId="73702380">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10188 </w:t>
            </w:r>
          </w:p>
        </w:tc>
        <w:tc>
          <w:tcPr>
            <w:tcW w:w="1565" w:type="pct"/>
          </w:tcPr>
          <w:p w14:paraId="06599F5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销售价格</w:t>
            </w:r>
            <w:r>
              <w:rPr>
                <w:rFonts w:hint="eastAsia" w:ascii="Arial" w:hAnsi="Arial" w:eastAsia="仿宋" w:cs="Arial"/>
                <w:bCs/>
                <w:sz w:val="21"/>
                <w:szCs w:val="21"/>
                <w:highlight w:val="none"/>
                <w:lang w:val="en-US" w:eastAsia="zh-CN"/>
              </w:rPr>
              <w:t>×</w:t>
            </w:r>
            <w:r>
              <w:rPr>
                <w:rFonts w:ascii="Arial" w:hAnsi="Arial" w:eastAsia="仿宋" w:cs="Arial"/>
                <w:bCs/>
                <w:sz w:val="21"/>
                <w:szCs w:val="21"/>
                <w:highlight w:val="none"/>
              </w:rPr>
              <w:t>可收益建筑面积</w:t>
            </w:r>
          </w:p>
        </w:tc>
      </w:tr>
      <w:tr w14:paraId="521584A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19273AC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2</w:t>
            </w:r>
          </w:p>
        </w:tc>
        <w:tc>
          <w:tcPr>
            <w:tcW w:w="1327" w:type="pct"/>
            <w:shd w:val="clear" w:color="auto" w:fill="auto"/>
            <w:noWrap/>
            <w:vAlign w:val="center"/>
          </w:tcPr>
          <w:p w14:paraId="49B86A1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开发成本</w:t>
            </w:r>
          </w:p>
        </w:tc>
        <w:tc>
          <w:tcPr>
            <w:tcW w:w="1833" w:type="dxa"/>
            <w:shd w:val="clear" w:color="auto" w:fill="auto"/>
            <w:noWrap/>
            <w:vAlign w:val="center"/>
          </w:tcPr>
          <w:p w14:paraId="066869FF">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180.9722 </w:t>
            </w:r>
          </w:p>
        </w:tc>
        <w:tc>
          <w:tcPr>
            <w:tcW w:w="1418" w:type="dxa"/>
            <w:shd w:val="clear" w:color="auto" w:fill="auto"/>
            <w:noWrap/>
            <w:vAlign w:val="center"/>
          </w:tcPr>
          <w:p w14:paraId="0BFBBB9B">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6032 </w:t>
            </w:r>
          </w:p>
        </w:tc>
        <w:tc>
          <w:tcPr>
            <w:tcW w:w="1565" w:type="pct"/>
          </w:tcPr>
          <w:p w14:paraId="4455DF5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6</w:t>
            </w:r>
            <w:r>
              <w:rPr>
                <w:rFonts w:ascii="Arial" w:hAnsi="Arial" w:eastAsia="仿宋" w:cs="Arial"/>
                <w:bCs/>
                <w:sz w:val="21"/>
                <w:szCs w:val="21"/>
                <w:highlight w:val="none"/>
              </w:rPr>
              <w:t>）之和</w:t>
            </w:r>
          </w:p>
        </w:tc>
      </w:tr>
      <w:tr w14:paraId="5CEEF8B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47B7C98">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p>
        </w:tc>
        <w:tc>
          <w:tcPr>
            <w:tcW w:w="1327" w:type="pct"/>
            <w:shd w:val="clear" w:color="auto" w:fill="auto"/>
            <w:noWrap/>
            <w:vAlign w:val="center"/>
          </w:tcPr>
          <w:p w14:paraId="336B6595">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购地税费</w:t>
            </w:r>
          </w:p>
        </w:tc>
        <w:tc>
          <w:tcPr>
            <w:tcW w:w="1833" w:type="dxa"/>
            <w:shd w:val="clear" w:color="auto" w:fill="auto"/>
            <w:noWrap/>
            <w:vAlign w:val="center"/>
          </w:tcPr>
          <w:p w14:paraId="1DAB9616">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3.0200 </w:t>
            </w:r>
          </w:p>
        </w:tc>
        <w:tc>
          <w:tcPr>
            <w:tcW w:w="1418" w:type="dxa"/>
            <w:shd w:val="clear" w:color="auto" w:fill="auto"/>
            <w:noWrap/>
            <w:vAlign w:val="center"/>
          </w:tcPr>
          <w:p w14:paraId="6C5C34E5">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101 </w:t>
            </w:r>
          </w:p>
        </w:tc>
        <w:tc>
          <w:tcPr>
            <w:tcW w:w="1565" w:type="pct"/>
          </w:tcPr>
          <w:p w14:paraId="480F27F6">
            <w:pPr>
              <w:widowControl/>
              <w:adjustRightInd/>
              <w:spacing w:line="240" w:lineRule="exact"/>
              <w:textAlignment w:val="auto"/>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w:t>
            </w:r>
          </w:p>
        </w:tc>
      </w:tr>
      <w:tr w14:paraId="4E50442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5AC878F">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2</w:t>
            </w:r>
            <w:r>
              <w:rPr>
                <w:rFonts w:ascii="Arial" w:hAnsi="Arial" w:eastAsia="仿宋" w:cs="Arial"/>
                <w:bCs/>
                <w:sz w:val="21"/>
                <w:szCs w:val="21"/>
                <w:highlight w:val="none"/>
              </w:rPr>
              <w:t>）</w:t>
            </w:r>
          </w:p>
        </w:tc>
        <w:tc>
          <w:tcPr>
            <w:tcW w:w="1327" w:type="pct"/>
            <w:shd w:val="clear" w:color="auto" w:fill="auto"/>
            <w:noWrap/>
            <w:vAlign w:val="center"/>
          </w:tcPr>
          <w:p w14:paraId="77096BB8">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房屋建设成本</w:t>
            </w:r>
          </w:p>
        </w:tc>
        <w:tc>
          <w:tcPr>
            <w:tcW w:w="1833" w:type="dxa"/>
            <w:shd w:val="clear" w:color="auto" w:fill="auto"/>
            <w:noWrap/>
            <w:vAlign w:val="center"/>
          </w:tcPr>
          <w:p w14:paraId="170AAF47">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150.0000 </w:t>
            </w:r>
          </w:p>
        </w:tc>
        <w:tc>
          <w:tcPr>
            <w:tcW w:w="1418" w:type="dxa"/>
            <w:shd w:val="clear" w:color="auto" w:fill="auto"/>
            <w:noWrap/>
            <w:vAlign w:val="center"/>
          </w:tcPr>
          <w:p w14:paraId="0CC67B42">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5000 </w:t>
            </w:r>
          </w:p>
        </w:tc>
        <w:tc>
          <w:tcPr>
            <w:tcW w:w="1565" w:type="pct"/>
          </w:tcPr>
          <w:p w14:paraId="7D1A492F">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下述</w:t>
            </w:r>
            <w:r>
              <w:rPr>
                <w:rFonts w:hint="eastAsia" w:ascii="Arial" w:hAnsi="Arial" w:eastAsia="仿宋" w:cs="Arial"/>
                <w:sz w:val="21"/>
                <w:szCs w:val="21"/>
                <w:highlight w:val="none"/>
                <w:lang w:val="en-US" w:eastAsia="zh-CN"/>
              </w:rPr>
              <w:t>6</w:t>
            </w:r>
            <w:r>
              <w:rPr>
                <w:rFonts w:ascii="Arial" w:hAnsi="Arial" w:eastAsia="仿宋" w:cs="Arial"/>
                <w:sz w:val="21"/>
                <w:szCs w:val="21"/>
                <w:highlight w:val="none"/>
              </w:rPr>
              <w:t>项之和</w:t>
            </w:r>
          </w:p>
        </w:tc>
      </w:tr>
      <w:tr w14:paraId="3D82255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8BDDFC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1）</w:t>
            </w:r>
          </w:p>
        </w:tc>
        <w:tc>
          <w:tcPr>
            <w:tcW w:w="1327" w:type="pct"/>
            <w:shd w:val="clear" w:color="auto" w:fill="auto"/>
            <w:noWrap/>
            <w:vAlign w:val="center"/>
          </w:tcPr>
          <w:p w14:paraId="12EEE886">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建筑安装工程费</w:t>
            </w:r>
          </w:p>
        </w:tc>
        <w:tc>
          <w:tcPr>
            <w:tcW w:w="1833" w:type="dxa"/>
            <w:shd w:val="clear" w:color="auto" w:fill="auto"/>
            <w:noWrap/>
            <w:vAlign w:val="center"/>
          </w:tcPr>
          <w:p w14:paraId="31BB2CD0">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120.0000 </w:t>
            </w:r>
          </w:p>
        </w:tc>
        <w:tc>
          <w:tcPr>
            <w:tcW w:w="1418" w:type="dxa"/>
            <w:shd w:val="clear" w:color="auto" w:fill="auto"/>
            <w:noWrap/>
            <w:vAlign w:val="center"/>
          </w:tcPr>
          <w:p w14:paraId="2C7077DF">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4000 </w:t>
            </w:r>
          </w:p>
        </w:tc>
        <w:tc>
          <w:tcPr>
            <w:tcW w:w="1565" w:type="pct"/>
          </w:tcPr>
          <w:p w14:paraId="69EF6FAD">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考虑托幼用地建设成本</w:t>
            </w:r>
          </w:p>
        </w:tc>
      </w:tr>
      <w:tr w14:paraId="46EA701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50B5CAE5">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2）</w:t>
            </w:r>
          </w:p>
        </w:tc>
        <w:tc>
          <w:tcPr>
            <w:tcW w:w="1327" w:type="pct"/>
            <w:shd w:val="clear" w:color="auto" w:fill="auto"/>
            <w:noWrap/>
            <w:vAlign w:val="center"/>
          </w:tcPr>
          <w:p w14:paraId="27178C89">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前期费用</w:t>
            </w:r>
          </w:p>
        </w:tc>
        <w:tc>
          <w:tcPr>
            <w:tcW w:w="1833" w:type="dxa"/>
            <w:shd w:val="clear" w:color="auto" w:fill="auto"/>
            <w:noWrap/>
            <w:vAlign w:val="center"/>
          </w:tcPr>
          <w:p w14:paraId="3FF1CFD5">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9.6000 </w:t>
            </w:r>
          </w:p>
        </w:tc>
        <w:tc>
          <w:tcPr>
            <w:tcW w:w="1418" w:type="dxa"/>
            <w:shd w:val="clear" w:color="auto" w:fill="auto"/>
            <w:noWrap/>
            <w:vAlign w:val="center"/>
          </w:tcPr>
          <w:p w14:paraId="5B239314">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320 </w:t>
            </w:r>
          </w:p>
        </w:tc>
        <w:tc>
          <w:tcPr>
            <w:tcW w:w="1565" w:type="pct"/>
          </w:tcPr>
          <w:p w14:paraId="1F2950DB">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建筑安装工程费×8%</w:t>
            </w:r>
          </w:p>
        </w:tc>
      </w:tr>
      <w:tr w14:paraId="58E8D2B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1BC7607">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3）</w:t>
            </w:r>
          </w:p>
        </w:tc>
        <w:tc>
          <w:tcPr>
            <w:tcW w:w="1327" w:type="pct"/>
            <w:shd w:val="clear" w:color="auto" w:fill="auto"/>
            <w:noWrap/>
            <w:vAlign w:val="center"/>
          </w:tcPr>
          <w:p w14:paraId="6BCD239B">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基础设施建设费</w:t>
            </w:r>
          </w:p>
        </w:tc>
        <w:tc>
          <w:tcPr>
            <w:tcW w:w="1833" w:type="dxa"/>
            <w:shd w:val="clear" w:color="auto" w:fill="auto"/>
            <w:noWrap/>
            <w:vAlign w:val="center"/>
          </w:tcPr>
          <w:p w14:paraId="11818E4A">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12.0000 </w:t>
            </w:r>
          </w:p>
        </w:tc>
        <w:tc>
          <w:tcPr>
            <w:tcW w:w="1418" w:type="dxa"/>
            <w:shd w:val="clear" w:color="auto" w:fill="auto"/>
            <w:noWrap/>
            <w:vAlign w:val="center"/>
          </w:tcPr>
          <w:p w14:paraId="16B9B932">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400 </w:t>
            </w:r>
          </w:p>
        </w:tc>
        <w:tc>
          <w:tcPr>
            <w:tcW w:w="1565" w:type="pct"/>
          </w:tcPr>
          <w:p w14:paraId="1715D63F">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建筑安装工程费×8%</w:t>
            </w:r>
          </w:p>
        </w:tc>
      </w:tr>
      <w:tr w14:paraId="605CDE4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7F1B60E">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4）</w:t>
            </w:r>
          </w:p>
        </w:tc>
        <w:tc>
          <w:tcPr>
            <w:tcW w:w="1327" w:type="pct"/>
            <w:shd w:val="clear" w:color="auto" w:fill="auto"/>
            <w:noWrap/>
            <w:vAlign w:val="center"/>
          </w:tcPr>
          <w:p w14:paraId="3F207E02">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公共配套设施费用</w:t>
            </w:r>
          </w:p>
        </w:tc>
        <w:tc>
          <w:tcPr>
            <w:tcW w:w="1833" w:type="dxa"/>
            <w:shd w:val="clear" w:color="auto" w:fill="auto"/>
            <w:noWrap/>
            <w:vAlign w:val="center"/>
          </w:tcPr>
          <w:p w14:paraId="5CA41653">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0.0000 </w:t>
            </w:r>
          </w:p>
        </w:tc>
        <w:tc>
          <w:tcPr>
            <w:tcW w:w="1418" w:type="dxa"/>
            <w:shd w:val="clear" w:color="auto" w:fill="auto"/>
            <w:noWrap/>
            <w:vAlign w:val="center"/>
          </w:tcPr>
          <w:p w14:paraId="056FB1A2">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不计取</w:t>
            </w:r>
          </w:p>
        </w:tc>
        <w:tc>
          <w:tcPr>
            <w:tcW w:w="1565" w:type="pct"/>
          </w:tcPr>
          <w:p w14:paraId="17EAF719">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lang w:val="en-US" w:eastAsia="zh-CN"/>
              </w:rPr>
              <w:t>建筑安装工程费×10%</w:t>
            </w:r>
          </w:p>
        </w:tc>
      </w:tr>
      <w:tr w14:paraId="6ACD938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265558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5）</w:t>
            </w:r>
          </w:p>
        </w:tc>
        <w:tc>
          <w:tcPr>
            <w:tcW w:w="1327" w:type="pct"/>
            <w:shd w:val="clear" w:color="auto" w:fill="auto"/>
            <w:noWrap/>
            <w:vAlign w:val="center"/>
          </w:tcPr>
          <w:p w14:paraId="41DC6FA1">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开发期间税费</w:t>
            </w:r>
          </w:p>
        </w:tc>
        <w:tc>
          <w:tcPr>
            <w:tcW w:w="1833" w:type="dxa"/>
            <w:shd w:val="clear" w:color="auto" w:fill="auto"/>
            <w:noWrap/>
            <w:vAlign w:val="center"/>
          </w:tcPr>
          <w:p w14:paraId="047B39D5">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2.4000 </w:t>
            </w:r>
          </w:p>
        </w:tc>
        <w:tc>
          <w:tcPr>
            <w:tcW w:w="1418" w:type="dxa"/>
            <w:shd w:val="clear" w:color="auto" w:fill="auto"/>
            <w:noWrap/>
            <w:vAlign w:val="center"/>
          </w:tcPr>
          <w:p w14:paraId="73014752">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80 </w:t>
            </w:r>
          </w:p>
        </w:tc>
        <w:tc>
          <w:tcPr>
            <w:tcW w:w="1565" w:type="pct"/>
            <w:vAlign w:val="center"/>
          </w:tcPr>
          <w:p w14:paraId="25047237">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bCs/>
                <w:sz w:val="21"/>
                <w:szCs w:val="21"/>
                <w:highlight w:val="none"/>
                <w:lang w:val="en-US" w:eastAsia="zh-CN"/>
              </w:rPr>
              <w:t>建筑安装工程费×2%</w:t>
            </w:r>
          </w:p>
        </w:tc>
      </w:tr>
      <w:tr w14:paraId="2E4EF52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376B42A3">
            <w:pPr>
              <w:widowControl/>
              <w:adjustRightInd/>
              <w:spacing w:line="240" w:lineRule="exact"/>
              <w:textAlignment w:val="auto"/>
              <w:rPr>
                <w:rFonts w:hint="eastAsia" w:ascii="Arial" w:hAnsi="Arial" w:eastAsia="仿宋" w:cs="Arial"/>
                <w:sz w:val="21"/>
                <w:szCs w:val="21"/>
                <w:highlight w:val="none"/>
                <w:lang w:val="en-US" w:eastAsia="zh-CN"/>
              </w:rPr>
            </w:pPr>
            <w:r>
              <w:rPr>
                <w:rFonts w:hint="eastAsia" w:ascii="Arial" w:hAnsi="Arial" w:eastAsia="仿宋" w:cs="Arial"/>
                <w:sz w:val="21"/>
                <w:szCs w:val="21"/>
                <w:highlight w:val="none"/>
                <w:lang w:val="en-US" w:eastAsia="zh-CN"/>
              </w:rPr>
              <w:t>6）</w:t>
            </w:r>
          </w:p>
        </w:tc>
        <w:tc>
          <w:tcPr>
            <w:tcW w:w="1327" w:type="pct"/>
            <w:shd w:val="clear" w:color="auto" w:fill="auto"/>
            <w:noWrap/>
            <w:vAlign w:val="center"/>
          </w:tcPr>
          <w:p w14:paraId="0C1041A7">
            <w:pPr>
              <w:widowControl/>
              <w:adjustRightInd/>
              <w:spacing w:line="240" w:lineRule="exact"/>
              <w:textAlignment w:val="auto"/>
              <w:rPr>
                <w:rFonts w:hint="eastAsia" w:ascii="Arial" w:hAnsi="Arial" w:eastAsia="仿宋" w:cs="Arial"/>
                <w:sz w:val="21"/>
                <w:szCs w:val="21"/>
                <w:highlight w:val="none"/>
              </w:rPr>
            </w:pPr>
            <w:r>
              <w:rPr>
                <w:rFonts w:hint="eastAsia" w:ascii="Arial" w:hAnsi="Arial" w:eastAsia="仿宋" w:cs="Arial"/>
                <w:sz w:val="21"/>
                <w:szCs w:val="21"/>
                <w:highlight w:val="none"/>
              </w:rPr>
              <w:t>其他工程费</w:t>
            </w:r>
          </w:p>
        </w:tc>
        <w:tc>
          <w:tcPr>
            <w:tcW w:w="1833" w:type="dxa"/>
            <w:shd w:val="clear" w:color="auto" w:fill="auto"/>
            <w:noWrap/>
            <w:vAlign w:val="center"/>
          </w:tcPr>
          <w:p w14:paraId="691E508B">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6.0000 </w:t>
            </w:r>
          </w:p>
        </w:tc>
        <w:tc>
          <w:tcPr>
            <w:tcW w:w="1418" w:type="dxa"/>
            <w:shd w:val="clear" w:color="auto" w:fill="auto"/>
            <w:noWrap/>
            <w:vAlign w:val="center"/>
          </w:tcPr>
          <w:p w14:paraId="26576BC3">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200 </w:t>
            </w:r>
          </w:p>
        </w:tc>
        <w:tc>
          <w:tcPr>
            <w:tcW w:w="1565" w:type="pct"/>
            <w:vAlign w:val="center"/>
          </w:tcPr>
          <w:p w14:paraId="10B47C75">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bCs/>
                <w:sz w:val="21"/>
                <w:szCs w:val="21"/>
                <w:highlight w:val="none"/>
                <w:lang w:val="en-US" w:eastAsia="zh-CN"/>
              </w:rPr>
              <w:t>建筑安装工程费×5%</w:t>
            </w:r>
          </w:p>
        </w:tc>
      </w:tr>
      <w:tr w14:paraId="76B943C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178725A8">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3</w:t>
            </w:r>
            <w:r>
              <w:rPr>
                <w:rFonts w:ascii="Arial" w:hAnsi="Arial" w:eastAsia="仿宋" w:cs="Arial"/>
                <w:bCs/>
                <w:sz w:val="21"/>
                <w:szCs w:val="21"/>
                <w:highlight w:val="none"/>
              </w:rPr>
              <w:t>）</w:t>
            </w:r>
          </w:p>
        </w:tc>
        <w:tc>
          <w:tcPr>
            <w:tcW w:w="1327" w:type="pct"/>
            <w:shd w:val="clear" w:color="auto" w:fill="auto"/>
            <w:noWrap/>
            <w:vAlign w:val="center"/>
          </w:tcPr>
          <w:p w14:paraId="54DD5DF2">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管理费用</w:t>
            </w:r>
          </w:p>
        </w:tc>
        <w:tc>
          <w:tcPr>
            <w:tcW w:w="1833" w:type="dxa"/>
            <w:shd w:val="clear" w:color="auto" w:fill="auto"/>
            <w:noWrap/>
            <w:vAlign w:val="center"/>
          </w:tcPr>
          <w:p w14:paraId="00E20647">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4.5000 </w:t>
            </w:r>
          </w:p>
        </w:tc>
        <w:tc>
          <w:tcPr>
            <w:tcW w:w="1418" w:type="dxa"/>
            <w:shd w:val="clear" w:color="auto" w:fill="auto"/>
            <w:noWrap/>
            <w:vAlign w:val="center"/>
          </w:tcPr>
          <w:p w14:paraId="42833DD3">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150 </w:t>
            </w:r>
          </w:p>
        </w:tc>
        <w:tc>
          <w:tcPr>
            <w:tcW w:w="1565" w:type="pct"/>
          </w:tcPr>
          <w:p w14:paraId="0F24260D">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bCs/>
                <w:sz w:val="21"/>
                <w:szCs w:val="21"/>
                <w:highlight w:val="none"/>
              </w:rPr>
              <w:t>房屋建设成本</w:t>
            </w:r>
            <w:r>
              <w:rPr>
                <w:rFonts w:hint="eastAsia" w:ascii="Arial" w:hAnsi="Arial" w:eastAsia="仿宋" w:cs="Arial"/>
                <w:bCs/>
                <w:sz w:val="21"/>
                <w:szCs w:val="21"/>
                <w:highlight w:val="none"/>
                <w:lang w:val="en-US" w:eastAsia="zh-CN"/>
              </w:rPr>
              <w:t>×3%</w:t>
            </w:r>
          </w:p>
        </w:tc>
      </w:tr>
      <w:tr w14:paraId="66A4C10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14761F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4</w:t>
            </w:r>
            <w:r>
              <w:rPr>
                <w:rFonts w:ascii="Arial" w:hAnsi="Arial" w:eastAsia="仿宋" w:cs="Arial"/>
                <w:bCs/>
                <w:sz w:val="21"/>
                <w:szCs w:val="21"/>
                <w:highlight w:val="none"/>
              </w:rPr>
              <w:t>）</w:t>
            </w:r>
          </w:p>
        </w:tc>
        <w:tc>
          <w:tcPr>
            <w:tcW w:w="1327" w:type="pct"/>
            <w:shd w:val="clear" w:color="auto" w:fill="auto"/>
            <w:noWrap/>
            <w:vAlign w:val="center"/>
          </w:tcPr>
          <w:p w14:paraId="46C6EB5E">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销售费用</w:t>
            </w:r>
          </w:p>
        </w:tc>
        <w:tc>
          <w:tcPr>
            <w:tcW w:w="1833" w:type="dxa"/>
            <w:shd w:val="clear" w:color="auto" w:fill="auto"/>
            <w:noWrap/>
            <w:vAlign w:val="center"/>
          </w:tcPr>
          <w:p w14:paraId="5B443914">
            <w:pPr>
              <w:widowControl/>
              <w:adjustRightInd/>
              <w:spacing w:line="240" w:lineRule="exact"/>
              <w:textAlignment w:val="auto"/>
              <w:rPr>
                <w:rFonts w:hint="eastAsia"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0.0000 </w:t>
            </w:r>
          </w:p>
        </w:tc>
        <w:tc>
          <w:tcPr>
            <w:tcW w:w="1418" w:type="dxa"/>
            <w:shd w:val="clear" w:color="auto" w:fill="auto"/>
            <w:noWrap/>
            <w:vAlign w:val="center"/>
          </w:tcPr>
          <w:p w14:paraId="4BE7AED1">
            <w:pPr>
              <w:widowControl/>
              <w:adjustRightInd/>
              <w:spacing w:line="240" w:lineRule="exact"/>
              <w:textAlignment w:val="auto"/>
              <w:rPr>
                <w:rFonts w:hint="default" w:ascii="Arial" w:hAnsi="Arial" w:eastAsia="仿宋" w:cs="Arial"/>
                <w:bCs/>
                <w:sz w:val="21"/>
                <w:szCs w:val="21"/>
                <w:highlight w:val="none"/>
                <w:lang w:val="en-US" w:eastAsia="zh-CN"/>
              </w:rPr>
            </w:pPr>
            <w:r>
              <w:rPr>
                <w:rFonts w:hint="eastAsia" w:ascii="Arial" w:hAnsi="Arial" w:eastAsia="仿宋" w:cs="Arial"/>
                <w:bCs/>
                <w:sz w:val="21"/>
                <w:szCs w:val="21"/>
                <w:highlight w:val="none"/>
                <w:lang w:val="en-US" w:eastAsia="zh-CN"/>
              </w:rPr>
              <w:t>不计取</w:t>
            </w:r>
          </w:p>
        </w:tc>
        <w:tc>
          <w:tcPr>
            <w:tcW w:w="1565" w:type="pct"/>
          </w:tcPr>
          <w:p w14:paraId="152DD640">
            <w:pPr>
              <w:widowControl/>
              <w:adjustRightInd/>
              <w:spacing w:line="240" w:lineRule="exact"/>
              <w:textAlignment w:val="auto"/>
              <w:rPr>
                <w:rFonts w:ascii="Arial" w:hAnsi="Arial" w:eastAsia="仿宋" w:cs="Arial"/>
                <w:bCs/>
                <w:sz w:val="21"/>
                <w:szCs w:val="21"/>
                <w:highlight w:val="none"/>
              </w:rPr>
            </w:pPr>
            <w:r>
              <w:rPr>
                <w:rFonts w:hint="eastAsia" w:ascii="Arial" w:hAnsi="Arial" w:eastAsia="仿宋" w:cs="Arial"/>
                <w:sz w:val="21"/>
                <w:szCs w:val="21"/>
                <w:highlight w:val="none"/>
                <w:lang w:val="en-US" w:eastAsia="zh-CN"/>
              </w:rPr>
              <w:t>－</w:t>
            </w:r>
          </w:p>
        </w:tc>
      </w:tr>
      <w:tr w14:paraId="295A1D1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635D2691">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5</w:t>
            </w:r>
            <w:r>
              <w:rPr>
                <w:rFonts w:ascii="Arial" w:hAnsi="Arial" w:eastAsia="仿宋" w:cs="Arial"/>
                <w:bCs/>
                <w:sz w:val="21"/>
                <w:szCs w:val="21"/>
                <w:highlight w:val="none"/>
              </w:rPr>
              <w:t>）</w:t>
            </w:r>
          </w:p>
        </w:tc>
        <w:tc>
          <w:tcPr>
            <w:tcW w:w="1327" w:type="pct"/>
            <w:shd w:val="clear" w:color="auto" w:fill="auto"/>
            <w:noWrap/>
            <w:vAlign w:val="center"/>
          </w:tcPr>
          <w:p w14:paraId="195B22C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投资利息</w:t>
            </w:r>
          </w:p>
        </w:tc>
        <w:tc>
          <w:tcPr>
            <w:tcW w:w="1833" w:type="dxa"/>
            <w:shd w:val="clear" w:color="auto" w:fill="auto"/>
            <w:noWrap/>
            <w:vAlign w:val="center"/>
          </w:tcPr>
          <w:p w14:paraId="023EB53B">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17.8706 </w:t>
            </w:r>
          </w:p>
        </w:tc>
        <w:tc>
          <w:tcPr>
            <w:tcW w:w="1418" w:type="dxa"/>
            <w:shd w:val="clear" w:color="auto" w:fill="auto"/>
            <w:noWrap/>
            <w:vAlign w:val="center"/>
          </w:tcPr>
          <w:p w14:paraId="00D44D46">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596 </w:t>
            </w:r>
          </w:p>
        </w:tc>
        <w:tc>
          <w:tcPr>
            <w:tcW w:w="1565" w:type="pct"/>
          </w:tcPr>
          <w:p w14:paraId="69DA9C12">
            <w:pPr>
              <w:widowControl/>
              <w:adjustRightInd/>
              <w:spacing w:line="240" w:lineRule="exact"/>
              <w:textAlignment w:val="auto"/>
              <w:rPr>
                <w:rFonts w:hint="eastAsia" w:ascii="Arial" w:hAnsi="Arial" w:eastAsia="仿宋" w:cs="Arial"/>
                <w:sz w:val="21"/>
                <w:szCs w:val="21"/>
                <w:highlight w:val="none"/>
                <w:lang w:eastAsia="zh-CN"/>
              </w:rPr>
            </w:pPr>
            <w:r>
              <w:rPr>
                <w:rFonts w:hint="eastAsia" w:ascii="Arial" w:hAnsi="Arial" w:eastAsia="仿宋" w:cs="Arial"/>
                <w:sz w:val="21"/>
                <w:szCs w:val="21"/>
                <w:highlight w:val="none"/>
              </w:rPr>
              <w:t>地价款和购地税费全周期计息，房屋建设成本、管理费用、销售费用等预付资本应根据开发周期均匀投入计息</w:t>
            </w:r>
            <w:r>
              <w:rPr>
                <w:rFonts w:hint="eastAsia" w:ascii="Arial" w:hAnsi="Arial" w:eastAsia="仿宋" w:cs="Arial"/>
                <w:sz w:val="21"/>
                <w:szCs w:val="21"/>
                <w:highlight w:val="none"/>
                <w:lang w:eastAsia="zh-CN"/>
              </w:rPr>
              <w:t>，贷款利率取3.25%</w:t>
            </w:r>
          </w:p>
        </w:tc>
      </w:tr>
      <w:tr w14:paraId="5409360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noWrap/>
            <w:vAlign w:val="center"/>
          </w:tcPr>
          <w:p w14:paraId="097B5C23">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w:t>
            </w:r>
            <w:r>
              <w:rPr>
                <w:rFonts w:hint="eastAsia" w:ascii="Arial" w:hAnsi="Arial" w:eastAsia="仿宋" w:cs="Arial"/>
                <w:bCs/>
                <w:sz w:val="21"/>
                <w:szCs w:val="21"/>
                <w:highlight w:val="none"/>
                <w:lang w:val="en-US" w:eastAsia="zh-CN"/>
              </w:rPr>
              <w:t>6</w:t>
            </w:r>
            <w:r>
              <w:rPr>
                <w:rFonts w:ascii="Arial" w:hAnsi="Arial" w:eastAsia="仿宋" w:cs="Arial"/>
                <w:bCs/>
                <w:sz w:val="21"/>
                <w:szCs w:val="21"/>
                <w:highlight w:val="none"/>
              </w:rPr>
              <w:t>）</w:t>
            </w:r>
          </w:p>
        </w:tc>
        <w:tc>
          <w:tcPr>
            <w:tcW w:w="1327" w:type="pct"/>
            <w:shd w:val="clear" w:color="auto" w:fill="auto"/>
            <w:noWrap/>
            <w:vAlign w:val="center"/>
          </w:tcPr>
          <w:p w14:paraId="4FA22191">
            <w:pPr>
              <w:widowControl/>
              <w:adjustRightInd/>
              <w:spacing w:line="240" w:lineRule="exact"/>
              <w:textAlignment w:val="auto"/>
              <w:rPr>
                <w:rFonts w:hint="eastAsia" w:ascii="Arial" w:hAnsi="Arial" w:eastAsia="仿宋" w:cs="Arial"/>
                <w:bCs/>
                <w:sz w:val="21"/>
                <w:szCs w:val="21"/>
                <w:highlight w:val="none"/>
              </w:rPr>
            </w:pPr>
            <w:r>
              <w:rPr>
                <w:rFonts w:hint="eastAsia" w:ascii="Arial" w:hAnsi="Arial" w:eastAsia="仿宋" w:cs="Arial"/>
                <w:bCs/>
                <w:sz w:val="21"/>
                <w:szCs w:val="21"/>
                <w:highlight w:val="none"/>
              </w:rPr>
              <w:t>销售税费</w:t>
            </w:r>
          </w:p>
        </w:tc>
        <w:tc>
          <w:tcPr>
            <w:tcW w:w="1833" w:type="dxa"/>
            <w:shd w:val="clear" w:color="auto" w:fill="auto"/>
            <w:noWrap/>
            <w:vAlign w:val="center"/>
          </w:tcPr>
          <w:p w14:paraId="63D56DCC">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23.5828 </w:t>
            </w:r>
          </w:p>
        </w:tc>
        <w:tc>
          <w:tcPr>
            <w:tcW w:w="1418" w:type="dxa"/>
            <w:shd w:val="clear" w:color="auto" w:fill="auto"/>
            <w:noWrap/>
            <w:vAlign w:val="center"/>
          </w:tcPr>
          <w:p w14:paraId="5C7F9598">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786 </w:t>
            </w:r>
          </w:p>
        </w:tc>
        <w:tc>
          <w:tcPr>
            <w:tcW w:w="1565" w:type="pct"/>
          </w:tcPr>
          <w:p w14:paraId="071514B6">
            <w:pPr>
              <w:widowControl/>
              <w:adjustRightInd/>
              <w:spacing w:line="240" w:lineRule="exact"/>
              <w:textAlignment w:val="auto"/>
              <w:rPr>
                <w:rFonts w:ascii="Arial" w:hAnsi="Arial" w:eastAsia="仿宋" w:cs="Arial"/>
                <w:sz w:val="21"/>
                <w:szCs w:val="21"/>
                <w:highlight w:val="none"/>
              </w:rPr>
            </w:pPr>
            <w:r>
              <w:rPr>
                <w:rFonts w:ascii="Arial" w:hAnsi="Arial" w:eastAsia="仿宋" w:cs="Arial"/>
                <w:sz w:val="21"/>
                <w:szCs w:val="21"/>
                <w:highlight w:val="none"/>
              </w:rPr>
              <w:t>以“开发完成后不动产总价/（1</w:t>
            </w:r>
            <w:r>
              <w:rPr>
                <w:rFonts w:hint="eastAsia" w:ascii="Arial" w:hAnsi="Arial" w:eastAsia="仿宋" w:cs="Arial"/>
                <w:sz w:val="21"/>
                <w:szCs w:val="21"/>
                <w:highlight w:val="none"/>
                <w:lang w:eastAsia="zh-CN"/>
              </w:rPr>
              <w:t>＋</w:t>
            </w:r>
            <w:r>
              <w:rPr>
                <w:rFonts w:ascii="Arial" w:hAnsi="Arial" w:eastAsia="仿宋" w:cs="Arial"/>
                <w:sz w:val="21"/>
                <w:szCs w:val="21"/>
                <w:highlight w:val="none"/>
              </w:rPr>
              <w:t>5%）”为基数计取</w:t>
            </w:r>
          </w:p>
        </w:tc>
      </w:tr>
      <w:tr w14:paraId="687C533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325" w:type="pct"/>
            <w:shd w:val="clear" w:color="auto" w:fill="auto"/>
            <w:vAlign w:val="center"/>
          </w:tcPr>
          <w:p w14:paraId="222CA13A">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3</w:t>
            </w:r>
          </w:p>
        </w:tc>
        <w:tc>
          <w:tcPr>
            <w:tcW w:w="1327" w:type="pct"/>
            <w:shd w:val="clear" w:color="auto" w:fill="auto"/>
            <w:vAlign w:val="center"/>
          </w:tcPr>
          <w:p w14:paraId="08B370C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投资利润</w:t>
            </w:r>
          </w:p>
        </w:tc>
        <w:tc>
          <w:tcPr>
            <w:tcW w:w="1833" w:type="dxa"/>
            <w:shd w:val="clear" w:color="auto" w:fill="auto"/>
            <w:vAlign w:val="center"/>
          </w:tcPr>
          <w:p w14:paraId="55D111C7">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25.6586 </w:t>
            </w:r>
          </w:p>
        </w:tc>
        <w:tc>
          <w:tcPr>
            <w:tcW w:w="1418" w:type="dxa"/>
            <w:shd w:val="clear" w:color="auto" w:fill="auto"/>
            <w:noWrap/>
            <w:vAlign w:val="center"/>
          </w:tcPr>
          <w:p w14:paraId="3E42E44D">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855 </w:t>
            </w:r>
          </w:p>
        </w:tc>
        <w:tc>
          <w:tcPr>
            <w:tcW w:w="1565" w:type="pct"/>
          </w:tcPr>
          <w:p w14:paraId="5C09224A">
            <w:pPr>
              <w:widowControl/>
              <w:adjustRightInd/>
              <w:spacing w:line="240" w:lineRule="exact"/>
              <w:textAlignment w:val="auto"/>
              <w:rPr>
                <w:rFonts w:ascii="Arial" w:hAnsi="Arial" w:eastAsia="仿宋" w:cs="Arial"/>
                <w:sz w:val="21"/>
                <w:szCs w:val="21"/>
                <w:highlight w:val="none"/>
              </w:rPr>
            </w:pPr>
            <w:r>
              <w:rPr>
                <w:rFonts w:hint="eastAsia" w:ascii="Arial" w:hAnsi="Arial" w:eastAsia="仿宋" w:cs="Arial"/>
                <w:sz w:val="21"/>
                <w:szCs w:val="21"/>
                <w:highlight w:val="none"/>
              </w:rPr>
              <w:t>以全部预付资本的一定比例计算，</w:t>
            </w:r>
            <w:r>
              <w:rPr>
                <w:rFonts w:hint="eastAsia" w:ascii="Arial" w:hAnsi="Arial" w:eastAsia="仿宋" w:cs="Arial"/>
                <w:sz w:val="21"/>
                <w:szCs w:val="21"/>
                <w:highlight w:val="none"/>
                <w:lang w:val="en-US" w:eastAsia="zh-CN"/>
              </w:rPr>
              <w:t>利润率</w:t>
            </w:r>
            <w:r>
              <w:rPr>
                <w:rFonts w:hint="eastAsia" w:ascii="Arial" w:hAnsi="Arial" w:eastAsia="仿宋" w:cs="Arial"/>
                <w:sz w:val="21"/>
                <w:szCs w:val="21"/>
                <w:highlight w:val="none"/>
              </w:rPr>
              <w:t>取</w:t>
            </w:r>
            <w:r>
              <w:rPr>
                <w:rFonts w:hint="eastAsia" w:ascii="Arial" w:hAnsi="Arial" w:eastAsia="仿宋" w:cs="Arial"/>
                <w:sz w:val="21"/>
                <w:szCs w:val="21"/>
                <w:highlight w:val="none"/>
                <w:lang w:val="en-US" w:eastAsia="zh-CN"/>
              </w:rPr>
              <w:t>10</w:t>
            </w:r>
            <w:r>
              <w:rPr>
                <w:rFonts w:hint="eastAsia" w:ascii="Arial" w:hAnsi="Arial" w:eastAsia="仿宋" w:cs="Arial"/>
                <w:sz w:val="21"/>
                <w:szCs w:val="21"/>
                <w:highlight w:val="none"/>
              </w:rPr>
              <w:t xml:space="preserve">% </w:t>
            </w:r>
          </w:p>
        </w:tc>
      </w:tr>
      <w:tr w14:paraId="581220E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1652" w:type="pct"/>
            <w:gridSpan w:val="2"/>
            <w:shd w:val="clear" w:color="auto" w:fill="auto"/>
            <w:noWrap/>
            <w:vAlign w:val="center"/>
          </w:tcPr>
          <w:p w14:paraId="2FF0E7EB">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4 .土地价格</w:t>
            </w:r>
          </w:p>
        </w:tc>
        <w:tc>
          <w:tcPr>
            <w:tcW w:w="1833" w:type="dxa"/>
            <w:shd w:val="clear" w:color="auto" w:fill="auto"/>
            <w:noWrap/>
            <w:vAlign w:val="center"/>
          </w:tcPr>
          <w:p w14:paraId="1624DAF6">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99.0164 </w:t>
            </w:r>
          </w:p>
        </w:tc>
        <w:tc>
          <w:tcPr>
            <w:tcW w:w="1418" w:type="dxa"/>
            <w:shd w:val="clear" w:color="auto" w:fill="auto"/>
            <w:noWrap/>
            <w:vAlign w:val="center"/>
          </w:tcPr>
          <w:p w14:paraId="324DA4FF">
            <w:pPr>
              <w:widowControl/>
              <w:adjustRightInd/>
              <w:spacing w:line="240" w:lineRule="exact"/>
              <w:textAlignment w:val="auto"/>
              <w:rPr>
                <w:rFonts w:hint="default" w:ascii="Arial" w:hAnsi="Arial" w:eastAsia="仿宋" w:cs="Arial"/>
                <w:bCs/>
                <w:sz w:val="21"/>
                <w:szCs w:val="21"/>
                <w:highlight w:val="none"/>
                <w:lang w:val="en-US" w:eastAsia="zh-CN"/>
              </w:rPr>
            </w:pPr>
            <w:r>
              <w:rPr>
                <w:rFonts w:hint="default" w:ascii="Arial" w:hAnsi="Arial" w:eastAsia="仿宋" w:cs="Arial"/>
                <w:bCs/>
                <w:sz w:val="21"/>
                <w:szCs w:val="21"/>
                <w:highlight w:val="none"/>
                <w:lang w:val="en-US" w:eastAsia="zh-CN"/>
              </w:rPr>
              <w:t xml:space="preserve">3301 </w:t>
            </w:r>
          </w:p>
        </w:tc>
        <w:tc>
          <w:tcPr>
            <w:tcW w:w="1565" w:type="pct"/>
          </w:tcPr>
          <w:p w14:paraId="1E458FC6">
            <w:pPr>
              <w:widowControl/>
              <w:adjustRightInd/>
              <w:spacing w:line="240" w:lineRule="exact"/>
              <w:textAlignment w:val="auto"/>
              <w:rPr>
                <w:rFonts w:ascii="Arial" w:hAnsi="Arial" w:eastAsia="仿宋" w:cs="Arial"/>
                <w:bCs/>
                <w:sz w:val="21"/>
                <w:szCs w:val="21"/>
                <w:highlight w:val="none"/>
              </w:rPr>
            </w:pPr>
            <w:r>
              <w:rPr>
                <w:rFonts w:ascii="Arial" w:hAnsi="Arial" w:eastAsia="仿宋" w:cs="Arial"/>
                <w:bCs/>
                <w:sz w:val="21"/>
                <w:szCs w:val="21"/>
                <w:highlight w:val="none"/>
              </w:rPr>
              <w:t>1</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2</w:t>
            </w:r>
            <w:r>
              <w:rPr>
                <w:rFonts w:hint="eastAsia" w:ascii="Arial" w:hAnsi="Arial" w:eastAsia="仿宋" w:cs="Arial"/>
                <w:bCs/>
                <w:sz w:val="21"/>
                <w:szCs w:val="21"/>
                <w:highlight w:val="none"/>
                <w:lang w:eastAsia="zh-CN"/>
              </w:rPr>
              <w:t>－</w:t>
            </w:r>
            <w:r>
              <w:rPr>
                <w:rFonts w:ascii="Arial" w:hAnsi="Arial" w:eastAsia="仿宋" w:cs="Arial"/>
                <w:bCs/>
                <w:sz w:val="21"/>
                <w:szCs w:val="21"/>
                <w:highlight w:val="none"/>
              </w:rPr>
              <w:t>3</w:t>
            </w:r>
          </w:p>
        </w:tc>
      </w:tr>
    </w:tbl>
    <w:p w14:paraId="3A02EFBC">
      <w:pPr>
        <w:spacing w:before="50" w:after="50" w:line="300" w:lineRule="auto"/>
        <w:rPr>
          <w:rFonts w:ascii="Arial" w:hAnsi="Arial" w:eastAsia="仿宋_GB2312" w:cs="Arial"/>
          <w:sz w:val="28"/>
          <w:highlight w:val="none"/>
        </w:rPr>
      </w:pPr>
      <w:r>
        <w:rPr>
          <w:rFonts w:ascii="Arial" w:hAnsi="Arial" w:eastAsia="仿宋" w:cs="Arial"/>
          <w:sz w:val="21"/>
          <w:szCs w:val="21"/>
          <w:highlight w:val="none"/>
        </w:rPr>
        <w:t>单位：万元、平方米、元/平方米</w:t>
      </w:r>
    </w:p>
    <w:p w14:paraId="1DB3CB20">
      <w:pPr>
        <w:spacing w:line="300" w:lineRule="auto"/>
        <w:ind w:right="14"/>
        <w:rPr>
          <w:rFonts w:ascii="Arial" w:hAnsi="Arial" w:eastAsia="仿宋" w:cs="Arial"/>
          <w:sz w:val="21"/>
          <w:szCs w:val="21"/>
          <w:highlight w:val="none"/>
        </w:rPr>
      </w:pPr>
    </w:p>
    <w:p w14:paraId="047F4EA0">
      <w:pPr>
        <w:rPr>
          <w:rFonts w:hint="eastAsia" w:ascii="Arial" w:hAnsi="Arial" w:eastAsia="仿宋_GB2312" w:cs="Arial"/>
          <w:b/>
          <w:sz w:val="28"/>
          <w:highlight w:val="none"/>
        </w:rPr>
      </w:pPr>
      <w:bookmarkStart w:id="415" w:name="_Toc138063039"/>
      <w:bookmarkStart w:id="416" w:name="_Toc132016641"/>
      <w:bookmarkStart w:id="417" w:name="_Toc132016758"/>
      <w:r>
        <w:rPr>
          <w:rFonts w:hint="eastAsia" w:ascii="Arial" w:hAnsi="Arial" w:eastAsia="仿宋_GB2312" w:cs="Arial"/>
          <w:b/>
          <w:sz w:val="28"/>
          <w:highlight w:val="none"/>
        </w:rPr>
        <w:br w:type="page"/>
      </w:r>
    </w:p>
    <w:p w14:paraId="15845D93">
      <w:pPr>
        <w:spacing w:line="300" w:lineRule="auto"/>
        <w:jc w:val="both"/>
        <w:outlineLvl w:val="1"/>
        <w:rPr>
          <w:rFonts w:hint="eastAsia" w:ascii="Arial" w:hAnsi="Arial" w:eastAsia="仿宋_GB2312" w:cs="Arial"/>
          <w:b/>
          <w:sz w:val="28"/>
          <w:highlight w:val="none"/>
          <w:lang w:eastAsia="zh-CN"/>
        </w:rPr>
      </w:pPr>
      <w:r>
        <w:rPr>
          <w:rFonts w:hint="eastAsia" w:ascii="Arial" w:hAnsi="Arial" w:eastAsia="仿宋_GB2312" w:cs="Arial"/>
          <w:b/>
          <w:sz w:val="28"/>
          <w:highlight w:val="none"/>
        </w:rPr>
        <w:t>三</w:t>
      </w:r>
      <w:r>
        <w:rPr>
          <w:rFonts w:ascii="Arial" w:hAnsi="Arial" w:eastAsia="仿宋_GB2312" w:cs="Arial"/>
          <w:b/>
          <w:sz w:val="28"/>
          <w:highlight w:val="none"/>
        </w:rPr>
        <w:t>、求取估价对象各用途</w:t>
      </w:r>
      <w:bookmarkEnd w:id="415"/>
      <w:bookmarkEnd w:id="416"/>
      <w:bookmarkEnd w:id="417"/>
      <w:r>
        <w:rPr>
          <w:rFonts w:hint="eastAsia" w:ascii="Arial" w:hAnsi="Arial" w:eastAsia="仿宋_GB2312" w:cs="Arial"/>
          <w:b/>
          <w:sz w:val="28"/>
          <w:highlight w:val="none"/>
          <w:lang w:eastAsia="zh-CN"/>
        </w:rPr>
        <w:t>楼面地价</w:t>
      </w:r>
    </w:p>
    <w:p w14:paraId="3492A2DC">
      <w:pPr>
        <w:spacing w:line="300" w:lineRule="auto"/>
        <w:ind w:firstLine="556"/>
        <w:jc w:val="both"/>
        <w:rPr>
          <w:rFonts w:hint="eastAsia" w:ascii="Arial" w:hAnsi="Arial" w:eastAsia="仿宋_GB2312" w:cs="Arial"/>
          <w:sz w:val="28"/>
          <w:szCs w:val="28"/>
          <w:highlight w:val="none"/>
          <w:lang w:val="en-US" w:eastAsia="zh-CN"/>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一</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地价的确定方法</w:t>
      </w:r>
    </w:p>
    <w:p w14:paraId="2B41B90E">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lang w:val="en-US" w:eastAsia="zh-CN"/>
        </w:rPr>
        <w:t>1.</w:t>
      </w:r>
      <w:r>
        <w:rPr>
          <w:rFonts w:hint="eastAsia" w:ascii="Arial" w:hAnsi="Arial" w:eastAsia="仿宋_GB2312" w:cs="Arial"/>
          <w:sz w:val="28"/>
          <w:szCs w:val="28"/>
          <w:highlight w:val="none"/>
        </w:rPr>
        <w:t>估价结果可信度分析</w:t>
      </w:r>
    </w:p>
    <w:p w14:paraId="398A2C90">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rPr>
        <w:t>根据区域土地市场情况，并结合估价对象的具体特点和估价目的，遵循估价原则，按照估价程序，利用科学的估价方法，在认真分析现有资料的基础上，并结合估价经验，详细考虑了影响房地产价格各项因素，本次评估，估价对象采用基准地价系数修正法、剩余法作为此次估价方法。</w:t>
      </w:r>
    </w:p>
    <w:p w14:paraId="617CF5F1">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rPr>
        <w:t>在确认基准地价系数修正法、剩余法的测算结果无误的情况下，应根据具体情况选用简单算术平均数、加权算术平均数、中位数、众数等数学方法之一求出一个综合的结果。</w:t>
      </w:r>
    </w:p>
    <w:p w14:paraId="3D24D214">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基准地价系数修正法</w:t>
      </w:r>
    </w:p>
    <w:p w14:paraId="217FCE32">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rPr>
        <w:t>首先，北京市人民政府于2022年3月14日发布了北京市基准地价更新成果，基准地价基准期日为2021年1月1日，北京市基准地价更新成果作为政府公示价格，在现行土地估价实际工作中起着重要指导意义，是确定国有建设用地使用权出让价格审定、国有建设用地租赁租金审定、企业改制土地资产价格处置等依据之一。本次评估估价目的为出让方通过集体决策确定土地出让底价提供参考依据，其估价目的与基准地价系数修正法适用范围完全吻合。其次，估价对象位于北京市</w:t>
      </w:r>
      <w:r>
        <w:rPr>
          <w:rFonts w:hint="eastAsia" w:ascii="Arial" w:hAnsi="Arial" w:eastAsia="仿宋_GB2312" w:cs="Arial"/>
          <w:sz w:val="28"/>
          <w:szCs w:val="28"/>
          <w:highlight w:val="none"/>
          <w:lang w:val="en-US" w:eastAsia="zh-CN"/>
        </w:rPr>
        <w:t>顺义区</w:t>
      </w:r>
      <w:r>
        <w:rPr>
          <w:rFonts w:hint="eastAsia" w:ascii="Arial" w:hAnsi="Arial" w:eastAsia="仿宋_GB2312" w:cs="Arial"/>
          <w:sz w:val="28"/>
          <w:szCs w:val="28"/>
          <w:highlight w:val="none"/>
        </w:rPr>
        <w:t>，属于北京市基准地价覆盖范围内，可直观获取基准地价系数修正法所需评估参数，基准地价基准期日</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2021年1月1日</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距本次估价期日时间虽然超过五年，但可通过北京市地价动态监测成果公布的地价指数进行修正以确保在客观市场的适用度，可直观获取基准地价系数修正法所需评估参数，且本次估价在已完成更新的基准地价成果基础上，根据估价对象所在区域实际情况及特点，进行相应因素修正得出基准地价法结果，其估价结果具有参考性。</w:t>
      </w:r>
    </w:p>
    <w:p w14:paraId="754739AC">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2</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剩余法</w:t>
      </w:r>
    </w:p>
    <w:p w14:paraId="2CD27592">
      <w:pPr>
        <w:spacing w:line="300" w:lineRule="auto"/>
        <w:ind w:firstLine="556"/>
        <w:jc w:val="both"/>
        <w:rPr>
          <w:rFonts w:hint="eastAsia" w:ascii="Arial" w:hAnsi="Arial" w:eastAsia="仿宋_GB2312" w:cs="Arial"/>
          <w:sz w:val="28"/>
          <w:szCs w:val="28"/>
          <w:highlight w:val="none"/>
          <w:lang w:eastAsia="zh-CN"/>
        </w:rPr>
      </w:pPr>
      <w:r>
        <w:rPr>
          <w:rFonts w:hint="eastAsia" w:ascii="Arial" w:hAnsi="Arial" w:eastAsia="仿宋_GB2312" w:cs="Arial"/>
          <w:sz w:val="28"/>
          <w:szCs w:val="28"/>
          <w:highlight w:val="none"/>
        </w:rPr>
        <w:t>首先，估价对象位于</w:t>
      </w:r>
      <w:r>
        <w:rPr>
          <w:rFonts w:hint="eastAsia" w:ascii="Arial" w:hAnsi="Arial" w:eastAsia="仿宋_GB2312" w:cs="Arial"/>
          <w:sz w:val="28"/>
          <w:szCs w:val="28"/>
          <w:highlight w:val="none"/>
          <w:lang w:val="en-US" w:eastAsia="zh-CN"/>
        </w:rPr>
        <w:t>北京市顺义区高丽营镇</w:t>
      </w:r>
      <w:r>
        <w:rPr>
          <w:rFonts w:hint="eastAsia" w:ascii="Arial" w:hAnsi="Arial" w:eastAsia="仿宋_GB2312" w:cs="Arial"/>
          <w:sz w:val="28"/>
          <w:szCs w:val="28"/>
          <w:highlight w:val="none"/>
        </w:rPr>
        <w:t>，估价对象属于待开发的用地项目，符合城市规划，与周边环境相协调，可实现在合法原则条件下该宗地的最有效利用</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剩余法测算中数据资料和参数可以根据调查查询获取，故剩余法符合本次估价目的</w:t>
      </w:r>
      <w:r>
        <w:rPr>
          <w:rFonts w:hint="eastAsia" w:ascii="Arial" w:hAnsi="Arial" w:eastAsia="仿宋_GB2312" w:cs="Arial"/>
          <w:sz w:val="28"/>
          <w:szCs w:val="28"/>
          <w:highlight w:val="none"/>
          <w:lang w:eastAsia="zh-CN"/>
        </w:rPr>
        <w:t>。</w:t>
      </w:r>
    </w:p>
    <w:p w14:paraId="37EF6EC9">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rPr>
        <w:t>估价对象规划用途为R2二类居住用地，其估价结果与近年来</w:t>
      </w:r>
      <w:r>
        <w:rPr>
          <w:rFonts w:hint="eastAsia" w:ascii="Arial" w:hAnsi="Arial" w:eastAsia="仿宋_GB2312" w:cs="Arial"/>
          <w:sz w:val="28"/>
          <w:szCs w:val="28"/>
          <w:highlight w:val="none"/>
          <w:lang w:val="en-US" w:eastAsia="zh-CN"/>
        </w:rPr>
        <w:t>顺义区</w:t>
      </w:r>
      <w:r>
        <w:rPr>
          <w:rFonts w:hint="eastAsia" w:ascii="Arial" w:hAnsi="Arial" w:eastAsia="仿宋_GB2312" w:cs="Arial"/>
          <w:sz w:val="28"/>
          <w:szCs w:val="28"/>
          <w:highlight w:val="none"/>
        </w:rPr>
        <w:t>类似用途市场水平值接近，其估价结果能客观真实反映出估价对象实际情况。</w:t>
      </w:r>
    </w:p>
    <w:p w14:paraId="1A741C71">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rPr>
        <w:t>2、最终地价确定的依据与方法</w:t>
      </w:r>
    </w:p>
    <w:p w14:paraId="788C58E4">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不出让部分</w:t>
      </w:r>
      <w:r>
        <w:rPr>
          <w:rFonts w:hint="eastAsia" w:ascii="Arial" w:hAnsi="Arial" w:eastAsia="仿宋_GB2312" w:cs="Arial"/>
          <w:sz w:val="28"/>
          <w:szCs w:val="28"/>
          <w:highlight w:val="none"/>
        </w:rPr>
        <w:t>对基准地价系数修正法评估结果影响的分析</w:t>
      </w:r>
    </w:p>
    <w:p w14:paraId="6E1CE2F4">
      <w:pPr>
        <w:spacing w:line="300" w:lineRule="auto"/>
        <w:ind w:firstLine="556"/>
        <w:jc w:val="both"/>
        <w:rPr>
          <w:rFonts w:hint="eastAsia" w:ascii="Arial" w:hAnsi="Arial" w:eastAsia="仿宋_GB2312" w:cs="Arial"/>
          <w:sz w:val="28"/>
          <w:szCs w:val="28"/>
          <w:highlight w:val="none"/>
        </w:rPr>
      </w:pPr>
      <w:r>
        <w:rPr>
          <w:rFonts w:ascii="Arial" w:hAnsi="Arial" w:eastAsia="仿宋" w:cs="Arial"/>
          <w:sz w:val="28"/>
          <w:szCs w:val="28"/>
          <w:highlight w:val="none"/>
        </w:rPr>
        <w:t>根据</w:t>
      </w:r>
      <w:r>
        <w:rPr>
          <w:rFonts w:hint="eastAsia" w:ascii="Arial" w:hAnsi="Arial" w:eastAsia="仿宋" w:cs="Arial"/>
          <w:sz w:val="28"/>
          <w:szCs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ascii="Arial" w:hAnsi="Arial" w:eastAsia="仿宋" w:cs="Arial"/>
          <w:sz w:val="28"/>
          <w:szCs w:val="28"/>
          <w:highlight w:val="none"/>
        </w:rPr>
        <w:t>,</w:t>
      </w:r>
      <w:r>
        <w:rPr>
          <w:rFonts w:ascii="Arial" w:hAnsi="Arial" w:eastAsia="仿宋_GB2312" w:cs="Arial"/>
          <w:sz w:val="28"/>
          <w:highlight w:val="none"/>
        </w:rPr>
        <w:t>估价对象A334托幼用地建筑规模</w:t>
      </w:r>
      <w:r>
        <w:rPr>
          <w:rFonts w:hint="eastAsia" w:ascii="Arial" w:hAnsi="Arial" w:eastAsia="仿宋_GB2312" w:cs="Arial"/>
          <w:sz w:val="28"/>
          <w:highlight w:val="none"/>
          <w:lang w:val="en-US" w:eastAsia="zh-CN"/>
        </w:rPr>
        <w:t>3359.98</w:t>
      </w:r>
      <w:r>
        <w:rPr>
          <w:rFonts w:ascii="Arial" w:hAnsi="Arial" w:eastAsia="仿宋_GB2312" w:cs="Arial"/>
          <w:sz w:val="28"/>
          <w:highlight w:val="none"/>
        </w:rPr>
        <w:t>平方米不出让，</w:t>
      </w:r>
      <w:r>
        <w:rPr>
          <w:rFonts w:hint="eastAsia" w:ascii="Arial" w:hAnsi="Arial" w:eastAsia="仿宋_GB2312" w:cs="Arial"/>
          <w:sz w:val="28"/>
          <w:szCs w:val="28"/>
          <w:highlight w:val="none"/>
        </w:rPr>
        <w:t>本次评估采用的基准地价系数修正法中没有关于代建修正的因素，为确保估价结果的准确性和合理性，需充分考虑代建情况对地价的影响。本次评估采用剩余法时，按照考虑代建及不考虑代建两种情况分别测算出估价对象的</w:t>
      </w:r>
      <w:r>
        <w:rPr>
          <w:rFonts w:hint="eastAsia" w:ascii="Arial" w:hAnsi="Arial" w:eastAsia="仿宋_GB2312" w:cs="Arial"/>
          <w:sz w:val="28"/>
          <w:szCs w:val="28"/>
          <w:highlight w:val="none"/>
          <w:lang w:eastAsia="zh-CN"/>
        </w:rPr>
        <w:t>楼面地价</w:t>
      </w:r>
      <w:r>
        <w:rPr>
          <w:rFonts w:hint="eastAsia" w:ascii="Arial" w:hAnsi="Arial" w:eastAsia="仿宋_GB2312" w:cs="Arial"/>
          <w:sz w:val="28"/>
          <w:szCs w:val="28"/>
          <w:highlight w:val="none"/>
        </w:rPr>
        <w:t>，并将二者之差作为代建修正值，经测算得出两者的差值为</w:t>
      </w:r>
      <w:r>
        <w:rPr>
          <w:rFonts w:hint="eastAsia" w:ascii="Arial" w:hAnsi="Arial" w:eastAsia="仿宋_GB2312" w:cs="Arial"/>
          <w:sz w:val="28"/>
          <w:szCs w:val="28"/>
          <w:highlight w:val="none"/>
          <w:lang w:val="en-US" w:eastAsia="zh-CN"/>
        </w:rPr>
        <w:t>284</w:t>
      </w:r>
      <w:r>
        <w:rPr>
          <w:rFonts w:hint="eastAsia" w:ascii="Arial" w:hAnsi="Arial" w:eastAsia="仿宋_GB2312" w:cs="Arial"/>
          <w:sz w:val="28"/>
          <w:szCs w:val="28"/>
          <w:highlight w:val="none"/>
        </w:rPr>
        <w:t>元/平方米,基准地价系数修正法测算的估价结果可按此差值进行代建因素修正。根据上文，城镇住宅用地基准地价系数修正法测算结果</w:t>
      </w:r>
      <w:r>
        <w:rPr>
          <w:rFonts w:hint="eastAsia" w:ascii="Arial" w:hAnsi="Arial" w:eastAsia="仿宋_GB2312" w:cs="Arial"/>
          <w:sz w:val="28"/>
          <w:szCs w:val="28"/>
          <w:highlight w:val="none"/>
          <w:lang w:eastAsia="zh-CN"/>
        </w:rPr>
        <w:t>楼面地价</w:t>
      </w:r>
      <w:r>
        <w:rPr>
          <w:rFonts w:hint="eastAsia" w:ascii="Arial" w:hAnsi="Arial" w:eastAsia="仿宋_GB2312" w:cs="Arial"/>
          <w:sz w:val="28"/>
          <w:szCs w:val="28"/>
          <w:highlight w:val="none"/>
        </w:rPr>
        <w:t>为</w:t>
      </w:r>
      <w:r>
        <w:rPr>
          <w:rFonts w:hint="eastAsia" w:ascii="Arial" w:hAnsi="Arial" w:eastAsia="仿宋_GB2312" w:cs="Arial"/>
          <w:sz w:val="28"/>
          <w:szCs w:val="28"/>
          <w:highlight w:val="none"/>
          <w:lang w:val="en-US" w:eastAsia="zh-CN"/>
        </w:rPr>
        <w:t>6973</w:t>
      </w:r>
      <w:r>
        <w:rPr>
          <w:rFonts w:hint="eastAsia" w:ascii="Arial" w:hAnsi="Arial" w:eastAsia="仿宋_GB2312" w:cs="Arial"/>
          <w:sz w:val="28"/>
          <w:szCs w:val="28"/>
          <w:highlight w:val="none"/>
        </w:rPr>
        <w:t>元/平方米，考虑代建修正因素后估价结果为</w:t>
      </w:r>
      <w:r>
        <w:rPr>
          <w:rFonts w:hint="eastAsia" w:ascii="Arial" w:hAnsi="Arial" w:eastAsia="仿宋_GB2312" w:cs="Arial"/>
          <w:sz w:val="28"/>
          <w:szCs w:val="28"/>
          <w:highlight w:val="none"/>
          <w:lang w:eastAsia="zh-CN"/>
        </w:rPr>
        <w:t>楼面地价</w:t>
      </w:r>
      <w:r>
        <w:rPr>
          <w:rFonts w:hint="eastAsia" w:ascii="Arial" w:hAnsi="Arial" w:eastAsia="仿宋" w:cs="Arial"/>
          <w:sz w:val="28"/>
          <w:highlight w:val="none"/>
          <w:lang w:val="en-US" w:eastAsia="zh-CN"/>
        </w:rPr>
        <w:t>6689</w:t>
      </w:r>
      <w:r>
        <w:rPr>
          <w:rFonts w:hint="eastAsia" w:ascii="Arial" w:hAnsi="Arial" w:eastAsia="仿宋_GB2312" w:cs="Arial"/>
          <w:sz w:val="28"/>
          <w:szCs w:val="28"/>
          <w:highlight w:val="none"/>
        </w:rPr>
        <w:t>元/平方米</w:t>
      </w:r>
      <w:r>
        <w:rPr>
          <w:rFonts w:hint="eastAsia" w:ascii="Arial" w:hAnsi="Arial" w:eastAsia="仿宋_GB2312" w:cs="Arial"/>
          <w:sz w:val="28"/>
          <w:szCs w:val="28"/>
          <w:highlight w:val="none"/>
          <w:lang w:eastAsia="zh-CN"/>
        </w:rPr>
        <w:t>（</w:t>
      </w:r>
      <w:r>
        <w:rPr>
          <w:rFonts w:hint="eastAsia" w:ascii="Arial" w:hAnsi="Arial" w:eastAsia="仿宋" w:cs="Arial"/>
          <w:sz w:val="28"/>
          <w:highlight w:val="none"/>
          <w:lang w:val="en-US" w:eastAsia="zh-CN"/>
        </w:rPr>
        <w:t>6973</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13049－12765）=</w:t>
      </w:r>
      <w:r>
        <w:rPr>
          <w:rFonts w:hint="eastAsia" w:ascii="Arial" w:hAnsi="Arial" w:eastAsia="仿宋" w:cs="Arial"/>
          <w:sz w:val="28"/>
          <w:highlight w:val="none"/>
          <w:lang w:val="en-US" w:eastAsia="zh-CN"/>
        </w:rPr>
        <w:t>6689</w:t>
      </w:r>
      <w:r>
        <w:rPr>
          <w:rFonts w:hint="eastAsia" w:ascii="Arial" w:hAnsi="Arial" w:eastAsia="仿宋_GB2312" w:cs="Arial"/>
          <w:sz w:val="28"/>
          <w:szCs w:val="28"/>
          <w:highlight w:val="none"/>
        </w:rPr>
        <w:t>元/平方米</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w:t>
      </w:r>
    </w:p>
    <w:p w14:paraId="309EC123">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2</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最终地价确定的依据与方法</w:t>
      </w:r>
    </w:p>
    <w:p w14:paraId="43E24DE0">
      <w:pPr>
        <w:spacing w:line="300" w:lineRule="auto"/>
        <w:ind w:firstLine="556"/>
        <w:jc w:val="both"/>
        <w:rPr>
          <w:rFonts w:hint="eastAsia" w:ascii="Arial" w:hAnsi="Arial" w:eastAsia="仿宋_GB2312" w:cs="Arial"/>
          <w:sz w:val="28"/>
          <w:szCs w:val="28"/>
          <w:highlight w:val="none"/>
        </w:rPr>
      </w:pPr>
      <w:r>
        <w:rPr>
          <w:rFonts w:hint="eastAsia" w:ascii="Arial" w:hAnsi="Arial" w:eastAsia="仿宋_GB2312" w:cs="Arial"/>
          <w:sz w:val="28"/>
          <w:szCs w:val="28"/>
          <w:highlight w:val="none"/>
        </w:rPr>
        <w:t>根据《北京市国有建设用地使用权出让地价评估技术导则》</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2026年2月10日实施）</w:t>
      </w:r>
      <w:r>
        <w:rPr>
          <w:rFonts w:hint="eastAsia" w:ascii="Arial" w:hAnsi="Arial" w:eastAsia="仿宋_GB2312" w:cs="Arial"/>
          <w:sz w:val="28"/>
          <w:szCs w:val="28"/>
          <w:highlight w:val="none"/>
        </w:rPr>
        <w:t>，各方法估价结果权重建议如下表:</w:t>
      </w:r>
    </w:p>
    <w:p w14:paraId="7AE09C09">
      <w:pPr>
        <w:spacing w:line="300" w:lineRule="auto"/>
        <w:ind w:firstLine="2964" w:firstLineChars="1230"/>
        <w:jc w:val="both"/>
        <w:rPr>
          <w:rFonts w:hint="eastAsia" w:ascii="Arial" w:hAnsi="Arial" w:eastAsia="仿宋_GB2312" w:cs="Arial"/>
          <w:b/>
          <w:bCs/>
          <w:sz w:val="24"/>
          <w:szCs w:val="24"/>
          <w:highlight w:val="none"/>
        </w:rPr>
      </w:pPr>
      <w:r>
        <w:rPr>
          <w:rFonts w:hint="eastAsia" w:ascii="Arial" w:hAnsi="Arial" w:eastAsia="仿宋_GB2312" w:cs="Arial"/>
          <w:b/>
          <w:bCs/>
          <w:sz w:val="24"/>
          <w:szCs w:val="24"/>
          <w:highlight w:val="none"/>
        </w:rPr>
        <w:t>各方法估价结果权重建议表</w:t>
      </w:r>
    </w:p>
    <w:tbl>
      <w:tblPr>
        <w:tblStyle w:val="35"/>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003"/>
        <w:gridCol w:w="1816"/>
        <w:gridCol w:w="5747"/>
      </w:tblGrid>
      <w:tr w14:paraId="4DCDE5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3EF2A8A8">
            <w:pPr>
              <w:spacing w:line="240" w:lineRule="auto"/>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各方法测算结果差异率</w:t>
            </w:r>
          </w:p>
        </w:tc>
        <w:tc>
          <w:tcPr>
            <w:tcW w:w="949" w:type="pct"/>
            <w:tcMar>
              <w:top w:w="0" w:type="dxa"/>
              <w:left w:w="108" w:type="dxa"/>
              <w:bottom w:w="0" w:type="dxa"/>
              <w:right w:w="108" w:type="dxa"/>
            </w:tcMar>
            <w:vAlign w:val="center"/>
          </w:tcPr>
          <w:p w14:paraId="7E3D1024">
            <w:pPr>
              <w:spacing w:line="240" w:lineRule="auto"/>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估价结果确定可采用的方法</w:t>
            </w:r>
          </w:p>
        </w:tc>
        <w:tc>
          <w:tcPr>
            <w:tcW w:w="3003" w:type="pct"/>
            <w:tcMar>
              <w:top w:w="0" w:type="dxa"/>
              <w:left w:w="108" w:type="dxa"/>
              <w:bottom w:w="0" w:type="dxa"/>
              <w:right w:w="108" w:type="dxa"/>
            </w:tcMar>
            <w:vAlign w:val="center"/>
          </w:tcPr>
          <w:p w14:paraId="07A1307D">
            <w:pPr>
              <w:spacing w:line="240" w:lineRule="auto"/>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权重取值可采取比例</w:t>
            </w:r>
          </w:p>
        </w:tc>
      </w:tr>
      <w:tr w14:paraId="3CBE25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6EDDF145">
            <w:pPr>
              <w:spacing w:line="240" w:lineRule="auto"/>
              <w:jc w:val="center"/>
              <w:rPr>
                <w:rFonts w:hint="eastAsia" w:ascii="Arial" w:hAnsi="Arial" w:eastAsia="仿宋_GB2312" w:cs="Arial"/>
                <w:sz w:val="21"/>
                <w:szCs w:val="21"/>
                <w:highlight w:val="none"/>
              </w:rPr>
            </w:pPr>
            <w:r>
              <w:rPr>
                <w:rFonts w:ascii="Arial" w:hAnsi="Arial" w:eastAsia="仿宋_GB2312" w:cs="Arial"/>
                <w:sz w:val="21"/>
                <w:szCs w:val="21"/>
                <w:highlight w:val="none"/>
              </w:rPr>
              <w:t>小于等于10</w:t>
            </w:r>
            <w:r>
              <w:rPr>
                <w:rFonts w:hint="eastAsia" w:ascii="Arial" w:hAnsi="Arial" w:eastAsia="仿宋_GB2312" w:cs="Arial"/>
                <w:sz w:val="21"/>
                <w:szCs w:val="21"/>
                <w:highlight w:val="none"/>
              </w:rPr>
              <w:t>%</w:t>
            </w:r>
          </w:p>
        </w:tc>
        <w:tc>
          <w:tcPr>
            <w:tcW w:w="949" w:type="pct"/>
            <w:tcMar>
              <w:top w:w="0" w:type="dxa"/>
              <w:left w:w="108" w:type="dxa"/>
              <w:bottom w:w="0" w:type="dxa"/>
              <w:right w:w="108" w:type="dxa"/>
            </w:tcMar>
            <w:vAlign w:val="center"/>
          </w:tcPr>
          <w:p w14:paraId="537DE2EB">
            <w:pPr>
              <w:spacing w:line="240" w:lineRule="auto"/>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原则</w:t>
            </w:r>
            <w:r>
              <w:rPr>
                <w:rFonts w:ascii="Arial" w:hAnsi="Arial" w:eastAsia="仿宋_GB2312" w:cs="Arial"/>
                <w:sz w:val="21"/>
                <w:szCs w:val="21"/>
                <w:highlight w:val="none"/>
              </w:rPr>
              <w:t>上采用简单算术平均</w:t>
            </w:r>
          </w:p>
        </w:tc>
        <w:tc>
          <w:tcPr>
            <w:tcW w:w="3003" w:type="pct"/>
            <w:tcMar>
              <w:top w:w="0" w:type="dxa"/>
              <w:left w:w="108" w:type="dxa"/>
              <w:bottom w:w="0" w:type="dxa"/>
              <w:right w:w="108" w:type="dxa"/>
            </w:tcMar>
            <w:vAlign w:val="center"/>
          </w:tcPr>
          <w:p w14:paraId="1F773F25">
            <w:pPr>
              <w:spacing w:line="240" w:lineRule="auto"/>
              <w:jc w:val="center"/>
              <w:rPr>
                <w:rFonts w:hint="eastAsia" w:ascii="Arial" w:hAnsi="Arial" w:eastAsia="仿宋_GB2312" w:cs="Arial"/>
                <w:sz w:val="21"/>
                <w:szCs w:val="21"/>
                <w:highlight w:val="none"/>
              </w:rPr>
            </w:pPr>
            <w:r>
              <w:rPr>
                <w:rFonts w:ascii="Arial" w:hAnsi="Arial" w:eastAsia="仿宋_GB2312" w:cs="Arial"/>
                <w:sz w:val="21"/>
                <w:szCs w:val="21"/>
                <w:highlight w:val="none"/>
              </w:rPr>
              <w:t>采用两种</w:t>
            </w:r>
            <w:r>
              <w:rPr>
                <w:rFonts w:hint="eastAsia" w:ascii="Arial" w:hAnsi="Arial" w:eastAsia="仿宋_GB2312" w:cs="Arial"/>
                <w:sz w:val="21"/>
                <w:szCs w:val="21"/>
                <w:highlight w:val="none"/>
              </w:rPr>
              <w:t>估价方法</w:t>
            </w:r>
            <w:r>
              <w:rPr>
                <w:rFonts w:ascii="Arial" w:hAnsi="Arial" w:eastAsia="仿宋_GB2312" w:cs="Arial"/>
                <w:sz w:val="21"/>
                <w:szCs w:val="21"/>
                <w:highlight w:val="none"/>
              </w:rPr>
              <w:t>时，权重各取50</w:t>
            </w:r>
            <w:r>
              <w:rPr>
                <w:rFonts w:hint="eastAsia" w:ascii="Arial" w:hAnsi="Arial" w:eastAsia="仿宋_GB2312" w:cs="Arial"/>
                <w:sz w:val="21"/>
                <w:szCs w:val="21"/>
                <w:highlight w:val="none"/>
              </w:rPr>
              <w:t>%</w:t>
            </w:r>
          </w:p>
        </w:tc>
      </w:tr>
      <w:tr w14:paraId="51602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65C05F30">
            <w:pPr>
              <w:spacing w:line="240" w:lineRule="auto"/>
              <w:jc w:val="center"/>
              <w:rPr>
                <w:rFonts w:hint="eastAsia" w:ascii="Arial" w:hAnsi="Arial" w:eastAsia="仿宋_GB2312" w:cs="Arial"/>
                <w:sz w:val="21"/>
                <w:szCs w:val="21"/>
                <w:highlight w:val="none"/>
              </w:rPr>
            </w:pPr>
            <w:r>
              <w:rPr>
                <w:rFonts w:ascii="Arial" w:hAnsi="Arial" w:eastAsia="仿宋_GB2312" w:cs="Arial"/>
                <w:sz w:val="21"/>
                <w:szCs w:val="21"/>
                <w:highlight w:val="none"/>
              </w:rPr>
              <w:t>大于10</w:t>
            </w:r>
            <w:r>
              <w:rPr>
                <w:rFonts w:hint="eastAsia" w:ascii="Arial" w:hAnsi="Arial" w:eastAsia="仿宋_GB2312" w:cs="Arial"/>
                <w:sz w:val="21"/>
                <w:szCs w:val="21"/>
                <w:highlight w:val="none"/>
              </w:rPr>
              <w:t>%</w:t>
            </w:r>
            <w:r>
              <w:rPr>
                <w:rFonts w:ascii="Arial" w:hAnsi="Arial" w:eastAsia="仿宋_GB2312" w:cs="Arial"/>
                <w:sz w:val="21"/>
                <w:szCs w:val="21"/>
                <w:highlight w:val="none"/>
              </w:rPr>
              <w:t>，小于等于30</w:t>
            </w:r>
            <w:r>
              <w:rPr>
                <w:rFonts w:hint="eastAsia" w:ascii="Arial" w:hAnsi="Arial" w:eastAsia="仿宋_GB2312" w:cs="Arial"/>
                <w:sz w:val="21"/>
                <w:szCs w:val="21"/>
                <w:highlight w:val="none"/>
              </w:rPr>
              <w:t>%</w:t>
            </w:r>
          </w:p>
        </w:tc>
        <w:tc>
          <w:tcPr>
            <w:tcW w:w="949" w:type="pct"/>
            <w:tcMar>
              <w:top w:w="0" w:type="dxa"/>
              <w:left w:w="108" w:type="dxa"/>
              <w:bottom w:w="0" w:type="dxa"/>
              <w:right w:w="108" w:type="dxa"/>
            </w:tcMar>
            <w:vAlign w:val="center"/>
          </w:tcPr>
          <w:p w14:paraId="20109998">
            <w:pPr>
              <w:spacing w:line="240" w:lineRule="auto"/>
              <w:jc w:val="center"/>
              <w:rPr>
                <w:rFonts w:hint="eastAsia" w:ascii="Arial" w:hAnsi="Arial" w:eastAsia="仿宋_GB2312" w:cs="Arial"/>
                <w:sz w:val="21"/>
                <w:szCs w:val="21"/>
                <w:highlight w:val="none"/>
              </w:rPr>
            </w:pPr>
            <w:r>
              <w:rPr>
                <w:rFonts w:ascii="Arial" w:hAnsi="Arial" w:eastAsia="仿宋_GB2312" w:cs="Arial"/>
                <w:sz w:val="21"/>
                <w:szCs w:val="21"/>
                <w:highlight w:val="none"/>
              </w:rPr>
              <w:t>原则上采用加权算术平均</w:t>
            </w:r>
            <w:r>
              <w:rPr>
                <w:rFonts w:hint="eastAsia" w:ascii="Arial" w:hAnsi="Arial" w:eastAsia="仿宋_GB2312" w:cs="Arial"/>
                <w:sz w:val="21"/>
                <w:szCs w:val="21"/>
                <w:highlight w:val="none"/>
              </w:rPr>
              <w:t>，</w:t>
            </w:r>
            <w:r>
              <w:rPr>
                <w:rFonts w:ascii="Arial" w:hAnsi="Arial" w:eastAsia="仿宋_GB2312" w:cs="Arial"/>
                <w:sz w:val="21"/>
                <w:szCs w:val="21"/>
                <w:highlight w:val="none"/>
              </w:rPr>
              <w:t>当采用简单算术平均时</w:t>
            </w:r>
            <w:r>
              <w:rPr>
                <w:rFonts w:hint="eastAsia" w:ascii="Arial" w:hAnsi="Arial" w:eastAsia="仿宋_GB2312" w:cs="Arial"/>
                <w:sz w:val="21"/>
                <w:szCs w:val="21"/>
                <w:highlight w:val="none"/>
              </w:rPr>
              <w:t>，</w:t>
            </w:r>
            <w:r>
              <w:rPr>
                <w:rFonts w:ascii="Arial" w:hAnsi="Arial" w:eastAsia="仿宋_GB2312" w:cs="Arial"/>
                <w:sz w:val="21"/>
                <w:szCs w:val="21"/>
                <w:highlight w:val="none"/>
              </w:rPr>
              <w:t>应说明理由</w:t>
            </w:r>
          </w:p>
        </w:tc>
        <w:tc>
          <w:tcPr>
            <w:tcW w:w="3003" w:type="pct"/>
            <w:tcMar>
              <w:top w:w="0" w:type="dxa"/>
              <w:left w:w="108" w:type="dxa"/>
              <w:bottom w:w="0" w:type="dxa"/>
              <w:right w:w="108" w:type="dxa"/>
            </w:tcMar>
            <w:vAlign w:val="center"/>
          </w:tcPr>
          <w:p w14:paraId="5332AEB8">
            <w:pPr>
              <w:spacing w:line="240" w:lineRule="auto"/>
              <w:ind w:firstLine="420" w:firstLineChars="200"/>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采用加权算术平均时，</w:t>
            </w:r>
            <w:r>
              <w:rPr>
                <w:rFonts w:ascii="Arial" w:hAnsi="Arial" w:eastAsia="仿宋_GB2312" w:cs="Arial"/>
                <w:sz w:val="21"/>
                <w:szCs w:val="21"/>
                <w:highlight w:val="none"/>
              </w:rPr>
              <w:t>土地估价专业评估师</w:t>
            </w:r>
            <w:r>
              <w:rPr>
                <w:rFonts w:hint="eastAsia" w:ascii="Arial" w:hAnsi="Arial" w:eastAsia="仿宋_GB2312" w:cs="Arial"/>
                <w:sz w:val="21"/>
                <w:szCs w:val="21"/>
                <w:highlight w:val="none"/>
              </w:rPr>
              <w:t>要对权重加以分析，</w:t>
            </w:r>
            <w:r>
              <w:rPr>
                <w:rFonts w:ascii="Arial" w:hAnsi="Arial" w:eastAsia="仿宋_GB2312" w:cs="Arial"/>
                <w:sz w:val="21"/>
                <w:szCs w:val="21"/>
                <w:highlight w:val="none"/>
              </w:rPr>
              <w:t>在对每种方法的</w:t>
            </w:r>
            <w:r>
              <w:rPr>
                <w:rFonts w:hint="eastAsia" w:ascii="Arial" w:hAnsi="Arial" w:eastAsia="仿宋_GB2312" w:cs="Arial"/>
                <w:sz w:val="21"/>
                <w:szCs w:val="21"/>
                <w:highlight w:val="none"/>
              </w:rPr>
              <w:t>测算</w:t>
            </w:r>
            <w:r>
              <w:rPr>
                <w:rFonts w:ascii="Arial" w:hAnsi="Arial" w:eastAsia="仿宋_GB2312" w:cs="Arial"/>
                <w:sz w:val="21"/>
                <w:szCs w:val="21"/>
                <w:highlight w:val="none"/>
              </w:rPr>
              <w:t>结果可信度分析基础上，合理确定每种方法的权重，</w:t>
            </w:r>
            <w:r>
              <w:rPr>
                <w:rFonts w:hint="eastAsia" w:ascii="Arial" w:hAnsi="Arial" w:eastAsia="仿宋_GB2312" w:cs="Arial"/>
                <w:sz w:val="21"/>
                <w:szCs w:val="21"/>
                <w:highlight w:val="none"/>
              </w:rPr>
              <w:t>任一方法测算结果的权重不宜为0。</w:t>
            </w:r>
          </w:p>
          <w:p w14:paraId="37E117F0">
            <w:pPr>
              <w:spacing w:line="240" w:lineRule="auto"/>
              <w:ind w:firstLine="420" w:firstLineChars="200"/>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其中商业类、办公类、公共服务类、工业类用地每种方法的权重不宜低于20%，住宅类用地每种方法的权重不宜低于30%。</w:t>
            </w:r>
          </w:p>
        </w:tc>
      </w:tr>
      <w:tr w14:paraId="5930B4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702FC99A">
            <w:pPr>
              <w:spacing w:line="240" w:lineRule="auto"/>
              <w:jc w:val="center"/>
              <w:rPr>
                <w:rFonts w:hint="eastAsia" w:ascii="Arial" w:hAnsi="Arial" w:eastAsia="仿宋_GB2312" w:cs="Arial"/>
                <w:sz w:val="21"/>
                <w:szCs w:val="21"/>
                <w:highlight w:val="none"/>
              </w:rPr>
            </w:pPr>
            <w:r>
              <w:rPr>
                <w:rFonts w:ascii="Arial" w:hAnsi="Arial" w:eastAsia="仿宋_GB2312" w:cs="Arial"/>
                <w:sz w:val="21"/>
                <w:szCs w:val="21"/>
                <w:highlight w:val="none"/>
              </w:rPr>
              <w:t>大于30</w:t>
            </w:r>
            <w:r>
              <w:rPr>
                <w:rFonts w:hint="eastAsia" w:ascii="Arial" w:hAnsi="Arial" w:eastAsia="仿宋_GB2312" w:cs="Arial"/>
                <w:sz w:val="21"/>
                <w:szCs w:val="21"/>
                <w:highlight w:val="none"/>
              </w:rPr>
              <w:t>%</w:t>
            </w:r>
          </w:p>
        </w:tc>
        <w:tc>
          <w:tcPr>
            <w:tcW w:w="949" w:type="pct"/>
            <w:tcMar>
              <w:top w:w="0" w:type="dxa"/>
              <w:left w:w="108" w:type="dxa"/>
              <w:bottom w:w="0" w:type="dxa"/>
              <w:right w:w="108" w:type="dxa"/>
            </w:tcMar>
            <w:vAlign w:val="center"/>
          </w:tcPr>
          <w:p w14:paraId="74561061">
            <w:pPr>
              <w:spacing w:line="240" w:lineRule="auto"/>
              <w:jc w:val="center"/>
              <w:rPr>
                <w:rFonts w:hint="eastAsia" w:ascii="Arial" w:hAnsi="Arial" w:eastAsia="仿宋_GB2312" w:cs="Arial"/>
                <w:sz w:val="21"/>
                <w:szCs w:val="21"/>
                <w:highlight w:val="none"/>
              </w:rPr>
            </w:pPr>
            <w:r>
              <w:rPr>
                <w:rFonts w:ascii="Arial" w:hAnsi="Arial" w:eastAsia="仿宋_GB2312" w:cs="Arial"/>
                <w:sz w:val="21"/>
                <w:szCs w:val="21"/>
                <w:highlight w:val="none"/>
              </w:rPr>
              <w:t>—</w:t>
            </w:r>
          </w:p>
        </w:tc>
        <w:tc>
          <w:tcPr>
            <w:tcW w:w="3003" w:type="pct"/>
            <w:tcMar>
              <w:top w:w="0" w:type="dxa"/>
              <w:left w:w="108" w:type="dxa"/>
              <w:bottom w:w="0" w:type="dxa"/>
              <w:right w:w="108" w:type="dxa"/>
            </w:tcMar>
            <w:vAlign w:val="center"/>
          </w:tcPr>
          <w:p w14:paraId="24BF47C2">
            <w:pPr>
              <w:spacing w:line="240" w:lineRule="auto"/>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对</w:t>
            </w:r>
            <w:r>
              <w:rPr>
                <w:rFonts w:ascii="Arial" w:hAnsi="Arial" w:eastAsia="仿宋_GB2312" w:cs="Arial"/>
                <w:sz w:val="21"/>
                <w:szCs w:val="21"/>
                <w:highlight w:val="none"/>
              </w:rPr>
              <w:t>权重进行充分论证后使用</w:t>
            </w:r>
          </w:p>
        </w:tc>
      </w:tr>
      <w:tr w14:paraId="032E90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7" w:hRule="atLeast"/>
        </w:trPr>
        <w:tc>
          <w:tcPr>
            <w:tcW w:w="1047" w:type="pct"/>
            <w:tcMar>
              <w:top w:w="0" w:type="dxa"/>
              <w:left w:w="108" w:type="dxa"/>
              <w:bottom w:w="0" w:type="dxa"/>
              <w:right w:w="108" w:type="dxa"/>
            </w:tcMar>
            <w:vAlign w:val="center"/>
          </w:tcPr>
          <w:p w14:paraId="3C827545">
            <w:pPr>
              <w:spacing w:line="240" w:lineRule="auto"/>
              <w:jc w:val="center"/>
              <w:rPr>
                <w:rFonts w:hint="eastAsia" w:ascii="Arial" w:hAnsi="Arial" w:eastAsia="仿宋_GB2312" w:cs="Arial"/>
                <w:sz w:val="21"/>
                <w:szCs w:val="21"/>
                <w:highlight w:val="none"/>
              </w:rPr>
            </w:pPr>
            <w:r>
              <w:rPr>
                <w:rFonts w:ascii="Arial" w:hAnsi="Arial" w:eastAsia="仿宋_GB2312" w:cs="Arial"/>
                <w:sz w:val="21"/>
                <w:szCs w:val="21"/>
                <w:highlight w:val="none"/>
              </w:rPr>
              <w:t>备注</w:t>
            </w:r>
          </w:p>
        </w:tc>
        <w:tc>
          <w:tcPr>
            <w:tcW w:w="3952" w:type="pct"/>
            <w:gridSpan w:val="2"/>
            <w:tcMar>
              <w:top w:w="0" w:type="dxa"/>
              <w:left w:w="108" w:type="dxa"/>
              <w:bottom w:w="0" w:type="dxa"/>
              <w:right w:w="108" w:type="dxa"/>
            </w:tcMar>
            <w:vAlign w:val="center"/>
          </w:tcPr>
          <w:p w14:paraId="73D9BCD8">
            <w:pPr>
              <w:spacing w:line="240" w:lineRule="auto"/>
              <w:jc w:val="center"/>
              <w:rPr>
                <w:rFonts w:hint="eastAsia" w:ascii="Arial" w:hAnsi="Arial" w:eastAsia="仿宋_GB2312" w:cs="Arial"/>
                <w:sz w:val="21"/>
                <w:szCs w:val="21"/>
                <w:highlight w:val="none"/>
              </w:rPr>
            </w:pPr>
            <w:r>
              <w:rPr>
                <w:rFonts w:hint="eastAsia" w:ascii="Arial" w:hAnsi="Arial" w:eastAsia="仿宋_GB2312" w:cs="Arial"/>
                <w:sz w:val="21"/>
                <w:szCs w:val="21"/>
                <w:highlight w:val="none"/>
              </w:rPr>
              <w:t>测算</w:t>
            </w:r>
            <w:r>
              <w:rPr>
                <w:rFonts w:ascii="Arial" w:hAnsi="Arial" w:eastAsia="仿宋_GB2312" w:cs="Arial"/>
                <w:sz w:val="21"/>
                <w:szCs w:val="21"/>
                <w:highlight w:val="none"/>
              </w:rPr>
              <w:t>结果差异率=（高值－低值）/低值</w:t>
            </w:r>
          </w:p>
        </w:tc>
      </w:tr>
    </w:tbl>
    <w:p w14:paraId="43F4538F">
      <w:pPr>
        <w:keepNext w:val="0"/>
        <w:keepLines w:val="0"/>
        <w:pageBreakBefore w:val="0"/>
        <w:widowControl w:val="0"/>
        <w:kinsoku/>
        <w:wordWrap/>
        <w:overflowPunct/>
        <w:topLinePunct w:val="0"/>
        <w:autoSpaceDE/>
        <w:autoSpaceDN/>
        <w:bidi w:val="0"/>
        <w:adjustRightInd w:val="0"/>
        <w:snapToGrid/>
        <w:spacing w:before="313" w:beforeLines="100" w:line="300" w:lineRule="auto"/>
        <w:ind w:firstLine="560" w:firstLineChars="200"/>
        <w:jc w:val="both"/>
        <w:textAlignment w:val="baseline"/>
        <w:rPr>
          <w:rFonts w:hint="eastAsia" w:ascii="Arial" w:hAnsi="Arial" w:eastAsia="仿宋_GB2312" w:cs="Arial"/>
          <w:sz w:val="28"/>
          <w:szCs w:val="28"/>
          <w:highlight w:val="none"/>
          <w:lang w:eastAsia="zh-CN"/>
        </w:rPr>
      </w:pPr>
      <w:r>
        <w:rPr>
          <w:rFonts w:hint="eastAsia" w:ascii="Arial" w:hAnsi="Arial" w:eastAsia="仿宋_GB2312" w:cs="Arial"/>
          <w:sz w:val="28"/>
          <w:szCs w:val="28"/>
          <w:highlight w:val="none"/>
        </w:rPr>
        <w:t>根据上述原则，通过测算，本次评估估价对象城镇住宅用地，基准地价系数修正法、剩余法两种评估方法结果差异率为</w:t>
      </w:r>
      <w:r>
        <w:rPr>
          <w:rFonts w:hint="eastAsia" w:ascii="Arial" w:hAnsi="Arial" w:eastAsia="仿宋_GB2312" w:cs="Arial"/>
          <w:sz w:val="28"/>
          <w:szCs w:val="28"/>
          <w:highlight w:val="none"/>
          <w:lang w:val="en-US" w:eastAsia="zh-CN"/>
        </w:rPr>
        <w:t>91</w:t>
      </w:r>
      <w:r>
        <w:rPr>
          <w:rFonts w:hint="eastAsia" w:ascii="Arial" w:hAnsi="Arial" w:eastAsia="仿宋_GB2312" w:cs="Arial"/>
          <w:sz w:val="28"/>
          <w:szCs w:val="28"/>
          <w:highlight w:val="none"/>
        </w:rPr>
        <w:t>%，需对权重进行论证</w:t>
      </w:r>
      <w:r>
        <w:rPr>
          <w:rFonts w:hint="eastAsia" w:ascii="Arial" w:hAnsi="Arial" w:eastAsia="仿宋_GB2312" w:cs="Arial"/>
          <w:sz w:val="28"/>
          <w:szCs w:val="28"/>
          <w:highlight w:val="none"/>
          <w:lang w:eastAsia="zh-CN"/>
        </w:rPr>
        <w:t>；</w:t>
      </w:r>
    </w:p>
    <w:p w14:paraId="482D19BE">
      <w:pPr>
        <w:keepNext w:val="0"/>
        <w:keepLines w:val="0"/>
        <w:pageBreakBefore w:val="0"/>
        <w:widowControl w:val="0"/>
        <w:kinsoku/>
        <w:wordWrap/>
        <w:overflowPunct/>
        <w:topLinePunct w:val="0"/>
        <w:autoSpaceDE/>
        <w:autoSpaceDN/>
        <w:bidi w:val="0"/>
        <w:adjustRightInd w:val="0"/>
        <w:snapToGrid/>
        <w:spacing w:before="313" w:beforeLines="100" w:line="300" w:lineRule="auto"/>
        <w:jc w:val="both"/>
        <w:textAlignment w:val="baseline"/>
        <w:rPr>
          <w:rFonts w:hint="eastAsia" w:ascii="Arial" w:hAnsi="Arial" w:eastAsia="仿宋" w:cs="Arial"/>
          <w:sz w:val="28"/>
          <w:szCs w:val="28"/>
          <w:highlight w:val="none"/>
        </w:rPr>
      </w:pPr>
      <w:r>
        <w:rPr>
          <w:rFonts w:hint="eastAsia" w:ascii="Arial" w:hAnsi="Arial" w:eastAsia="仿宋_GB2312" w:cs="Arial"/>
          <w:sz w:val="28"/>
          <w:szCs w:val="28"/>
          <w:highlight w:val="none"/>
        </w:rPr>
        <w:t>其他商业服务业用地基准地价系数修正法、剩余法两种评估方法结果差异率为</w:t>
      </w:r>
      <w:r>
        <w:rPr>
          <w:rFonts w:hint="eastAsia" w:ascii="Arial" w:hAnsi="Arial" w:eastAsia="仿宋_GB2312" w:cs="Arial"/>
          <w:sz w:val="28"/>
          <w:szCs w:val="28"/>
          <w:highlight w:val="none"/>
          <w:lang w:val="en-US" w:eastAsia="zh-CN"/>
        </w:rPr>
        <w:t>16</w:t>
      </w:r>
      <w:r>
        <w:rPr>
          <w:rFonts w:hint="eastAsia" w:ascii="Arial" w:hAnsi="Arial" w:eastAsia="仿宋_GB2312" w:cs="Arial"/>
          <w:sz w:val="28"/>
          <w:szCs w:val="28"/>
          <w:highlight w:val="none"/>
        </w:rPr>
        <w:t>%，需对权重进行论证</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公共管理与公共服务用地基准地价系数修正法、剩余法两种评估方法结果差异率为</w:t>
      </w:r>
      <w:r>
        <w:rPr>
          <w:rFonts w:hint="eastAsia" w:ascii="Arial" w:hAnsi="Arial" w:eastAsia="仿宋_GB2312" w:cs="Arial"/>
          <w:sz w:val="28"/>
          <w:szCs w:val="28"/>
          <w:highlight w:val="none"/>
          <w:lang w:val="en-US" w:eastAsia="zh-CN"/>
        </w:rPr>
        <w:t>3</w:t>
      </w:r>
      <w:r>
        <w:rPr>
          <w:rFonts w:hint="eastAsia" w:ascii="Arial" w:hAnsi="Arial" w:eastAsia="仿宋_GB2312" w:cs="Arial"/>
          <w:sz w:val="28"/>
          <w:szCs w:val="28"/>
          <w:highlight w:val="none"/>
        </w:rPr>
        <w:t>%，采用简单算术平均法。在确认两种方法的测算结果无误的情况下，</w:t>
      </w:r>
      <w:r>
        <w:rPr>
          <w:rFonts w:hint="eastAsia" w:ascii="Arial" w:hAnsi="Arial" w:eastAsia="仿宋_GB2312" w:cs="Arial"/>
          <w:sz w:val="28"/>
          <w:szCs w:val="28"/>
          <w:highlight w:val="none"/>
          <w:lang w:val="en-US" w:eastAsia="zh-CN"/>
        </w:rPr>
        <w:t>各用途</w:t>
      </w:r>
      <w:r>
        <w:rPr>
          <w:rFonts w:hint="eastAsia" w:ascii="Arial" w:hAnsi="Arial" w:eastAsia="仿宋_GB2312" w:cs="Arial"/>
          <w:sz w:val="28"/>
          <w:szCs w:val="28"/>
          <w:highlight w:val="none"/>
        </w:rPr>
        <w:t>方法权重确定过程具体如下</w:t>
      </w:r>
      <w:r>
        <w:rPr>
          <w:rFonts w:hint="eastAsia" w:ascii="Arial" w:hAnsi="Arial" w:eastAsia="仿宋_GB2312" w:cs="Arial"/>
          <w:sz w:val="28"/>
          <w:szCs w:val="28"/>
          <w:highlight w:val="none"/>
          <w:lang w:eastAsia="zh-CN"/>
        </w:rPr>
        <w:t>：</w:t>
      </w:r>
    </w:p>
    <w:p w14:paraId="7C6F8305">
      <w:pPr>
        <w:spacing w:line="300" w:lineRule="auto"/>
        <w:ind w:left="260" w:leftChars="50" w:hanging="140" w:hangingChars="50"/>
        <w:jc w:val="center"/>
        <w:rPr>
          <w:rFonts w:ascii="Arial" w:hAnsi="Arial" w:eastAsia="仿宋_GB2312" w:cs="Arial"/>
          <w:sz w:val="28"/>
          <w:szCs w:val="28"/>
          <w:highlight w:val="none"/>
        </w:rPr>
      </w:pPr>
      <w:r>
        <w:rPr>
          <w:rFonts w:hint="eastAsia" w:ascii="Arial" w:hAnsi="Arial" w:eastAsia="仿宋" w:cs="Arial"/>
          <w:sz w:val="28"/>
          <w:szCs w:val="28"/>
          <w:highlight w:val="none"/>
        </w:rPr>
        <w:t>城镇住宅用地</w:t>
      </w:r>
      <w:r>
        <w:rPr>
          <w:rFonts w:hint="eastAsia" w:ascii="Arial" w:hAnsi="Arial" w:eastAsia="仿宋" w:cs="Arial"/>
          <w:sz w:val="28"/>
          <w:szCs w:val="28"/>
          <w:highlight w:val="none"/>
          <w:lang w:eastAsia="zh-CN"/>
        </w:rPr>
        <w:t>、</w:t>
      </w:r>
      <w:r>
        <w:rPr>
          <w:rFonts w:hint="eastAsia" w:ascii="Arial" w:hAnsi="Arial" w:eastAsia="仿宋_GB2312" w:cs="Arial"/>
          <w:sz w:val="28"/>
          <w:szCs w:val="28"/>
          <w:highlight w:val="none"/>
        </w:rPr>
        <w:t>其他商业服务业用地</w:t>
      </w:r>
      <w:r>
        <w:rPr>
          <w:rFonts w:ascii="Arial" w:hAnsi="Arial" w:eastAsia="仿宋_GB2312" w:cs="Arial"/>
          <w:sz w:val="28"/>
          <w:szCs w:val="28"/>
          <w:highlight w:val="none"/>
        </w:rPr>
        <w:t>用途权重确定打分评价体系</w:t>
      </w:r>
    </w:p>
    <w:tbl>
      <w:tblPr>
        <w:tblStyle w:val="34"/>
        <w:tblW w:w="907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990"/>
        <w:gridCol w:w="708"/>
        <w:gridCol w:w="5529"/>
        <w:gridCol w:w="992"/>
        <w:gridCol w:w="853"/>
      </w:tblGrid>
      <w:tr w14:paraId="49E9F50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blHeader/>
          <w:jc w:val="center"/>
        </w:trPr>
        <w:tc>
          <w:tcPr>
            <w:tcW w:w="990" w:type="dxa"/>
            <w:vMerge w:val="restart"/>
            <w:shd w:val="clear" w:color="auto" w:fill="auto"/>
            <w:noWrap/>
            <w:vAlign w:val="center"/>
          </w:tcPr>
          <w:p w14:paraId="5697B728">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评价因素</w:t>
            </w:r>
          </w:p>
        </w:tc>
        <w:tc>
          <w:tcPr>
            <w:tcW w:w="708" w:type="dxa"/>
            <w:vMerge w:val="restart"/>
            <w:shd w:val="clear" w:color="auto" w:fill="auto"/>
            <w:noWrap/>
            <w:vAlign w:val="center"/>
          </w:tcPr>
          <w:p w14:paraId="656D5687">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标准分值</w:t>
            </w:r>
          </w:p>
        </w:tc>
        <w:tc>
          <w:tcPr>
            <w:tcW w:w="5529" w:type="dxa"/>
            <w:vMerge w:val="restart"/>
            <w:shd w:val="clear" w:color="auto" w:fill="auto"/>
            <w:noWrap/>
            <w:vAlign w:val="center"/>
          </w:tcPr>
          <w:p w14:paraId="3A229F04">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打分考虑因素</w:t>
            </w:r>
          </w:p>
        </w:tc>
        <w:tc>
          <w:tcPr>
            <w:tcW w:w="1845" w:type="dxa"/>
            <w:gridSpan w:val="2"/>
            <w:shd w:val="clear" w:color="auto" w:fill="auto"/>
            <w:noWrap/>
            <w:vAlign w:val="center"/>
          </w:tcPr>
          <w:p w14:paraId="677D4A93">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估价对象</w:t>
            </w:r>
          </w:p>
        </w:tc>
      </w:tr>
      <w:tr w14:paraId="7CE8939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03" w:hRule="atLeast"/>
          <w:tblHeader/>
          <w:jc w:val="center"/>
        </w:trPr>
        <w:tc>
          <w:tcPr>
            <w:tcW w:w="990" w:type="dxa"/>
            <w:vMerge w:val="continue"/>
            <w:vAlign w:val="center"/>
          </w:tcPr>
          <w:p w14:paraId="63EA3E2B">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365A3786">
            <w:pPr>
              <w:widowControl/>
              <w:adjustRightInd/>
              <w:spacing w:line="240" w:lineRule="atLeast"/>
              <w:textAlignment w:val="auto"/>
              <w:rPr>
                <w:rFonts w:ascii="Arial" w:hAnsi="Arial" w:eastAsia="仿宋_GB2312" w:cs="Arial"/>
                <w:szCs w:val="24"/>
                <w:highlight w:val="none"/>
              </w:rPr>
            </w:pPr>
          </w:p>
        </w:tc>
        <w:tc>
          <w:tcPr>
            <w:tcW w:w="5529" w:type="dxa"/>
            <w:vMerge w:val="continue"/>
            <w:vAlign w:val="center"/>
          </w:tcPr>
          <w:p w14:paraId="0B48DB05">
            <w:pPr>
              <w:widowControl/>
              <w:adjustRightInd/>
              <w:spacing w:line="240" w:lineRule="atLeast"/>
              <w:textAlignment w:val="auto"/>
              <w:rPr>
                <w:rFonts w:ascii="Arial" w:hAnsi="Arial" w:eastAsia="仿宋_GB2312" w:cs="Arial"/>
                <w:szCs w:val="24"/>
                <w:highlight w:val="none"/>
              </w:rPr>
            </w:pPr>
          </w:p>
        </w:tc>
        <w:tc>
          <w:tcPr>
            <w:tcW w:w="992" w:type="dxa"/>
            <w:shd w:val="clear" w:color="auto" w:fill="auto"/>
            <w:noWrap/>
            <w:vAlign w:val="center"/>
          </w:tcPr>
          <w:p w14:paraId="61272379">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853" w:type="dxa"/>
            <w:shd w:val="clear" w:color="auto" w:fill="auto"/>
            <w:noWrap/>
            <w:vAlign w:val="center"/>
          </w:tcPr>
          <w:p w14:paraId="22A3D08E">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剩余法</w:t>
            </w:r>
          </w:p>
        </w:tc>
      </w:tr>
      <w:tr w14:paraId="464A2B6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25F899C2">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估价方法的代表性</w:t>
            </w:r>
          </w:p>
        </w:tc>
        <w:tc>
          <w:tcPr>
            <w:tcW w:w="708" w:type="dxa"/>
            <w:vMerge w:val="restart"/>
            <w:shd w:val="clear" w:color="auto" w:fill="auto"/>
            <w:noWrap/>
            <w:vAlign w:val="center"/>
          </w:tcPr>
          <w:p w14:paraId="300ED4CD">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25</w:t>
            </w:r>
          </w:p>
        </w:tc>
        <w:tc>
          <w:tcPr>
            <w:tcW w:w="5529" w:type="dxa"/>
            <w:shd w:val="clear" w:color="auto" w:fill="auto"/>
            <w:noWrap/>
            <w:vAlign w:val="center"/>
          </w:tcPr>
          <w:p w14:paraId="5177581C">
            <w:pPr>
              <w:spacing w:line="240" w:lineRule="atLeast"/>
              <w:rPr>
                <w:rFonts w:ascii="Arial" w:hAnsi="Arial" w:eastAsia="仿宋_GB2312" w:cs="Arial"/>
                <w:szCs w:val="24"/>
                <w:highlight w:val="none"/>
              </w:rPr>
            </w:pPr>
            <w:r>
              <w:rPr>
                <w:rFonts w:ascii="Arial" w:hAnsi="Arial" w:eastAsia="仿宋_GB2312" w:cs="Arial"/>
                <w:szCs w:val="24"/>
                <w:highlight w:val="none"/>
              </w:rPr>
              <w:t>1.估价方法选取分析充分、合理，取20～25分；</w:t>
            </w:r>
          </w:p>
        </w:tc>
        <w:tc>
          <w:tcPr>
            <w:tcW w:w="992" w:type="dxa"/>
            <w:vMerge w:val="restart"/>
            <w:shd w:val="clear" w:color="auto" w:fill="auto"/>
            <w:noWrap/>
            <w:vAlign w:val="center"/>
          </w:tcPr>
          <w:p w14:paraId="0FD390CF">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11</w:t>
            </w:r>
          </w:p>
        </w:tc>
        <w:tc>
          <w:tcPr>
            <w:tcW w:w="853" w:type="dxa"/>
            <w:vMerge w:val="restart"/>
            <w:shd w:val="clear" w:color="auto" w:fill="auto"/>
            <w:noWrap/>
            <w:vAlign w:val="center"/>
          </w:tcPr>
          <w:p w14:paraId="2D83ACD7">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20</w:t>
            </w:r>
          </w:p>
        </w:tc>
      </w:tr>
      <w:tr w14:paraId="6C5903B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2BE36677">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1C451CAF">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1C4F6F1D">
            <w:pPr>
              <w:spacing w:line="240" w:lineRule="atLeast"/>
              <w:rPr>
                <w:rFonts w:ascii="Arial" w:hAnsi="Arial" w:eastAsia="仿宋_GB2312" w:cs="Arial"/>
                <w:szCs w:val="24"/>
                <w:highlight w:val="none"/>
              </w:rPr>
            </w:pPr>
            <w:r>
              <w:rPr>
                <w:rFonts w:ascii="Arial" w:hAnsi="Arial" w:eastAsia="仿宋_GB2312" w:cs="Arial"/>
                <w:szCs w:val="24"/>
                <w:highlight w:val="none"/>
              </w:rPr>
              <w:t>2.估价方法选取分析较充分、合理，取10～19分；</w:t>
            </w:r>
          </w:p>
        </w:tc>
        <w:tc>
          <w:tcPr>
            <w:tcW w:w="992" w:type="dxa"/>
            <w:vMerge w:val="continue"/>
            <w:vAlign w:val="center"/>
          </w:tcPr>
          <w:p w14:paraId="49C3E440">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106E602B">
            <w:pPr>
              <w:widowControl/>
              <w:adjustRightInd/>
              <w:spacing w:line="240" w:lineRule="atLeast"/>
              <w:textAlignment w:val="auto"/>
              <w:rPr>
                <w:rFonts w:ascii="Arial" w:hAnsi="Arial" w:eastAsia="仿宋_GB2312" w:cs="Arial"/>
                <w:szCs w:val="24"/>
                <w:highlight w:val="none"/>
              </w:rPr>
            </w:pPr>
          </w:p>
        </w:tc>
      </w:tr>
      <w:tr w14:paraId="2530634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258CEB30">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3FC2FB93">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69CB4BE5">
            <w:pPr>
              <w:spacing w:line="240" w:lineRule="atLeast"/>
              <w:rPr>
                <w:rFonts w:ascii="Arial" w:hAnsi="Arial" w:eastAsia="仿宋_GB2312" w:cs="Arial"/>
                <w:szCs w:val="24"/>
                <w:highlight w:val="none"/>
              </w:rPr>
            </w:pPr>
            <w:r>
              <w:rPr>
                <w:rFonts w:ascii="Arial" w:hAnsi="Arial" w:eastAsia="仿宋_GB2312" w:cs="Arial"/>
                <w:szCs w:val="24"/>
                <w:highlight w:val="none"/>
              </w:rPr>
              <w:t>3.估价方法选取分析较不充分，取0～9分；</w:t>
            </w:r>
          </w:p>
        </w:tc>
        <w:tc>
          <w:tcPr>
            <w:tcW w:w="992" w:type="dxa"/>
            <w:vMerge w:val="continue"/>
            <w:vAlign w:val="center"/>
          </w:tcPr>
          <w:p w14:paraId="777657E4">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6D773CBF">
            <w:pPr>
              <w:widowControl/>
              <w:adjustRightInd/>
              <w:spacing w:line="240" w:lineRule="atLeast"/>
              <w:textAlignment w:val="auto"/>
              <w:rPr>
                <w:rFonts w:ascii="Arial" w:hAnsi="Arial" w:eastAsia="仿宋_GB2312" w:cs="Arial"/>
                <w:szCs w:val="24"/>
                <w:highlight w:val="none"/>
              </w:rPr>
            </w:pPr>
          </w:p>
        </w:tc>
      </w:tr>
      <w:tr w14:paraId="092E6D4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0D750F88">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估价方法所要求的估价资料的完整性</w:t>
            </w:r>
          </w:p>
        </w:tc>
        <w:tc>
          <w:tcPr>
            <w:tcW w:w="708" w:type="dxa"/>
            <w:vMerge w:val="restart"/>
            <w:shd w:val="clear" w:color="auto" w:fill="auto"/>
            <w:vAlign w:val="center"/>
          </w:tcPr>
          <w:p w14:paraId="5090D982">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c>
          <w:tcPr>
            <w:tcW w:w="5529" w:type="dxa"/>
            <w:shd w:val="clear" w:color="auto" w:fill="auto"/>
            <w:noWrap/>
            <w:vAlign w:val="center"/>
          </w:tcPr>
          <w:p w14:paraId="7C3F62FD">
            <w:pPr>
              <w:spacing w:line="240" w:lineRule="atLeast"/>
              <w:rPr>
                <w:rFonts w:ascii="Arial" w:hAnsi="Arial" w:eastAsia="仿宋_GB2312" w:cs="Arial"/>
                <w:szCs w:val="24"/>
                <w:highlight w:val="none"/>
              </w:rPr>
            </w:pPr>
            <w:r>
              <w:rPr>
                <w:rFonts w:ascii="Arial" w:hAnsi="Arial" w:eastAsia="仿宋_GB2312" w:cs="Arial"/>
                <w:szCs w:val="24"/>
                <w:highlight w:val="none"/>
              </w:rPr>
              <w:t>1.估价资料完整，来源依据充分，取10～15分；</w:t>
            </w:r>
          </w:p>
        </w:tc>
        <w:tc>
          <w:tcPr>
            <w:tcW w:w="992" w:type="dxa"/>
            <w:vMerge w:val="restart"/>
            <w:shd w:val="clear" w:color="auto" w:fill="auto"/>
            <w:noWrap/>
            <w:vAlign w:val="center"/>
          </w:tcPr>
          <w:p w14:paraId="389D0CE7">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7</w:t>
            </w:r>
          </w:p>
        </w:tc>
        <w:tc>
          <w:tcPr>
            <w:tcW w:w="853" w:type="dxa"/>
            <w:vMerge w:val="restart"/>
            <w:shd w:val="clear" w:color="auto" w:fill="auto"/>
            <w:noWrap/>
            <w:vAlign w:val="center"/>
          </w:tcPr>
          <w:p w14:paraId="11BF7701">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r>
      <w:tr w14:paraId="24FF09A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558C07D6">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207D5410">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6BD4835A">
            <w:pPr>
              <w:spacing w:line="240" w:lineRule="atLeast"/>
              <w:rPr>
                <w:rFonts w:ascii="Arial" w:hAnsi="Arial" w:eastAsia="仿宋_GB2312" w:cs="Arial"/>
                <w:szCs w:val="24"/>
                <w:highlight w:val="none"/>
              </w:rPr>
            </w:pPr>
            <w:r>
              <w:rPr>
                <w:rFonts w:ascii="Arial" w:hAnsi="Arial" w:eastAsia="仿宋_GB2312" w:cs="Arial"/>
                <w:szCs w:val="24"/>
                <w:highlight w:val="none"/>
              </w:rPr>
              <w:t>2.估价资料有欠缺，来源依据较不充分，取0～9分；</w:t>
            </w:r>
          </w:p>
        </w:tc>
        <w:tc>
          <w:tcPr>
            <w:tcW w:w="992" w:type="dxa"/>
            <w:vMerge w:val="continue"/>
            <w:vAlign w:val="center"/>
          </w:tcPr>
          <w:p w14:paraId="6E48AF88">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17C51AAA">
            <w:pPr>
              <w:widowControl/>
              <w:adjustRightInd/>
              <w:spacing w:line="240" w:lineRule="atLeast"/>
              <w:textAlignment w:val="auto"/>
              <w:rPr>
                <w:rFonts w:ascii="Arial" w:hAnsi="Arial" w:eastAsia="仿宋_GB2312" w:cs="Arial"/>
                <w:szCs w:val="24"/>
                <w:highlight w:val="none"/>
              </w:rPr>
            </w:pPr>
          </w:p>
        </w:tc>
      </w:tr>
      <w:tr w14:paraId="21C69AE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2AE18D9E">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参数选取的客观性</w:t>
            </w:r>
          </w:p>
        </w:tc>
        <w:tc>
          <w:tcPr>
            <w:tcW w:w="708" w:type="dxa"/>
            <w:vMerge w:val="restart"/>
            <w:shd w:val="clear" w:color="auto" w:fill="auto"/>
            <w:vAlign w:val="center"/>
          </w:tcPr>
          <w:p w14:paraId="215F2AC2">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c>
          <w:tcPr>
            <w:tcW w:w="5529" w:type="dxa"/>
            <w:shd w:val="clear" w:color="auto" w:fill="auto"/>
            <w:noWrap/>
            <w:vAlign w:val="center"/>
          </w:tcPr>
          <w:p w14:paraId="35F49FF0">
            <w:pPr>
              <w:spacing w:line="240" w:lineRule="atLeast"/>
              <w:rPr>
                <w:rFonts w:ascii="Arial" w:hAnsi="Arial" w:eastAsia="仿宋_GB2312" w:cs="Arial"/>
                <w:szCs w:val="24"/>
                <w:highlight w:val="none"/>
              </w:rPr>
            </w:pPr>
            <w:r>
              <w:rPr>
                <w:rFonts w:ascii="Arial" w:hAnsi="Arial" w:eastAsia="仿宋_GB2312" w:cs="Arial"/>
                <w:szCs w:val="24"/>
                <w:highlight w:val="none"/>
              </w:rPr>
              <w:t>1.参数从市场上获取，或从权威机构发布的信息上获取，取10～15分；</w:t>
            </w:r>
          </w:p>
        </w:tc>
        <w:tc>
          <w:tcPr>
            <w:tcW w:w="992" w:type="dxa"/>
            <w:vMerge w:val="restart"/>
            <w:shd w:val="clear" w:color="auto" w:fill="auto"/>
            <w:noWrap/>
            <w:vAlign w:val="center"/>
          </w:tcPr>
          <w:p w14:paraId="240293D7">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8</w:t>
            </w:r>
          </w:p>
        </w:tc>
        <w:tc>
          <w:tcPr>
            <w:tcW w:w="853" w:type="dxa"/>
            <w:vMerge w:val="restart"/>
            <w:shd w:val="clear" w:color="auto" w:fill="auto"/>
            <w:noWrap/>
            <w:vAlign w:val="center"/>
          </w:tcPr>
          <w:p w14:paraId="18EDA92C">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r>
      <w:tr w14:paraId="69A03C8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45B1762">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6B44C9BC">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484D1994">
            <w:pPr>
              <w:spacing w:line="240" w:lineRule="atLeast"/>
              <w:rPr>
                <w:rFonts w:ascii="Arial" w:hAnsi="Arial" w:eastAsia="仿宋_GB2312" w:cs="Arial"/>
                <w:szCs w:val="24"/>
                <w:highlight w:val="none"/>
              </w:rPr>
            </w:pPr>
            <w:r>
              <w:rPr>
                <w:rFonts w:ascii="Arial" w:hAnsi="Arial" w:eastAsia="仿宋_GB2312" w:cs="Arial"/>
                <w:szCs w:val="24"/>
                <w:highlight w:val="none"/>
              </w:rPr>
              <w:t>2.部分参数为自行分析取得，理由较充分，取0～9分；</w:t>
            </w:r>
          </w:p>
        </w:tc>
        <w:tc>
          <w:tcPr>
            <w:tcW w:w="992" w:type="dxa"/>
            <w:vMerge w:val="continue"/>
            <w:vAlign w:val="center"/>
          </w:tcPr>
          <w:p w14:paraId="242A6E30">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46D845CF">
            <w:pPr>
              <w:widowControl/>
              <w:adjustRightInd/>
              <w:spacing w:line="240" w:lineRule="atLeast"/>
              <w:textAlignment w:val="auto"/>
              <w:rPr>
                <w:rFonts w:ascii="Arial" w:hAnsi="Arial" w:eastAsia="仿宋_GB2312" w:cs="Arial"/>
                <w:szCs w:val="24"/>
                <w:highlight w:val="none"/>
              </w:rPr>
            </w:pPr>
          </w:p>
        </w:tc>
      </w:tr>
      <w:tr w14:paraId="1EB53707">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44216AAA">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参数确定的时效性</w:t>
            </w:r>
          </w:p>
        </w:tc>
        <w:tc>
          <w:tcPr>
            <w:tcW w:w="708" w:type="dxa"/>
            <w:vMerge w:val="restart"/>
            <w:shd w:val="clear" w:color="auto" w:fill="auto"/>
            <w:vAlign w:val="center"/>
          </w:tcPr>
          <w:p w14:paraId="48913E85">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c>
          <w:tcPr>
            <w:tcW w:w="5529" w:type="dxa"/>
            <w:shd w:val="clear" w:color="auto" w:fill="auto"/>
            <w:noWrap/>
            <w:vAlign w:val="center"/>
          </w:tcPr>
          <w:p w14:paraId="7E5BBAFB">
            <w:pPr>
              <w:spacing w:line="240" w:lineRule="atLeast"/>
              <w:rPr>
                <w:rFonts w:ascii="Arial" w:hAnsi="Arial" w:eastAsia="仿宋_GB2312" w:cs="Arial"/>
                <w:szCs w:val="24"/>
                <w:highlight w:val="none"/>
              </w:rPr>
            </w:pPr>
            <w:r>
              <w:rPr>
                <w:rFonts w:ascii="Arial" w:hAnsi="Arial" w:eastAsia="仿宋_GB2312" w:cs="Arial"/>
                <w:szCs w:val="24"/>
                <w:highlight w:val="none"/>
              </w:rPr>
              <w:t>1.参数在规定的时效范围内，且距估价期日未超过1年，取10～15分；</w:t>
            </w:r>
          </w:p>
        </w:tc>
        <w:tc>
          <w:tcPr>
            <w:tcW w:w="992" w:type="dxa"/>
            <w:vMerge w:val="restart"/>
            <w:shd w:val="clear" w:color="auto" w:fill="auto"/>
            <w:noWrap/>
            <w:vAlign w:val="center"/>
          </w:tcPr>
          <w:p w14:paraId="45AB3236">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8</w:t>
            </w:r>
          </w:p>
        </w:tc>
        <w:tc>
          <w:tcPr>
            <w:tcW w:w="853" w:type="dxa"/>
            <w:vMerge w:val="restart"/>
            <w:shd w:val="clear" w:color="auto" w:fill="auto"/>
            <w:noWrap/>
            <w:vAlign w:val="center"/>
          </w:tcPr>
          <w:p w14:paraId="70014049">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15</w:t>
            </w:r>
          </w:p>
        </w:tc>
      </w:tr>
      <w:tr w14:paraId="52300642">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2DFDEB73">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4C365619">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39D87449">
            <w:pPr>
              <w:spacing w:line="240" w:lineRule="atLeast"/>
              <w:rPr>
                <w:rFonts w:ascii="Arial" w:hAnsi="Arial" w:eastAsia="仿宋_GB2312" w:cs="Arial"/>
                <w:szCs w:val="24"/>
                <w:highlight w:val="none"/>
              </w:rPr>
            </w:pPr>
            <w:r>
              <w:rPr>
                <w:rFonts w:ascii="Arial" w:hAnsi="Arial" w:eastAsia="仿宋_GB2312" w:cs="Arial"/>
                <w:szCs w:val="24"/>
                <w:highlight w:val="none"/>
              </w:rPr>
              <w:t>2.参数在规定的时效范围内，但距估价期日超过1年，取0～9分；</w:t>
            </w:r>
          </w:p>
        </w:tc>
        <w:tc>
          <w:tcPr>
            <w:tcW w:w="992" w:type="dxa"/>
            <w:vMerge w:val="continue"/>
            <w:vAlign w:val="center"/>
          </w:tcPr>
          <w:p w14:paraId="58CDF77D">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010434DF">
            <w:pPr>
              <w:widowControl/>
              <w:adjustRightInd/>
              <w:spacing w:line="240" w:lineRule="atLeast"/>
              <w:textAlignment w:val="auto"/>
              <w:rPr>
                <w:rFonts w:ascii="Arial" w:hAnsi="Arial" w:eastAsia="仿宋_GB2312" w:cs="Arial"/>
                <w:szCs w:val="24"/>
                <w:highlight w:val="none"/>
              </w:rPr>
            </w:pPr>
          </w:p>
        </w:tc>
      </w:tr>
      <w:tr w14:paraId="57A91444">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restart"/>
            <w:shd w:val="clear" w:color="auto" w:fill="auto"/>
            <w:vAlign w:val="center"/>
          </w:tcPr>
          <w:p w14:paraId="296FAC55">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估价结果的现势性</w:t>
            </w:r>
          </w:p>
        </w:tc>
        <w:tc>
          <w:tcPr>
            <w:tcW w:w="708" w:type="dxa"/>
            <w:vMerge w:val="restart"/>
            <w:shd w:val="clear" w:color="auto" w:fill="auto"/>
            <w:noWrap/>
            <w:vAlign w:val="center"/>
          </w:tcPr>
          <w:p w14:paraId="0E580E44">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30</w:t>
            </w:r>
          </w:p>
        </w:tc>
        <w:tc>
          <w:tcPr>
            <w:tcW w:w="5529" w:type="dxa"/>
            <w:shd w:val="clear" w:color="auto" w:fill="auto"/>
            <w:noWrap/>
            <w:vAlign w:val="center"/>
          </w:tcPr>
          <w:p w14:paraId="57DA364C">
            <w:pPr>
              <w:spacing w:line="240" w:lineRule="atLeast"/>
              <w:rPr>
                <w:rFonts w:ascii="Arial" w:hAnsi="Arial" w:eastAsia="仿宋_GB2312" w:cs="Arial"/>
                <w:szCs w:val="24"/>
                <w:highlight w:val="none"/>
              </w:rPr>
            </w:pPr>
            <w:r>
              <w:rPr>
                <w:rFonts w:ascii="Arial" w:hAnsi="Arial" w:eastAsia="仿宋_GB2312" w:cs="Arial"/>
                <w:szCs w:val="24"/>
                <w:highlight w:val="none"/>
              </w:rPr>
              <w:t>1.估价结果与同类用途房地产市场价格水平一致，且考虑了房地产市场发展趋势，取20～30分；</w:t>
            </w:r>
          </w:p>
        </w:tc>
        <w:tc>
          <w:tcPr>
            <w:tcW w:w="992" w:type="dxa"/>
            <w:vMerge w:val="restart"/>
            <w:shd w:val="clear" w:color="auto" w:fill="auto"/>
            <w:noWrap/>
            <w:vAlign w:val="center"/>
          </w:tcPr>
          <w:p w14:paraId="513EF342">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5</w:t>
            </w:r>
          </w:p>
        </w:tc>
        <w:tc>
          <w:tcPr>
            <w:tcW w:w="853" w:type="dxa"/>
            <w:vMerge w:val="restart"/>
            <w:shd w:val="clear" w:color="auto" w:fill="auto"/>
            <w:noWrap/>
            <w:vAlign w:val="center"/>
          </w:tcPr>
          <w:p w14:paraId="05DC93C8">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2</w:t>
            </w:r>
            <w:r>
              <w:rPr>
                <w:rFonts w:hint="eastAsia" w:ascii="Arial" w:hAnsi="Arial" w:eastAsia="仿宋_GB2312" w:cs="Arial"/>
                <w:szCs w:val="24"/>
                <w:highlight w:val="none"/>
              </w:rPr>
              <w:t>6</w:t>
            </w:r>
          </w:p>
        </w:tc>
      </w:tr>
      <w:tr w14:paraId="392418D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6E788153">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14607B97">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63EC7344">
            <w:pPr>
              <w:spacing w:line="240" w:lineRule="atLeast"/>
              <w:rPr>
                <w:rFonts w:ascii="Arial" w:hAnsi="Arial" w:eastAsia="仿宋_GB2312" w:cs="Arial"/>
                <w:szCs w:val="24"/>
                <w:highlight w:val="none"/>
              </w:rPr>
            </w:pPr>
            <w:r>
              <w:rPr>
                <w:rFonts w:ascii="Arial" w:hAnsi="Arial" w:eastAsia="仿宋_GB2312" w:cs="Arial"/>
                <w:szCs w:val="24"/>
                <w:highlight w:val="none"/>
              </w:rPr>
              <w:t>2.估价结果与同类用途房地产价格水平基本一致，且适当考虑了房地产市场发展趋势，取10～19分；</w:t>
            </w:r>
          </w:p>
        </w:tc>
        <w:tc>
          <w:tcPr>
            <w:tcW w:w="992" w:type="dxa"/>
            <w:vMerge w:val="continue"/>
            <w:vAlign w:val="center"/>
          </w:tcPr>
          <w:p w14:paraId="5A4D1948">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008EF009">
            <w:pPr>
              <w:widowControl/>
              <w:adjustRightInd/>
              <w:spacing w:line="240" w:lineRule="atLeast"/>
              <w:textAlignment w:val="auto"/>
              <w:rPr>
                <w:rFonts w:ascii="Arial" w:hAnsi="Arial" w:eastAsia="仿宋_GB2312" w:cs="Arial"/>
                <w:szCs w:val="24"/>
                <w:highlight w:val="none"/>
              </w:rPr>
            </w:pPr>
          </w:p>
        </w:tc>
      </w:tr>
      <w:tr w14:paraId="7B37EE9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990" w:type="dxa"/>
            <w:vMerge w:val="continue"/>
            <w:vAlign w:val="center"/>
          </w:tcPr>
          <w:p w14:paraId="0100D367">
            <w:pPr>
              <w:widowControl/>
              <w:adjustRightInd/>
              <w:spacing w:line="240" w:lineRule="atLeast"/>
              <w:textAlignment w:val="auto"/>
              <w:rPr>
                <w:rFonts w:ascii="Arial" w:hAnsi="Arial" w:eastAsia="仿宋_GB2312" w:cs="Arial"/>
                <w:szCs w:val="24"/>
                <w:highlight w:val="none"/>
              </w:rPr>
            </w:pPr>
          </w:p>
        </w:tc>
        <w:tc>
          <w:tcPr>
            <w:tcW w:w="708" w:type="dxa"/>
            <w:vMerge w:val="continue"/>
            <w:vAlign w:val="center"/>
          </w:tcPr>
          <w:p w14:paraId="4EE5567B">
            <w:pPr>
              <w:widowControl/>
              <w:adjustRightInd/>
              <w:spacing w:line="240" w:lineRule="atLeast"/>
              <w:textAlignment w:val="auto"/>
              <w:rPr>
                <w:rFonts w:ascii="Arial" w:hAnsi="Arial" w:eastAsia="仿宋_GB2312" w:cs="Arial"/>
                <w:szCs w:val="24"/>
                <w:highlight w:val="none"/>
              </w:rPr>
            </w:pPr>
          </w:p>
        </w:tc>
        <w:tc>
          <w:tcPr>
            <w:tcW w:w="5529" w:type="dxa"/>
            <w:shd w:val="clear" w:color="auto" w:fill="auto"/>
            <w:noWrap/>
            <w:vAlign w:val="center"/>
          </w:tcPr>
          <w:p w14:paraId="46DFD768">
            <w:pPr>
              <w:spacing w:line="240" w:lineRule="atLeast"/>
              <w:rPr>
                <w:rFonts w:ascii="Arial" w:hAnsi="Arial" w:eastAsia="仿宋_GB2312" w:cs="Arial"/>
                <w:szCs w:val="24"/>
                <w:highlight w:val="none"/>
              </w:rPr>
            </w:pPr>
            <w:r>
              <w:rPr>
                <w:rFonts w:ascii="Arial" w:hAnsi="Arial" w:eastAsia="仿宋_GB2312" w:cs="Arial"/>
                <w:szCs w:val="24"/>
                <w:highlight w:val="none"/>
              </w:rPr>
              <w:t>3.估价结果与同类用途房地产价格水平有一定差距，且适当考虑房地产市场发展趋势，取0～9分；</w:t>
            </w:r>
          </w:p>
        </w:tc>
        <w:tc>
          <w:tcPr>
            <w:tcW w:w="992" w:type="dxa"/>
            <w:vMerge w:val="continue"/>
            <w:vAlign w:val="center"/>
          </w:tcPr>
          <w:p w14:paraId="5FEEFE83">
            <w:pPr>
              <w:widowControl/>
              <w:adjustRightInd/>
              <w:spacing w:line="240" w:lineRule="atLeast"/>
              <w:textAlignment w:val="auto"/>
              <w:rPr>
                <w:rFonts w:ascii="Arial" w:hAnsi="Arial" w:eastAsia="仿宋_GB2312" w:cs="Arial"/>
                <w:szCs w:val="24"/>
                <w:highlight w:val="none"/>
              </w:rPr>
            </w:pPr>
          </w:p>
        </w:tc>
        <w:tc>
          <w:tcPr>
            <w:tcW w:w="853" w:type="dxa"/>
            <w:vMerge w:val="continue"/>
            <w:vAlign w:val="center"/>
          </w:tcPr>
          <w:p w14:paraId="7C62EEA7">
            <w:pPr>
              <w:widowControl/>
              <w:adjustRightInd/>
              <w:spacing w:line="240" w:lineRule="atLeast"/>
              <w:textAlignment w:val="auto"/>
              <w:rPr>
                <w:rFonts w:ascii="Arial" w:hAnsi="Arial" w:eastAsia="仿宋_GB2312" w:cs="Arial"/>
                <w:szCs w:val="24"/>
                <w:highlight w:val="none"/>
              </w:rPr>
            </w:pPr>
          </w:p>
        </w:tc>
      </w:tr>
      <w:tr w14:paraId="662B9C4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36B12BF0">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分值</w:t>
            </w:r>
          </w:p>
        </w:tc>
        <w:tc>
          <w:tcPr>
            <w:tcW w:w="992" w:type="dxa"/>
            <w:shd w:val="clear" w:color="auto" w:fill="auto"/>
            <w:noWrap/>
            <w:vAlign w:val="center"/>
          </w:tcPr>
          <w:p w14:paraId="6E0111B7">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39</w:t>
            </w:r>
          </w:p>
        </w:tc>
        <w:tc>
          <w:tcPr>
            <w:tcW w:w="853" w:type="dxa"/>
            <w:shd w:val="clear" w:color="auto" w:fill="auto"/>
            <w:noWrap/>
            <w:vAlign w:val="center"/>
          </w:tcPr>
          <w:p w14:paraId="5AB39F36">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9</w:t>
            </w:r>
            <w:r>
              <w:rPr>
                <w:rFonts w:hint="eastAsia" w:ascii="Arial" w:hAnsi="Arial" w:eastAsia="仿宋_GB2312" w:cs="Arial"/>
                <w:szCs w:val="24"/>
                <w:highlight w:val="none"/>
              </w:rPr>
              <w:t>1</w:t>
            </w:r>
          </w:p>
        </w:tc>
      </w:tr>
      <w:tr w14:paraId="4B64989C">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jc w:val="center"/>
        </w:trPr>
        <w:tc>
          <w:tcPr>
            <w:tcW w:w="7227" w:type="dxa"/>
            <w:gridSpan w:val="3"/>
            <w:shd w:val="clear" w:color="auto" w:fill="auto"/>
            <w:noWrap/>
            <w:vAlign w:val="center"/>
          </w:tcPr>
          <w:p w14:paraId="726DC543">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权重</w:t>
            </w:r>
          </w:p>
        </w:tc>
        <w:tc>
          <w:tcPr>
            <w:tcW w:w="992" w:type="dxa"/>
            <w:shd w:val="clear" w:color="auto" w:fill="auto"/>
            <w:noWrap/>
            <w:vAlign w:val="center"/>
          </w:tcPr>
          <w:p w14:paraId="2B48B926">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3</w:t>
            </w:r>
            <w:r>
              <w:rPr>
                <w:rFonts w:ascii="Arial" w:hAnsi="Arial" w:eastAsia="仿宋_GB2312" w:cs="Arial"/>
                <w:szCs w:val="24"/>
                <w:highlight w:val="none"/>
              </w:rPr>
              <w:t>0%</w:t>
            </w:r>
          </w:p>
        </w:tc>
        <w:tc>
          <w:tcPr>
            <w:tcW w:w="853" w:type="dxa"/>
            <w:shd w:val="clear" w:color="auto" w:fill="auto"/>
            <w:noWrap/>
            <w:vAlign w:val="center"/>
          </w:tcPr>
          <w:p w14:paraId="7046DC8F">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rPr>
              <w:t>7</w:t>
            </w:r>
            <w:r>
              <w:rPr>
                <w:rFonts w:ascii="Arial" w:hAnsi="Arial" w:eastAsia="仿宋_GB2312" w:cs="Arial"/>
                <w:szCs w:val="24"/>
                <w:highlight w:val="none"/>
              </w:rPr>
              <w:t>0%</w:t>
            </w:r>
          </w:p>
        </w:tc>
      </w:tr>
    </w:tbl>
    <w:p w14:paraId="701DEDA3">
      <w:pPr>
        <w:spacing w:before="120" w:beforeLines="50" w:line="300" w:lineRule="auto"/>
        <w:jc w:val="center"/>
        <w:rPr>
          <w:rFonts w:ascii="仿宋" w:hAnsi="仿宋" w:eastAsia="仿宋" w:cs="Arial"/>
          <w:sz w:val="28"/>
          <w:szCs w:val="28"/>
          <w:highlight w:val="none"/>
        </w:rPr>
      </w:pPr>
      <w:r>
        <w:rPr>
          <w:rFonts w:ascii="Arial" w:hAnsi="Arial" w:eastAsia="仿宋_GB2312" w:cs="Arial"/>
          <w:b/>
          <w:sz w:val="28"/>
          <w:highlight w:val="none"/>
        </w:rPr>
        <w:br w:type="page"/>
      </w:r>
      <w:r>
        <w:rPr>
          <w:rFonts w:hint="eastAsia" w:ascii="仿宋" w:hAnsi="仿宋" w:eastAsia="仿宋" w:cs="Arial"/>
          <w:sz w:val="28"/>
          <w:szCs w:val="28"/>
          <w:highlight w:val="none"/>
        </w:rPr>
        <w:t>公共管理与公共服务用地</w:t>
      </w:r>
      <w:r>
        <w:rPr>
          <w:rFonts w:ascii="仿宋" w:hAnsi="仿宋" w:eastAsia="仿宋" w:cs="Arial"/>
          <w:sz w:val="28"/>
          <w:szCs w:val="28"/>
          <w:highlight w:val="none"/>
        </w:rPr>
        <w:t>权重确定打分评价体系</w:t>
      </w:r>
    </w:p>
    <w:tbl>
      <w:tblPr>
        <w:tblStyle w:val="34"/>
        <w:tblW w:w="9382" w:type="dxa"/>
        <w:jc w:val="center"/>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Layout w:type="fixed"/>
        <w:tblCellMar>
          <w:top w:w="57" w:type="dxa"/>
          <w:left w:w="28" w:type="dxa"/>
          <w:bottom w:w="57" w:type="dxa"/>
          <w:right w:w="28" w:type="dxa"/>
        </w:tblCellMar>
      </w:tblPr>
      <w:tblGrid>
        <w:gridCol w:w="1149"/>
        <w:gridCol w:w="708"/>
        <w:gridCol w:w="5387"/>
        <w:gridCol w:w="1334"/>
        <w:gridCol w:w="804"/>
      </w:tblGrid>
      <w:tr w14:paraId="288FE8B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tblHeader/>
          <w:jc w:val="center"/>
        </w:trPr>
        <w:tc>
          <w:tcPr>
            <w:tcW w:w="1149" w:type="dxa"/>
            <w:vMerge w:val="restart"/>
            <w:noWrap/>
            <w:vAlign w:val="center"/>
          </w:tcPr>
          <w:p w14:paraId="5B0DEC1F">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评价因素</w:t>
            </w:r>
          </w:p>
        </w:tc>
        <w:tc>
          <w:tcPr>
            <w:tcW w:w="708" w:type="dxa"/>
            <w:vMerge w:val="restart"/>
            <w:noWrap/>
            <w:vAlign w:val="center"/>
          </w:tcPr>
          <w:p w14:paraId="1BA56E0F">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标准分值</w:t>
            </w:r>
          </w:p>
        </w:tc>
        <w:tc>
          <w:tcPr>
            <w:tcW w:w="5387" w:type="dxa"/>
            <w:vMerge w:val="restart"/>
            <w:noWrap/>
            <w:vAlign w:val="center"/>
          </w:tcPr>
          <w:p w14:paraId="6D1837DA">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打分考虑因素</w:t>
            </w:r>
          </w:p>
        </w:tc>
        <w:tc>
          <w:tcPr>
            <w:tcW w:w="2138" w:type="dxa"/>
            <w:gridSpan w:val="2"/>
            <w:noWrap/>
            <w:vAlign w:val="center"/>
          </w:tcPr>
          <w:p w14:paraId="1577B198">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估价对象</w:t>
            </w:r>
          </w:p>
        </w:tc>
      </w:tr>
      <w:tr w14:paraId="0053B3D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163" w:hRule="atLeast"/>
          <w:tblHeader/>
          <w:jc w:val="center"/>
        </w:trPr>
        <w:tc>
          <w:tcPr>
            <w:tcW w:w="1149" w:type="dxa"/>
            <w:vMerge w:val="continue"/>
            <w:vAlign w:val="center"/>
          </w:tcPr>
          <w:p w14:paraId="37313106">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43BB4425">
            <w:pPr>
              <w:widowControl/>
              <w:adjustRightInd/>
              <w:spacing w:line="240" w:lineRule="atLeast"/>
              <w:textAlignment w:val="auto"/>
              <w:rPr>
                <w:rFonts w:ascii="Arial" w:hAnsi="Arial" w:eastAsia="仿宋" w:cs="Arial"/>
                <w:szCs w:val="24"/>
                <w:highlight w:val="none"/>
              </w:rPr>
            </w:pPr>
          </w:p>
        </w:tc>
        <w:tc>
          <w:tcPr>
            <w:tcW w:w="5387" w:type="dxa"/>
            <w:vMerge w:val="continue"/>
            <w:vAlign w:val="center"/>
          </w:tcPr>
          <w:p w14:paraId="311EADA8">
            <w:pPr>
              <w:widowControl/>
              <w:adjustRightInd/>
              <w:spacing w:line="240" w:lineRule="atLeast"/>
              <w:textAlignment w:val="auto"/>
              <w:rPr>
                <w:rFonts w:ascii="Arial" w:hAnsi="Arial" w:eastAsia="仿宋" w:cs="Arial"/>
                <w:szCs w:val="24"/>
                <w:highlight w:val="none"/>
              </w:rPr>
            </w:pPr>
          </w:p>
        </w:tc>
        <w:tc>
          <w:tcPr>
            <w:tcW w:w="1334" w:type="dxa"/>
            <w:noWrap/>
            <w:vAlign w:val="center"/>
          </w:tcPr>
          <w:p w14:paraId="752CB33C">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基准地价系数修正法</w:t>
            </w:r>
          </w:p>
        </w:tc>
        <w:tc>
          <w:tcPr>
            <w:tcW w:w="804" w:type="dxa"/>
            <w:noWrap/>
            <w:vAlign w:val="center"/>
          </w:tcPr>
          <w:p w14:paraId="78DB591B">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剩余法</w:t>
            </w:r>
          </w:p>
        </w:tc>
      </w:tr>
      <w:tr w14:paraId="4A11A9A8">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69" w:hRule="atLeast"/>
          <w:jc w:val="center"/>
        </w:trPr>
        <w:tc>
          <w:tcPr>
            <w:tcW w:w="1149" w:type="dxa"/>
            <w:vMerge w:val="restart"/>
            <w:vAlign w:val="center"/>
          </w:tcPr>
          <w:p w14:paraId="2210B6D2">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估价方法的代表性</w:t>
            </w:r>
          </w:p>
        </w:tc>
        <w:tc>
          <w:tcPr>
            <w:tcW w:w="708" w:type="dxa"/>
            <w:vMerge w:val="restart"/>
            <w:noWrap/>
            <w:vAlign w:val="center"/>
          </w:tcPr>
          <w:p w14:paraId="3F8A4CB8">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25</w:t>
            </w:r>
          </w:p>
        </w:tc>
        <w:tc>
          <w:tcPr>
            <w:tcW w:w="5387" w:type="dxa"/>
            <w:noWrap/>
            <w:vAlign w:val="center"/>
          </w:tcPr>
          <w:p w14:paraId="15B78F00">
            <w:pPr>
              <w:spacing w:line="240" w:lineRule="atLeast"/>
              <w:rPr>
                <w:rFonts w:ascii="Arial" w:hAnsi="Arial" w:eastAsia="仿宋" w:cs="Arial"/>
                <w:szCs w:val="24"/>
                <w:highlight w:val="none"/>
              </w:rPr>
            </w:pPr>
            <w:r>
              <w:rPr>
                <w:rFonts w:ascii="Arial" w:hAnsi="Arial" w:eastAsia="仿宋" w:cs="Arial"/>
                <w:szCs w:val="24"/>
                <w:highlight w:val="none"/>
              </w:rPr>
              <w:t>1.估价方法选取分析充分、合理，取20～25分；</w:t>
            </w:r>
          </w:p>
        </w:tc>
        <w:tc>
          <w:tcPr>
            <w:tcW w:w="1334" w:type="dxa"/>
            <w:vMerge w:val="restart"/>
            <w:noWrap/>
            <w:vAlign w:val="center"/>
          </w:tcPr>
          <w:p w14:paraId="1A0D6598">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20</w:t>
            </w:r>
          </w:p>
        </w:tc>
        <w:tc>
          <w:tcPr>
            <w:tcW w:w="804" w:type="dxa"/>
            <w:vMerge w:val="restart"/>
            <w:noWrap/>
            <w:vAlign w:val="center"/>
          </w:tcPr>
          <w:p w14:paraId="1B859993">
            <w:pPr>
              <w:spacing w:line="240" w:lineRule="atLeast"/>
              <w:jc w:val="center"/>
              <w:rPr>
                <w:rFonts w:ascii="Arial" w:hAnsi="Arial" w:eastAsia="仿宋" w:cs="Arial"/>
                <w:szCs w:val="24"/>
                <w:highlight w:val="none"/>
              </w:rPr>
            </w:pPr>
            <w:r>
              <w:rPr>
                <w:rFonts w:ascii="Arial" w:hAnsi="Arial" w:eastAsia="仿宋" w:cs="Arial"/>
                <w:szCs w:val="24"/>
                <w:highlight w:val="none"/>
              </w:rPr>
              <w:t>20</w:t>
            </w:r>
          </w:p>
        </w:tc>
      </w:tr>
      <w:tr w14:paraId="7682F493">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1D27F378">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11523FC3">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118362A7">
            <w:pPr>
              <w:spacing w:line="240" w:lineRule="atLeast"/>
              <w:rPr>
                <w:rFonts w:ascii="Arial" w:hAnsi="Arial" w:eastAsia="仿宋" w:cs="Arial"/>
                <w:szCs w:val="24"/>
                <w:highlight w:val="none"/>
              </w:rPr>
            </w:pPr>
            <w:r>
              <w:rPr>
                <w:rFonts w:ascii="Arial" w:hAnsi="Arial" w:eastAsia="仿宋" w:cs="Arial"/>
                <w:szCs w:val="24"/>
                <w:highlight w:val="none"/>
              </w:rPr>
              <w:t>2.估价方法选取分析较充分、合理，取10～19分；</w:t>
            </w:r>
          </w:p>
        </w:tc>
        <w:tc>
          <w:tcPr>
            <w:tcW w:w="1334" w:type="dxa"/>
            <w:vMerge w:val="continue"/>
            <w:vAlign w:val="center"/>
          </w:tcPr>
          <w:p w14:paraId="512E31FC">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351FDF94">
            <w:pPr>
              <w:widowControl/>
              <w:adjustRightInd/>
              <w:spacing w:line="240" w:lineRule="atLeast"/>
              <w:textAlignment w:val="auto"/>
              <w:rPr>
                <w:rFonts w:ascii="Arial" w:hAnsi="Arial" w:eastAsia="仿宋" w:cs="Arial"/>
                <w:szCs w:val="24"/>
                <w:highlight w:val="none"/>
              </w:rPr>
            </w:pPr>
          </w:p>
        </w:tc>
      </w:tr>
      <w:tr w14:paraId="676C0FF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432" w:hRule="atLeast"/>
          <w:jc w:val="center"/>
        </w:trPr>
        <w:tc>
          <w:tcPr>
            <w:tcW w:w="1149" w:type="dxa"/>
            <w:vMerge w:val="continue"/>
            <w:vAlign w:val="center"/>
          </w:tcPr>
          <w:p w14:paraId="20A7ED24">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3BEB5ACF">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6B227026">
            <w:pPr>
              <w:spacing w:line="240" w:lineRule="atLeast"/>
              <w:rPr>
                <w:rFonts w:ascii="Arial" w:hAnsi="Arial" w:eastAsia="仿宋" w:cs="Arial"/>
                <w:szCs w:val="24"/>
                <w:highlight w:val="none"/>
              </w:rPr>
            </w:pPr>
            <w:r>
              <w:rPr>
                <w:rFonts w:ascii="Arial" w:hAnsi="Arial" w:eastAsia="仿宋" w:cs="Arial"/>
                <w:szCs w:val="24"/>
                <w:highlight w:val="none"/>
              </w:rPr>
              <w:t>3.估价方法选取分析较不充分，取0～9分；</w:t>
            </w:r>
          </w:p>
        </w:tc>
        <w:tc>
          <w:tcPr>
            <w:tcW w:w="1334" w:type="dxa"/>
            <w:vMerge w:val="continue"/>
            <w:vAlign w:val="center"/>
          </w:tcPr>
          <w:p w14:paraId="3AD8FCF5">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1E4AF124">
            <w:pPr>
              <w:widowControl/>
              <w:adjustRightInd/>
              <w:spacing w:line="240" w:lineRule="atLeast"/>
              <w:textAlignment w:val="auto"/>
              <w:rPr>
                <w:rFonts w:ascii="Arial" w:hAnsi="Arial" w:eastAsia="仿宋" w:cs="Arial"/>
                <w:szCs w:val="24"/>
                <w:highlight w:val="none"/>
              </w:rPr>
            </w:pPr>
          </w:p>
        </w:tc>
      </w:tr>
      <w:tr w14:paraId="48AE8EF0">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restart"/>
            <w:vAlign w:val="center"/>
          </w:tcPr>
          <w:p w14:paraId="0700457F">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估价方法所要求的估价资料的完整性</w:t>
            </w:r>
          </w:p>
        </w:tc>
        <w:tc>
          <w:tcPr>
            <w:tcW w:w="708" w:type="dxa"/>
            <w:vMerge w:val="restart"/>
            <w:vAlign w:val="center"/>
          </w:tcPr>
          <w:p w14:paraId="3AA59F9C">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15</w:t>
            </w:r>
          </w:p>
        </w:tc>
        <w:tc>
          <w:tcPr>
            <w:tcW w:w="5387" w:type="dxa"/>
            <w:noWrap/>
            <w:vAlign w:val="center"/>
          </w:tcPr>
          <w:p w14:paraId="39159B7A">
            <w:pPr>
              <w:spacing w:line="240" w:lineRule="atLeast"/>
              <w:rPr>
                <w:rFonts w:ascii="Arial" w:hAnsi="Arial" w:eastAsia="仿宋" w:cs="Arial"/>
                <w:szCs w:val="24"/>
                <w:highlight w:val="none"/>
              </w:rPr>
            </w:pPr>
            <w:r>
              <w:rPr>
                <w:rFonts w:ascii="Arial" w:hAnsi="Arial" w:eastAsia="仿宋" w:cs="Arial"/>
                <w:szCs w:val="24"/>
                <w:highlight w:val="none"/>
              </w:rPr>
              <w:t>1.估价资料完整，来源依据充分，取10～15分；</w:t>
            </w:r>
          </w:p>
        </w:tc>
        <w:tc>
          <w:tcPr>
            <w:tcW w:w="1334" w:type="dxa"/>
            <w:vMerge w:val="restart"/>
            <w:noWrap/>
            <w:vAlign w:val="center"/>
          </w:tcPr>
          <w:p w14:paraId="2A79FFD8">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15</w:t>
            </w:r>
          </w:p>
        </w:tc>
        <w:tc>
          <w:tcPr>
            <w:tcW w:w="804" w:type="dxa"/>
            <w:vMerge w:val="restart"/>
            <w:noWrap/>
            <w:vAlign w:val="center"/>
          </w:tcPr>
          <w:p w14:paraId="1BE201CE">
            <w:pPr>
              <w:spacing w:line="240" w:lineRule="atLeast"/>
              <w:jc w:val="center"/>
              <w:rPr>
                <w:rFonts w:ascii="Arial" w:hAnsi="Arial" w:eastAsia="仿宋" w:cs="Arial"/>
                <w:szCs w:val="24"/>
                <w:highlight w:val="none"/>
              </w:rPr>
            </w:pPr>
            <w:r>
              <w:rPr>
                <w:rFonts w:ascii="Arial" w:hAnsi="Arial" w:eastAsia="仿宋" w:cs="Arial"/>
                <w:szCs w:val="24"/>
                <w:highlight w:val="none"/>
              </w:rPr>
              <w:t>15</w:t>
            </w:r>
          </w:p>
        </w:tc>
      </w:tr>
      <w:tr w14:paraId="3276A5AD">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732" w:hRule="atLeast"/>
          <w:jc w:val="center"/>
        </w:trPr>
        <w:tc>
          <w:tcPr>
            <w:tcW w:w="1149" w:type="dxa"/>
            <w:vMerge w:val="continue"/>
            <w:vAlign w:val="center"/>
          </w:tcPr>
          <w:p w14:paraId="6EEE2A47">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23020F65">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02428187">
            <w:pPr>
              <w:spacing w:line="240" w:lineRule="atLeast"/>
              <w:rPr>
                <w:rFonts w:ascii="Arial" w:hAnsi="Arial" w:eastAsia="仿宋" w:cs="Arial"/>
                <w:szCs w:val="24"/>
                <w:highlight w:val="none"/>
              </w:rPr>
            </w:pPr>
            <w:r>
              <w:rPr>
                <w:rFonts w:ascii="Arial" w:hAnsi="Arial" w:eastAsia="仿宋" w:cs="Arial"/>
                <w:szCs w:val="24"/>
                <w:highlight w:val="none"/>
              </w:rPr>
              <w:t>2.估价资料有欠缺，来源依据较不充分，取0～9分；</w:t>
            </w:r>
          </w:p>
        </w:tc>
        <w:tc>
          <w:tcPr>
            <w:tcW w:w="1334" w:type="dxa"/>
            <w:vMerge w:val="continue"/>
            <w:vAlign w:val="center"/>
          </w:tcPr>
          <w:p w14:paraId="7E98E7A4">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103EE776">
            <w:pPr>
              <w:widowControl/>
              <w:adjustRightInd/>
              <w:spacing w:line="240" w:lineRule="atLeast"/>
              <w:textAlignment w:val="auto"/>
              <w:rPr>
                <w:rFonts w:ascii="Arial" w:hAnsi="Arial" w:eastAsia="仿宋" w:cs="Arial"/>
                <w:szCs w:val="24"/>
                <w:highlight w:val="none"/>
              </w:rPr>
            </w:pPr>
          </w:p>
        </w:tc>
      </w:tr>
      <w:tr w14:paraId="18EA147E">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5C848402">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参数选取的客观性</w:t>
            </w:r>
          </w:p>
        </w:tc>
        <w:tc>
          <w:tcPr>
            <w:tcW w:w="708" w:type="dxa"/>
            <w:vMerge w:val="restart"/>
            <w:vAlign w:val="center"/>
          </w:tcPr>
          <w:p w14:paraId="335DB746">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15</w:t>
            </w:r>
          </w:p>
        </w:tc>
        <w:tc>
          <w:tcPr>
            <w:tcW w:w="5387" w:type="dxa"/>
            <w:noWrap/>
            <w:vAlign w:val="center"/>
          </w:tcPr>
          <w:p w14:paraId="42DC714A">
            <w:pPr>
              <w:spacing w:line="240" w:lineRule="atLeast"/>
              <w:rPr>
                <w:rFonts w:ascii="Arial" w:hAnsi="Arial" w:eastAsia="仿宋" w:cs="Arial"/>
                <w:szCs w:val="24"/>
                <w:highlight w:val="none"/>
              </w:rPr>
            </w:pPr>
            <w:r>
              <w:rPr>
                <w:rFonts w:ascii="Arial" w:hAnsi="Arial" w:eastAsia="仿宋" w:cs="Arial"/>
                <w:szCs w:val="24"/>
                <w:highlight w:val="none"/>
              </w:rPr>
              <w:t>1.参数从市场上获取，或从权威机构发布的信息上获取，取10～15分；</w:t>
            </w:r>
          </w:p>
        </w:tc>
        <w:tc>
          <w:tcPr>
            <w:tcW w:w="1334" w:type="dxa"/>
            <w:vMerge w:val="restart"/>
            <w:noWrap/>
            <w:vAlign w:val="center"/>
          </w:tcPr>
          <w:p w14:paraId="4D1E08A9">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15</w:t>
            </w:r>
          </w:p>
        </w:tc>
        <w:tc>
          <w:tcPr>
            <w:tcW w:w="804" w:type="dxa"/>
            <w:vMerge w:val="restart"/>
            <w:noWrap/>
            <w:vAlign w:val="center"/>
          </w:tcPr>
          <w:p w14:paraId="66A00346">
            <w:pPr>
              <w:spacing w:line="240" w:lineRule="atLeast"/>
              <w:jc w:val="center"/>
              <w:rPr>
                <w:rFonts w:ascii="Arial" w:hAnsi="Arial" w:eastAsia="仿宋" w:cs="Arial"/>
                <w:szCs w:val="24"/>
                <w:highlight w:val="none"/>
              </w:rPr>
            </w:pPr>
            <w:r>
              <w:rPr>
                <w:rFonts w:ascii="Arial" w:hAnsi="Arial" w:eastAsia="仿宋" w:cs="Arial"/>
                <w:szCs w:val="24"/>
                <w:highlight w:val="none"/>
              </w:rPr>
              <w:t>15</w:t>
            </w:r>
          </w:p>
        </w:tc>
      </w:tr>
      <w:tr w14:paraId="6D39B62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309" w:hRule="atLeast"/>
          <w:jc w:val="center"/>
        </w:trPr>
        <w:tc>
          <w:tcPr>
            <w:tcW w:w="1149" w:type="dxa"/>
            <w:vMerge w:val="continue"/>
            <w:vAlign w:val="center"/>
          </w:tcPr>
          <w:p w14:paraId="7AF49678">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2E79D7CB">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1DD3DF35">
            <w:pPr>
              <w:spacing w:line="240" w:lineRule="atLeast"/>
              <w:rPr>
                <w:rFonts w:ascii="Arial" w:hAnsi="Arial" w:eastAsia="仿宋" w:cs="Arial"/>
                <w:szCs w:val="24"/>
                <w:highlight w:val="none"/>
              </w:rPr>
            </w:pPr>
            <w:r>
              <w:rPr>
                <w:rFonts w:ascii="Arial" w:hAnsi="Arial" w:eastAsia="仿宋" w:cs="Arial"/>
                <w:szCs w:val="24"/>
                <w:highlight w:val="none"/>
              </w:rPr>
              <w:t>2.部分参数为自行分析取得，理由较充分，取0～9分；</w:t>
            </w:r>
          </w:p>
        </w:tc>
        <w:tc>
          <w:tcPr>
            <w:tcW w:w="1334" w:type="dxa"/>
            <w:vMerge w:val="continue"/>
            <w:vAlign w:val="center"/>
          </w:tcPr>
          <w:p w14:paraId="7499EBA0">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3CF8773E">
            <w:pPr>
              <w:widowControl/>
              <w:adjustRightInd/>
              <w:spacing w:line="240" w:lineRule="atLeast"/>
              <w:textAlignment w:val="auto"/>
              <w:rPr>
                <w:rFonts w:ascii="Arial" w:hAnsi="Arial" w:eastAsia="仿宋" w:cs="Arial"/>
                <w:szCs w:val="24"/>
                <w:highlight w:val="none"/>
              </w:rPr>
            </w:pPr>
          </w:p>
        </w:tc>
      </w:tr>
      <w:tr w14:paraId="07E1BB59">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6F73BE26">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参数确定的时效性</w:t>
            </w:r>
          </w:p>
        </w:tc>
        <w:tc>
          <w:tcPr>
            <w:tcW w:w="708" w:type="dxa"/>
            <w:vMerge w:val="restart"/>
            <w:vAlign w:val="center"/>
          </w:tcPr>
          <w:p w14:paraId="14B7F2A6">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15</w:t>
            </w:r>
          </w:p>
        </w:tc>
        <w:tc>
          <w:tcPr>
            <w:tcW w:w="5387" w:type="dxa"/>
            <w:noWrap/>
            <w:vAlign w:val="center"/>
          </w:tcPr>
          <w:p w14:paraId="18C83AD6">
            <w:pPr>
              <w:spacing w:line="240" w:lineRule="atLeast"/>
              <w:rPr>
                <w:rFonts w:ascii="Arial" w:hAnsi="Arial" w:eastAsia="仿宋" w:cs="Arial"/>
                <w:szCs w:val="24"/>
                <w:highlight w:val="none"/>
              </w:rPr>
            </w:pPr>
            <w:r>
              <w:rPr>
                <w:rFonts w:ascii="Arial" w:hAnsi="Arial" w:eastAsia="仿宋" w:cs="Arial"/>
                <w:szCs w:val="24"/>
                <w:highlight w:val="none"/>
              </w:rPr>
              <w:t>1.参数在规定的时效范围内，且距估价期日未超过1年，取10～15分；</w:t>
            </w:r>
          </w:p>
        </w:tc>
        <w:tc>
          <w:tcPr>
            <w:tcW w:w="1334" w:type="dxa"/>
            <w:vMerge w:val="restart"/>
            <w:noWrap/>
            <w:vAlign w:val="center"/>
          </w:tcPr>
          <w:p w14:paraId="65810F9D">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15</w:t>
            </w:r>
          </w:p>
        </w:tc>
        <w:tc>
          <w:tcPr>
            <w:tcW w:w="804" w:type="dxa"/>
            <w:vMerge w:val="restart"/>
            <w:noWrap/>
            <w:vAlign w:val="center"/>
          </w:tcPr>
          <w:p w14:paraId="2A93D889">
            <w:pPr>
              <w:spacing w:line="240" w:lineRule="atLeast"/>
              <w:jc w:val="center"/>
              <w:rPr>
                <w:rFonts w:ascii="Arial" w:hAnsi="Arial" w:eastAsia="仿宋" w:cs="Arial"/>
                <w:szCs w:val="24"/>
                <w:highlight w:val="none"/>
              </w:rPr>
            </w:pPr>
            <w:r>
              <w:rPr>
                <w:rFonts w:ascii="Arial" w:hAnsi="Arial" w:eastAsia="仿宋" w:cs="Arial"/>
                <w:szCs w:val="24"/>
                <w:highlight w:val="none"/>
              </w:rPr>
              <w:t>15</w:t>
            </w:r>
          </w:p>
        </w:tc>
      </w:tr>
      <w:tr w14:paraId="0FF0EF5B">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46329617">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0E972E80">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71C6F68E">
            <w:pPr>
              <w:spacing w:line="240" w:lineRule="atLeast"/>
              <w:rPr>
                <w:rFonts w:ascii="Arial" w:hAnsi="Arial" w:eastAsia="仿宋" w:cs="Arial"/>
                <w:szCs w:val="24"/>
                <w:highlight w:val="none"/>
              </w:rPr>
            </w:pPr>
            <w:r>
              <w:rPr>
                <w:rFonts w:ascii="Arial" w:hAnsi="Arial" w:eastAsia="仿宋" w:cs="Arial"/>
                <w:szCs w:val="24"/>
                <w:highlight w:val="none"/>
              </w:rPr>
              <w:t>2.参数在规定的时效范围内，但距估价期日超过1年，取0～9分；</w:t>
            </w:r>
          </w:p>
        </w:tc>
        <w:tc>
          <w:tcPr>
            <w:tcW w:w="1334" w:type="dxa"/>
            <w:vMerge w:val="continue"/>
            <w:vAlign w:val="center"/>
          </w:tcPr>
          <w:p w14:paraId="10CEF297">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7B1F8F72">
            <w:pPr>
              <w:widowControl/>
              <w:adjustRightInd/>
              <w:spacing w:line="240" w:lineRule="atLeast"/>
              <w:textAlignment w:val="auto"/>
              <w:rPr>
                <w:rFonts w:ascii="Arial" w:hAnsi="Arial" w:eastAsia="仿宋" w:cs="Arial"/>
                <w:szCs w:val="24"/>
                <w:highlight w:val="none"/>
              </w:rPr>
            </w:pPr>
          </w:p>
        </w:tc>
      </w:tr>
      <w:tr w14:paraId="11AC745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restart"/>
            <w:vAlign w:val="center"/>
          </w:tcPr>
          <w:p w14:paraId="347D4BA9">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估价结果的现势性</w:t>
            </w:r>
          </w:p>
        </w:tc>
        <w:tc>
          <w:tcPr>
            <w:tcW w:w="708" w:type="dxa"/>
            <w:vMerge w:val="restart"/>
            <w:noWrap/>
            <w:vAlign w:val="center"/>
          </w:tcPr>
          <w:p w14:paraId="047C74C0">
            <w:pPr>
              <w:widowControl/>
              <w:adjustRightInd/>
              <w:spacing w:line="240" w:lineRule="atLeast"/>
              <w:jc w:val="center"/>
              <w:textAlignment w:val="auto"/>
              <w:rPr>
                <w:rFonts w:ascii="Arial" w:hAnsi="Arial" w:eastAsia="仿宋" w:cs="Arial"/>
                <w:szCs w:val="24"/>
                <w:highlight w:val="none"/>
              </w:rPr>
            </w:pPr>
            <w:r>
              <w:rPr>
                <w:rFonts w:ascii="Arial" w:hAnsi="Arial" w:eastAsia="仿宋" w:cs="Arial"/>
                <w:szCs w:val="24"/>
                <w:highlight w:val="none"/>
              </w:rPr>
              <w:t>30</w:t>
            </w:r>
          </w:p>
        </w:tc>
        <w:tc>
          <w:tcPr>
            <w:tcW w:w="5387" w:type="dxa"/>
            <w:noWrap/>
            <w:vAlign w:val="center"/>
          </w:tcPr>
          <w:p w14:paraId="3ADACECE">
            <w:pPr>
              <w:spacing w:line="240" w:lineRule="atLeast"/>
              <w:rPr>
                <w:rFonts w:ascii="Arial" w:hAnsi="Arial" w:eastAsia="仿宋" w:cs="Arial"/>
                <w:szCs w:val="24"/>
                <w:highlight w:val="none"/>
              </w:rPr>
            </w:pPr>
            <w:r>
              <w:rPr>
                <w:rFonts w:ascii="Arial" w:hAnsi="Arial" w:eastAsia="仿宋" w:cs="Arial"/>
                <w:szCs w:val="24"/>
                <w:highlight w:val="none"/>
              </w:rPr>
              <w:t>1.估价结果与同类用途房地产市场价格水平一致，且考虑了房地产市场发展趋势，取20～30分；</w:t>
            </w:r>
          </w:p>
        </w:tc>
        <w:tc>
          <w:tcPr>
            <w:tcW w:w="1334" w:type="dxa"/>
            <w:vMerge w:val="restart"/>
            <w:noWrap/>
            <w:vAlign w:val="center"/>
          </w:tcPr>
          <w:p w14:paraId="381F991D">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25</w:t>
            </w:r>
          </w:p>
        </w:tc>
        <w:tc>
          <w:tcPr>
            <w:tcW w:w="804" w:type="dxa"/>
            <w:vMerge w:val="restart"/>
            <w:noWrap/>
            <w:vAlign w:val="center"/>
          </w:tcPr>
          <w:p w14:paraId="4E576F1F">
            <w:pPr>
              <w:spacing w:line="240" w:lineRule="atLeast"/>
              <w:jc w:val="center"/>
              <w:rPr>
                <w:rFonts w:ascii="Arial" w:hAnsi="Arial" w:eastAsia="仿宋" w:cs="Arial"/>
                <w:szCs w:val="24"/>
                <w:highlight w:val="none"/>
              </w:rPr>
            </w:pPr>
            <w:r>
              <w:rPr>
                <w:rFonts w:ascii="Arial" w:hAnsi="Arial" w:eastAsia="仿宋" w:cs="Arial"/>
                <w:szCs w:val="24"/>
                <w:highlight w:val="none"/>
              </w:rPr>
              <w:t>25</w:t>
            </w:r>
          </w:p>
        </w:tc>
      </w:tr>
      <w:tr w14:paraId="68CE836A">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602" w:hRule="atLeast"/>
          <w:jc w:val="center"/>
        </w:trPr>
        <w:tc>
          <w:tcPr>
            <w:tcW w:w="1149" w:type="dxa"/>
            <w:vMerge w:val="continue"/>
            <w:vAlign w:val="center"/>
          </w:tcPr>
          <w:p w14:paraId="59CD4749">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1BAF78B8">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3B00E3C2">
            <w:pPr>
              <w:spacing w:line="240" w:lineRule="atLeast"/>
              <w:rPr>
                <w:rFonts w:ascii="Arial" w:hAnsi="Arial" w:eastAsia="仿宋" w:cs="Arial"/>
                <w:szCs w:val="24"/>
                <w:highlight w:val="none"/>
              </w:rPr>
            </w:pPr>
            <w:r>
              <w:rPr>
                <w:rFonts w:ascii="Arial" w:hAnsi="Arial" w:eastAsia="仿宋" w:cs="Arial"/>
                <w:szCs w:val="24"/>
                <w:highlight w:val="none"/>
              </w:rPr>
              <w:t>2.估价结果与同类用途房地产价格水平基本一致，且适当考虑了房地产市场发展趋势，取10～19分；</w:t>
            </w:r>
          </w:p>
        </w:tc>
        <w:tc>
          <w:tcPr>
            <w:tcW w:w="1334" w:type="dxa"/>
            <w:vMerge w:val="continue"/>
            <w:vAlign w:val="center"/>
          </w:tcPr>
          <w:p w14:paraId="285B485C">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016477F1">
            <w:pPr>
              <w:widowControl/>
              <w:adjustRightInd/>
              <w:spacing w:line="240" w:lineRule="atLeast"/>
              <w:textAlignment w:val="auto"/>
              <w:rPr>
                <w:rFonts w:ascii="Arial" w:hAnsi="Arial" w:eastAsia="仿宋" w:cs="Arial"/>
                <w:szCs w:val="24"/>
                <w:highlight w:val="none"/>
              </w:rPr>
            </w:pPr>
          </w:p>
        </w:tc>
      </w:tr>
      <w:tr w14:paraId="0F42B106">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556" w:hRule="atLeast"/>
          <w:jc w:val="center"/>
        </w:trPr>
        <w:tc>
          <w:tcPr>
            <w:tcW w:w="1149" w:type="dxa"/>
            <w:vMerge w:val="continue"/>
            <w:vAlign w:val="center"/>
          </w:tcPr>
          <w:p w14:paraId="6F727A41">
            <w:pPr>
              <w:widowControl/>
              <w:adjustRightInd/>
              <w:spacing w:line="240" w:lineRule="atLeast"/>
              <w:textAlignment w:val="auto"/>
              <w:rPr>
                <w:rFonts w:ascii="Arial" w:hAnsi="Arial" w:eastAsia="仿宋" w:cs="Arial"/>
                <w:szCs w:val="24"/>
                <w:highlight w:val="none"/>
              </w:rPr>
            </w:pPr>
          </w:p>
        </w:tc>
        <w:tc>
          <w:tcPr>
            <w:tcW w:w="708" w:type="dxa"/>
            <w:vMerge w:val="continue"/>
            <w:vAlign w:val="center"/>
          </w:tcPr>
          <w:p w14:paraId="6D7CD6FC">
            <w:pPr>
              <w:widowControl/>
              <w:adjustRightInd/>
              <w:spacing w:line="240" w:lineRule="atLeast"/>
              <w:textAlignment w:val="auto"/>
              <w:rPr>
                <w:rFonts w:ascii="Arial" w:hAnsi="Arial" w:eastAsia="仿宋" w:cs="Arial"/>
                <w:szCs w:val="24"/>
                <w:highlight w:val="none"/>
              </w:rPr>
            </w:pPr>
          </w:p>
        </w:tc>
        <w:tc>
          <w:tcPr>
            <w:tcW w:w="5387" w:type="dxa"/>
            <w:noWrap/>
            <w:vAlign w:val="center"/>
          </w:tcPr>
          <w:p w14:paraId="1EAA48A5">
            <w:pPr>
              <w:spacing w:line="240" w:lineRule="atLeast"/>
              <w:rPr>
                <w:rFonts w:ascii="Arial" w:hAnsi="Arial" w:eastAsia="仿宋" w:cs="Arial"/>
                <w:szCs w:val="24"/>
                <w:highlight w:val="none"/>
              </w:rPr>
            </w:pPr>
            <w:r>
              <w:rPr>
                <w:rFonts w:ascii="Arial" w:hAnsi="Arial" w:eastAsia="仿宋" w:cs="Arial"/>
                <w:szCs w:val="24"/>
                <w:highlight w:val="none"/>
              </w:rPr>
              <w:t>3.估价结果与同类用途房地产价格水平有一定差距，且适当考虑房地产市场发展趋势，取0～9分；</w:t>
            </w:r>
          </w:p>
        </w:tc>
        <w:tc>
          <w:tcPr>
            <w:tcW w:w="1334" w:type="dxa"/>
            <w:vMerge w:val="continue"/>
            <w:vAlign w:val="center"/>
          </w:tcPr>
          <w:p w14:paraId="0419145D">
            <w:pPr>
              <w:widowControl/>
              <w:adjustRightInd/>
              <w:spacing w:line="240" w:lineRule="atLeast"/>
              <w:textAlignment w:val="auto"/>
              <w:rPr>
                <w:rFonts w:ascii="Arial" w:hAnsi="Arial" w:eastAsia="仿宋" w:cs="Arial"/>
                <w:szCs w:val="24"/>
                <w:highlight w:val="none"/>
              </w:rPr>
            </w:pPr>
          </w:p>
        </w:tc>
        <w:tc>
          <w:tcPr>
            <w:tcW w:w="804" w:type="dxa"/>
            <w:vMerge w:val="continue"/>
            <w:vAlign w:val="center"/>
          </w:tcPr>
          <w:p w14:paraId="3E12247E">
            <w:pPr>
              <w:widowControl/>
              <w:adjustRightInd/>
              <w:spacing w:line="240" w:lineRule="atLeast"/>
              <w:textAlignment w:val="auto"/>
              <w:rPr>
                <w:rFonts w:ascii="Arial" w:hAnsi="Arial" w:eastAsia="仿宋" w:cs="Arial"/>
                <w:szCs w:val="24"/>
                <w:highlight w:val="none"/>
              </w:rPr>
            </w:pPr>
          </w:p>
        </w:tc>
      </w:tr>
      <w:tr w14:paraId="5B3F8441">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47" w:hRule="atLeast"/>
          <w:jc w:val="center"/>
        </w:trPr>
        <w:tc>
          <w:tcPr>
            <w:tcW w:w="7244" w:type="dxa"/>
            <w:gridSpan w:val="3"/>
            <w:noWrap/>
            <w:vAlign w:val="center"/>
          </w:tcPr>
          <w:p w14:paraId="4922C908">
            <w:pPr>
              <w:widowControl/>
              <w:adjustRightInd/>
              <w:spacing w:line="240" w:lineRule="atLeast"/>
              <w:jc w:val="center"/>
              <w:textAlignment w:val="auto"/>
              <w:rPr>
                <w:rFonts w:ascii="Arial" w:hAnsi="Arial" w:eastAsia="仿宋" w:cs="Arial"/>
                <w:b/>
                <w:bCs/>
                <w:szCs w:val="24"/>
                <w:highlight w:val="none"/>
              </w:rPr>
            </w:pPr>
            <w:r>
              <w:rPr>
                <w:rFonts w:ascii="Arial" w:hAnsi="Arial" w:eastAsia="仿宋" w:cs="Arial"/>
                <w:b/>
                <w:bCs/>
                <w:szCs w:val="24"/>
                <w:highlight w:val="none"/>
              </w:rPr>
              <w:t>分值</w:t>
            </w:r>
          </w:p>
        </w:tc>
        <w:tc>
          <w:tcPr>
            <w:tcW w:w="1334" w:type="dxa"/>
            <w:noWrap/>
            <w:vAlign w:val="center"/>
          </w:tcPr>
          <w:p w14:paraId="30BCFA77">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90</w:t>
            </w:r>
          </w:p>
        </w:tc>
        <w:tc>
          <w:tcPr>
            <w:tcW w:w="804" w:type="dxa"/>
            <w:noWrap/>
            <w:vAlign w:val="center"/>
          </w:tcPr>
          <w:p w14:paraId="38BA52F1">
            <w:pPr>
              <w:spacing w:line="240" w:lineRule="atLeast"/>
              <w:jc w:val="center"/>
              <w:rPr>
                <w:rFonts w:ascii="Arial" w:hAnsi="Arial" w:eastAsia="仿宋" w:cs="Arial"/>
                <w:szCs w:val="24"/>
                <w:highlight w:val="none"/>
              </w:rPr>
            </w:pPr>
            <w:r>
              <w:rPr>
                <w:rFonts w:ascii="Arial" w:hAnsi="Arial" w:eastAsia="仿宋" w:cs="Arial"/>
                <w:szCs w:val="24"/>
                <w:highlight w:val="none"/>
              </w:rPr>
              <w:t>90</w:t>
            </w:r>
          </w:p>
        </w:tc>
      </w:tr>
      <w:tr w14:paraId="6D9A14D5">
        <w:tblPrEx>
          <w:tblBorders>
            <w:top w:val="single" w:color="404040" w:sz="2" w:space="0"/>
            <w:left w:val="single" w:color="404040" w:sz="2" w:space="0"/>
            <w:bottom w:val="single" w:color="404040" w:sz="2" w:space="0"/>
            <w:right w:val="single" w:color="404040" w:sz="2" w:space="0"/>
            <w:insideH w:val="single" w:color="404040" w:sz="2" w:space="0"/>
            <w:insideV w:val="single" w:color="404040" w:sz="2" w:space="0"/>
          </w:tblBorders>
          <w:tblCellMar>
            <w:top w:w="57" w:type="dxa"/>
            <w:left w:w="28" w:type="dxa"/>
            <w:bottom w:w="57" w:type="dxa"/>
            <w:right w:w="28" w:type="dxa"/>
          </w:tblCellMar>
        </w:tblPrEx>
        <w:trPr>
          <w:cantSplit/>
          <w:trHeight w:val="262" w:hRule="atLeast"/>
          <w:jc w:val="center"/>
        </w:trPr>
        <w:tc>
          <w:tcPr>
            <w:tcW w:w="7244" w:type="dxa"/>
            <w:gridSpan w:val="3"/>
            <w:noWrap/>
            <w:vAlign w:val="center"/>
          </w:tcPr>
          <w:p w14:paraId="17DD463A">
            <w:pPr>
              <w:widowControl/>
              <w:adjustRightInd/>
              <w:spacing w:line="240" w:lineRule="atLeast"/>
              <w:jc w:val="center"/>
              <w:textAlignment w:val="auto"/>
              <w:rPr>
                <w:rFonts w:ascii="Arial" w:hAnsi="Arial" w:eastAsia="仿宋" w:cs="Arial"/>
                <w:b/>
                <w:bCs/>
                <w:szCs w:val="24"/>
                <w:highlight w:val="none"/>
              </w:rPr>
            </w:pPr>
            <w:r>
              <w:rPr>
                <w:rFonts w:ascii="Arial" w:hAnsi="Arial" w:eastAsia="仿宋" w:cs="Arial"/>
                <w:b/>
                <w:bCs/>
                <w:szCs w:val="24"/>
                <w:highlight w:val="none"/>
              </w:rPr>
              <w:t>权重</w:t>
            </w:r>
          </w:p>
        </w:tc>
        <w:tc>
          <w:tcPr>
            <w:tcW w:w="1334" w:type="dxa"/>
            <w:noWrap/>
            <w:vAlign w:val="center"/>
          </w:tcPr>
          <w:p w14:paraId="77DD5507">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5</w:t>
            </w:r>
            <w:r>
              <w:rPr>
                <w:rFonts w:ascii="Arial" w:hAnsi="Arial" w:eastAsia="仿宋" w:cs="Arial"/>
                <w:szCs w:val="24"/>
                <w:highlight w:val="none"/>
              </w:rPr>
              <w:t>0%</w:t>
            </w:r>
          </w:p>
        </w:tc>
        <w:tc>
          <w:tcPr>
            <w:tcW w:w="804" w:type="dxa"/>
            <w:noWrap/>
            <w:vAlign w:val="center"/>
          </w:tcPr>
          <w:p w14:paraId="6F9EF6D3">
            <w:pPr>
              <w:spacing w:line="240" w:lineRule="atLeast"/>
              <w:jc w:val="center"/>
              <w:rPr>
                <w:rFonts w:ascii="Arial" w:hAnsi="Arial" w:eastAsia="仿宋" w:cs="Arial"/>
                <w:szCs w:val="24"/>
                <w:highlight w:val="none"/>
              </w:rPr>
            </w:pPr>
            <w:r>
              <w:rPr>
                <w:rFonts w:hint="eastAsia" w:ascii="Arial" w:hAnsi="Arial" w:eastAsia="仿宋" w:cs="Arial"/>
                <w:szCs w:val="24"/>
                <w:highlight w:val="none"/>
              </w:rPr>
              <w:t>5</w:t>
            </w:r>
            <w:r>
              <w:rPr>
                <w:rFonts w:ascii="Arial" w:hAnsi="Arial" w:eastAsia="仿宋" w:cs="Arial"/>
                <w:szCs w:val="24"/>
                <w:highlight w:val="none"/>
              </w:rPr>
              <w:t>0%</w:t>
            </w:r>
          </w:p>
        </w:tc>
      </w:tr>
    </w:tbl>
    <w:p w14:paraId="671BEF1B">
      <w:pPr>
        <w:keepNext w:val="0"/>
        <w:keepLines w:val="0"/>
        <w:pageBreakBefore w:val="0"/>
        <w:widowControl w:val="0"/>
        <w:kinsoku/>
        <w:wordWrap/>
        <w:overflowPunct/>
        <w:topLinePunct w:val="0"/>
        <w:autoSpaceDE/>
        <w:autoSpaceDN/>
        <w:bidi w:val="0"/>
        <w:adjustRightInd w:val="0"/>
        <w:snapToGrid/>
        <w:spacing w:before="157" w:beforeLines="50" w:line="300" w:lineRule="auto"/>
        <w:ind w:firstLine="556"/>
        <w:jc w:val="both"/>
        <w:textAlignment w:val="baseline"/>
        <w:rPr>
          <w:rFonts w:hint="default" w:ascii="Arial" w:hAnsi="Arial" w:eastAsia="仿宋_GB2312" w:cs="Arial"/>
          <w:sz w:val="28"/>
          <w:szCs w:val="28"/>
          <w:highlight w:val="none"/>
          <w:lang w:val="en-US"/>
        </w:rPr>
      </w:pPr>
      <w:r>
        <w:rPr>
          <w:rFonts w:hint="eastAsia" w:ascii="Arial" w:hAnsi="Arial" w:eastAsia="仿宋_GB2312" w:cs="Arial"/>
          <w:sz w:val="28"/>
          <w:szCs w:val="28"/>
          <w:highlight w:val="none"/>
          <w:lang w:val="en-US" w:eastAsia="zh-CN"/>
        </w:rPr>
        <w:t>3</w:t>
      </w:r>
      <w:r>
        <w:rPr>
          <w:rFonts w:hint="eastAsia" w:ascii="Arial" w:hAnsi="Arial" w:eastAsia="仿宋_GB2312" w:cs="Arial"/>
          <w:sz w:val="28"/>
          <w:szCs w:val="28"/>
          <w:highlight w:val="none"/>
        </w:rPr>
        <w:t>、</w:t>
      </w:r>
      <w:r>
        <w:rPr>
          <w:rFonts w:hint="eastAsia" w:ascii="Arial" w:hAnsi="Arial" w:eastAsia="仿宋_GB2312" w:cs="Arial"/>
          <w:sz w:val="28"/>
          <w:szCs w:val="28"/>
          <w:highlight w:val="none"/>
          <w:lang w:val="en-US" w:eastAsia="zh-CN"/>
        </w:rPr>
        <w:t>各用途楼面地价的确定</w:t>
      </w:r>
    </w:p>
    <w:p w14:paraId="69622CF6">
      <w:pPr>
        <w:spacing w:line="300" w:lineRule="auto"/>
        <w:ind w:firstLine="556"/>
        <w:jc w:val="both"/>
        <w:rPr>
          <w:rFonts w:hint="eastAsia" w:ascii="Arial" w:hAnsi="Arial" w:eastAsia="仿宋_GB2312" w:cs="Arial"/>
          <w:sz w:val="28"/>
          <w:highlight w:val="none"/>
          <w:lang w:eastAsia="zh-CN"/>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rPr>
        <w:t>1</w:t>
      </w:r>
      <w:r>
        <w:rPr>
          <w:rFonts w:hint="eastAsia" w:ascii="Arial" w:hAnsi="Arial" w:eastAsia="仿宋_GB2312" w:cs="Arial"/>
          <w:sz w:val="28"/>
          <w:szCs w:val="28"/>
          <w:highlight w:val="none"/>
          <w:lang w:eastAsia="zh-CN"/>
        </w:rPr>
        <w:t>）</w:t>
      </w:r>
      <w:r>
        <w:rPr>
          <w:rFonts w:hint="eastAsia" w:ascii="Arial" w:hAnsi="Arial" w:eastAsia="仿宋" w:cs="Arial"/>
          <w:sz w:val="28"/>
          <w:highlight w:val="none"/>
        </w:rPr>
        <w:t>城镇住宅用地</w:t>
      </w:r>
      <w:r>
        <w:rPr>
          <w:rFonts w:ascii="Arial" w:hAnsi="Arial" w:eastAsia="仿宋_GB2312" w:cs="Arial"/>
          <w:sz w:val="28"/>
          <w:szCs w:val="28"/>
          <w:highlight w:val="none"/>
        </w:rPr>
        <w:t>熟地价</w:t>
      </w:r>
      <w:r>
        <w:rPr>
          <w:rFonts w:hint="eastAsia" w:ascii="Arial" w:hAnsi="Arial" w:eastAsia="仿宋_GB2312" w:cs="Arial"/>
          <w:sz w:val="28"/>
          <w:szCs w:val="28"/>
          <w:highlight w:val="none"/>
          <w:lang w:eastAsia="zh-CN"/>
        </w:rPr>
        <w:t>楼面地价</w:t>
      </w:r>
    </w:p>
    <w:p w14:paraId="111CA791">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 w:cs="Arial"/>
          <w:sz w:val="28"/>
          <w:highlight w:val="none"/>
        </w:rPr>
        <w:t>城镇住宅用地</w:t>
      </w:r>
      <w:r>
        <w:rPr>
          <w:rFonts w:ascii="Arial" w:hAnsi="Arial" w:eastAsia="仿宋_GB2312" w:cs="Arial"/>
          <w:sz w:val="28"/>
          <w:szCs w:val="28"/>
          <w:highlight w:val="none"/>
        </w:rPr>
        <w:t>熟地价</w:t>
      </w:r>
      <w:r>
        <w:rPr>
          <w:rFonts w:hint="eastAsia" w:ascii="Arial" w:hAnsi="Arial" w:eastAsia="仿宋_GB2312" w:cs="Arial"/>
          <w:sz w:val="28"/>
          <w:szCs w:val="28"/>
          <w:highlight w:val="none"/>
          <w:lang w:eastAsia="zh-CN"/>
        </w:rPr>
        <w:t>楼面地价</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6689</w:t>
      </w:r>
      <w:r>
        <w:rPr>
          <w:rFonts w:hint="eastAsia" w:ascii="Arial" w:hAnsi="Arial" w:eastAsia="仿宋_GB2312" w:cs="Arial"/>
          <w:sz w:val="28"/>
          <w:szCs w:val="28"/>
          <w:highlight w:val="none"/>
          <w:lang w:eastAsia="zh-CN"/>
        </w:rPr>
        <w:t>×</w:t>
      </w:r>
      <w:r>
        <w:rPr>
          <w:rFonts w:ascii="Arial" w:hAnsi="Arial" w:eastAsia="仿宋_GB2312" w:cs="Arial"/>
          <w:sz w:val="28"/>
          <w:highlight w:val="none"/>
        </w:rPr>
        <w:t>30</w:t>
      </w:r>
      <w:r>
        <w:rPr>
          <w:rFonts w:ascii="Arial" w:hAnsi="Arial" w:eastAsia="仿宋_GB2312" w:cs="Arial"/>
          <w:sz w:val="28"/>
          <w:szCs w:val="28"/>
          <w:highlight w:val="none"/>
        </w:rPr>
        <w:t>%</w:t>
      </w:r>
      <w:r>
        <w:rPr>
          <w:rFonts w:hint="eastAsia" w:ascii="Arial" w:hAnsi="Arial" w:eastAsia="仿宋_GB2312" w:cs="Arial"/>
          <w:sz w:val="28"/>
          <w:szCs w:val="28"/>
          <w:highlight w:val="none"/>
          <w:lang w:eastAsia="zh-CN"/>
        </w:rPr>
        <w:t>＋</w:t>
      </w:r>
      <w:r>
        <w:rPr>
          <w:rFonts w:hint="eastAsia" w:ascii="Arial" w:hAnsi="Arial" w:eastAsia="仿宋_GB2312" w:cs="Arial"/>
          <w:sz w:val="28"/>
          <w:highlight w:val="none"/>
        </w:rPr>
        <w:t xml:space="preserve"> </w:t>
      </w:r>
      <w:r>
        <w:rPr>
          <w:rFonts w:hint="eastAsia" w:ascii="Arial" w:hAnsi="Arial" w:eastAsia="仿宋_GB2312" w:cs="Arial"/>
          <w:sz w:val="28"/>
          <w:highlight w:val="none"/>
          <w:lang w:val="en-US" w:eastAsia="zh-CN"/>
        </w:rPr>
        <w:t>12765</w:t>
      </w:r>
      <w:r>
        <w:rPr>
          <w:rFonts w:hint="eastAsia" w:ascii="Arial" w:hAnsi="Arial" w:eastAsia="仿宋_GB2312" w:cs="Arial"/>
          <w:sz w:val="28"/>
          <w:szCs w:val="28"/>
          <w:highlight w:val="none"/>
          <w:lang w:eastAsia="zh-CN"/>
        </w:rPr>
        <w:t>×</w:t>
      </w:r>
      <w:r>
        <w:rPr>
          <w:rFonts w:ascii="Arial" w:hAnsi="Arial" w:eastAsia="仿宋_GB2312" w:cs="Arial"/>
          <w:sz w:val="28"/>
          <w:highlight w:val="none"/>
        </w:rPr>
        <w:t>70</w:t>
      </w:r>
      <w:r>
        <w:rPr>
          <w:rFonts w:ascii="Arial" w:hAnsi="Arial" w:eastAsia="仿宋_GB2312" w:cs="Arial"/>
          <w:sz w:val="28"/>
          <w:szCs w:val="28"/>
          <w:highlight w:val="none"/>
        </w:rPr>
        <w:t>%</w:t>
      </w:r>
    </w:p>
    <w:p w14:paraId="038E257F">
      <w:pPr>
        <w:adjustRightInd/>
        <w:spacing w:line="300" w:lineRule="auto"/>
        <w:ind w:firstLine="4200" w:firstLineChars="1500"/>
        <w:jc w:val="both"/>
        <w:rPr>
          <w:rFonts w:ascii="Arial" w:hAnsi="Arial" w:eastAsia="仿宋_GB2312" w:cs="Arial"/>
          <w:sz w:val="28"/>
          <w:highlight w:val="none"/>
        </w:rPr>
      </w:pPr>
      <w:r>
        <w:rPr>
          <w:rFonts w:hint="eastAsia" w:ascii="Arial" w:hAnsi="Arial" w:eastAsia="仿宋_GB2312" w:cs="Arial"/>
          <w:sz w:val="28"/>
          <w:szCs w:val="28"/>
          <w:highlight w:val="none"/>
          <w:lang w:eastAsia="zh-CN"/>
        </w:rPr>
        <w:t>＝1094</w:t>
      </w:r>
      <w:r>
        <w:rPr>
          <w:rFonts w:hint="eastAsia" w:ascii="Arial" w:hAnsi="Arial" w:eastAsia="仿宋_GB2312" w:cs="Arial"/>
          <w:sz w:val="28"/>
          <w:szCs w:val="28"/>
          <w:highlight w:val="none"/>
          <w:lang w:val="en-US" w:eastAsia="zh-CN"/>
        </w:rPr>
        <w:t>2</w:t>
      </w:r>
      <w:r>
        <w:rPr>
          <w:rFonts w:ascii="Arial" w:hAnsi="Arial" w:eastAsia="仿宋_GB2312" w:cs="Arial"/>
          <w:sz w:val="28"/>
          <w:highlight w:val="none"/>
        </w:rPr>
        <w:t>（元/平方米）</w:t>
      </w:r>
    </w:p>
    <w:p w14:paraId="58A5BA87">
      <w:pPr>
        <w:spacing w:line="300" w:lineRule="auto"/>
        <w:ind w:firstLine="556"/>
        <w:jc w:val="both"/>
        <w:rPr>
          <w:rFonts w:hint="eastAsia" w:ascii="Arial" w:hAnsi="Arial" w:eastAsia="仿宋_GB2312" w:cs="Arial"/>
          <w:sz w:val="28"/>
          <w:highlight w:val="none"/>
          <w:lang w:eastAsia="zh-CN"/>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2</w:t>
      </w:r>
      <w:r>
        <w:rPr>
          <w:rFonts w:hint="eastAsia" w:ascii="Arial" w:hAnsi="Arial" w:eastAsia="仿宋_GB2312" w:cs="Arial"/>
          <w:sz w:val="28"/>
          <w:szCs w:val="28"/>
          <w:highlight w:val="none"/>
          <w:lang w:eastAsia="zh-CN"/>
        </w:rPr>
        <w:t>）</w:t>
      </w:r>
      <w:r>
        <w:rPr>
          <w:rFonts w:hint="eastAsia" w:ascii="Arial" w:hAnsi="Arial" w:eastAsia="仿宋" w:cs="Arial"/>
          <w:sz w:val="28"/>
          <w:highlight w:val="none"/>
        </w:rPr>
        <w:t>其他商业服务业用地</w:t>
      </w:r>
      <w:r>
        <w:rPr>
          <w:rFonts w:ascii="Arial" w:hAnsi="Arial" w:eastAsia="仿宋_GB2312" w:cs="Arial"/>
          <w:sz w:val="28"/>
          <w:szCs w:val="28"/>
          <w:highlight w:val="none"/>
        </w:rPr>
        <w:t>熟地价</w:t>
      </w:r>
      <w:r>
        <w:rPr>
          <w:rFonts w:hint="eastAsia" w:ascii="Arial" w:hAnsi="Arial" w:eastAsia="仿宋_GB2312" w:cs="Arial"/>
          <w:sz w:val="28"/>
          <w:szCs w:val="28"/>
          <w:highlight w:val="none"/>
          <w:lang w:eastAsia="zh-CN"/>
        </w:rPr>
        <w:t>楼面地价</w:t>
      </w:r>
    </w:p>
    <w:p w14:paraId="601E6A69">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 w:cs="Arial"/>
          <w:sz w:val="28"/>
          <w:highlight w:val="none"/>
        </w:rPr>
        <w:t>其他商业服务业用地</w:t>
      </w:r>
      <w:r>
        <w:rPr>
          <w:rFonts w:ascii="Arial" w:hAnsi="Arial" w:eastAsia="仿宋_GB2312" w:cs="Arial"/>
          <w:sz w:val="28"/>
          <w:szCs w:val="28"/>
          <w:highlight w:val="none"/>
        </w:rPr>
        <w:t>熟地价</w:t>
      </w:r>
      <w:r>
        <w:rPr>
          <w:rFonts w:hint="eastAsia" w:ascii="Arial" w:hAnsi="Arial" w:eastAsia="仿宋_GB2312" w:cs="Arial"/>
          <w:sz w:val="28"/>
          <w:szCs w:val="28"/>
          <w:highlight w:val="none"/>
          <w:lang w:eastAsia="zh-CN"/>
        </w:rPr>
        <w:t>楼面地价</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4762</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3</w:t>
      </w:r>
      <w:r>
        <w:rPr>
          <w:rFonts w:ascii="Arial" w:hAnsi="Arial" w:eastAsia="仿宋_GB2312" w:cs="Arial"/>
          <w:sz w:val="28"/>
          <w:highlight w:val="none"/>
        </w:rPr>
        <w:t>0</w:t>
      </w:r>
      <w:r>
        <w:rPr>
          <w:rFonts w:ascii="Arial" w:hAnsi="Arial" w:eastAsia="仿宋_GB2312" w:cs="Arial"/>
          <w:sz w:val="28"/>
          <w:szCs w:val="28"/>
          <w:highlight w:val="none"/>
        </w:rPr>
        <w:t>%</w:t>
      </w:r>
      <w:r>
        <w:rPr>
          <w:rFonts w:hint="eastAsia" w:ascii="Arial" w:hAnsi="Arial" w:eastAsia="仿宋_GB2312" w:cs="Arial"/>
          <w:sz w:val="28"/>
          <w:szCs w:val="28"/>
          <w:highlight w:val="none"/>
          <w:lang w:eastAsia="zh-CN"/>
        </w:rPr>
        <w:t>＋</w:t>
      </w:r>
      <w:r>
        <w:rPr>
          <w:rFonts w:hint="eastAsia" w:ascii="Arial" w:hAnsi="Arial" w:eastAsia="仿宋_GB2312" w:cs="Arial"/>
          <w:sz w:val="28"/>
          <w:highlight w:val="none"/>
        </w:rPr>
        <w:t xml:space="preserve"> </w:t>
      </w:r>
      <w:r>
        <w:rPr>
          <w:rFonts w:hint="eastAsia" w:ascii="Arial" w:hAnsi="Arial" w:eastAsia="仿宋_GB2312" w:cs="Arial"/>
          <w:sz w:val="28"/>
          <w:highlight w:val="none"/>
          <w:lang w:val="en-US" w:eastAsia="zh-CN"/>
        </w:rPr>
        <w:t>5524</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7</w:t>
      </w:r>
      <w:r>
        <w:rPr>
          <w:rFonts w:ascii="Arial" w:hAnsi="Arial" w:eastAsia="仿宋_GB2312" w:cs="Arial"/>
          <w:sz w:val="28"/>
          <w:highlight w:val="none"/>
        </w:rPr>
        <w:t>0</w:t>
      </w:r>
      <w:r>
        <w:rPr>
          <w:rFonts w:ascii="Arial" w:hAnsi="Arial" w:eastAsia="仿宋_GB2312" w:cs="Arial"/>
          <w:sz w:val="28"/>
          <w:szCs w:val="28"/>
          <w:highlight w:val="none"/>
        </w:rPr>
        <w:t>%</w:t>
      </w:r>
    </w:p>
    <w:p w14:paraId="5921EF45">
      <w:pPr>
        <w:adjustRightInd/>
        <w:spacing w:line="300" w:lineRule="auto"/>
        <w:ind w:firstLine="5040" w:firstLineChars="1800"/>
        <w:jc w:val="both"/>
        <w:rPr>
          <w:rFonts w:ascii="Arial" w:hAnsi="Arial" w:eastAsia="仿宋_GB2312" w:cs="Arial"/>
          <w:sz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5295</w:t>
      </w:r>
      <w:r>
        <w:rPr>
          <w:rFonts w:ascii="Arial" w:hAnsi="Arial" w:eastAsia="仿宋_GB2312" w:cs="Arial"/>
          <w:sz w:val="28"/>
          <w:highlight w:val="none"/>
        </w:rPr>
        <w:t>（元/平方米）</w:t>
      </w:r>
    </w:p>
    <w:p w14:paraId="440390A1">
      <w:pPr>
        <w:spacing w:line="300" w:lineRule="auto"/>
        <w:ind w:firstLine="556"/>
        <w:jc w:val="both"/>
        <w:rPr>
          <w:rFonts w:hint="eastAsia" w:ascii="Arial" w:hAnsi="Arial" w:eastAsia="仿宋_GB2312" w:cs="Arial"/>
          <w:sz w:val="28"/>
          <w:highlight w:val="none"/>
          <w:lang w:eastAsia="zh-CN"/>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3</w:t>
      </w:r>
      <w:r>
        <w:rPr>
          <w:rFonts w:hint="eastAsia" w:ascii="Arial" w:hAnsi="Arial" w:eastAsia="仿宋_GB2312" w:cs="Arial"/>
          <w:sz w:val="28"/>
          <w:szCs w:val="28"/>
          <w:highlight w:val="none"/>
          <w:lang w:eastAsia="zh-CN"/>
        </w:rPr>
        <w:t>）</w:t>
      </w:r>
      <w:r>
        <w:rPr>
          <w:rFonts w:hint="eastAsia" w:ascii="Arial" w:hAnsi="Arial" w:eastAsia="仿宋" w:cs="Arial"/>
          <w:sz w:val="28"/>
          <w:highlight w:val="none"/>
        </w:rPr>
        <w:t>公共管理与公共服务用地</w:t>
      </w:r>
      <w:r>
        <w:rPr>
          <w:rFonts w:ascii="Arial" w:hAnsi="Arial" w:eastAsia="仿宋_GB2312" w:cs="Arial"/>
          <w:sz w:val="28"/>
          <w:szCs w:val="28"/>
          <w:highlight w:val="none"/>
        </w:rPr>
        <w:t>熟地价</w:t>
      </w:r>
      <w:r>
        <w:rPr>
          <w:rFonts w:hint="eastAsia" w:ascii="Arial" w:hAnsi="Arial" w:eastAsia="仿宋_GB2312" w:cs="Arial"/>
          <w:sz w:val="28"/>
          <w:szCs w:val="28"/>
          <w:highlight w:val="none"/>
          <w:lang w:eastAsia="zh-CN"/>
        </w:rPr>
        <w:t>楼面地价</w:t>
      </w:r>
    </w:p>
    <w:p w14:paraId="250C425E">
      <w:pPr>
        <w:adjustRightInd/>
        <w:spacing w:line="300" w:lineRule="auto"/>
        <w:ind w:firstLine="560" w:firstLineChars="200"/>
        <w:jc w:val="both"/>
        <w:rPr>
          <w:rFonts w:ascii="Arial" w:hAnsi="Arial" w:eastAsia="仿宋_GB2312" w:cs="Arial"/>
          <w:sz w:val="28"/>
          <w:szCs w:val="28"/>
          <w:highlight w:val="none"/>
        </w:rPr>
      </w:pPr>
      <w:r>
        <w:rPr>
          <w:rFonts w:hint="eastAsia" w:ascii="Arial" w:hAnsi="Arial" w:eastAsia="仿宋" w:cs="Arial"/>
          <w:sz w:val="28"/>
          <w:highlight w:val="none"/>
        </w:rPr>
        <w:t>公共管理与公共服务用地</w:t>
      </w:r>
      <w:r>
        <w:rPr>
          <w:rFonts w:ascii="Arial" w:hAnsi="Arial" w:eastAsia="仿宋_GB2312" w:cs="Arial"/>
          <w:sz w:val="28"/>
          <w:szCs w:val="28"/>
          <w:highlight w:val="none"/>
        </w:rPr>
        <w:t>熟地价</w:t>
      </w:r>
      <w:r>
        <w:rPr>
          <w:rFonts w:hint="eastAsia" w:ascii="Arial" w:hAnsi="Arial" w:eastAsia="仿宋_GB2312" w:cs="Arial"/>
          <w:sz w:val="28"/>
          <w:szCs w:val="28"/>
          <w:highlight w:val="none"/>
          <w:lang w:eastAsia="zh-CN"/>
        </w:rPr>
        <w:t>楼面地价</w:t>
      </w:r>
      <w:r>
        <w:rPr>
          <w:rFonts w:hint="eastAsia" w:ascii="Arial" w:hAnsi="Arial" w:eastAsia="仿宋_GB2312" w:cs="Arial"/>
          <w:sz w:val="28"/>
          <w:highlight w:val="none"/>
          <w:lang w:eastAsia="zh-CN"/>
        </w:rPr>
        <w:t>＝</w:t>
      </w:r>
      <w:r>
        <w:rPr>
          <w:rFonts w:hint="eastAsia" w:ascii="Arial" w:hAnsi="Arial" w:eastAsia="仿宋_GB2312" w:cs="Arial"/>
          <w:sz w:val="28"/>
          <w:highlight w:val="none"/>
          <w:lang w:val="en-US" w:eastAsia="zh-CN"/>
        </w:rPr>
        <w:t>3197</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5</w:t>
      </w:r>
      <w:r>
        <w:rPr>
          <w:rFonts w:ascii="Arial" w:hAnsi="Arial" w:eastAsia="仿宋_GB2312" w:cs="Arial"/>
          <w:sz w:val="28"/>
          <w:highlight w:val="none"/>
        </w:rPr>
        <w:t>0</w:t>
      </w:r>
      <w:r>
        <w:rPr>
          <w:rFonts w:ascii="Arial" w:hAnsi="Arial" w:eastAsia="仿宋_GB2312" w:cs="Arial"/>
          <w:sz w:val="28"/>
          <w:szCs w:val="28"/>
          <w:highlight w:val="none"/>
        </w:rPr>
        <w:t>%</w:t>
      </w:r>
      <w:r>
        <w:rPr>
          <w:rFonts w:hint="eastAsia" w:ascii="Arial" w:hAnsi="Arial" w:eastAsia="仿宋_GB2312" w:cs="Arial"/>
          <w:sz w:val="28"/>
          <w:szCs w:val="28"/>
          <w:highlight w:val="none"/>
          <w:lang w:eastAsia="zh-CN"/>
        </w:rPr>
        <w:t>＋</w:t>
      </w:r>
      <w:r>
        <w:rPr>
          <w:rFonts w:hint="eastAsia" w:ascii="Arial" w:hAnsi="Arial" w:eastAsia="仿宋_GB2312" w:cs="Arial"/>
          <w:sz w:val="28"/>
          <w:highlight w:val="none"/>
        </w:rPr>
        <w:t xml:space="preserve"> </w:t>
      </w:r>
      <w:r>
        <w:rPr>
          <w:rFonts w:hint="eastAsia" w:ascii="Arial" w:hAnsi="Arial" w:eastAsia="仿宋_GB2312" w:cs="Arial"/>
          <w:sz w:val="28"/>
          <w:highlight w:val="none"/>
          <w:lang w:val="en-US" w:eastAsia="zh-CN"/>
        </w:rPr>
        <w:t>3301</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5</w:t>
      </w:r>
      <w:r>
        <w:rPr>
          <w:rFonts w:ascii="Arial" w:hAnsi="Arial" w:eastAsia="仿宋_GB2312" w:cs="Arial"/>
          <w:sz w:val="28"/>
          <w:highlight w:val="none"/>
        </w:rPr>
        <w:t>0</w:t>
      </w:r>
      <w:r>
        <w:rPr>
          <w:rFonts w:ascii="Arial" w:hAnsi="Arial" w:eastAsia="仿宋_GB2312" w:cs="Arial"/>
          <w:sz w:val="28"/>
          <w:szCs w:val="28"/>
          <w:highlight w:val="none"/>
        </w:rPr>
        <w:t>%</w:t>
      </w:r>
    </w:p>
    <w:p w14:paraId="25830140">
      <w:pPr>
        <w:adjustRightInd/>
        <w:spacing w:line="300" w:lineRule="auto"/>
        <w:ind w:firstLine="5600" w:firstLineChars="2000"/>
        <w:jc w:val="both"/>
        <w:rPr>
          <w:rFonts w:ascii="Arial" w:hAnsi="Arial" w:eastAsia="仿宋_GB2312" w:cs="Arial"/>
          <w:sz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3249</w:t>
      </w:r>
      <w:r>
        <w:rPr>
          <w:rFonts w:ascii="Arial" w:hAnsi="Arial" w:eastAsia="仿宋_GB2312" w:cs="Arial"/>
          <w:sz w:val="28"/>
          <w:highlight w:val="none"/>
        </w:rPr>
        <w:t>（元/平方米）</w:t>
      </w:r>
    </w:p>
    <w:p w14:paraId="5E2E90E2">
      <w:pPr>
        <w:adjustRightInd/>
        <w:spacing w:line="300" w:lineRule="auto"/>
        <w:ind w:firstLine="560" w:firstLineChars="200"/>
        <w:jc w:val="both"/>
        <w:rPr>
          <w:rFonts w:ascii="Arial" w:hAnsi="Arial" w:eastAsia="仿宋_GB2312" w:cs="Arial"/>
          <w:sz w:val="28"/>
          <w:highlight w:val="none"/>
        </w:rPr>
      </w:pPr>
      <w:r>
        <w:rPr>
          <w:rFonts w:ascii="Arial" w:hAnsi="Arial" w:eastAsia="仿宋_GB2312" w:cs="Arial"/>
          <w:sz w:val="28"/>
          <w:highlight w:val="none"/>
        </w:rPr>
        <w:t>如下图所示：</w:t>
      </w:r>
    </w:p>
    <w:tbl>
      <w:tblPr>
        <w:tblStyle w:val="34"/>
        <w:tblW w:w="4998" w:type="pct"/>
        <w:jc w:val="center"/>
        <w:tblLayout w:type="autofit"/>
        <w:tblCellMar>
          <w:top w:w="57" w:type="dxa"/>
          <w:left w:w="28" w:type="dxa"/>
          <w:bottom w:w="57" w:type="dxa"/>
          <w:right w:w="28" w:type="dxa"/>
        </w:tblCellMar>
      </w:tblPr>
      <w:tblGrid>
        <w:gridCol w:w="1323"/>
        <w:gridCol w:w="2353"/>
        <w:gridCol w:w="1911"/>
        <w:gridCol w:w="1218"/>
        <w:gridCol w:w="2601"/>
      </w:tblGrid>
      <w:tr w14:paraId="291CE8C0">
        <w:trPr>
          <w:cantSplit/>
          <w:jc w:val="center"/>
        </w:trPr>
        <w:tc>
          <w:tcPr>
            <w:tcW w:w="703" w:type="pct"/>
            <w:tcBorders>
              <w:top w:val="single" w:color="auto" w:sz="4" w:space="0"/>
              <w:left w:val="single" w:color="auto" w:sz="4" w:space="0"/>
              <w:bottom w:val="single" w:color="auto" w:sz="4" w:space="0"/>
              <w:right w:val="single" w:color="auto" w:sz="4" w:space="0"/>
            </w:tcBorders>
            <w:shd w:val="clear" w:color="auto" w:fill="auto"/>
            <w:vAlign w:val="center"/>
          </w:tcPr>
          <w:p w14:paraId="3B79052B">
            <w:pPr>
              <w:widowControl/>
              <w:adjustRightInd/>
              <w:spacing w:line="240" w:lineRule="atLeast"/>
              <w:jc w:val="center"/>
              <w:textAlignment w:val="auto"/>
              <w:rPr>
                <w:rFonts w:ascii="Arial" w:hAnsi="Arial" w:cs="Arial"/>
                <w:b/>
                <w:bCs/>
                <w:szCs w:val="24"/>
                <w:highlight w:val="none"/>
              </w:rPr>
            </w:pPr>
            <w:r>
              <w:rPr>
                <w:rFonts w:ascii="Arial" w:hAnsi="Arial" w:eastAsia="仿宋_GB2312" w:cs="Arial"/>
                <w:b/>
                <w:bCs/>
                <w:szCs w:val="24"/>
                <w:highlight w:val="none"/>
              </w:rPr>
              <w:t>用途</w:t>
            </w:r>
          </w:p>
        </w:tc>
        <w:tc>
          <w:tcPr>
            <w:tcW w:w="1250" w:type="pct"/>
            <w:tcBorders>
              <w:top w:val="single" w:color="auto" w:sz="4" w:space="0"/>
              <w:left w:val="nil"/>
              <w:bottom w:val="single" w:color="auto" w:sz="4" w:space="0"/>
              <w:right w:val="single" w:color="auto" w:sz="4" w:space="0"/>
            </w:tcBorders>
            <w:shd w:val="clear" w:color="auto" w:fill="auto"/>
            <w:vAlign w:val="center"/>
          </w:tcPr>
          <w:p w14:paraId="2CC81F02">
            <w:pPr>
              <w:widowControl/>
              <w:adjustRightInd/>
              <w:spacing w:line="240" w:lineRule="atLeast"/>
              <w:jc w:val="center"/>
              <w:textAlignment w:val="auto"/>
              <w:rPr>
                <w:rFonts w:ascii="Arial" w:hAnsi="Arial" w:cs="Arial"/>
                <w:b/>
                <w:bCs/>
                <w:szCs w:val="24"/>
                <w:highlight w:val="none"/>
              </w:rPr>
            </w:pPr>
            <w:r>
              <w:rPr>
                <w:rFonts w:ascii="Arial" w:hAnsi="Arial" w:eastAsia="仿宋_GB2312" w:cs="Arial"/>
                <w:b/>
                <w:bCs/>
                <w:szCs w:val="24"/>
                <w:highlight w:val="none"/>
              </w:rPr>
              <w:t>方法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145A6825">
            <w:pPr>
              <w:widowControl/>
              <w:adjustRightInd/>
              <w:spacing w:line="240" w:lineRule="atLeast"/>
              <w:jc w:val="center"/>
              <w:textAlignment w:val="auto"/>
              <w:rPr>
                <w:rFonts w:hint="eastAsia" w:ascii="Arial" w:hAnsi="Arial" w:eastAsia="仿宋_GB2312" w:cs="Arial"/>
                <w:b/>
                <w:bCs/>
                <w:szCs w:val="24"/>
                <w:highlight w:val="none"/>
                <w:lang w:eastAsia="zh-CN"/>
              </w:rPr>
            </w:pPr>
            <w:r>
              <w:rPr>
                <w:rFonts w:ascii="Arial" w:hAnsi="Arial" w:eastAsia="仿宋_GB2312" w:cs="Arial"/>
                <w:b/>
                <w:bCs/>
                <w:szCs w:val="24"/>
                <w:highlight w:val="none"/>
              </w:rPr>
              <w:t>熟地价</w:t>
            </w:r>
            <w:r>
              <w:rPr>
                <w:rFonts w:hint="eastAsia" w:ascii="Arial" w:hAnsi="Arial" w:eastAsia="仿宋_GB2312" w:cs="Arial"/>
                <w:b/>
                <w:bCs/>
                <w:szCs w:val="24"/>
                <w:highlight w:val="none"/>
                <w:lang w:eastAsia="zh-CN"/>
              </w:rPr>
              <w:t>楼面地价</w:t>
            </w:r>
          </w:p>
          <w:p w14:paraId="6B5A13CD">
            <w:pPr>
              <w:widowControl/>
              <w:adjustRightInd/>
              <w:spacing w:line="240" w:lineRule="atLeast"/>
              <w:jc w:val="center"/>
              <w:textAlignment w:val="auto"/>
              <w:rPr>
                <w:rFonts w:ascii="Arial" w:hAnsi="Arial" w:cs="Arial"/>
                <w:b/>
                <w:bCs/>
                <w:szCs w:val="24"/>
                <w:highlight w:val="none"/>
              </w:rPr>
            </w:pPr>
            <w:r>
              <w:rPr>
                <w:rFonts w:ascii="Arial" w:hAnsi="Arial" w:eastAsia="仿宋_GB2312" w:cs="Arial"/>
                <w:b/>
                <w:bCs/>
                <w:szCs w:val="24"/>
                <w:highlight w:val="none"/>
              </w:rPr>
              <w:t>（元/平方米）</w:t>
            </w:r>
          </w:p>
        </w:tc>
        <w:tc>
          <w:tcPr>
            <w:tcW w:w="647" w:type="pct"/>
            <w:tcBorders>
              <w:top w:val="single" w:color="auto" w:sz="4" w:space="0"/>
              <w:left w:val="nil"/>
              <w:bottom w:val="single" w:color="auto" w:sz="4" w:space="0"/>
              <w:right w:val="single" w:color="auto" w:sz="4" w:space="0"/>
            </w:tcBorders>
            <w:shd w:val="clear" w:color="auto" w:fill="auto"/>
            <w:vAlign w:val="center"/>
          </w:tcPr>
          <w:p w14:paraId="79B6A0CC">
            <w:pPr>
              <w:widowControl/>
              <w:adjustRightInd/>
              <w:spacing w:line="240" w:lineRule="atLeast"/>
              <w:jc w:val="center"/>
              <w:textAlignment w:val="auto"/>
              <w:rPr>
                <w:rFonts w:ascii="Arial" w:hAnsi="Arial" w:cs="Arial"/>
                <w:b/>
                <w:bCs/>
                <w:szCs w:val="24"/>
                <w:highlight w:val="none"/>
              </w:rPr>
            </w:pPr>
            <w:r>
              <w:rPr>
                <w:rFonts w:ascii="Arial" w:hAnsi="Arial" w:eastAsia="仿宋_GB2312" w:cs="Arial"/>
                <w:b/>
                <w:bCs/>
                <w:szCs w:val="24"/>
                <w:highlight w:val="none"/>
              </w:rPr>
              <w:t>权重</w:t>
            </w:r>
          </w:p>
        </w:tc>
        <w:tc>
          <w:tcPr>
            <w:tcW w:w="1382" w:type="pct"/>
            <w:tcBorders>
              <w:top w:val="single" w:color="auto" w:sz="4" w:space="0"/>
              <w:left w:val="nil"/>
              <w:bottom w:val="single" w:color="auto" w:sz="4" w:space="0"/>
              <w:right w:val="single" w:color="auto" w:sz="4" w:space="0"/>
            </w:tcBorders>
            <w:shd w:val="clear" w:color="auto" w:fill="auto"/>
            <w:vAlign w:val="center"/>
          </w:tcPr>
          <w:p w14:paraId="6E439FBA">
            <w:pPr>
              <w:widowControl/>
              <w:adjustRightInd/>
              <w:spacing w:line="240" w:lineRule="atLeast"/>
              <w:jc w:val="center"/>
              <w:textAlignment w:val="auto"/>
              <w:rPr>
                <w:rFonts w:hint="eastAsia" w:ascii="Arial" w:hAnsi="Arial" w:eastAsia="仿宋_GB2312" w:cs="Arial"/>
                <w:b/>
                <w:bCs/>
                <w:szCs w:val="24"/>
                <w:highlight w:val="none"/>
                <w:lang w:eastAsia="zh-CN"/>
              </w:rPr>
            </w:pPr>
            <w:r>
              <w:rPr>
                <w:rFonts w:ascii="Arial" w:hAnsi="Arial" w:eastAsia="仿宋_GB2312" w:cs="Arial"/>
                <w:b/>
                <w:bCs/>
                <w:szCs w:val="24"/>
                <w:highlight w:val="none"/>
              </w:rPr>
              <w:t>权重后熟地价</w:t>
            </w:r>
            <w:r>
              <w:rPr>
                <w:rFonts w:hint="eastAsia" w:ascii="Arial" w:hAnsi="Arial" w:eastAsia="仿宋_GB2312" w:cs="Arial"/>
                <w:b/>
                <w:bCs/>
                <w:szCs w:val="24"/>
                <w:highlight w:val="none"/>
                <w:lang w:eastAsia="zh-CN"/>
              </w:rPr>
              <w:t>楼面地价</w:t>
            </w:r>
          </w:p>
          <w:p w14:paraId="335398E2">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（元/平方米）</w:t>
            </w:r>
          </w:p>
        </w:tc>
      </w:tr>
      <w:tr w14:paraId="3F0737F4">
        <w:tblPrEx>
          <w:tblCellMar>
            <w:top w:w="57" w:type="dxa"/>
            <w:left w:w="28" w:type="dxa"/>
            <w:bottom w:w="57" w:type="dxa"/>
            <w:right w:w="28" w:type="dxa"/>
          </w:tblCellMar>
        </w:tblPrEx>
        <w:trPr>
          <w:cantSplit/>
          <w:jc w:val="center"/>
        </w:trPr>
        <w:tc>
          <w:tcPr>
            <w:tcW w:w="703" w:type="pct"/>
            <w:vMerge w:val="restart"/>
            <w:tcBorders>
              <w:top w:val="nil"/>
              <w:left w:val="single" w:color="auto" w:sz="4" w:space="0"/>
              <w:bottom w:val="single" w:color="auto" w:sz="4" w:space="0"/>
              <w:right w:val="single" w:color="auto" w:sz="4" w:space="0"/>
            </w:tcBorders>
            <w:shd w:val="clear" w:color="auto" w:fill="auto"/>
            <w:vAlign w:val="center"/>
          </w:tcPr>
          <w:p w14:paraId="5519CEA3">
            <w:pPr>
              <w:widowControl/>
              <w:adjustRightInd/>
              <w:spacing w:line="240" w:lineRule="atLeast"/>
              <w:jc w:val="center"/>
              <w:textAlignment w:val="auto"/>
              <w:rPr>
                <w:rFonts w:ascii="Arial" w:hAnsi="Arial" w:cs="Arial"/>
                <w:szCs w:val="24"/>
                <w:highlight w:val="none"/>
              </w:rPr>
            </w:pPr>
            <w:r>
              <w:rPr>
                <w:rFonts w:hint="eastAsia" w:ascii="Arial" w:hAnsi="Arial" w:eastAsia="仿宋_GB2312" w:cs="Arial"/>
                <w:szCs w:val="24"/>
                <w:highlight w:val="none"/>
                <w:lang w:eastAsia="zh-CN"/>
              </w:rPr>
              <w:t>城镇住宅用地</w:t>
            </w:r>
          </w:p>
        </w:tc>
        <w:tc>
          <w:tcPr>
            <w:tcW w:w="1250" w:type="pct"/>
            <w:tcBorders>
              <w:top w:val="nil"/>
              <w:left w:val="nil"/>
              <w:bottom w:val="single" w:color="auto" w:sz="4" w:space="0"/>
              <w:right w:val="single" w:color="auto" w:sz="4" w:space="0"/>
            </w:tcBorders>
            <w:shd w:val="clear" w:color="auto" w:fill="auto"/>
            <w:vAlign w:val="center"/>
          </w:tcPr>
          <w:p w14:paraId="5A192897">
            <w:pPr>
              <w:widowControl/>
              <w:adjustRightInd/>
              <w:spacing w:line="240" w:lineRule="atLeast"/>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1015" w:type="pct"/>
            <w:tcBorders>
              <w:top w:val="nil"/>
              <w:left w:val="nil"/>
              <w:bottom w:val="single" w:color="auto" w:sz="4" w:space="0"/>
              <w:right w:val="single" w:color="auto" w:sz="4" w:space="0"/>
            </w:tcBorders>
            <w:shd w:val="clear" w:color="auto" w:fill="auto"/>
            <w:vAlign w:val="center"/>
          </w:tcPr>
          <w:p w14:paraId="12371FD8">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6689</w:t>
            </w:r>
          </w:p>
        </w:tc>
        <w:tc>
          <w:tcPr>
            <w:tcW w:w="647" w:type="pct"/>
            <w:tcBorders>
              <w:top w:val="nil"/>
              <w:left w:val="nil"/>
              <w:bottom w:val="single" w:color="auto" w:sz="4" w:space="0"/>
              <w:right w:val="single" w:color="auto" w:sz="4" w:space="0"/>
            </w:tcBorders>
            <w:shd w:val="clear" w:color="auto" w:fill="auto"/>
            <w:vAlign w:val="center"/>
          </w:tcPr>
          <w:p w14:paraId="67CD6607">
            <w:pPr>
              <w:widowControl/>
              <w:adjustRightInd/>
              <w:spacing w:line="240" w:lineRule="atLeast"/>
              <w:jc w:val="center"/>
              <w:textAlignment w:val="auto"/>
              <w:rPr>
                <w:rFonts w:ascii="Arial" w:hAnsi="Arial" w:cs="Arial"/>
                <w:szCs w:val="24"/>
                <w:highlight w:val="none"/>
              </w:rPr>
            </w:pPr>
            <w:r>
              <w:rPr>
                <w:rFonts w:ascii="Arial" w:hAnsi="Arial" w:cs="Arial"/>
                <w:szCs w:val="24"/>
                <w:highlight w:val="none"/>
              </w:rPr>
              <w:t>30.00%</w:t>
            </w:r>
          </w:p>
        </w:tc>
        <w:tc>
          <w:tcPr>
            <w:tcW w:w="1382" w:type="pct"/>
            <w:vMerge w:val="restart"/>
            <w:tcBorders>
              <w:top w:val="nil"/>
              <w:left w:val="single" w:color="auto" w:sz="4" w:space="0"/>
              <w:bottom w:val="single" w:color="000000" w:sz="4" w:space="0"/>
              <w:right w:val="single" w:color="auto" w:sz="4" w:space="0"/>
            </w:tcBorders>
            <w:shd w:val="clear" w:color="auto" w:fill="auto"/>
            <w:vAlign w:val="center"/>
          </w:tcPr>
          <w:p w14:paraId="4DCFFC19">
            <w:pPr>
              <w:widowControl/>
              <w:adjustRightInd/>
              <w:spacing w:line="240" w:lineRule="atLeast"/>
              <w:jc w:val="center"/>
              <w:textAlignment w:val="auto"/>
              <w:rPr>
                <w:rFonts w:hint="default" w:ascii="Arial" w:hAnsi="Arial" w:eastAsia="宋体" w:cs="Arial"/>
                <w:b/>
                <w:szCs w:val="24"/>
                <w:highlight w:val="none"/>
                <w:lang w:val="en-US" w:eastAsia="zh-CN"/>
              </w:rPr>
            </w:pPr>
            <w:r>
              <w:rPr>
                <w:rFonts w:hint="eastAsia" w:ascii="Arial" w:hAnsi="Arial" w:cs="Arial"/>
                <w:b/>
                <w:szCs w:val="24"/>
                <w:highlight w:val="none"/>
                <w:lang w:eastAsia="zh-CN"/>
              </w:rPr>
              <w:t>1094</w:t>
            </w:r>
            <w:r>
              <w:rPr>
                <w:rFonts w:hint="eastAsia" w:ascii="Arial" w:hAnsi="Arial" w:cs="Arial"/>
                <w:b/>
                <w:szCs w:val="24"/>
                <w:highlight w:val="none"/>
                <w:lang w:val="en-US" w:eastAsia="zh-CN"/>
              </w:rPr>
              <w:t>2</w:t>
            </w:r>
          </w:p>
        </w:tc>
      </w:tr>
      <w:tr w14:paraId="7EB80A85">
        <w:tblPrEx>
          <w:tblCellMar>
            <w:top w:w="57" w:type="dxa"/>
            <w:left w:w="28" w:type="dxa"/>
            <w:bottom w:w="57" w:type="dxa"/>
            <w:right w:w="28" w:type="dxa"/>
          </w:tblCellMar>
        </w:tblPrEx>
        <w:trPr>
          <w:cantSplit/>
          <w:jc w:val="center"/>
        </w:trPr>
        <w:tc>
          <w:tcPr>
            <w:tcW w:w="703" w:type="pct"/>
            <w:vMerge w:val="continue"/>
            <w:tcBorders>
              <w:top w:val="nil"/>
              <w:left w:val="single" w:color="auto" w:sz="4" w:space="0"/>
              <w:bottom w:val="single" w:color="auto" w:sz="4" w:space="0"/>
              <w:right w:val="single" w:color="auto" w:sz="4" w:space="0"/>
            </w:tcBorders>
            <w:vAlign w:val="center"/>
          </w:tcPr>
          <w:p w14:paraId="12FA628F">
            <w:pPr>
              <w:widowControl/>
              <w:adjustRightInd/>
              <w:spacing w:line="240" w:lineRule="atLeast"/>
              <w:textAlignment w:val="auto"/>
              <w:rPr>
                <w:rFonts w:ascii="Arial" w:hAnsi="Arial" w:cs="Arial"/>
                <w:szCs w:val="24"/>
                <w:highlight w:val="none"/>
              </w:rPr>
            </w:pPr>
          </w:p>
        </w:tc>
        <w:tc>
          <w:tcPr>
            <w:tcW w:w="1250" w:type="pct"/>
            <w:tcBorders>
              <w:top w:val="nil"/>
              <w:left w:val="nil"/>
              <w:bottom w:val="single" w:color="auto" w:sz="4" w:space="0"/>
              <w:right w:val="single" w:color="auto" w:sz="4" w:space="0"/>
            </w:tcBorders>
            <w:shd w:val="clear" w:color="auto" w:fill="auto"/>
            <w:vAlign w:val="center"/>
          </w:tcPr>
          <w:p w14:paraId="2AA3D667">
            <w:pPr>
              <w:widowControl/>
              <w:adjustRightInd/>
              <w:spacing w:line="240" w:lineRule="atLeast"/>
              <w:textAlignment w:val="auto"/>
              <w:rPr>
                <w:rFonts w:ascii="Arial" w:hAnsi="Arial" w:cs="Arial"/>
                <w:szCs w:val="24"/>
                <w:highlight w:val="none"/>
              </w:rPr>
            </w:pPr>
            <w:r>
              <w:rPr>
                <w:rFonts w:ascii="Arial" w:hAnsi="Arial" w:eastAsia="仿宋_GB2312" w:cs="Arial"/>
                <w:szCs w:val="24"/>
                <w:highlight w:val="none"/>
              </w:rPr>
              <w:t>剩余法</w:t>
            </w:r>
          </w:p>
        </w:tc>
        <w:tc>
          <w:tcPr>
            <w:tcW w:w="1015" w:type="pct"/>
            <w:tcBorders>
              <w:top w:val="nil"/>
              <w:left w:val="nil"/>
              <w:bottom w:val="single" w:color="auto" w:sz="4" w:space="0"/>
              <w:right w:val="single" w:color="auto" w:sz="4" w:space="0"/>
            </w:tcBorders>
            <w:shd w:val="clear" w:color="auto" w:fill="auto"/>
            <w:vAlign w:val="center"/>
          </w:tcPr>
          <w:p w14:paraId="6A64E7B6">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12765</w:t>
            </w:r>
          </w:p>
        </w:tc>
        <w:tc>
          <w:tcPr>
            <w:tcW w:w="647" w:type="pct"/>
            <w:tcBorders>
              <w:top w:val="nil"/>
              <w:left w:val="nil"/>
              <w:bottom w:val="single" w:color="auto" w:sz="4" w:space="0"/>
              <w:right w:val="single" w:color="auto" w:sz="4" w:space="0"/>
            </w:tcBorders>
            <w:shd w:val="clear" w:color="auto" w:fill="auto"/>
            <w:vAlign w:val="center"/>
          </w:tcPr>
          <w:p w14:paraId="3C1A1718">
            <w:pPr>
              <w:widowControl/>
              <w:adjustRightInd/>
              <w:spacing w:line="240" w:lineRule="atLeast"/>
              <w:jc w:val="center"/>
              <w:textAlignment w:val="auto"/>
              <w:rPr>
                <w:rFonts w:ascii="Arial" w:hAnsi="Arial" w:cs="Arial"/>
                <w:szCs w:val="24"/>
                <w:highlight w:val="none"/>
              </w:rPr>
            </w:pPr>
            <w:r>
              <w:rPr>
                <w:rFonts w:ascii="Arial" w:hAnsi="Arial" w:cs="Arial"/>
                <w:szCs w:val="24"/>
                <w:highlight w:val="none"/>
              </w:rPr>
              <w:t>70.00%</w:t>
            </w:r>
          </w:p>
        </w:tc>
        <w:tc>
          <w:tcPr>
            <w:tcW w:w="1382" w:type="pct"/>
            <w:vMerge w:val="continue"/>
            <w:tcBorders>
              <w:top w:val="nil"/>
              <w:left w:val="single" w:color="auto" w:sz="4" w:space="0"/>
              <w:bottom w:val="single" w:color="000000" w:sz="4" w:space="0"/>
              <w:right w:val="single" w:color="auto" w:sz="4" w:space="0"/>
            </w:tcBorders>
            <w:vAlign w:val="center"/>
          </w:tcPr>
          <w:p w14:paraId="4FF4D5B9">
            <w:pPr>
              <w:widowControl/>
              <w:adjustRightInd/>
              <w:spacing w:line="240" w:lineRule="atLeast"/>
              <w:textAlignment w:val="auto"/>
              <w:rPr>
                <w:rFonts w:ascii="Arial" w:hAnsi="Arial" w:cs="Arial"/>
                <w:b/>
                <w:szCs w:val="24"/>
                <w:highlight w:val="none"/>
              </w:rPr>
            </w:pPr>
          </w:p>
        </w:tc>
      </w:tr>
      <w:tr w14:paraId="292ECAB2">
        <w:tblPrEx>
          <w:tblCellMar>
            <w:top w:w="57" w:type="dxa"/>
            <w:left w:w="28" w:type="dxa"/>
            <w:bottom w:w="57" w:type="dxa"/>
            <w:right w:w="28" w:type="dxa"/>
          </w:tblCellMar>
        </w:tblPrEx>
        <w:trPr>
          <w:cantSplit/>
          <w:jc w:val="center"/>
        </w:trPr>
        <w:tc>
          <w:tcPr>
            <w:tcW w:w="703" w:type="pct"/>
            <w:vMerge w:val="restart"/>
            <w:tcBorders>
              <w:top w:val="nil"/>
              <w:left w:val="single" w:color="auto" w:sz="4" w:space="0"/>
              <w:bottom w:val="single" w:color="auto" w:sz="4" w:space="0"/>
              <w:right w:val="single" w:color="auto" w:sz="4" w:space="0"/>
            </w:tcBorders>
            <w:shd w:val="clear" w:color="auto" w:fill="auto"/>
            <w:vAlign w:val="center"/>
          </w:tcPr>
          <w:p w14:paraId="75789B3B">
            <w:pPr>
              <w:widowControl/>
              <w:adjustRightInd/>
              <w:spacing w:line="240" w:lineRule="atLeast"/>
              <w:jc w:val="center"/>
              <w:textAlignment w:val="auto"/>
              <w:rPr>
                <w:rFonts w:hint="eastAsia" w:ascii="Arial" w:hAnsi="Arial" w:eastAsia="宋体" w:cs="Arial"/>
                <w:szCs w:val="24"/>
                <w:highlight w:val="none"/>
                <w:lang w:eastAsia="zh-CN"/>
              </w:rPr>
            </w:pPr>
            <w:r>
              <w:rPr>
                <w:rFonts w:hint="eastAsia" w:ascii="Arial" w:hAnsi="Arial" w:eastAsia="仿宋_GB2312" w:cs="Arial"/>
                <w:szCs w:val="24"/>
                <w:highlight w:val="none"/>
                <w:lang w:eastAsia="zh-CN"/>
              </w:rPr>
              <w:t>其他商业服务业用地</w:t>
            </w:r>
          </w:p>
        </w:tc>
        <w:tc>
          <w:tcPr>
            <w:tcW w:w="1250" w:type="pct"/>
            <w:tcBorders>
              <w:top w:val="nil"/>
              <w:left w:val="nil"/>
              <w:bottom w:val="single" w:color="auto" w:sz="4" w:space="0"/>
              <w:right w:val="single" w:color="auto" w:sz="4" w:space="0"/>
            </w:tcBorders>
            <w:shd w:val="clear" w:color="auto" w:fill="auto"/>
            <w:vAlign w:val="center"/>
          </w:tcPr>
          <w:p w14:paraId="2EE81DA5">
            <w:pPr>
              <w:widowControl/>
              <w:adjustRightInd/>
              <w:spacing w:line="240" w:lineRule="atLeast"/>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1015" w:type="pct"/>
            <w:tcBorders>
              <w:top w:val="nil"/>
              <w:left w:val="nil"/>
              <w:bottom w:val="single" w:color="auto" w:sz="4" w:space="0"/>
              <w:right w:val="single" w:color="auto" w:sz="4" w:space="0"/>
            </w:tcBorders>
            <w:shd w:val="clear" w:color="auto" w:fill="auto"/>
            <w:vAlign w:val="center"/>
          </w:tcPr>
          <w:p w14:paraId="19C61C7C">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4762</w:t>
            </w:r>
          </w:p>
        </w:tc>
        <w:tc>
          <w:tcPr>
            <w:tcW w:w="647" w:type="pct"/>
            <w:tcBorders>
              <w:top w:val="nil"/>
              <w:left w:val="nil"/>
              <w:bottom w:val="single" w:color="auto" w:sz="4" w:space="0"/>
              <w:right w:val="single" w:color="auto" w:sz="4" w:space="0"/>
            </w:tcBorders>
            <w:shd w:val="clear" w:color="auto" w:fill="auto"/>
            <w:vAlign w:val="center"/>
          </w:tcPr>
          <w:p w14:paraId="603F76D8">
            <w:pPr>
              <w:widowControl/>
              <w:adjustRightInd/>
              <w:spacing w:line="240" w:lineRule="atLeast"/>
              <w:jc w:val="center"/>
              <w:textAlignment w:val="auto"/>
              <w:rPr>
                <w:rFonts w:ascii="Arial" w:hAnsi="Arial" w:cs="Arial"/>
                <w:szCs w:val="24"/>
                <w:highlight w:val="none"/>
              </w:rPr>
            </w:pPr>
            <w:r>
              <w:rPr>
                <w:rFonts w:hint="eastAsia" w:ascii="Arial" w:hAnsi="Arial" w:cs="Arial"/>
                <w:szCs w:val="24"/>
                <w:highlight w:val="none"/>
                <w:lang w:val="en-US" w:eastAsia="zh-CN"/>
              </w:rPr>
              <w:t>3</w:t>
            </w:r>
            <w:r>
              <w:rPr>
                <w:rFonts w:ascii="Arial" w:hAnsi="Arial" w:cs="Arial"/>
                <w:szCs w:val="24"/>
                <w:highlight w:val="none"/>
              </w:rPr>
              <w:t>0.00%</w:t>
            </w:r>
          </w:p>
        </w:tc>
        <w:tc>
          <w:tcPr>
            <w:tcW w:w="1382" w:type="pct"/>
            <w:vMerge w:val="restart"/>
            <w:tcBorders>
              <w:top w:val="nil"/>
              <w:left w:val="single" w:color="auto" w:sz="4" w:space="0"/>
              <w:bottom w:val="single" w:color="000000" w:sz="4" w:space="0"/>
              <w:right w:val="single" w:color="auto" w:sz="4" w:space="0"/>
            </w:tcBorders>
            <w:shd w:val="clear" w:color="auto" w:fill="auto"/>
            <w:vAlign w:val="center"/>
          </w:tcPr>
          <w:p w14:paraId="7DBF2657">
            <w:pPr>
              <w:widowControl/>
              <w:adjustRightInd/>
              <w:spacing w:line="240" w:lineRule="atLeast"/>
              <w:jc w:val="center"/>
              <w:textAlignment w:val="auto"/>
              <w:rPr>
                <w:rFonts w:hint="default" w:ascii="Arial" w:hAnsi="Arial" w:eastAsia="宋体" w:cs="Arial"/>
                <w:b/>
                <w:szCs w:val="24"/>
                <w:highlight w:val="none"/>
                <w:lang w:val="en-US" w:eastAsia="zh-CN"/>
              </w:rPr>
            </w:pPr>
            <w:r>
              <w:rPr>
                <w:rFonts w:hint="eastAsia" w:ascii="Arial" w:hAnsi="Arial" w:cs="Arial"/>
                <w:b/>
                <w:szCs w:val="24"/>
                <w:highlight w:val="none"/>
                <w:lang w:val="en-US" w:eastAsia="zh-CN"/>
              </w:rPr>
              <w:t>5295</w:t>
            </w:r>
          </w:p>
        </w:tc>
      </w:tr>
      <w:tr w14:paraId="6E8AECDD">
        <w:tblPrEx>
          <w:tblCellMar>
            <w:top w:w="57" w:type="dxa"/>
            <w:left w:w="28" w:type="dxa"/>
            <w:bottom w:w="57" w:type="dxa"/>
            <w:right w:w="28" w:type="dxa"/>
          </w:tblCellMar>
        </w:tblPrEx>
        <w:trPr>
          <w:cantSplit/>
          <w:jc w:val="center"/>
        </w:trPr>
        <w:tc>
          <w:tcPr>
            <w:tcW w:w="703" w:type="pct"/>
            <w:vMerge w:val="continue"/>
            <w:tcBorders>
              <w:top w:val="nil"/>
              <w:left w:val="single" w:color="auto" w:sz="4" w:space="0"/>
              <w:bottom w:val="single" w:color="auto" w:sz="4" w:space="0"/>
              <w:right w:val="single" w:color="auto" w:sz="4" w:space="0"/>
            </w:tcBorders>
            <w:vAlign w:val="center"/>
          </w:tcPr>
          <w:p w14:paraId="0322E882">
            <w:pPr>
              <w:widowControl/>
              <w:adjustRightInd/>
              <w:spacing w:line="240" w:lineRule="atLeast"/>
              <w:textAlignment w:val="auto"/>
              <w:rPr>
                <w:rFonts w:ascii="Arial" w:hAnsi="Arial" w:cs="Arial"/>
                <w:szCs w:val="24"/>
                <w:highlight w:val="none"/>
              </w:rPr>
            </w:pPr>
          </w:p>
        </w:tc>
        <w:tc>
          <w:tcPr>
            <w:tcW w:w="1250" w:type="pct"/>
            <w:tcBorders>
              <w:top w:val="nil"/>
              <w:left w:val="nil"/>
              <w:bottom w:val="single" w:color="auto" w:sz="4" w:space="0"/>
              <w:right w:val="single" w:color="auto" w:sz="4" w:space="0"/>
            </w:tcBorders>
            <w:shd w:val="clear" w:color="auto" w:fill="auto"/>
            <w:vAlign w:val="center"/>
          </w:tcPr>
          <w:p w14:paraId="6D3E6E88">
            <w:pPr>
              <w:widowControl/>
              <w:adjustRightInd/>
              <w:spacing w:line="240" w:lineRule="atLeast"/>
              <w:textAlignment w:val="auto"/>
              <w:rPr>
                <w:rFonts w:ascii="Arial" w:hAnsi="Arial" w:eastAsia="仿宋_GB2312" w:cs="Arial"/>
                <w:szCs w:val="24"/>
                <w:highlight w:val="none"/>
              </w:rPr>
            </w:pPr>
            <w:r>
              <w:rPr>
                <w:rFonts w:ascii="Arial" w:hAnsi="Arial" w:eastAsia="仿宋_GB2312" w:cs="Arial"/>
                <w:szCs w:val="24"/>
                <w:highlight w:val="none"/>
              </w:rPr>
              <w:t>剩余法</w:t>
            </w:r>
          </w:p>
        </w:tc>
        <w:tc>
          <w:tcPr>
            <w:tcW w:w="1015" w:type="pct"/>
            <w:tcBorders>
              <w:top w:val="nil"/>
              <w:left w:val="nil"/>
              <w:bottom w:val="single" w:color="auto" w:sz="4" w:space="0"/>
              <w:right w:val="single" w:color="auto" w:sz="4" w:space="0"/>
            </w:tcBorders>
            <w:shd w:val="clear" w:color="auto" w:fill="auto"/>
            <w:vAlign w:val="center"/>
          </w:tcPr>
          <w:p w14:paraId="0F23572A">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5524</w:t>
            </w:r>
          </w:p>
        </w:tc>
        <w:tc>
          <w:tcPr>
            <w:tcW w:w="647" w:type="pct"/>
            <w:tcBorders>
              <w:top w:val="nil"/>
              <w:left w:val="nil"/>
              <w:bottom w:val="single" w:color="auto" w:sz="4" w:space="0"/>
              <w:right w:val="single" w:color="auto" w:sz="4" w:space="0"/>
            </w:tcBorders>
            <w:shd w:val="clear" w:color="auto" w:fill="auto"/>
            <w:vAlign w:val="center"/>
          </w:tcPr>
          <w:p w14:paraId="59D3A51F">
            <w:pPr>
              <w:widowControl/>
              <w:adjustRightInd/>
              <w:spacing w:line="240" w:lineRule="atLeast"/>
              <w:jc w:val="center"/>
              <w:textAlignment w:val="auto"/>
              <w:rPr>
                <w:rFonts w:ascii="Arial" w:hAnsi="Arial" w:cs="Arial"/>
                <w:szCs w:val="24"/>
                <w:highlight w:val="none"/>
              </w:rPr>
            </w:pPr>
            <w:r>
              <w:rPr>
                <w:rFonts w:hint="eastAsia" w:ascii="Arial" w:hAnsi="Arial" w:cs="Arial"/>
                <w:szCs w:val="24"/>
                <w:highlight w:val="none"/>
                <w:lang w:val="en-US" w:eastAsia="zh-CN"/>
              </w:rPr>
              <w:t>7</w:t>
            </w:r>
            <w:r>
              <w:rPr>
                <w:rFonts w:ascii="Arial" w:hAnsi="Arial" w:cs="Arial"/>
                <w:szCs w:val="24"/>
                <w:highlight w:val="none"/>
              </w:rPr>
              <w:t>0.00%</w:t>
            </w:r>
          </w:p>
        </w:tc>
        <w:tc>
          <w:tcPr>
            <w:tcW w:w="1382" w:type="pct"/>
            <w:vMerge w:val="continue"/>
            <w:tcBorders>
              <w:top w:val="nil"/>
              <w:left w:val="single" w:color="auto" w:sz="4" w:space="0"/>
              <w:bottom w:val="single" w:color="auto" w:sz="4" w:space="0"/>
              <w:right w:val="single" w:color="auto" w:sz="4" w:space="0"/>
            </w:tcBorders>
            <w:vAlign w:val="center"/>
          </w:tcPr>
          <w:p w14:paraId="27727F50">
            <w:pPr>
              <w:widowControl/>
              <w:adjustRightInd/>
              <w:spacing w:line="240" w:lineRule="atLeast"/>
              <w:textAlignment w:val="auto"/>
              <w:rPr>
                <w:rFonts w:ascii="Arial" w:hAnsi="Arial" w:cs="Arial"/>
                <w:b/>
                <w:szCs w:val="24"/>
                <w:highlight w:val="none"/>
              </w:rPr>
            </w:pPr>
          </w:p>
        </w:tc>
      </w:tr>
      <w:tr w14:paraId="235984EE">
        <w:tblPrEx>
          <w:tblCellMar>
            <w:top w:w="57" w:type="dxa"/>
            <w:left w:w="28" w:type="dxa"/>
            <w:bottom w:w="57" w:type="dxa"/>
            <w:right w:w="28" w:type="dxa"/>
          </w:tblCellMar>
        </w:tblPrEx>
        <w:trPr>
          <w:cantSplit/>
          <w:jc w:val="center"/>
        </w:trPr>
        <w:tc>
          <w:tcPr>
            <w:tcW w:w="703" w:type="pct"/>
            <w:vMerge w:val="restart"/>
            <w:tcBorders>
              <w:top w:val="single" w:color="auto" w:sz="4" w:space="0"/>
              <w:left w:val="single" w:color="auto" w:sz="4" w:space="0"/>
              <w:bottom w:val="single" w:color="auto" w:sz="4" w:space="0"/>
              <w:right w:val="single" w:color="auto" w:sz="4" w:space="0"/>
            </w:tcBorders>
            <w:vAlign w:val="center"/>
          </w:tcPr>
          <w:p w14:paraId="62ADBB17">
            <w:pPr>
              <w:spacing w:line="240" w:lineRule="atLeast"/>
              <w:jc w:val="center"/>
              <w:rPr>
                <w:rFonts w:ascii="Arial" w:hAnsi="Arial" w:eastAsia="仿宋_GB2312" w:cs="Arial"/>
                <w:szCs w:val="24"/>
                <w:highlight w:val="none"/>
              </w:rPr>
            </w:pPr>
            <w:r>
              <w:rPr>
                <w:rFonts w:hint="eastAsia" w:ascii="Arial" w:hAnsi="Arial" w:eastAsia="仿宋_GB2312" w:cs="Arial"/>
                <w:szCs w:val="24"/>
                <w:highlight w:val="none"/>
              </w:rPr>
              <w:t>公共管理与公共服务用地</w:t>
            </w:r>
          </w:p>
        </w:tc>
        <w:tc>
          <w:tcPr>
            <w:tcW w:w="1250" w:type="pct"/>
            <w:tcBorders>
              <w:top w:val="single" w:color="auto" w:sz="4" w:space="0"/>
              <w:left w:val="nil"/>
              <w:bottom w:val="single" w:color="auto" w:sz="4" w:space="0"/>
              <w:right w:val="single" w:color="auto" w:sz="4" w:space="0"/>
            </w:tcBorders>
            <w:shd w:val="clear" w:color="auto" w:fill="auto"/>
            <w:vAlign w:val="center"/>
          </w:tcPr>
          <w:p w14:paraId="3DEF5545">
            <w:pPr>
              <w:widowControl/>
              <w:adjustRightInd/>
              <w:spacing w:line="240" w:lineRule="atLeast"/>
              <w:textAlignment w:val="auto"/>
              <w:rPr>
                <w:rFonts w:ascii="Arial" w:hAnsi="Arial" w:eastAsia="仿宋_GB2312" w:cs="Arial"/>
                <w:szCs w:val="24"/>
                <w:highlight w:val="none"/>
              </w:rPr>
            </w:pPr>
            <w:r>
              <w:rPr>
                <w:rFonts w:ascii="Arial" w:hAnsi="Arial" w:eastAsia="仿宋_GB2312" w:cs="Arial"/>
                <w:szCs w:val="24"/>
                <w:highlight w:val="none"/>
              </w:rPr>
              <w:t>基准地价系数修正法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21A711D5">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3197</w:t>
            </w:r>
          </w:p>
        </w:tc>
        <w:tc>
          <w:tcPr>
            <w:tcW w:w="647" w:type="pct"/>
            <w:tcBorders>
              <w:top w:val="single" w:color="auto" w:sz="4" w:space="0"/>
              <w:left w:val="nil"/>
              <w:bottom w:val="single" w:color="auto" w:sz="4" w:space="0"/>
              <w:right w:val="single" w:color="auto" w:sz="4" w:space="0"/>
            </w:tcBorders>
            <w:shd w:val="clear" w:color="auto" w:fill="auto"/>
            <w:vAlign w:val="center"/>
          </w:tcPr>
          <w:p w14:paraId="2163E316">
            <w:pPr>
              <w:widowControl/>
              <w:adjustRightInd/>
              <w:spacing w:line="240" w:lineRule="atLeast"/>
              <w:jc w:val="center"/>
              <w:textAlignment w:val="auto"/>
              <w:rPr>
                <w:rFonts w:ascii="Arial" w:hAnsi="Arial" w:cs="Arial"/>
                <w:szCs w:val="24"/>
                <w:highlight w:val="none"/>
              </w:rPr>
            </w:pPr>
            <w:r>
              <w:rPr>
                <w:rFonts w:ascii="Arial" w:hAnsi="Arial" w:cs="Arial"/>
                <w:szCs w:val="24"/>
                <w:highlight w:val="none"/>
              </w:rPr>
              <w:t>50.00%</w:t>
            </w:r>
          </w:p>
        </w:tc>
        <w:tc>
          <w:tcPr>
            <w:tcW w:w="1382" w:type="pct"/>
            <w:vMerge w:val="restart"/>
            <w:tcBorders>
              <w:top w:val="single" w:color="auto" w:sz="4" w:space="0"/>
              <w:left w:val="single" w:color="auto" w:sz="4" w:space="0"/>
              <w:bottom w:val="single" w:color="auto" w:sz="4" w:space="0"/>
              <w:right w:val="single" w:color="auto" w:sz="4" w:space="0"/>
            </w:tcBorders>
            <w:vAlign w:val="center"/>
          </w:tcPr>
          <w:p w14:paraId="100B7A25">
            <w:pPr>
              <w:spacing w:line="240" w:lineRule="atLeast"/>
              <w:jc w:val="center"/>
              <w:rPr>
                <w:rFonts w:hint="default" w:ascii="Arial" w:hAnsi="Arial" w:eastAsia="宋体" w:cs="Arial"/>
                <w:b/>
                <w:szCs w:val="24"/>
                <w:highlight w:val="none"/>
                <w:lang w:val="en-US" w:eastAsia="zh-CN"/>
              </w:rPr>
            </w:pPr>
            <w:r>
              <w:rPr>
                <w:rFonts w:hint="eastAsia" w:ascii="Arial" w:hAnsi="Arial" w:cs="Arial"/>
                <w:b/>
                <w:szCs w:val="24"/>
                <w:highlight w:val="none"/>
                <w:lang w:eastAsia="zh-CN"/>
              </w:rPr>
              <w:t>3</w:t>
            </w:r>
            <w:r>
              <w:rPr>
                <w:rFonts w:hint="eastAsia" w:ascii="Arial" w:hAnsi="Arial" w:cs="Arial"/>
                <w:b/>
                <w:szCs w:val="24"/>
                <w:highlight w:val="none"/>
                <w:lang w:val="en-US" w:eastAsia="zh-CN"/>
              </w:rPr>
              <w:t>249</w:t>
            </w:r>
          </w:p>
        </w:tc>
      </w:tr>
      <w:tr w14:paraId="0827D2C6">
        <w:tblPrEx>
          <w:tblCellMar>
            <w:top w:w="57" w:type="dxa"/>
            <w:left w:w="28" w:type="dxa"/>
            <w:bottom w:w="57" w:type="dxa"/>
            <w:right w:w="28" w:type="dxa"/>
          </w:tblCellMar>
        </w:tblPrEx>
        <w:trPr>
          <w:cantSplit/>
          <w:jc w:val="center"/>
        </w:trPr>
        <w:tc>
          <w:tcPr>
            <w:tcW w:w="703" w:type="pct"/>
            <w:vMerge w:val="continue"/>
            <w:tcBorders>
              <w:top w:val="single" w:color="auto" w:sz="4" w:space="0"/>
              <w:left w:val="single" w:color="auto" w:sz="4" w:space="0"/>
              <w:bottom w:val="single" w:color="auto" w:sz="4" w:space="0"/>
              <w:right w:val="single" w:color="auto" w:sz="4" w:space="0"/>
            </w:tcBorders>
            <w:vAlign w:val="center"/>
          </w:tcPr>
          <w:p w14:paraId="3C4D6DBC">
            <w:pPr>
              <w:widowControl/>
              <w:adjustRightInd/>
              <w:spacing w:line="240" w:lineRule="atLeast"/>
              <w:jc w:val="center"/>
              <w:textAlignment w:val="auto"/>
              <w:rPr>
                <w:rFonts w:ascii="Arial" w:hAnsi="Arial" w:eastAsia="仿宋_GB2312" w:cs="Arial"/>
                <w:szCs w:val="24"/>
                <w:highlight w:val="none"/>
              </w:rPr>
            </w:pPr>
          </w:p>
        </w:tc>
        <w:tc>
          <w:tcPr>
            <w:tcW w:w="1250" w:type="pct"/>
            <w:tcBorders>
              <w:top w:val="single" w:color="auto" w:sz="4" w:space="0"/>
              <w:left w:val="nil"/>
              <w:bottom w:val="single" w:color="auto" w:sz="4" w:space="0"/>
              <w:right w:val="single" w:color="auto" w:sz="4" w:space="0"/>
            </w:tcBorders>
            <w:shd w:val="clear" w:color="auto" w:fill="auto"/>
            <w:vAlign w:val="center"/>
          </w:tcPr>
          <w:p w14:paraId="0177A5E2">
            <w:pPr>
              <w:widowControl/>
              <w:adjustRightInd/>
              <w:spacing w:line="240" w:lineRule="atLeast"/>
              <w:textAlignment w:val="auto"/>
              <w:rPr>
                <w:rFonts w:ascii="Arial" w:hAnsi="Arial" w:eastAsia="仿宋_GB2312" w:cs="Arial"/>
                <w:szCs w:val="24"/>
                <w:highlight w:val="none"/>
              </w:rPr>
            </w:pPr>
            <w:r>
              <w:rPr>
                <w:rFonts w:ascii="Arial" w:hAnsi="Arial" w:eastAsia="仿宋_GB2312" w:cs="Arial"/>
                <w:szCs w:val="24"/>
                <w:highlight w:val="none"/>
              </w:rPr>
              <w:t>剩余法</w:t>
            </w:r>
          </w:p>
        </w:tc>
        <w:tc>
          <w:tcPr>
            <w:tcW w:w="1015" w:type="pct"/>
            <w:tcBorders>
              <w:top w:val="single" w:color="auto" w:sz="4" w:space="0"/>
              <w:left w:val="nil"/>
              <w:bottom w:val="single" w:color="auto" w:sz="4" w:space="0"/>
              <w:right w:val="single" w:color="auto" w:sz="4" w:space="0"/>
            </w:tcBorders>
            <w:shd w:val="clear" w:color="auto" w:fill="auto"/>
            <w:vAlign w:val="center"/>
          </w:tcPr>
          <w:p w14:paraId="662387BF">
            <w:pPr>
              <w:widowControl/>
              <w:adjustRightInd/>
              <w:spacing w:line="240" w:lineRule="atLeast"/>
              <w:jc w:val="center"/>
              <w:textAlignment w:val="auto"/>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3301</w:t>
            </w:r>
          </w:p>
        </w:tc>
        <w:tc>
          <w:tcPr>
            <w:tcW w:w="647" w:type="pct"/>
            <w:tcBorders>
              <w:top w:val="single" w:color="auto" w:sz="4" w:space="0"/>
              <w:left w:val="nil"/>
              <w:bottom w:val="single" w:color="auto" w:sz="4" w:space="0"/>
              <w:right w:val="single" w:color="auto" w:sz="4" w:space="0"/>
            </w:tcBorders>
            <w:shd w:val="clear" w:color="auto" w:fill="auto"/>
            <w:vAlign w:val="center"/>
          </w:tcPr>
          <w:p w14:paraId="7C1B9083">
            <w:pPr>
              <w:widowControl/>
              <w:adjustRightInd/>
              <w:spacing w:line="240" w:lineRule="atLeast"/>
              <w:jc w:val="center"/>
              <w:textAlignment w:val="auto"/>
              <w:rPr>
                <w:rFonts w:ascii="Arial" w:hAnsi="Arial" w:cs="Arial"/>
                <w:szCs w:val="24"/>
                <w:highlight w:val="none"/>
              </w:rPr>
            </w:pPr>
            <w:r>
              <w:rPr>
                <w:rFonts w:ascii="Arial" w:hAnsi="Arial" w:cs="Arial"/>
                <w:szCs w:val="24"/>
                <w:highlight w:val="none"/>
              </w:rPr>
              <w:t>50.00%</w:t>
            </w:r>
          </w:p>
        </w:tc>
        <w:tc>
          <w:tcPr>
            <w:tcW w:w="1382" w:type="pct"/>
            <w:vMerge w:val="continue"/>
            <w:tcBorders>
              <w:top w:val="single" w:color="auto" w:sz="4" w:space="0"/>
              <w:left w:val="single" w:color="auto" w:sz="4" w:space="0"/>
              <w:bottom w:val="single" w:color="auto" w:sz="4" w:space="0"/>
              <w:right w:val="single" w:color="auto" w:sz="4" w:space="0"/>
            </w:tcBorders>
            <w:vAlign w:val="center"/>
          </w:tcPr>
          <w:p w14:paraId="4883ECFF">
            <w:pPr>
              <w:widowControl/>
              <w:adjustRightInd/>
              <w:spacing w:line="240" w:lineRule="atLeast"/>
              <w:textAlignment w:val="auto"/>
              <w:rPr>
                <w:rFonts w:ascii="Arial" w:hAnsi="Arial" w:cs="Arial"/>
                <w:b/>
                <w:szCs w:val="24"/>
                <w:highlight w:val="none"/>
              </w:rPr>
            </w:pPr>
          </w:p>
        </w:tc>
      </w:tr>
    </w:tbl>
    <w:p w14:paraId="7ACDAB20">
      <w:pPr>
        <w:spacing w:before="240" w:beforeLines="100" w:line="300" w:lineRule="auto"/>
        <w:ind w:firstLine="562" w:firstLineChars="200"/>
        <w:jc w:val="both"/>
        <w:rPr>
          <w:rFonts w:ascii="Arial" w:hAnsi="Arial" w:eastAsia="仿宋_GB2312" w:cs="Arial"/>
          <w:b/>
          <w:sz w:val="28"/>
          <w:highlight w:val="none"/>
        </w:rPr>
      </w:pPr>
      <w:r>
        <w:rPr>
          <w:rFonts w:hint="eastAsia" w:ascii="Arial" w:hAnsi="Arial" w:eastAsia="仿宋_GB2312" w:cs="Arial"/>
          <w:b/>
          <w:sz w:val="28"/>
          <w:highlight w:val="none"/>
        </w:rPr>
        <w:t>城镇住宅用地</w:t>
      </w:r>
      <w:r>
        <w:rPr>
          <w:rFonts w:ascii="Arial" w:hAnsi="Arial" w:eastAsia="仿宋_GB2312" w:cs="Arial"/>
          <w:b/>
          <w:sz w:val="28"/>
          <w:highlight w:val="none"/>
        </w:rPr>
        <w:t xml:space="preserve">熟地总价如下： </w:t>
      </w:r>
    </w:p>
    <w:p w14:paraId="3F2AE97B">
      <w:pPr>
        <w:spacing w:line="300" w:lineRule="auto"/>
        <w:ind w:firstLine="560" w:firstLineChars="200"/>
        <w:jc w:val="both"/>
        <w:rPr>
          <w:rFonts w:ascii="Arial" w:hAnsi="Arial" w:eastAsia="仿宋_GB2312" w:cs="Arial"/>
          <w:sz w:val="28"/>
          <w:szCs w:val="28"/>
          <w:highlight w:val="none"/>
        </w:rPr>
      </w:pPr>
      <w:r>
        <w:rPr>
          <w:rFonts w:hint="eastAsia" w:ascii="Arial" w:hAnsi="Arial" w:eastAsia="仿宋_GB2312" w:cs="Arial"/>
          <w:sz w:val="28"/>
          <w:szCs w:val="28"/>
          <w:highlight w:val="none"/>
        </w:rPr>
        <w:t>城镇住宅用地</w:t>
      </w:r>
      <w:r>
        <w:rPr>
          <w:rFonts w:ascii="Arial" w:hAnsi="Arial" w:eastAsia="仿宋_GB2312" w:cs="Arial"/>
          <w:sz w:val="28"/>
          <w:szCs w:val="28"/>
          <w:highlight w:val="none"/>
        </w:rPr>
        <w:t>熟地总价</w:t>
      </w:r>
      <w:r>
        <w:rPr>
          <w:rFonts w:hint="eastAsia" w:ascii="Arial" w:hAnsi="Arial" w:eastAsia="仿宋_GB2312" w:cs="Arial"/>
          <w:sz w:val="28"/>
          <w:highlight w:val="none"/>
          <w:lang w:eastAsia="zh-CN"/>
        </w:rPr>
        <w:t>＝</w:t>
      </w:r>
      <w:r>
        <w:rPr>
          <w:rFonts w:hint="eastAsia" w:ascii="Arial" w:hAnsi="Arial" w:eastAsia="仿宋_GB2312" w:cs="Arial"/>
          <w:sz w:val="28"/>
          <w:highlight w:val="none"/>
        </w:rPr>
        <w:t xml:space="preserve"> </w:t>
      </w:r>
      <w:r>
        <w:rPr>
          <w:rFonts w:hint="eastAsia" w:ascii="Arial" w:hAnsi="Arial" w:eastAsia="仿宋_GB2312" w:cs="Arial"/>
          <w:sz w:val="28"/>
          <w:highlight w:val="none"/>
          <w:lang w:eastAsia="zh-CN"/>
        </w:rPr>
        <w:t>1094</w:t>
      </w:r>
      <w:r>
        <w:rPr>
          <w:rFonts w:hint="eastAsia" w:ascii="Arial" w:hAnsi="Arial" w:eastAsia="仿宋_GB2312" w:cs="Arial"/>
          <w:sz w:val="28"/>
          <w:highlight w:val="none"/>
          <w:lang w:val="en-US" w:eastAsia="zh-CN"/>
        </w:rPr>
        <w:t>2</w:t>
      </w:r>
      <w:r>
        <w:rPr>
          <w:rFonts w:hint="eastAsia" w:ascii="Arial" w:hAnsi="Arial" w:eastAsia="仿宋_GB2312" w:cs="Arial"/>
          <w:sz w:val="28"/>
          <w:szCs w:val="28"/>
          <w:highlight w:val="none"/>
          <w:lang w:eastAsia="zh-CN"/>
        </w:rPr>
        <w:t>×</w:t>
      </w:r>
      <w:r>
        <w:rPr>
          <w:rFonts w:ascii="Arial" w:hAnsi="Arial" w:eastAsia="仿宋_GB2312" w:cs="Arial"/>
          <w:sz w:val="28"/>
          <w:highlight w:val="none"/>
        </w:rPr>
        <w:t>68148.54</w:t>
      </w:r>
      <w:r>
        <w:rPr>
          <w:rFonts w:hint="eastAsia" w:ascii="Arial" w:hAnsi="Arial" w:eastAsia="仿宋_GB2312" w:cs="Arial"/>
          <w:sz w:val="28"/>
          <w:szCs w:val="28"/>
          <w:highlight w:val="none"/>
          <w:lang w:eastAsia="zh-CN"/>
        </w:rPr>
        <w:t>÷</w:t>
      </w:r>
      <w:r>
        <w:rPr>
          <w:rFonts w:ascii="Arial" w:hAnsi="Arial" w:eastAsia="仿宋_GB2312" w:cs="Arial"/>
          <w:sz w:val="28"/>
          <w:szCs w:val="28"/>
          <w:highlight w:val="none"/>
        </w:rPr>
        <w:t>10000</w:t>
      </w:r>
    </w:p>
    <w:p w14:paraId="6C4BDB16">
      <w:pPr>
        <w:spacing w:line="300" w:lineRule="auto"/>
        <w:ind w:firstLine="560" w:firstLineChars="200"/>
        <w:jc w:val="both"/>
        <w:rPr>
          <w:rFonts w:ascii="Arial" w:hAnsi="Arial" w:eastAsia="仿宋_GB2312" w:cs="Arial"/>
          <w:sz w:val="28"/>
          <w:highlight w:val="none"/>
        </w:rPr>
      </w:pPr>
      <w:r>
        <w:rPr>
          <w:rFonts w:hint="eastAsia" w:ascii="Arial" w:hAnsi="Arial" w:eastAsia="仿宋_GB2312" w:cs="Arial"/>
          <w:sz w:val="28"/>
          <w:szCs w:val="28"/>
          <w:highlight w:val="none"/>
        </w:rPr>
        <w:t xml:space="preserve">                </w:t>
      </w:r>
      <w:r>
        <w:rPr>
          <w:rFonts w:hint="eastAsia" w:ascii="Arial" w:hAnsi="Arial" w:eastAsia="仿宋_GB2312" w:cs="Arial"/>
          <w:sz w:val="28"/>
          <w:szCs w:val="28"/>
          <w:highlight w:val="none"/>
          <w:lang w:val="en-US" w:eastAsia="zh-CN"/>
        </w:rPr>
        <w:t xml:space="preserve">   </w:t>
      </w:r>
      <w:r>
        <w:rPr>
          <w:rFonts w:hint="eastAsia" w:ascii="Arial" w:hAnsi="Arial" w:eastAsia="仿宋_GB2312" w:cs="Arial"/>
          <w:sz w:val="28"/>
          <w:szCs w:val="28"/>
          <w:highlight w:val="none"/>
        </w:rPr>
        <w:t xml:space="preserve"> </w:t>
      </w:r>
      <w:r>
        <w:rPr>
          <w:rFonts w:hint="eastAsia" w:ascii="Arial" w:hAnsi="Arial" w:eastAsia="仿宋_GB2312" w:cs="Arial"/>
          <w:sz w:val="28"/>
          <w:szCs w:val="28"/>
          <w:highlight w:val="none"/>
          <w:lang w:eastAsia="zh-CN"/>
        </w:rPr>
        <w:t>＝</w:t>
      </w:r>
      <w:r>
        <w:rPr>
          <w:rFonts w:hint="eastAsia" w:ascii="Arial" w:hAnsi="Arial" w:eastAsia="仿宋_GB2312" w:cs="Arial"/>
          <w:sz w:val="28"/>
          <w:highlight w:val="none"/>
        </w:rPr>
        <w:t xml:space="preserve"> </w:t>
      </w:r>
      <w:r>
        <w:rPr>
          <w:rFonts w:hint="eastAsia" w:ascii="Arial" w:hAnsi="Arial" w:eastAsia="仿宋_GB2312" w:cs="Arial"/>
          <w:sz w:val="28"/>
          <w:highlight w:val="none"/>
          <w:lang w:val="en-US" w:eastAsia="zh-CN"/>
        </w:rPr>
        <w:t>74568.1325</w:t>
      </w:r>
      <w:r>
        <w:rPr>
          <w:rFonts w:ascii="Arial" w:hAnsi="Arial" w:eastAsia="仿宋_GB2312" w:cs="Arial"/>
          <w:sz w:val="28"/>
          <w:highlight w:val="none"/>
        </w:rPr>
        <w:t>（万元）</w:t>
      </w:r>
    </w:p>
    <w:tbl>
      <w:tblPr>
        <w:tblStyle w:val="3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57" w:type="dxa"/>
          <w:left w:w="28" w:type="dxa"/>
          <w:bottom w:w="57" w:type="dxa"/>
          <w:right w:w="28" w:type="dxa"/>
        </w:tblCellMar>
      </w:tblPr>
      <w:tblGrid>
        <w:gridCol w:w="2215"/>
        <w:gridCol w:w="2127"/>
        <w:gridCol w:w="2057"/>
        <w:gridCol w:w="3007"/>
      </w:tblGrid>
      <w:tr w14:paraId="587F1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3C132E53">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用途</w:t>
            </w:r>
          </w:p>
        </w:tc>
        <w:tc>
          <w:tcPr>
            <w:tcW w:w="1130" w:type="pct"/>
            <w:shd w:val="clear" w:color="auto" w:fill="auto"/>
            <w:vAlign w:val="center"/>
          </w:tcPr>
          <w:p w14:paraId="46E4F713">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出让建筑</w:t>
            </w:r>
          </w:p>
          <w:p w14:paraId="58E77455">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面积（</w:t>
            </w:r>
            <w:r>
              <w:rPr>
                <w:rFonts w:ascii="Arial" w:hAnsi="Arial" w:eastAsia="华文仿宋" w:cs="Arial"/>
                <w:b/>
                <w:bCs/>
                <w:szCs w:val="24"/>
                <w:highlight w:val="none"/>
              </w:rPr>
              <w:t>㎡</w:t>
            </w:r>
            <w:r>
              <w:rPr>
                <w:rFonts w:ascii="Arial" w:hAnsi="Arial" w:eastAsia="仿宋_GB2312" w:cs="Arial"/>
                <w:b/>
                <w:bCs/>
                <w:szCs w:val="24"/>
                <w:highlight w:val="none"/>
              </w:rPr>
              <w:t>）</w:t>
            </w:r>
          </w:p>
        </w:tc>
        <w:tc>
          <w:tcPr>
            <w:tcW w:w="1093" w:type="pct"/>
            <w:shd w:val="clear" w:color="auto" w:fill="auto"/>
            <w:vAlign w:val="center"/>
          </w:tcPr>
          <w:p w14:paraId="4266D851">
            <w:pPr>
              <w:widowControl/>
              <w:adjustRightInd/>
              <w:spacing w:line="240" w:lineRule="atLeast"/>
              <w:jc w:val="center"/>
              <w:textAlignment w:val="auto"/>
              <w:rPr>
                <w:rFonts w:hint="eastAsia" w:ascii="Arial" w:hAnsi="Arial" w:eastAsia="仿宋_GB2312" w:cs="Arial"/>
                <w:b/>
                <w:bCs/>
                <w:szCs w:val="24"/>
                <w:highlight w:val="none"/>
                <w:lang w:eastAsia="zh-CN"/>
              </w:rPr>
            </w:pPr>
            <w:r>
              <w:rPr>
                <w:rFonts w:ascii="Arial" w:hAnsi="Arial" w:eastAsia="仿宋_GB2312" w:cs="Arial"/>
                <w:b/>
                <w:bCs/>
                <w:szCs w:val="24"/>
                <w:highlight w:val="none"/>
              </w:rPr>
              <w:t>熟地</w:t>
            </w:r>
            <w:r>
              <w:rPr>
                <w:rFonts w:hint="eastAsia" w:ascii="Arial" w:hAnsi="Arial" w:eastAsia="仿宋_GB2312" w:cs="Arial"/>
                <w:b/>
                <w:bCs/>
                <w:szCs w:val="24"/>
                <w:highlight w:val="none"/>
              </w:rPr>
              <w:t>价</w:t>
            </w:r>
            <w:r>
              <w:rPr>
                <w:rFonts w:hint="eastAsia" w:ascii="Arial" w:hAnsi="Arial" w:eastAsia="仿宋_GB2312" w:cs="Arial"/>
                <w:b/>
                <w:bCs/>
                <w:szCs w:val="24"/>
                <w:highlight w:val="none"/>
                <w:lang w:eastAsia="zh-CN"/>
              </w:rPr>
              <w:t>楼面地价</w:t>
            </w:r>
          </w:p>
          <w:p w14:paraId="7E85636E">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（元/</w:t>
            </w:r>
            <w:r>
              <w:rPr>
                <w:rFonts w:ascii="Arial" w:hAnsi="Arial" w:eastAsia="华文仿宋" w:cs="Arial"/>
                <w:b/>
                <w:bCs/>
                <w:szCs w:val="24"/>
                <w:highlight w:val="none"/>
              </w:rPr>
              <w:t>㎡</w:t>
            </w:r>
            <w:r>
              <w:rPr>
                <w:rFonts w:ascii="Arial" w:hAnsi="Arial" w:eastAsia="仿宋_GB2312" w:cs="Arial"/>
                <w:b/>
                <w:bCs/>
                <w:szCs w:val="24"/>
                <w:highlight w:val="none"/>
              </w:rPr>
              <w:t>）</w:t>
            </w:r>
          </w:p>
        </w:tc>
        <w:tc>
          <w:tcPr>
            <w:tcW w:w="1598" w:type="pct"/>
            <w:shd w:val="clear" w:color="auto" w:fill="auto"/>
            <w:vAlign w:val="center"/>
          </w:tcPr>
          <w:p w14:paraId="5E446227">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熟地总价</w:t>
            </w:r>
          </w:p>
          <w:p w14:paraId="0076614A">
            <w:pPr>
              <w:widowControl/>
              <w:adjustRightInd/>
              <w:spacing w:line="240" w:lineRule="atLeast"/>
              <w:jc w:val="center"/>
              <w:textAlignment w:val="auto"/>
              <w:rPr>
                <w:rFonts w:ascii="Arial" w:hAnsi="Arial" w:eastAsia="仿宋_GB2312" w:cs="Arial"/>
                <w:b/>
                <w:bCs/>
                <w:szCs w:val="24"/>
                <w:highlight w:val="none"/>
              </w:rPr>
            </w:pPr>
            <w:r>
              <w:rPr>
                <w:rFonts w:ascii="Arial" w:hAnsi="Arial" w:eastAsia="仿宋_GB2312" w:cs="Arial"/>
                <w:b/>
                <w:bCs/>
                <w:szCs w:val="24"/>
                <w:highlight w:val="none"/>
              </w:rPr>
              <w:t>（万元</w:t>
            </w:r>
            <w:r>
              <w:rPr>
                <w:rFonts w:hint="eastAsia" w:ascii="Arial" w:hAnsi="Arial" w:eastAsia="仿宋_GB2312" w:cs="Arial"/>
                <w:b/>
                <w:bCs/>
                <w:szCs w:val="24"/>
                <w:highlight w:val="none"/>
              </w:rPr>
              <w:t>）</w:t>
            </w:r>
          </w:p>
        </w:tc>
      </w:tr>
      <w:tr w14:paraId="6DCD2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1E6F2D65">
            <w:pPr>
              <w:widowControl/>
              <w:adjustRightInd/>
              <w:spacing w:line="240" w:lineRule="atLeast"/>
              <w:jc w:val="center"/>
              <w:textAlignment w:val="auto"/>
              <w:rPr>
                <w:rFonts w:ascii="Arial" w:hAnsi="Arial" w:eastAsia="仿宋_GB2312" w:cs="Arial"/>
                <w:szCs w:val="24"/>
                <w:highlight w:val="none"/>
              </w:rPr>
            </w:pPr>
            <w:r>
              <w:rPr>
                <w:rFonts w:hint="eastAsia" w:ascii="Arial" w:hAnsi="Arial" w:eastAsia="仿宋_GB2312" w:cs="Arial"/>
                <w:szCs w:val="24"/>
                <w:highlight w:val="none"/>
                <w:lang w:eastAsia="zh-CN"/>
              </w:rPr>
              <w:t>城镇住宅用地</w:t>
            </w:r>
          </w:p>
        </w:tc>
        <w:tc>
          <w:tcPr>
            <w:tcW w:w="1130" w:type="pct"/>
            <w:shd w:val="clear" w:color="auto" w:fill="auto"/>
            <w:vAlign w:val="center"/>
          </w:tcPr>
          <w:p w14:paraId="2A2D4CB1">
            <w:pPr>
              <w:spacing w:line="240" w:lineRule="atLeast"/>
              <w:jc w:val="center"/>
              <w:rPr>
                <w:rFonts w:ascii="Arial" w:hAnsi="Arial" w:cs="Arial"/>
                <w:highlight w:val="none"/>
              </w:rPr>
            </w:pPr>
            <w:r>
              <w:rPr>
                <w:rFonts w:ascii="Arial" w:hAnsi="Arial" w:cs="Arial"/>
                <w:highlight w:val="none"/>
              </w:rPr>
              <w:t>68148.54</w:t>
            </w:r>
          </w:p>
        </w:tc>
        <w:tc>
          <w:tcPr>
            <w:tcW w:w="1093" w:type="pct"/>
            <w:shd w:val="clear" w:color="auto" w:fill="auto"/>
            <w:vAlign w:val="center"/>
          </w:tcPr>
          <w:p w14:paraId="26E3E357">
            <w:pPr>
              <w:spacing w:line="240" w:lineRule="atLeast"/>
              <w:jc w:val="center"/>
              <w:rPr>
                <w:rFonts w:hint="default" w:ascii="Arial" w:hAnsi="Arial" w:eastAsia="宋体" w:cs="Arial"/>
                <w:szCs w:val="24"/>
                <w:highlight w:val="none"/>
                <w:lang w:val="en-US" w:eastAsia="zh-CN"/>
              </w:rPr>
            </w:pPr>
            <w:r>
              <w:rPr>
                <w:rFonts w:hint="eastAsia" w:ascii="Arial" w:hAnsi="Arial" w:cs="Arial"/>
                <w:highlight w:val="none"/>
                <w:lang w:eastAsia="zh-CN"/>
              </w:rPr>
              <w:t>1094</w:t>
            </w:r>
            <w:r>
              <w:rPr>
                <w:rFonts w:hint="eastAsia" w:ascii="Arial" w:hAnsi="Arial" w:cs="Arial"/>
                <w:highlight w:val="none"/>
                <w:lang w:val="en-US" w:eastAsia="zh-CN"/>
              </w:rPr>
              <w:t>2</w:t>
            </w:r>
          </w:p>
        </w:tc>
        <w:tc>
          <w:tcPr>
            <w:tcW w:w="1598" w:type="pct"/>
            <w:shd w:val="clear" w:color="auto" w:fill="auto"/>
            <w:vAlign w:val="center"/>
          </w:tcPr>
          <w:p w14:paraId="0F954D8F">
            <w:pPr>
              <w:spacing w:line="240" w:lineRule="atLeast"/>
              <w:jc w:val="center"/>
              <w:rPr>
                <w:rFonts w:ascii="Arial" w:hAnsi="Arial" w:cs="Arial"/>
                <w:szCs w:val="24"/>
                <w:highlight w:val="none"/>
              </w:rPr>
            </w:pPr>
            <w:r>
              <w:rPr>
                <w:rFonts w:hint="eastAsia" w:ascii="Arial" w:hAnsi="Arial" w:cs="Arial"/>
                <w:szCs w:val="24"/>
                <w:highlight w:val="none"/>
              </w:rPr>
              <w:t>74568.1325</w:t>
            </w:r>
          </w:p>
        </w:tc>
      </w:tr>
      <w:tr w14:paraId="1FC3F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739D952F">
            <w:pPr>
              <w:widowControl/>
              <w:adjustRightInd/>
              <w:spacing w:line="240" w:lineRule="atLeast"/>
              <w:jc w:val="center"/>
              <w:textAlignment w:val="auto"/>
              <w:rPr>
                <w:rFonts w:hint="eastAsia" w:ascii="Arial" w:hAnsi="Arial" w:eastAsia="宋体" w:cs="Arial"/>
                <w:szCs w:val="24"/>
                <w:highlight w:val="none"/>
                <w:lang w:eastAsia="zh-CN"/>
              </w:rPr>
            </w:pPr>
            <w:r>
              <w:rPr>
                <w:rFonts w:hint="eastAsia" w:ascii="Arial" w:hAnsi="Arial" w:eastAsia="仿宋_GB2312" w:cs="Arial"/>
                <w:szCs w:val="24"/>
                <w:highlight w:val="none"/>
                <w:lang w:eastAsia="zh-CN"/>
              </w:rPr>
              <w:t>其他商业服务业用地</w:t>
            </w:r>
          </w:p>
        </w:tc>
        <w:tc>
          <w:tcPr>
            <w:tcW w:w="1130" w:type="pct"/>
            <w:shd w:val="clear" w:color="auto" w:fill="auto"/>
            <w:vAlign w:val="center"/>
          </w:tcPr>
          <w:p w14:paraId="7F712D06">
            <w:pPr>
              <w:spacing w:line="240" w:lineRule="atLeast"/>
              <w:jc w:val="center"/>
              <w:rPr>
                <w:rFonts w:ascii="Arial" w:hAnsi="Arial" w:cs="Arial"/>
                <w:highlight w:val="none"/>
              </w:rPr>
            </w:pPr>
            <w:r>
              <w:rPr>
                <w:rFonts w:ascii="Arial" w:hAnsi="Arial" w:cs="Arial"/>
                <w:szCs w:val="24"/>
                <w:highlight w:val="none"/>
              </w:rPr>
              <w:t>——</w:t>
            </w:r>
          </w:p>
        </w:tc>
        <w:tc>
          <w:tcPr>
            <w:tcW w:w="1093" w:type="pct"/>
            <w:shd w:val="clear" w:color="auto" w:fill="auto"/>
            <w:vAlign w:val="center"/>
          </w:tcPr>
          <w:p w14:paraId="33D9303F">
            <w:pPr>
              <w:spacing w:line="240" w:lineRule="atLeast"/>
              <w:jc w:val="center"/>
              <w:rPr>
                <w:rFonts w:hint="default" w:ascii="Arial" w:hAnsi="Arial" w:eastAsia="宋体" w:cs="Arial"/>
                <w:szCs w:val="24"/>
                <w:highlight w:val="none"/>
                <w:lang w:val="en-US" w:eastAsia="zh-CN"/>
              </w:rPr>
            </w:pPr>
            <w:r>
              <w:rPr>
                <w:rFonts w:hint="eastAsia" w:ascii="Arial" w:hAnsi="Arial" w:cs="Arial"/>
                <w:szCs w:val="24"/>
                <w:highlight w:val="none"/>
                <w:lang w:val="en-US" w:eastAsia="zh-CN"/>
              </w:rPr>
              <w:t>5295</w:t>
            </w:r>
          </w:p>
        </w:tc>
        <w:tc>
          <w:tcPr>
            <w:tcW w:w="1598" w:type="pct"/>
            <w:shd w:val="clear" w:color="auto" w:fill="auto"/>
            <w:vAlign w:val="center"/>
          </w:tcPr>
          <w:p w14:paraId="2E1CBE79">
            <w:pPr>
              <w:spacing w:line="240" w:lineRule="atLeast"/>
              <w:jc w:val="center"/>
              <w:rPr>
                <w:rFonts w:ascii="Arial" w:hAnsi="Arial" w:cs="Arial"/>
                <w:szCs w:val="24"/>
                <w:highlight w:val="none"/>
              </w:rPr>
            </w:pPr>
            <w:r>
              <w:rPr>
                <w:rFonts w:ascii="Arial" w:hAnsi="Arial" w:cs="Arial"/>
                <w:szCs w:val="24"/>
                <w:highlight w:val="none"/>
              </w:rPr>
              <w:t>——</w:t>
            </w:r>
          </w:p>
        </w:tc>
      </w:tr>
      <w:tr w14:paraId="490AC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3CC52972">
            <w:pPr>
              <w:spacing w:line="240" w:lineRule="atLeast"/>
              <w:jc w:val="center"/>
              <w:rPr>
                <w:rFonts w:ascii="Arial" w:hAnsi="Arial" w:cs="Arial"/>
                <w:szCs w:val="24"/>
                <w:highlight w:val="none"/>
              </w:rPr>
            </w:pPr>
            <w:r>
              <w:rPr>
                <w:rFonts w:hint="eastAsia" w:ascii="Arial" w:hAnsi="Arial" w:eastAsia="仿宋_GB2312" w:cs="Arial"/>
                <w:szCs w:val="24"/>
                <w:highlight w:val="none"/>
              </w:rPr>
              <w:t>公共管理与公共服务用地</w:t>
            </w:r>
          </w:p>
        </w:tc>
        <w:tc>
          <w:tcPr>
            <w:tcW w:w="1130" w:type="pct"/>
            <w:shd w:val="clear" w:color="auto" w:fill="auto"/>
            <w:vAlign w:val="center"/>
          </w:tcPr>
          <w:p w14:paraId="72D3DB5E">
            <w:pPr>
              <w:spacing w:line="240" w:lineRule="atLeast"/>
              <w:jc w:val="center"/>
              <w:rPr>
                <w:rFonts w:ascii="Arial" w:hAnsi="Arial" w:cs="Arial"/>
                <w:highlight w:val="none"/>
              </w:rPr>
            </w:pPr>
            <w:r>
              <w:rPr>
                <w:rFonts w:ascii="Arial" w:hAnsi="Arial" w:cs="Arial"/>
                <w:szCs w:val="24"/>
                <w:highlight w:val="none"/>
              </w:rPr>
              <w:t>——</w:t>
            </w:r>
          </w:p>
        </w:tc>
        <w:tc>
          <w:tcPr>
            <w:tcW w:w="1093" w:type="pct"/>
            <w:shd w:val="clear" w:color="auto" w:fill="auto"/>
            <w:vAlign w:val="center"/>
          </w:tcPr>
          <w:p w14:paraId="4493A700">
            <w:pPr>
              <w:spacing w:line="240" w:lineRule="atLeast"/>
              <w:jc w:val="center"/>
              <w:rPr>
                <w:rFonts w:hint="default" w:ascii="Arial" w:hAnsi="Arial" w:eastAsia="宋体" w:cs="Arial"/>
                <w:highlight w:val="none"/>
                <w:lang w:val="en-US" w:eastAsia="zh-CN"/>
              </w:rPr>
            </w:pPr>
            <w:r>
              <w:rPr>
                <w:rFonts w:hint="eastAsia" w:ascii="Arial" w:hAnsi="Arial" w:cs="Arial"/>
                <w:highlight w:val="none"/>
                <w:lang w:eastAsia="zh-CN"/>
              </w:rPr>
              <w:t>324</w:t>
            </w:r>
            <w:r>
              <w:rPr>
                <w:rFonts w:hint="eastAsia" w:ascii="Arial" w:hAnsi="Arial" w:cs="Arial"/>
                <w:highlight w:val="none"/>
                <w:lang w:val="en-US" w:eastAsia="zh-CN"/>
              </w:rPr>
              <w:t>9</w:t>
            </w:r>
          </w:p>
        </w:tc>
        <w:tc>
          <w:tcPr>
            <w:tcW w:w="1598" w:type="pct"/>
            <w:shd w:val="clear" w:color="auto" w:fill="auto"/>
            <w:vAlign w:val="center"/>
          </w:tcPr>
          <w:p w14:paraId="6F7A7C98">
            <w:pPr>
              <w:spacing w:line="240" w:lineRule="atLeast"/>
              <w:jc w:val="center"/>
              <w:rPr>
                <w:rFonts w:ascii="Arial" w:hAnsi="Arial" w:cs="Arial"/>
                <w:szCs w:val="24"/>
                <w:highlight w:val="none"/>
              </w:rPr>
            </w:pPr>
            <w:r>
              <w:rPr>
                <w:rFonts w:ascii="Arial" w:hAnsi="Arial" w:cs="Arial"/>
                <w:szCs w:val="24"/>
                <w:highlight w:val="none"/>
              </w:rPr>
              <w:t>——</w:t>
            </w:r>
          </w:p>
        </w:tc>
      </w:tr>
      <w:tr w14:paraId="0F812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cantSplit/>
          <w:jc w:val="center"/>
        </w:trPr>
        <w:tc>
          <w:tcPr>
            <w:tcW w:w="1177" w:type="pct"/>
            <w:shd w:val="clear" w:color="auto" w:fill="auto"/>
            <w:vAlign w:val="center"/>
          </w:tcPr>
          <w:p w14:paraId="3E4114B6">
            <w:pPr>
              <w:widowControl/>
              <w:adjustRightInd/>
              <w:spacing w:line="240" w:lineRule="atLeast"/>
              <w:jc w:val="center"/>
              <w:textAlignment w:val="auto"/>
              <w:rPr>
                <w:rFonts w:ascii="Arial" w:hAnsi="Arial" w:eastAsia="仿宋_GB2312" w:cs="Arial"/>
                <w:szCs w:val="24"/>
                <w:highlight w:val="none"/>
              </w:rPr>
            </w:pPr>
            <w:r>
              <w:rPr>
                <w:rFonts w:ascii="Arial" w:hAnsi="Arial" w:eastAsia="仿宋_GB2312" w:cs="Arial"/>
                <w:szCs w:val="24"/>
                <w:highlight w:val="none"/>
              </w:rPr>
              <w:t>合计</w:t>
            </w:r>
          </w:p>
        </w:tc>
        <w:tc>
          <w:tcPr>
            <w:tcW w:w="1130" w:type="pct"/>
            <w:shd w:val="clear" w:color="auto" w:fill="auto"/>
            <w:vAlign w:val="center"/>
          </w:tcPr>
          <w:p w14:paraId="61C4557E">
            <w:pPr>
              <w:spacing w:line="240" w:lineRule="atLeast"/>
              <w:jc w:val="center"/>
              <w:rPr>
                <w:rFonts w:ascii="Arial" w:hAnsi="Arial" w:cs="Arial"/>
                <w:highlight w:val="none"/>
              </w:rPr>
            </w:pPr>
            <w:r>
              <w:rPr>
                <w:rFonts w:ascii="Arial" w:hAnsi="Arial" w:cs="Arial"/>
                <w:highlight w:val="none"/>
              </w:rPr>
              <w:t>68148.54</w:t>
            </w:r>
          </w:p>
        </w:tc>
        <w:tc>
          <w:tcPr>
            <w:tcW w:w="1093" w:type="pct"/>
            <w:shd w:val="clear" w:color="auto" w:fill="auto"/>
            <w:vAlign w:val="center"/>
          </w:tcPr>
          <w:p w14:paraId="4410B8A3">
            <w:pPr>
              <w:spacing w:line="240" w:lineRule="atLeast"/>
              <w:jc w:val="center"/>
              <w:rPr>
                <w:rFonts w:ascii="Arial" w:hAnsi="Arial" w:cs="Arial"/>
                <w:szCs w:val="24"/>
                <w:highlight w:val="none"/>
              </w:rPr>
            </w:pPr>
            <w:r>
              <w:rPr>
                <w:rFonts w:ascii="Arial" w:hAnsi="Arial" w:cs="Arial"/>
                <w:szCs w:val="24"/>
                <w:highlight w:val="none"/>
              </w:rPr>
              <w:t>——</w:t>
            </w:r>
          </w:p>
        </w:tc>
        <w:tc>
          <w:tcPr>
            <w:tcW w:w="1598" w:type="pct"/>
            <w:shd w:val="clear" w:color="auto" w:fill="auto"/>
            <w:vAlign w:val="center"/>
          </w:tcPr>
          <w:p w14:paraId="50881457">
            <w:pPr>
              <w:spacing w:line="240" w:lineRule="atLeast"/>
              <w:jc w:val="center"/>
              <w:rPr>
                <w:rFonts w:ascii="Arial" w:hAnsi="Arial" w:cs="Arial"/>
                <w:szCs w:val="24"/>
                <w:highlight w:val="none"/>
              </w:rPr>
            </w:pPr>
            <w:r>
              <w:rPr>
                <w:rFonts w:hint="eastAsia" w:ascii="Arial" w:hAnsi="Arial" w:cs="Arial"/>
                <w:szCs w:val="24"/>
                <w:highlight w:val="none"/>
              </w:rPr>
              <w:t>74568.1325</w:t>
            </w:r>
          </w:p>
        </w:tc>
      </w:tr>
    </w:tbl>
    <w:p w14:paraId="45E15C29">
      <w:pPr>
        <w:spacing w:line="300" w:lineRule="auto"/>
        <w:jc w:val="both"/>
        <w:rPr>
          <w:rFonts w:ascii="Arial" w:hAnsi="Arial" w:eastAsia="仿宋_GB2312" w:cs="Arial"/>
          <w:b/>
          <w:sz w:val="28"/>
          <w:szCs w:val="28"/>
          <w:highlight w:val="none"/>
        </w:rPr>
      </w:pPr>
    </w:p>
    <w:p w14:paraId="5A30BC8A">
      <w:pPr>
        <w:snapToGrid w:val="0"/>
        <w:spacing w:line="300" w:lineRule="auto"/>
        <w:ind w:firstLine="556"/>
        <w:rPr>
          <w:rFonts w:ascii="Arial" w:hAnsi="Arial" w:eastAsia="仿宋_GB2312" w:cs="Arial"/>
          <w:sz w:val="28"/>
          <w:highlight w:val="none"/>
        </w:rPr>
        <w:sectPr>
          <w:footerReference r:id="rId33" w:type="default"/>
          <w:type w:val="nextColumn"/>
          <w:pgSz w:w="11906" w:h="16838"/>
          <w:pgMar w:top="1418" w:right="1134" w:bottom="1418" w:left="1418" w:header="851" w:footer="992" w:gutter="0"/>
          <w:pgNumType w:fmt="decimal"/>
          <w:cols w:space="720" w:num="1"/>
          <w:docGrid w:linePitch="312" w:charSpace="0"/>
        </w:sectPr>
      </w:pPr>
    </w:p>
    <w:p w14:paraId="61A93730">
      <w:pPr>
        <w:spacing w:line="300" w:lineRule="auto"/>
        <w:ind w:firstLine="556"/>
        <w:jc w:val="both"/>
        <w:rPr>
          <w:rFonts w:ascii="Arial" w:hAnsi="Arial" w:eastAsia="仿宋" w:cs="Arial"/>
          <w:sz w:val="28"/>
          <w:highlight w:val="none"/>
        </w:rPr>
      </w:pP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二</w:t>
      </w:r>
      <w:r>
        <w:rPr>
          <w:rFonts w:hint="eastAsia" w:ascii="Arial" w:hAnsi="Arial" w:eastAsia="仿宋_GB2312" w:cs="Arial"/>
          <w:sz w:val="28"/>
          <w:szCs w:val="28"/>
          <w:highlight w:val="none"/>
          <w:lang w:eastAsia="zh-CN"/>
        </w:rPr>
        <w:t>）</w:t>
      </w:r>
      <w:r>
        <w:rPr>
          <w:rFonts w:ascii="Arial" w:hAnsi="Arial" w:eastAsia="仿宋_GB2312" w:cs="Arial"/>
          <w:b/>
          <w:sz w:val="28"/>
          <w:highlight w:val="none"/>
        </w:rPr>
        <w:t>估价结果的确定</w:t>
      </w:r>
    </w:p>
    <w:p w14:paraId="59BA9990">
      <w:pPr>
        <w:spacing w:line="300" w:lineRule="auto"/>
        <w:ind w:firstLine="562" w:firstLineChars="200"/>
        <w:jc w:val="both"/>
        <w:rPr>
          <w:rFonts w:ascii="Arial" w:hAnsi="Arial" w:eastAsia="仿宋_GB2312" w:cs="Arial"/>
          <w:kern w:val="2"/>
          <w:sz w:val="28"/>
          <w:highlight w:val="none"/>
        </w:rPr>
      </w:pPr>
      <w:bookmarkStart w:id="418" w:name="_Toc132016645"/>
      <w:bookmarkStart w:id="419" w:name="_Toc132016762"/>
      <w:r>
        <w:rPr>
          <w:rFonts w:ascii="黑体" w:hAnsi="黑体" w:eastAsia="黑体" w:cs="Arial"/>
          <w:b/>
          <w:sz w:val="28"/>
          <w:highlight w:val="none"/>
        </w:rPr>
        <w:t>估价对象位于北京市基准地价住宅</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lang w:eastAsia="zh-CN"/>
        </w:rPr>
        <w:t>其他商业服务业用地</w:t>
      </w:r>
      <w:r>
        <w:rPr>
          <w:rFonts w:hint="eastAsia" w:ascii="黑体" w:hAnsi="黑体" w:eastAsia="黑体" w:cs="Arial"/>
          <w:b/>
          <w:sz w:val="28"/>
          <w:highlight w:val="none"/>
        </w:rPr>
        <w:t>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w:t>
      </w:r>
      <w:r>
        <w:rPr>
          <w:rFonts w:hint="eastAsia" w:ascii="黑体" w:hAnsi="黑体" w:eastAsia="黑体" w:cs="Arial"/>
          <w:b/>
          <w:sz w:val="28"/>
          <w:highlight w:val="none"/>
        </w:rPr>
        <w:t>公共服务九级（IX</w:t>
      </w:r>
      <w:r>
        <w:rPr>
          <w:rFonts w:hint="eastAsia" w:ascii="黑体" w:hAnsi="黑体" w:eastAsia="黑体" w:cs="Arial"/>
          <w:b/>
          <w:sz w:val="28"/>
          <w:highlight w:val="none"/>
          <w:lang w:eastAsia="zh-CN"/>
        </w:rPr>
        <w:t>－</w:t>
      </w:r>
      <w:r>
        <w:rPr>
          <w:rFonts w:hint="eastAsia" w:ascii="黑体" w:hAnsi="黑体" w:eastAsia="黑体" w:cs="Arial"/>
          <w:b/>
          <w:sz w:val="28"/>
          <w:highlight w:val="none"/>
        </w:rPr>
        <w:t>顺5）</w:t>
      </w:r>
      <w:r>
        <w:rPr>
          <w:rFonts w:ascii="黑体" w:hAnsi="黑体" w:eastAsia="黑体" w:cs="Arial"/>
          <w:b/>
          <w:sz w:val="28"/>
          <w:highlight w:val="none"/>
        </w:rPr>
        <w:t>范围内</w:t>
      </w:r>
      <w:r>
        <w:rPr>
          <w:rFonts w:ascii="Arial" w:hAnsi="Arial" w:eastAsia="黑体" w:cs="Arial"/>
          <w:b/>
          <w:sz w:val="28"/>
          <w:highlight w:val="none"/>
        </w:rPr>
        <w:t>。</w:t>
      </w:r>
      <w:r>
        <w:rPr>
          <w:rFonts w:ascii="Arial" w:hAnsi="Arial" w:eastAsia="仿宋_GB2312" w:cs="Arial"/>
          <w:kern w:val="2"/>
          <w:sz w:val="28"/>
          <w:highlight w:val="none"/>
        </w:rPr>
        <w:t>土地估价专业评估师根据估价的目的，按照估价的程序，采用科学的估价方法（基准地价系数修正法和剩余法），在认真分析现有资料的基础上，通过仔细测算和认真分析各种影响</w:t>
      </w:r>
      <w:r>
        <w:rPr>
          <w:rFonts w:ascii="Arial" w:hAnsi="Arial" w:eastAsia="仿宋_GB2312" w:cs="Arial"/>
          <w:sz w:val="28"/>
          <w:highlight w:val="none"/>
        </w:rPr>
        <w:t>土地</w:t>
      </w:r>
      <w:r>
        <w:rPr>
          <w:rFonts w:ascii="Arial" w:hAnsi="Arial" w:eastAsia="仿宋_GB2312" w:cs="Arial"/>
          <w:kern w:val="2"/>
          <w:sz w:val="28"/>
          <w:highlight w:val="none"/>
        </w:rPr>
        <w:t>价格的因素，确定</w:t>
      </w:r>
      <w:r>
        <w:rPr>
          <w:rFonts w:ascii="Arial" w:hAnsi="Arial" w:eastAsia="仿宋_GB2312" w:cs="Arial"/>
          <w:sz w:val="28"/>
          <w:highlight w:val="none"/>
        </w:rPr>
        <w:t>估价对象于估价期日</w:t>
      </w:r>
      <w:r>
        <w:rPr>
          <w:rFonts w:hint="eastAsia" w:ascii="Arial" w:hAnsi="Arial" w:eastAsia="仿宋_GB2312" w:cs="Arial"/>
          <w:sz w:val="28"/>
          <w:highlight w:val="none"/>
          <w:lang w:val="en-US" w:eastAsia="zh-CN"/>
        </w:rPr>
        <w:t>2026年3月26日</w:t>
      </w:r>
      <w:r>
        <w:rPr>
          <w:rFonts w:ascii="Arial" w:hAnsi="Arial" w:eastAsia="仿宋_GB2312" w:cs="Arial"/>
          <w:sz w:val="28"/>
          <w:highlight w:val="none"/>
        </w:rPr>
        <w:t>的</w:t>
      </w:r>
      <w:r>
        <w:rPr>
          <w:rFonts w:hint="eastAsia" w:ascii="Arial" w:hAnsi="Arial" w:eastAsia="仿宋_GB2312" w:cs="Arial"/>
          <w:kern w:val="2"/>
          <w:sz w:val="28"/>
          <w:highlight w:val="none"/>
          <w:lang w:eastAsia="zh-CN"/>
        </w:rPr>
        <w:t>楼面地价</w:t>
      </w:r>
      <w:r>
        <w:rPr>
          <w:rFonts w:ascii="Arial" w:hAnsi="Arial" w:eastAsia="仿宋_GB2312" w:cs="Arial"/>
          <w:kern w:val="2"/>
          <w:sz w:val="28"/>
          <w:highlight w:val="none"/>
        </w:rPr>
        <w:t>为：</w:t>
      </w:r>
    </w:p>
    <w:p w14:paraId="1CA3E8B2">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规划总建设用地面积：</w:t>
      </w:r>
      <w:r>
        <w:rPr>
          <w:rFonts w:hint="eastAsia" w:ascii="Arial" w:hAnsi="Arial" w:eastAsia="仿宋_GB2312" w:cs="Arial"/>
          <w:b w:val="0"/>
          <w:bCs w:val="0"/>
          <w:kern w:val="2"/>
          <w:sz w:val="28"/>
          <w:highlight w:val="none"/>
          <w:lang w:val="en-US" w:eastAsia="zh-CN"/>
        </w:rPr>
        <w:t>60990.43平方米</w:t>
      </w:r>
    </w:p>
    <w:p w14:paraId="57084177">
      <w:pPr>
        <w:snapToGrid w:val="0"/>
        <w:spacing w:before="120" w:beforeLines="50" w:line="288" w:lineRule="auto"/>
        <w:ind w:firstLine="562" w:firstLineChars="200"/>
        <w:rPr>
          <w:rFonts w:hint="default" w:ascii="Arial" w:hAnsi="Arial" w:eastAsia="仿宋_GB2312" w:cs="Arial"/>
          <w:b w:val="0"/>
          <w:bCs w:val="0"/>
          <w:kern w:val="2"/>
          <w:sz w:val="28"/>
          <w:highlight w:val="none"/>
          <w:lang w:val="en-US" w:eastAsia="zh-CN"/>
        </w:rPr>
      </w:pPr>
      <w:r>
        <w:rPr>
          <w:rFonts w:hint="eastAsia" w:ascii="Arial" w:hAnsi="Arial" w:eastAsia="仿宋_GB2312" w:cs="Arial"/>
          <w:b/>
          <w:bCs/>
          <w:kern w:val="2"/>
          <w:sz w:val="28"/>
          <w:highlight w:val="none"/>
          <w:lang w:val="en-US" w:eastAsia="zh-CN"/>
        </w:rPr>
        <w:t>规划总建筑面积：</w:t>
      </w:r>
      <w:r>
        <w:rPr>
          <w:rFonts w:hint="eastAsia" w:ascii="Arial" w:hAnsi="Arial" w:eastAsia="仿宋_GB2312" w:cs="Arial"/>
          <w:b w:val="0"/>
          <w:bCs w:val="0"/>
          <w:kern w:val="2"/>
          <w:sz w:val="28"/>
          <w:highlight w:val="none"/>
          <w:lang w:val="en-US" w:eastAsia="zh-CN"/>
        </w:rPr>
        <w:t>71508.52平方米</w:t>
      </w:r>
    </w:p>
    <w:p w14:paraId="73DB1FE1">
      <w:pPr>
        <w:snapToGrid w:val="0"/>
        <w:spacing w:before="120" w:beforeLines="50" w:line="288" w:lineRule="auto"/>
        <w:ind w:firstLine="840" w:firstLineChars="300"/>
        <w:rPr>
          <w:rFonts w:hint="eastAsia" w:ascii="Arial" w:hAnsi="Arial" w:eastAsia="仿宋_GB2312" w:cs="Arial"/>
          <w:b/>
          <w:kern w:val="2"/>
          <w:sz w:val="28"/>
          <w:highlight w:val="none"/>
          <w:lang w:val="en-US" w:eastAsia="zh-CN"/>
        </w:rPr>
      </w:pPr>
      <w:r>
        <w:rPr>
          <w:rFonts w:hint="eastAsia" w:ascii="Arial" w:hAnsi="Arial" w:eastAsia="仿宋_GB2312" w:cs="Arial"/>
          <w:b w:val="0"/>
          <w:bCs w:val="0"/>
          <w:kern w:val="2"/>
          <w:sz w:val="28"/>
          <w:highlight w:val="none"/>
          <w:lang w:val="en-US" w:eastAsia="zh-CN"/>
        </w:rPr>
        <w:t>其中，经营性建筑面积：68148.54平方米</w:t>
      </w:r>
    </w:p>
    <w:p w14:paraId="7AF23422">
      <w:pPr>
        <w:snapToGrid w:val="0"/>
        <w:spacing w:line="288" w:lineRule="auto"/>
        <w:ind w:firstLine="562" w:firstLineChars="200"/>
        <w:rPr>
          <w:rFonts w:ascii="Arial" w:hAnsi="Arial" w:eastAsia="仿宋_GB2312" w:cs="Arial"/>
          <w:b/>
          <w:kern w:val="2"/>
          <w:sz w:val="28"/>
          <w:highlight w:val="none"/>
        </w:rPr>
      </w:pPr>
      <w:r>
        <w:rPr>
          <w:rFonts w:ascii="Arial" w:hAnsi="Arial" w:eastAsia="仿宋_GB2312" w:cs="Arial"/>
          <w:b/>
          <w:kern w:val="2"/>
          <w:sz w:val="28"/>
          <w:highlight w:val="none"/>
        </w:rPr>
        <w:t>熟地</w:t>
      </w:r>
      <w:r>
        <w:rPr>
          <w:rFonts w:hint="eastAsia" w:ascii="Arial" w:hAnsi="Arial" w:eastAsia="仿宋_GB2312" w:cs="Arial"/>
          <w:b/>
          <w:kern w:val="2"/>
          <w:sz w:val="28"/>
          <w:highlight w:val="none"/>
          <w:lang w:val="en-US" w:eastAsia="zh-CN"/>
        </w:rPr>
        <w:t>总</w:t>
      </w:r>
      <w:r>
        <w:rPr>
          <w:rFonts w:ascii="Arial" w:hAnsi="Arial" w:eastAsia="仿宋_GB2312" w:cs="Arial"/>
          <w:b/>
          <w:kern w:val="2"/>
          <w:sz w:val="28"/>
          <w:highlight w:val="none"/>
        </w:rPr>
        <w:t>价：</w:t>
      </w:r>
    </w:p>
    <w:p w14:paraId="03A0EBE1">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2FD26E45">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69C6D876">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588FCF95">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城镇住宅用地：</w:t>
      </w:r>
    </w:p>
    <w:p w14:paraId="3D20CBBB">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熟地价总额：</w:t>
      </w:r>
      <w:r>
        <w:rPr>
          <w:rFonts w:hint="eastAsia" w:ascii="Arial" w:hAnsi="Arial" w:eastAsia="仿宋_GB2312" w:cs="Arial"/>
          <w:kern w:val="2"/>
          <w:sz w:val="28"/>
          <w:highlight w:val="none"/>
          <w:lang w:val="en-US" w:eastAsia="zh-CN"/>
        </w:rPr>
        <w:t>74568.1325</w:t>
      </w:r>
      <w:r>
        <w:rPr>
          <w:rFonts w:ascii="Arial" w:hAnsi="Arial" w:eastAsia="仿宋_GB2312" w:cs="Arial"/>
          <w:kern w:val="2"/>
          <w:sz w:val="28"/>
          <w:highlight w:val="none"/>
        </w:rPr>
        <w:t xml:space="preserve"> 万元</w:t>
      </w:r>
    </w:p>
    <w:p w14:paraId="7B39F861">
      <w:pPr>
        <w:snapToGrid w:val="0"/>
        <w:spacing w:before="120" w:beforeLines="50" w:line="288" w:lineRule="auto"/>
        <w:ind w:firstLine="840" w:firstLineChars="300"/>
        <w:rPr>
          <w:rFonts w:ascii="Arial" w:hAnsi="Arial" w:eastAsia="仿宋_GB2312" w:cs="Arial"/>
          <w:kern w:val="2"/>
          <w:sz w:val="28"/>
          <w:highlight w:val="none"/>
        </w:rPr>
      </w:pPr>
      <w:r>
        <w:rPr>
          <w:rFonts w:ascii="Arial" w:hAnsi="Arial" w:eastAsia="仿宋_GB2312" w:cs="Arial"/>
          <w:kern w:val="2"/>
          <w:sz w:val="28"/>
          <w:highlight w:val="none"/>
        </w:rPr>
        <w:t>大写金额：</w:t>
      </w:r>
      <w:r>
        <w:rPr>
          <w:rFonts w:hint="eastAsia" w:ascii="Arial" w:hAnsi="Arial" w:eastAsia="仿宋_GB2312" w:cs="Arial"/>
          <w:kern w:val="2"/>
          <w:sz w:val="28"/>
          <w:highlight w:val="none"/>
          <w:lang w:val="en-US" w:eastAsia="zh-CN"/>
        </w:rPr>
        <w:t>柒亿肆仟伍佰陆拾捌万壹仟叁佰贰拾伍</w:t>
      </w:r>
      <w:r>
        <w:rPr>
          <w:rFonts w:ascii="Arial" w:hAnsi="Arial" w:eastAsia="仿宋_GB2312" w:cs="Arial"/>
          <w:kern w:val="2"/>
          <w:sz w:val="28"/>
          <w:highlight w:val="none"/>
        </w:rPr>
        <w:t>元整</w:t>
      </w:r>
    </w:p>
    <w:p w14:paraId="35D38DC6">
      <w:pPr>
        <w:snapToGrid w:val="0"/>
        <w:spacing w:before="120" w:beforeLines="50" w:line="288" w:lineRule="auto"/>
        <w:ind w:firstLine="840" w:firstLineChars="300"/>
        <w:rPr>
          <w:rFonts w:hint="eastAsia" w:ascii="Arial" w:hAnsi="Arial" w:eastAsia="仿宋_GB2312" w:cs="Arial"/>
          <w:b w:val="0"/>
          <w:bCs w:val="0"/>
          <w:kern w:val="2"/>
          <w:sz w:val="28"/>
          <w:highlight w:val="none"/>
          <w:lang w:val="en-US" w:eastAsia="zh-CN"/>
        </w:rPr>
      </w:pPr>
      <w:r>
        <w:rPr>
          <w:rFonts w:hint="eastAsia" w:ascii="Arial" w:hAnsi="Arial" w:eastAsia="仿宋_GB2312" w:cs="Arial"/>
          <w:kern w:val="2"/>
          <w:sz w:val="28"/>
          <w:highlight w:val="none"/>
          <w:lang w:val="en-US" w:eastAsia="zh-CN"/>
        </w:rPr>
        <w:t>楼面地价：10942</w:t>
      </w:r>
      <w:r>
        <w:rPr>
          <w:rFonts w:hint="eastAsia" w:ascii="Arial" w:hAnsi="Arial" w:eastAsia="仿宋_GB2312" w:cs="Arial"/>
          <w:b w:val="0"/>
          <w:bCs w:val="0"/>
          <w:kern w:val="2"/>
          <w:sz w:val="28"/>
          <w:highlight w:val="none"/>
          <w:lang w:val="en-US" w:eastAsia="zh-CN"/>
        </w:rPr>
        <w:t>元/平方米</w:t>
      </w:r>
    </w:p>
    <w:p w14:paraId="7EEE964E">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其他商业服务业用地</w:t>
      </w:r>
    </w:p>
    <w:p w14:paraId="1B6BD742">
      <w:pPr>
        <w:snapToGrid w:val="0"/>
        <w:spacing w:before="120" w:beforeLines="50" w:line="288" w:lineRule="auto"/>
        <w:ind w:firstLine="840" w:firstLineChars="300"/>
        <w:rPr>
          <w:rFonts w:hint="default"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楼面地价：5295</w:t>
      </w:r>
      <w:r>
        <w:rPr>
          <w:rFonts w:hint="eastAsia" w:ascii="Arial" w:hAnsi="Arial" w:eastAsia="仿宋_GB2312" w:cs="Arial"/>
          <w:b w:val="0"/>
          <w:bCs w:val="0"/>
          <w:kern w:val="2"/>
          <w:sz w:val="28"/>
          <w:highlight w:val="none"/>
          <w:lang w:val="en-US" w:eastAsia="zh-CN"/>
        </w:rPr>
        <w:t>元/平方米</w:t>
      </w:r>
    </w:p>
    <w:p w14:paraId="19F81C42">
      <w:pPr>
        <w:snapToGrid w:val="0"/>
        <w:spacing w:before="120" w:beforeLines="50" w:line="288" w:lineRule="auto"/>
        <w:ind w:firstLine="562" w:firstLineChars="200"/>
        <w:rPr>
          <w:rFonts w:hint="eastAsia"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公共管理与公共服务用地</w:t>
      </w:r>
    </w:p>
    <w:p w14:paraId="4F02E22C">
      <w:pPr>
        <w:snapToGrid w:val="0"/>
        <w:spacing w:before="120" w:beforeLines="50" w:line="288" w:lineRule="auto"/>
        <w:ind w:firstLine="840" w:firstLineChars="300"/>
        <w:rPr>
          <w:rFonts w:ascii="Arial" w:hAnsi="Arial" w:eastAsia="仿宋_GB2312" w:cs="Arial"/>
          <w:kern w:val="2"/>
          <w:sz w:val="28"/>
          <w:highlight w:val="none"/>
        </w:rPr>
      </w:pPr>
      <w:r>
        <w:rPr>
          <w:rFonts w:hint="eastAsia" w:ascii="Arial" w:hAnsi="Arial" w:eastAsia="仿宋_GB2312" w:cs="Arial"/>
          <w:kern w:val="2"/>
          <w:sz w:val="28"/>
          <w:highlight w:val="none"/>
          <w:lang w:val="en-US" w:eastAsia="zh-CN"/>
        </w:rPr>
        <w:t>楼面地价：3249</w:t>
      </w:r>
      <w:r>
        <w:rPr>
          <w:rFonts w:hint="eastAsia" w:ascii="Arial" w:hAnsi="Arial" w:eastAsia="仿宋_GB2312" w:cs="Arial"/>
          <w:b w:val="0"/>
          <w:bCs w:val="0"/>
          <w:kern w:val="2"/>
          <w:sz w:val="28"/>
          <w:highlight w:val="none"/>
          <w:lang w:val="en-US" w:eastAsia="zh-CN"/>
        </w:rPr>
        <w:t>元/平方米</w:t>
      </w:r>
    </w:p>
    <w:p w14:paraId="28DAB732">
      <w:pPr>
        <w:snapToGrid w:val="0"/>
        <w:spacing w:before="120" w:beforeLines="50" w:line="288" w:lineRule="auto"/>
        <w:ind w:firstLine="560" w:firstLineChars="200"/>
        <w:rPr>
          <w:rFonts w:ascii="Arial" w:hAnsi="Arial" w:eastAsia="仿宋_GB2312" w:cs="Arial"/>
          <w:kern w:val="2"/>
          <w:sz w:val="28"/>
          <w:highlight w:val="none"/>
        </w:rPr>
      </w:pPr>
      <w:r>
        <w:rPr>
          <w:rFonts w:ascii="Arial" w:hAnsi="Arial" w:eastAsia="仿宋_GB2312" w:cs="Arial"/>
          <w:kern w:val="2"/>
          <w:sz w:val="28"/>
          <w:highlight w:val="none"/>
        </w:rPr>
        <w:t>详见《估价结果汇总表》</w:t>
      </w:r>
      <w:bookmarkStart w:id="421" w:name="_GoBack"/>
      <w:bookmarkEnd w:id="421"/>
    </w:p>
    <w:p w14:paraId="4A1D3876">
      <w:pPr>
        <w:snapToGrid w:val="0"/>
        <w:spacing w:before="120" w:beforeLines="50" w:line="300" w:lineRule="auto"/>
        <w:ind w:firstLine="562" w:firstLineChars="200"/>
        <w:rPr>
          <w:rFonts w:ascii="Arial" w:hAnsi="Arial" w:eastAsia="仿宋_GB2312" w:cs="Arial"/>
          <w:b/>
          <w:kern w:val="2"/>
          <w:sz w:val="28"/>
          <w:highlight w:val="none"/>
        </w:rPr>
      </w:pPr>
      <w:r>
        <w:rPr>
          <w:rFonts w:hint="eastAsia" w:ascii="Arial" w:hAnsi="Arial" w:eastAsia="仿宋_GB2312" w:cs="Arial"/>
          <w:b/>
          <w:kern w:val="2"/>
          <w:sz w:val="28"/>
          <w:highlight w:val="none"/>
        </w:rPr>
        <w:t>根据北京市顺义区人民政府</w:t>
      </w:r>
      <w:r>
        <w:rPr>
          <w:rFonts w:hint="eastAsia" w:ascii="Arial" w:hAnsi="Arial" w:eastAsia="仿宋_GB2312" w:cs="Arial"/>
          <w:b/>
          <w:kern w:val="2"/>
          <w:sz w:val="28"/>
          <w:highlight w:val="none"/>
          <w:lang w:eastAsia="zh-CN"/>
        </w:rPr>
        <w:t>《北京市顺义区人民政府关于顺义区高丽营镇夏县营村棚户区改造土地开发项目01－008、01－016、01－026－1、01－020地块提请地价审核有关事宜的函》</w:t>
      </w:r>
      <w:r>
        <w:rPr>
          <w:rFonts w:hint="eastAsia" w:ascii="Arial" w:hAnsi="Arial" w:eastAsia="仿宋_GB2312" w:cs="Arial"/>
          <w:b/>
          <w:kern w:val="2"/>
          <w:sz w:val="28"/>
          <w:highlight w:val="none"/>
        </w:rPr>
        <w:t>，本项目不存在回迁、回购等实物补偿内容。</w:t>
      </w:r>
    </w:p>
    <w:p w14:paraId="690697DE">
      <w:pPr>
        <w:snapToGrid w:val="0"/>
        <w:spacing w:before="120" w:beforeLines="50" w:line="288" w:lineRule="auto"/>
        <w:ind w:firstLine="560" w:firstLineChars="200"/>
        <w:jc w:val="both"/>
        <w:rPr>
          <w:rFonts w:hint="eastAsia" w:ascii="Arial" w:hAnsi="Arial" w:eastAsia="仿宋_GB2312" w:cs="Arial"/>
          <w:kern w:val="2"/>
          <w:sz w:val="28"/>
          <w:highlight w:val="none"/>
          <w:lang w:val="en-US" w:eastAsia="zh-CN"/>
        </w:rPr>
      </w:pPr>
      <w:r>
        <w:rPr>
          <w:rFonts w:hint="eastAsia" w:ascii="Arial" w:hAnsi="Arial" w:eastAsia="仿宋_GB2312" w:cs="Arial"/>
          <w:sz w:val="28"/>
          <w:szCs w:val="28"/>
          <w:highlight w:val="none"/>
          <w:lang w:val="en-US" w:eastAsia="zh-CN"/>
        </w:rPr>
        <w:t>根据</w:t>
      </w:r>
      <w:r>
        <w:rPr>
          <w:rFonts w:hint="eastAsia" w:ascii="Arial" w:hAnsi="Arial" w:eastAsia="仿宋_GB2312" w:cs="Arial"/>
          <w:sz w:val="28"/>
          <w:szCs w:val="28"/>
          <w:highlight w:val="none"/>
          <w:lang w:eastAsia="zh-CN"/>
        </w:rPr>
        <w:t>《</w:t>
      </w:r>
      <w:r>
        <w:rPr>
          <w:rFonts w:hint="eastAsia" w:ascii="Arial" w:hAnsi="Arial" w:eastAsia="仿宋_GB2312" w:cs="Arial"/>
          <w:sz w:val="28"/>
          <w:szCs w:val="28"/>
          <w:highlight w:val="none"/>
          <w:lang w:val="en-US" w:eastAsia="zh-CN"/>
        </w:rPr>
        <w:t>自然资源部 国家林业和草原局关于进一步做好自然资源要素保障的通知》（自然资办发（2026）38号），通过强化国土空间规划弹性、优化审批流程、优先保障国家重大项目及重点领域新增用地指标，并严格执行耕地占补平衡，旨在提升自然资源要素配置效率。其对新增供地市场的影响在于：在严守资源安全底线前提下，为有效投资和合理建设需求开辟“绿色通道”，推动土地供应更加精准、高效地向高质量发展领域倾斜，促进土地节约集约利用，实现“保护”与“保障”的动态平衡，推动行业从粗放规模扩张转向高质量内涵式发展。</w:t>
      </w:r>
    </w:p>
    <w:p w14:paraId="0C0B922D">
      <w:pPr>
        <w:snapToGrid w:val="0"/>
        <w:spacing w:before="120" w:beforeLines="50" w:line="288" w:lineRule="auto"/>
        <w:ind w:firstLine="560" w:firstLineChars="200"/>
        <w:rPr>
          <w:rFonts w:hint="eastAsia" w:ascii="Arial" w:hAnsi="Arial" w:eastAsia="仿宋" w:cs="Arial"/>
          <w:sz w:val="28"/>
          <w:highlight w:val="none"/>
          <w:lang w:eastAsia="zh-CN"/>
        </w:rPr>
      </w:pPr>
      <w:r>
        <w:rPr>
          <w:rFonts w:hint="eastAsia" w:ascii="Arial" w:hAnsi="Arial" w:eastAsia="仿宋_GB2312" w:cs="Arial"/>
          <w:kern w:val="2"/>
          <w:sz w:val="28"/>
          <w:highlight w:val="none"/>
          <w:lang w:val="en-US" w:eastAsia="zh-CN"/>
        </w:rPr>
        <w:t>根据《北京市国有建设用地使用权出让地价评估技术导则》（2026年2月10日实施）</w:t>
      </w:r>
      <w:r>
        <w:rPr>
          <w:rFonts w:hint="eastAsia" w:ascii="Arial" w:hAnsi="Arial" w:eastAsia="仿宋" w:cs="Arial"/>
          <w:sz w:val="28"/>
          <w:szCs w:val="28"/>
          <w:highlight w:val="none"/>
          <w:lang w:val="en-US" w:eastAsia="zh-CN"/>
        </w:rPr>
        <w:t>相关</w:t>
      </w:r>
      <w:r>
        <w:rPr>
          <w:rFonts w:ascii="Arial" w:hAnsi="Arial" w:eastAsia="仿宋" w:cs="Arial"/>
          <w:sz w:val="28"/>
          <w:szCs w:val="28"/>
          <w:highlight w:val="none"/>
        </w:rPr>
        <w:t>规定</w:t>
      </w:r>
      <w:r>
        <w:rPr>
          <w:rFonts w:hint="eastAsia" w:ascii="Arial" w:hAnsi="Arial" w:eastAsia="仿宋" w:cs="Arial"/>
          <w:sz w:val="28"/>
          <w:highlight w:val="none"/>
          <w:lang w:eastAsia="zh-CN"/>
        </w:rPr>
        <w:t>：“</w:t>
      </w:r>
      <w:r>
        <w:rPr>
          <w:rFonts w:hint="eastAsia" w:ascii="Arial" w:hAnsi="Arial" w:eastAsia="仿宋" w:cs="Arial"/>
          <w:sz w:val="28"/>
          <w:highlight w:val="none"/>
          <w:lang w:val="en-US" w:eastAsia="zh-CN"/>
        </w:rPr>
        <w:t>根据招拍挂出让地价管理需要，按估价对象规划用地性质评估不同用途熟地价楼面价。其中：纯住宅用地，需评估住宅、其他商服及公共服务三个用途的熟地楼面地价</w:t>
      </w:r>
      <w:r>
        <w:rPr>
          <w:rFonts w:ascii="Arial" w:hAnsi="Arial" w:eastAsia="仿宋" w:cs="Arial"/>
          <w:sz w:val="28"/>
          <w:highlight w:val="none"/>
        </w:rPr>
        <w:t>。</w:t>
      </w:r>
      <w:r>
        <w:rPr>
          <w:rFonts w:hint="eastAsia" w:ascii="Arial" w:hAnsi="Arial" w:eastAsia="仿宋_GB2312" w:cs="Arial"/>
          <w:kern w:val="2"/>
          <w:sz w:val="28"/>
          <w:highlight w:val="none"/>
          <w:lang w:val="en-US" w:eastAsia="zh-CN"/>
        </w:rPr>
        <w:t>其他商服、公共服务用途统一地价水平确定其配套服务设施部分的熟地单价，按就高原则确定价格水平，后续也不涉及其他</w:t>
      </w:r>
      <w:r>
        <w:rPr>
          <w:rFonts w:hint="eastAsia" w:ascii="Arial" w:hAnsi="Arial" w:eastAsia="仿宋_GB2312" w:cs="Arial"/>
          <w:kern w:val="2"/>
          <w:sz w:val="28"/>
          <w:highlight w:val="none"/>
        </w:rPr>
        <w:t>商服及公共服务用途之间地价款调整问题。</w:t>
      </w:r>
      <w:r>
        <w:rPr>
          <w:rFonts w:hint="eastAsia" w:ascii="Arial" w:hAnsi="Arial" w:eastAsia="仿宋" w:cs="Arial"/>
          <w:sz w:val="28"/>
          <w:highlight w:val="none"/>
          <w:lang w:eastAsia="zh-CN"/>
        </w:rPr>
        <w:t>”</w:t>
      </w:r>
    </w:p>
    <w:p w14:paraId="29B41EC5">
      <w:pPr>
        <w:snapToGrid w:val="0"/>
        <w:spacing w:before="120" w:beforeLines="50" w:line="288" w:lineRule="auto"/>
        <w:ind w:firstLine="560" w:firstLineChars="200"/>
        <w:rPr>
          <w:rFonts w:hint="eastAsia" w:ascii="Arial" w:hAnsi="Arial" w:eastAsia="仿宋_GB2312" w:cs="Arial"/>
          <w:kern w:val="2"/>
          <w:sz w:val="28"/>
          <w:highlight w:val="none"/>
          <w:lang w:val="en-US" w:eastAsia="zh-CN"/>
        </w:rPr>
      </w:pPr>
      <w:r>
        <w:rPr>
          <w:rFonts w:hint="eastAsia" w:ascii="Arial" w:hAnsi="Arial" w:eastAsia="仿宋_GB2312" w:cs="Arial"/>
          <w:kern w:val="2"/>
          <w:sz w:val="28"/>
          <w:highlight w:val="none"/>
          <w:lang w:val="en-US" w:eastAsia="zh-CN"/>
        </w:rPr>
        <w:t>根据本次估价目的和出让评估要求，本次评估估价对象熟地总价时按城镇住宅用地测算结果作为最终估价结果，其他商业服务业用地、公共管理与公共服务用地仅测算列示楼面地价。具体估价结果如下表所示:</w:t>
      </w:r>
    </w:p>
    <w:tbl>
      <w:tblPr>
        <w:tblStyle w:val="34"/>
        <w:tblW w:w="9072" w:type="dxa"/>
        <w:jc w:val="center"/>
        <w:tblLayout w:type="fixed"/>
        <w:tblCellMar>
          <w:top w:w="0" w:type="dxa"/>
          <w:left w:w="108" w:type="dxa"/>
          <w:bottom w:w="0" w:type="dxa"/>
          <w:right w:w="108" w:type="dxa"/>
        </w:tblCellMar>
      </w:tblPr>
      <w:tblGrid>
        <w:gridCol w:w="3749"/>
        <w:gridCol w:w="1788"/>
        <w:gridCol w:w="1968"/>
        <w:gridCol w:w="1567"/>
      </w:tblGrid>
      <w:tr w14:paraId="4991A1E8">
        <w:tblPrEx>
          <w:tblCellMar>
            <w:top w:w="0" w:type="dxa"/>
            <w:left w:w="108" w:type="dxa"/>
            <w:bottom w:w="0" w:type="dxa"/>
            <w:right w:w="108" w:type="dxa"/>
          </w:tblCellMar>
        </w:tblPrEx>
        <w:trPr>
          <w:trHeight w:val="1125" w:hRule="atLeast"/>
          <w:jc w:val="center"/>
        </w:trPr>
        <w:tc>
          <w:tcPr>
            <w:tcW w:w="9072" w:type="dxa"/>
            <w:gridSpan w:val="4"/>
            <w:tcBorders>
              <w:top w:val="nil"/>
              <w:left w:val="nil"/>
              <w:bottom w:val="single" w:color="auto" w:sz="4" w:space="0"/>
              <w:right w:val="nil"/>
            </w:tcBorders>
            <w:shd w:val="clear" w:color="auto" w:fill="auto"/>
            <w:vAlign w:val="center"/>
          </w:tcPr>
          <w:p w14:paraId="08FA15A1">
            <w:pPr>
              <w:widowControl/>
              <w:adjustRightInd/>
              <w:spacing w:line="300" w:lineRule="auto"/>
              <w:jc w:val="center"/>
              <w:textAlignment w:val="auto"/>
              <w:rPr>
                <w:rFonts w:ascii="Arial" w:hAnsi="Arial" w:eastAsia="黑体" w:cs="Arial"/>
                <w:sz w:val="28"/>
                <w:szCs w:val="28"/>
                <w:highlight w:val="none"/>
              </w:rPr>
            </w:pPr>
            <w:r>
              <w:rPr>
                <w:rFonts w:hint="eastAsia" w:ascii="Arial" w:hAnsi="Arial" w:eastAsia="仿宋_GB2312" w:cs="Arial"/>
                <w:b/>
                <w:bCs/>
                <w:sz w:val="28"/>
                <w:highlight w:val="none"/>
              </w:rPr>
              <w:t>北京市顺义区高丽营镇夏县营村棚户区改造土地开发项目01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008、01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016、01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026</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1、01</w:t>
            </w:r>
            <w:r>
              <w:rPr>
                <w:rFonts w:hint="eastAsia" w:ascii="Arial" w:hAnsi="Arial" w:eastAsia="仿宋_GB2312" w:cs="Arial"/>
                <w:b/>
                <w:bCs/>
                <w:sz w:val="28"/>
                <w:highlight w:val="none"/>
                <w:lang w:eastAsia="zh-CN"/>
              </w:rPr>
              <w:t>－</w:t>
            </w:r>
            <w:r>
              <w:rPr>
                <w:rFonts w:hint="eastAsia" w:ascii="Arial" w:hAnsi="Arial" w:eastAsia="仿宋_GB2312" w:cs="Arial"/>
                <w:b/>
                <w:bCs/>
                <w:sz w:val="28"/>
                <w:highlight w:val="none"/>
              </w:rPr>
              <w:t>020地块R2二类居住用地、A334托幼用地国有建设用地使用权</w:t>
            </w:r>
            <w:r>
              <w:rPr>
                <w:rFonts w:ascii="Arial" w:hAnsi="Arial" w:eastAsia="仿宋_GB2312" w:cs="Arial"/>
                <w:b/>
                <w:bCs/>
                <w:sz w:val="28"/>
                <w:highlight w:val="none"/>
              </w:rPr>
              <w:t>估价结果汇总表</w:t>
            </w:r>
          </w:p>
        </w:tc>
      </w:tr>
      <w:tr w14:paraId="1E271662">
        <w:tblPrEx>
          <w:tblCellMar>
            <w:top w:w="0" w:type="dxa"/>
            <w:left w:w="108" w:type="dxa"/>
            <w:bottom w:w="0" w:type="dxa"/>
            <w:right w:w="108" w:type="dxa"/>
          </w:tblCellMar>
        </w:tblPrEx>
        <w:trPr>
          <w:trHeight w:val="67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766746A7">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地价类型</w:t>
            </w:r>
            <w:r>
              <w:rPr>
                <w:rFonts w:ascii="Arial" w:hAnsi="Arial" w:eastAsia="仿宋_GB2312" w:cs="Arial"/>
                <w:szCs w:val="24"/>
                <w:highlight w:val="none"/>
              </w:rPr>
              <w:t>　</w:t>
            </w:r>
          </w:p>
        </w:tc>
        <w:tc>
          <w:tcPr>
            <w:tcW w:w="1788" w:type="dxa"/>
            <w:tcBorders>
              <w:top w:val="nil"/>
              <w:left w:val="nil"/>
              <w:bottom w:val="single" w:color="auto" w:sz="4" w:space="0"/>
              <w:right w:val="single" w:color="auto" w:sz="4" w:space="0"/>
            </w:tcBorders>
            <w:shd w:val="clear" w:color="auto" w:fill="auto"/>
            <w:vAlign w:val="center"/>
          </w:tcPr>
          <w:p w14:paraId="57056C75">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eastAsia="zh-CN"/>
              </w:rPr>
              <w:t>楼面地价</w:t>
            </w:r>
            <w:r>
              <w:rPr>
                <w:rFonts w:ascii="Arial" w:hAnsi="Arial" w:eastAsia="仿宋_GB2312" w:cs="Arial"/>
                <w:szCs w:val="24"/>
                <w:highlight w:val="none"/>
              </w:rPr>
              <w:br w:type="textWrapping"/>
            </w:r>
            <w:r>
              <w:rPr>
                <w:rFonts w:ascii="Arial" w:hAnsi="Arial" w:eastAsia="仿宋_GB2312" w:cs="Arial"/>
                <w:szCs w:val="24"/>
                <w:highlight w:val="none"/>
              </w:rPr>
              <w:t>（元/平方米）</w:t>
            </w:r>
          </w:p>
        </w:tc>
        <w:tc>
          <w:tcPr>
            <w:tcW w:w="1968" w:type="dxa"/>
            <w:tcBorders>
              <w:top w:val="nil"/>
              <w:left w:val="nil"/>
              <w:bottom w:val="single" w:color="auto" w:sz="4" w:space="0"/>
              <w:right w:val="single" w:color="auto" w:sz="4" w:space="0"/>
            </w:tcBorders>
            <w:shd w:val="clear" w:color="auto" w:fill="auto"/>
            <w:vAlign w:val="center"/>
          </w:tcPr>
          <w:p w14:paraId="3A2C1E30">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经营性</w:t>
            </w:r>
            <w:r>
              <w:rPr>
                <w:rFonts w:ascii="Arial" w:hAnsi="Arial" w:eastAsia="仿宋_GB2312" w:cs="Arial"/>
                <w:szCs w:val="24"/>
                <w:highlight w:val="none"/>
              </w:rPr>
              <w:t>建筑规模</w:t>
            </w:r>
            <w:r>
              <w:rPr>
                <w:rFonts w:ascii="Arial" w:hAnsi="Arial" w:eastAsia="仿宋_GB2312" w:cs="Arial"/>
                <w:szCs w:val="24"/>
                <w:highlight w:val="none"/>
              </w:rPr>
              <w:br w:type="textWrapping"/>
            </w:r>
            <w:r>
              <w:rPr>
                <w:rFonts w:ascii="Arial" w:hAnsi="Arial" w:eastAsia="仿宋_GB2312" w:cs="Arial"/>
                <w:szCs w:val="24"/>
                <w:highlight w:val="none"/>
              </w:rPr>
              <w:t>（平方米）</w:t>
            </w:r>
          </w:p>
        </w:tc>
        <w:tc>
          <w:tcPr>
            <w:tcW w:w="1567" w:type="dxa"/>
            <w:tcBorders>
              <w:top w:val="nil"/>
              <w:left w:val="nil"/>
              <w:bottom w:val="single" w:color="auto" w:sz="4" w:space="0"/>
              <w:right w:val="single" w:color="auto" w:sz="4" w:space="0"/>
            </w:tcBorders>
            <w:shd w:val="clear" w:color="auto" w:fill="auto"/>
            <w:vAlign w:val="center"/>
          </w:tcPr>
          <w:p w14:paraId="6DB35371">
            <w:pPr>
              <w:widowControl/>
              <w:adjustRightInd/>
              <w:spacing w:line="300" w:lineRule="auto"/>
              <w:jc w:val="center"/>
              <w:textAlignment w:val="auto"/>
              <w:rPr>
                <w:rFonts w:ascii="Arial" w:hAnsi="Arial" w:eastAsia="仿宋_GB2312" w:cs="Arial"/>
                <w:szCs w:val="24"/>
                <w:highlight w:val="none"/>
              </w:rPr>
            </w:pPr>
            <w:r>
              <w:rPr>
                <w:rFonts w:hint="eastAsia" w:ascii="Arial" w:hAnsi="Arial" w:eastAsia="仿宋_GB2312" w:cs="Arial"/>
                <w:szCs w:val="24"/>
                <w:highlight w:val="none"/>
                <w:lang w:val="en-US" w:eastAsia="zh-CN"/>
              </w:rPr>
              <w:t>熟地</w:t>
            </w:r>
            <w:r>
              <w:rPr>
                <w:rFonts w:ascii="Arial" w:hAnsi="Arial" w:eastAsia="仿宋_GB2312" w:cs="Arial"/>
                <w:szCs w:val="24"/>
                <w:highlight w:val="none"/>
              </w:rPr>
              <w:t>总价</w:t>
            </w:r>
            <w:r>
              <w:rPr>
                <w:rFonts w:ascii="Arial" w:hAnsi="Arial" w:eastAsia="仿宋_GB2312" w:cs="Arial"/>
                <w:szCs w:val="24"/>
                <w:highlight w:val="none"/>
              </w:rPr>
              <w:br w:type="textWrapping"/>
            </w:r>
            <w:r>
              <w:rPr>
                <w:rFonts w:ascii="Arial" w:hAnsi="Arial" w:eastAsia="仿宋_GB2312" w:cs="Arial"/>
                <w:szCs w:val="24"/>
                <w:highlight w:val="none"/>
              </w:rPr>
              <w:t>（万元）</w:t>
            </w:r>
          </w:p>
        </w:tc>
      </w:tr>
      <w:tr w14:paraId="31B5CF4C">
        <w:tblPrEx>
          <w:tblCellMar>
            <w:top w:w="0" w:type="dxa"/>
            <w:left w:w="108" w:type="dxa"/>
            <w:bottom w:w="0" w:type="dxa"/>
            <w:right w:w="108" w:type="dxa"/>
          </w:tblCellMar>
        </w:tblPrEx>
        <w:trPr>
          <w:trHeight w:val="56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021E2CC6">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城镇住宅用地熟地价</w:t>
            </w:r>
          </w:p>
        </w:tc>
        <w:tc>
          <w:tcPr>
            <w:tcW w:w="1788" w:type="dxa"/>
            <w:tcBorders>
              <w:top w:val="nil"/>
              <w:left w:val="nil"/>
              <w:bottom w:val="single" w:color="auto" w:sz="4" w:space="0"/>
              <w:right w:val="single" w:color="auto" w:sz="4" w:space="0"/>
            </w:tcBorders>
            <w:shd w:val="clear" w:color="auto" w:fill="auto"/>
            <w:vAlign w:val="center"/>
          </w:tcPr>
          <w:p w14:paraId="0C574F5B">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10942</w:t>
            </w:r>
          </w:p>
        </w:tc>
        <w:tc>
          <w:tcPr>
            <w:tcW w:w="1968" w:type="dxa"/>
            <w:tcBorders>
              <w:top w:val="nil"/>
              <w:left w:val="nil"/>
              <w:bottom w:val="single" w:color="auto" w:sz="4" w:space="0"/>
              <w:right w:val="single" w:color="auto" w:sz="4" w:space="0"/>
            </w:tcBorders>
            <w:shd w:val="clear" w:color="auto" w:fill="auto"/>
            <w:vAlign w:val="center"/>
          </w:tcPr>
          <w:p w14:paraId="631E6ACC">
            <w:pPr>
              <w:spacing w:line="300" w:lineRule="auto"/>
              <w:jc w:val="center"/>
              <w:rPr>
                <w:rFonts w:ascii="黑体" w:hAnsi="黑体" w:eastAsia="黑体"/>
                <w:highlight w:val="none"/>
              </w:rPr>
            </w:pPr>
            <w:r>
              <w:rPr>
                <w:rFonts w:ascii="黑体" w:hAnsi="黑体" w:eastAsia="黑体"/>
                <w:highlight w:val="none"/>
              </w:rPr>
              <w:t>68148.54</w:t>
            </w:r>
          </w:p>
        </w:tc>
        <w:tc>
          <w:tcPr>
            <w:tcW w:w="1567" w:type="dxa"/>
            <w:tcBorders>
              <w:top w:val="nil"/>
              <w:left w:val="nil"/>
              <w:bottom w:val="single" w:color="auto" w:sz="4" w:space="0"/>
              <w:right w:val="single" w:color="auto" w:sz="4" w:space="0"/>
            </w:tcBorders>
            <w:shd w:val="clear" w:color="auto" w:fill="auto"/>
            <w:vAlign w:val="center"/>
          </w:tcPr>
          <w:p w14:paraId="79AC8472">
            <w:pPr>
              <w:spacing w:line="300" w:lineRule="auto"/>
              <w:jc w:val="center"/>
              <w:rPr>
                <w:rFonts w:ascii="黑体" w:hAnsi="黑体" w:eastAsia="黑体" w:cs="宋体"/>
                <w:szCs w:val="24"/>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r w14:paraId="2D8A0E92">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44A5981D">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其他商业服务业用地用途熟地价</w:t>
            </w:r>
          </w:p>
        </w:tc>
        <w:tc>
          <w:tcPr>
            <w:tcW w:w="1788" w:type="dxa"/>
            <w:tcBorders>
              <w:top w:val="nil"/>
              <w:left w:val="nil"/>
              <w:bottom w:val="single" w:color="auto" w:sz="4" w:space="0"/>
              <w:right w:val="single" w:color="auto" w:sz="4" w:space="0"/>
            </w:tcBorders>
            <w:shd w:val="clear" w:color="auto" w:fill="auto"/>
            <w:vAlign w:val="center"/>
          </w:tcPr>
          <w:p w14:paraId="3B538A02">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5295</w:t>
            </w:r>
          </w:p>
        </w:tc>
        <w:tc>
          <w:tcPr>
            <w:tcW w:w="1968" w:type="dxa"/>
            <w:tcBorders>
              <w:top w:val="nil"/>
              <w:left w:val="nil"/>
              <w:bottom w:val="single" w:color="auto" w:sz="4" w:space="0"/>
              <w:right w:val="single" w:color="auto" w:sz="4" w:space="0"/>
            </w:tcBorders>
            <w:shd w:val="clear" w:color="auto" w:fill="auto"/>
            <w:vAlign w:val="center"/>
          </w:tcPr>
          <w:p w14:paraId="3E1555CA">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567" w:type="dxa"/>
            <w:tcBorders>
              <w:top w:val="nil"/>
              <w:left w:val="nil"/>
              <w:bottom w:val="single" w:color="auto" w:sz="4" w:space="0"/>
              <w:right w:val="single" w:color="auto" w:sz="4" w:space="0"/>
            </w:tcBorders>
            <w:shd w:val="clear" w:color="auto" w:fill="auto"/>
            <w:vAlign w:val="center"/>
          </w:tcPr>
          <w:p w14:paraId="6F3217B5">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7E569AF6">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nil"/>
              <w:right w:val="single" w:color="auto" w:sz="4" w:space="0"/>
            </w:tcBorders>
            <w:shd w:val="clear" w:color="auto" w:fill="auto"/>
            <w:vAlign w:val="center"/>
          </w:tcPr>
          <w:p w14:paraId="5039F1E6">
            <w:pPr>
              <w:widowControl/>
              <w:adjustRightInd/>
              <w:spacing w:line="300" w:lineRule="auto"/>
              <w:jc w:val="center"/>
              <w:textAlignment w:val="auto"/>
              <w:rPr>
                <w:rFonts w:hint="default" w:ascii="Arial" w:hAnsi="Arial" w:eastAsia="仿宋_GB2312" w:cs="Arial"/>
                <w:szCs w:val="24"/>
                <w:highlight w:val="none"/>
                <w:lang w:val="en-US" w:eastAsia="zh-CN"/>
              </w:rPr>
            </w:pPr>
            <w:r>
              <w:rPr>
                <w:rFonts w:hint="eastAsia" w:ascii="Arial" w:hAnsi="Arial" w:eastAsia="仿宋_GB2312" w:cs="Arial"/>
                <w:szCs w:val="24"/>
                <w:highlight w:val="none"/>
              </w:rPr>
              <w:t>公共</w:t>
            </w:r>
            <w:r>
              <w:rPr>
                <w:rFonts w:hint="eastAsia" w:ascii="Arial" w:hAnsi="Arial" w:eastAsia="仿宋_GB2312" w:cs="Arial"/>
                <w:szCs w:val="24"/>
                <w:highlight w:val="none"/>
                <w:lang w:val="en-US" w:eastAsia="zh-CN"/>
              </w:rPr>
              <w:t>服务用途熟地价</w:t>
            </w:r>
          </w:p>
        </w:tc>
        <w:tc>
          <w:tcPr>
            <w:tcW w:w="1788" w:type="dxa"/>
            <w:tcBorders>
              <w:top w:val="nil"/>
              <w:left w:val="nil"/>
              <w:bottom w:val="nil"/>
              <w:right w:val="single" w:color="auto" w:sz="4" w:space="0"/>
            </w:tcBorders>
            <w:shd w:val="clear" w:color="auto" w:fill="auto"/>
            <w:vAlign w:val="center"/>
          </w:tcPr>
          <w:p w14:paraId="44C319D8">
            <w:pPr>
              <w:spacing w:line="300" w:lineRule="auto"/>
              <w:jc w:val="center"/>
              <w:rPr>
                <w:rFonts w:hint="default" w:ascii="黑体" w:hAnsi="黑体" w:eastAsia="黑体" w:cs="宋体"/>
                <w:szCs w:val="24"/>
                <w:highlight w:val="none"/>
                <w:lang w:val="en-US" w:eastAsia="zh-CN"/>
              </w:rPr>
            </w:pPr>
            <w:r>
              <w:rPr>
                <w:rFonts w:hint="eastAsia" w:ascii="黑体" w:hAnsi="黑体" w:eastAsia="黑体" w:cs="宋体"/>
                <w:szCs w:val="24"/>
                <w:highlight w:val="none"/>
                <w:lang w:val="en-US" w:eastAsia="zh-CN"/>
              </w:rPr>
              <w:t>3249</w:t>
            </w:r>
          </w:p>
        </w:tc>
        <w:tc>
          <w:tcPr>
            <w:tcW w:w="1968" w:type="dxa"/>
            <w:tcBorders>
              <w:top w:val="nil"/>
              <w:left w:val="nil"/>
              <w:bottom w:val="nil"/>
              <w:right w:val="single" w:color="auto" w:sz="4" w:space="0"/>
            </w:tcBorders>
            <w:shd w:val="clear" w:color="auto" w:fill="auto"/>
            <w:vAlign w:val="center"/>
          </w:tcPr>
          <w:p w14:paraId="164BB278">
            <w:pPr>
              <w:spacing w:line="300" w:lineRule="auto"/>
              <w:jc w:val="center"/>
              <w:rPr>
                <w:rFonts w:hint="eastAsia" w:ascii="黑体" w:hAnsi="黑体" w:eastAsia="黑体"/>
                <w:highlight w:val="none"/>
                <w:lang w:eastAsia="zh-CN"/>
              </w:rPr>
            </w:pPr>
            <w:r>
              <w:rPr>
                <w:rFonts w:hint="eastAsia" w:ascii="黑体" w:hAnsi="黑体" w:eastAsia="黑体"/>
                <w:highlight w:val="none"/>
                <w:lang w:eastAsia="zh-CN"/>
              </w:rPr>
              <w:t>－</w:t>
            </w:r>
          </w:p>
        </w:tc>
        <w:tc>
          <w:tcPr>
            <w:tcW w:w="1567" w:type="dxa"/>
            <w:tcBorders>
              <w:top w:val="nil"/>
              <w:left w:val="nil"/>
              <w:bottom w:val="nil"/>
              <w:right w:val="single" w:color="auto" w:sz="4" w:space="0"/>
            </w:tcBorders>
            <w:shd w:val="clear" w:color="auto" w:fill="auto"/>
            <w:vAlign w:val="center"/>
          </w:tcPr>
          <w:p w14:paraId="294F28AA">
            <w:pPr>
              <w:spacing w:line="300" w:lineRule="auto"/>
              <w:jc w:val="center"/>
              <w:rPr>
                <w:rFonts w:hint="eastAsia" w:ascii="黑体" w:hAnsi="黑体" w:eastAsia="黑体" w:cs="宋体"/>
                <w:szCs w:val="24"/>
                <w:highlight w:val="none"/>
                <w:lang w:eastAsia="zh-CN"/>
              </w:rPr>
            </w:pPr>
            <w:r>
              <w:rPr>
                <w:rFonts w:hint="eastAsia" w:ascii="黑体" w:hAnsi="黑体" w:eastAsia="黑体"/>
                <w:highlight w:val="none"/>
                <w:lang w:eastAsia="zh-CN"/>
              </w:rPr>
              <w:t>－</w:t>
            </w:r>
          </w:p>
        </w:tc>
      </w:tr>
      <w:tr w14:paraId="49215566">
        <w:tblPrEx>
          <w:tblCellMar>
            <w:top w:w="0" w:type="dxa"/>
            <w:left w:w="108" w:type="dxa"/>
            <w:bottom w:w="0" w:type="dxa"/>
            <w:right w:w="108" w:type="dxa"/>
          </w:tblCellMar>
        </w:tblPrEx>
        <w:trPr>
          <w:trHeight w:val="525" w:hRule="atLeast"/>
          <w:jc w:val="center"/>
        </w:trPr>
        <w:tc>
          <w:tcPr>
            <w:tcW w:w="3749" w:type="dxa"/>
            <w:tcBorders>
              <w:top w:val="nil"/>
              <w:left w:val="single" w:color="auto" w:sz="4" w:space="0"/>
              <w:bottom w:val="single" w:color="auto" w:sz="4" w:space="0"/>
              <w:right w:val="single" w:color="auto" w:sz="4" w:space="0"/>
            </w:tcBorders>
            <w:shd w:val="clear" w:color="auto" w:fill="auto"/>
            <w:vAlign w:val="center"/>
          </w:tcPr>
          <w:p w14:paraId="11C8AD5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小计</w:t>
            </w:r>
          </w:p>
        </w:tc>
        <w:tc>
          <w:tcPr>
            <w:tcW w:w="1788" w:type="dxa"/>
            <w:tcBorders>
              <w:top w:val="nil"/>
              <w:left w:val="nil"/>
              <w:bottom w:val="single" w:color="auto" w:sz="4" w:space="0"/>
              <w:right w:val="single" w:color="auto" w:sz="4" w:space="0"/>
            </w:tcBorders>
            <w:shd w:val="clear" w:color="auto" w:fill="auto"/>
            <w:vAlign w:val="center"/>
          </w:tcPr>
          <w:p w14:paraId="36BF0089">
            <w:pPr>
              <w:spacing w:line="300" w:lineRule="auto"/>
              <w:jc w:val="center"/>
              <w:rPr>
                <w:rFonts w:hint="eastAsia" w:ascii="黑体" w:hAnsi="黑体" w:eastAsia="黑体"/>
                <w:highlight w:val="none"/>
                <w:lang w:val="en-US" w:eastAsia="zh-CN"/>
              </w:rPr>
            </w:pPr>
            <w:r>
              <w:rPr>
                <w:rFonts w:hint="eastAsia" w:ascii="黑体" w:hAnsi="黑体" w:eastAsia="黑体"/>
                <w:highlight w:val="none"/>
                <w:lang w:val="en-US" w:eastAsia="zh-CN"/>
              </w:rPr>
              <w:t>－</w:t>
            </w:r>
          </w:p>
        </w:tc>
        <w:tc>
          <w:tcPr>
            <w:tcW w:w="1968" w:type="dxa"/>
            <w:tcBorders>
              <w:top w:val="nil"/>
              <w:left w:val="nil"/>
              <w:bottom w:val="single" w:color="auto" w:sz="4" w:space="0"/>
              <w:right w:val="single" w:color="auto" w:sz="4" w:space="0"/>
            </w:tcBorders>
            <w:shd w:val="clear" w:color="auto" w:fill="auto"/>
            <w:vAlign w:val="center"/>
          </w:tcPr>
          <w:p w14:paraId="39535E2B">
            <w:pPr>
              <w:spacing w:line="300" w:lineRule="auto"/>
              <w:jc w:val="center"/>
              <w:rPr>
                <w:rFonts w:hint="default" w:ascii="黑体" w:hAnsi="黑体" w:eastAsia="黑体"/>
                <w:highlight w:val="none"/>
                <w:lang w:val="en-US" w:eastAsia="zh-CN"/>
              </w:rPr>
            </w:pPr>
            <w:r>
              <w:rPr>
                <w:rFonts w:hint="eastAsia" w:ascii="黑体" w:hAnsi="黑体" w:eastAsia="黑体"/>
                <w:highlight w:val="none"/>
                <w:lang w:val="en-US" w:eastAsia="zh-CN"/>
              </w:rPr>
              <w:t>68148.54</w:t>
            </w:r>
          </w:p>
        </w:tc>
        <w:tc>
          <w:tcPr>
            <w:tcW w:w="1567" w:type="dxa"/>
            <w:tcBorders>
              <w:top w:val="nil"/>
              <w:left w:val="nil"/>
              <w:bottom w:val="single" w:color="auto" w:sz="4" w:space="0"/>
              <w:right w:val="single" w:color="auto" w:sz="4" w:space="0"/>
            </w:tcBorders>
            <w:shd w:val="clear" w:color="auto" w:fill="auto"/>
            <w:vAlign w:val="center"/>
          </w:tcPr>
          <w:p w14:paraId="4FB4C4F5">
            <w:pPr>
              <w:spacing w:line="300" w:lineRule="auto"/>
              <w:jc w:val="center"/>
              <w:rPr>
                <w:rFonts w:ascii="黑体" w:hAnsi="黑体" w:eastAsia="黑体"/>
                <w:highlight w:val="none"/>
              </w:rPr>
            </w:pPr>
            <w:r>
              <w:rPr>
                <w:rFonts w:hint="eastAsia" w:ascii="黑体" w:hAnsi="黑体" w:eastAsia="黑体"/>
                <w:highlight w:val="none"/>
                <w:lang w:val="en-US" w:eastAsia="zh-CN"/>
              </w:rPr>
              <w:t>74568.1325</w:t>
            </w:r>
            <w:r>
              <w:rPr>
                <w:rFonts w:ascii="黑体" w:hAnsi="黑体" w:eastAsia="黑体"/>
                <w:highlight w:val="none"/>
              </w:rPr>
              <w:t xml:space="preserve"> </w:t>
            </w:r>
          </w:p>
        </w:tc>
      </w:tr>
    </w:tbl>
    <w:p w14:paraId="6EA60548">
      <w:pPr>
        <w:keepNext w:val="0"/>
        <w:keepLines w:val="0"/>
        <w:pageBreakBefore w:val="0"/>
        <w:widowControl w:val="0"/>
        <w:kinsoku/>
        <w:wordWrap/>
        <w:overflowPunct/>
        <w:topLinePunct w:val="0"/>
        <w:autoSpaceDE/>
        <w:autoSpaceDN/>
        <w:bidi w:val="0"/>
        <w:adjustRightInd w:val="0"/>
        <w:snapToGrid w:val="0"/>
        <w:spacing w:before="327" w:beforeLines="100" w:line="288" w:lineRule="auto"/>
        <w:textAlignment w:val="baseline"/>
        <w:rPr>
          <w:rFonts w:hint="default" w:ascii="Arial" w:hAnsi="Arial" w:eastAsia="仿宋_GB2312" w:cs="Arial"/>
          <w:b/>
          <w:kern w:val="2"/>
          <w:sz w:val="28"/>
          <w:highlight w:val="none"/>
          <w:lang w:val="en-US" w:eastAsia="zh-CN"/>
        </w:rPr>
      </w:pPr>
      <w:r>
        <w:rPr>
          <w:rFonts w:hint="eastAsia" w:ascii="Arial" w:hAnsi="Arial" w:eastAsia="仿宋_GB2312" w:cs="Arial"/>
          <w:b/>
          <w:kern w:val="2"/>
          <w:sz w:val="28"/>
          <w:highlight w:val="none"/>
          <w:lang w:val="en-US" w:eastAsia="zh-CN"/>
        </w:rPr>
        <w:t>出让底价建议：</w:t>
      </w:r>
    </w:p>
    <w:p w14:paraId="7237872C">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根据国土资源部办公厅《关于印发&lt;国有建设用地使用权出让底价评估技术规范&gt;的通知》（国土资厅发（2018）4号）文中相关规定:对应当实行有偿使用，且可以不采用招标拍卖挂牌方式出让的。应按本规范评估其在设定开发建设条件下的正常市场价格，并提出建议的出让底价。同时还应在土地估价报告中测算并对比说明该建议出让底价是否符合当地的协议出让最低价标准。</w:t>
      </w:r>
    </w:p>
    <w:p w14:paraId="797CBC5F">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根据《北京市国有建设用地使用权出让地价评估技术导则》（2026年2月10日实施）：“土地未公布协议出让最低价标准的，按拟出让土地所在级别基准地价的70%测算对比”；同时《协议出让国有土地使用权规定》（中华人民共和国国土资源部21号令，2003年8月1日实施）规定，“有基准地价的地区，协议出让最低价不得低于出让地块所在级别基准地价的70%”。北京市已公布基准地价，未公布协议出让最低价标准，因此，本次估价将熟地价与级别基准地价的70%进行对比分析。</w:t>
      </w:r>
    </w:p>
    <w:p w14:paraId="5751FD3E">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估价对象所在地区属于北京市基准地价住宅、商业、公共服务类三级地价区，具体计算公式如下:</w:t>
      </w:r>
    </w:p>
    <w:p w14:paraId="349591BD">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楼面地价（级别基准地价的70%）＝适用的基准地价×用途修正系数×期日修正系数×年期修正系数×容积率修正系数×70%</w:t>
      </w:r>
    </w:p>
    <w:p w14:paraId="1E0CD0C8">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各用途估价结果详见下表:</w:t>
      </w:r>
    </w:p>
    <w:tbl>
      <w:tblPr>
        <w:tblStyle w:val="34"/>
        <w:tblW w:w="0" w:type="auto"/>
        <w:tblInd w:w="96"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96"/>
        <w:gridCol w:w="2220"/>
        <w:gridCol w:w="2050"/>
        <w:gridCol w:w="1964"/>
        <w:gridCol w:w="2106"/>
      </w:tblGrid>
      <w:tr w14:paraId="716293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64" w:hRule="atLeast"/>
          <w:tblHeader/>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0008FC7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序号</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5098A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项目名称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59087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居住</w:t>
            </w:r>
          </w:p>
          <w:p w14:paraId="6256FA9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42AF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商业</w:t>
            </w:r>
          </w:p>
          <w:p w14:paraId="163DBB2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39939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公共服务</w:t>
            </w:r>
          </w:p>
          <w:p w14:paraId="6FD9993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（元/平方米）</w:t>
            </w:r>
          </w:p>
        </w:tc>
      </w:tr>
      <w:tr w14:paraId="7EDD25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FEAE98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E914D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9829AA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6160</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66935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5320</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D61820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3170</w:t>
            </w:r>
          </w:p>
        </w:tc>
      </w:tr>
      <w:tr w14:paraId="28C70C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638297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C212A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开发程度修正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E437C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9F2A9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F47AD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46.67</w:t>
            </w:r>
          </w:p>
        </w:tc>
      </w:tr>
      <w:tr w14:paraId="4619FCA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0D187B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4A43D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自持限制修正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A527E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65AB94">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DEFCA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274E89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14E5BE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31F2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特殊情况修正</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A1059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8B132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F1243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7E980E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C5BD69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ACAE4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用途修正系数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55A04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4E2225">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67F46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17381C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E81533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5A6DBB">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期日修正系数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F39F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1.0049</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E0110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0.9723</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C71F3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0.9388</w:t>
            </w:r>
          </w:p>
        </w:tc>
      </w:tr>
      <w:tr w14:paraId="72D4B1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467C801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F599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年期修正系数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1B667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6E22B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1C0F8">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w:t>
            </w:r>
          </w:p>
        </w:tc>
      </w:tr>
      <w:tr w14:paraId="3A8B72E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2889533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7A74F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容积率修正系数</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196D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1.0597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983F61">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1.1528</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C3072E">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1.0678</w:t>
            </w:r>
          </w:p>
        </w:tc>
      </w:tr>
      <w:tr w14:paraId="520A772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7264DAC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EA96F0">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基准地价修正结果</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35E44F">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6937</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9A712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4802</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AD10A9">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3225</w:t>
            </w:r>
          </w:p>
        </w:tc>
      </w:tr>
      <w:tr w14:paraId="68CE3E8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9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392841C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7</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A52D3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级别基准地价修正结果的70%</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71693A">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4856</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01A03D">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3361</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86729C">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2258</w:t>
            </w:r>
          </w:p>
        </w:tc>
      </w:tr>
      <w:tr w14:paraId="41F2FA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88"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vAlign w:val="center"/>
          </w:tcPr>
          <w:p w14:paraId="60C291D2">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8</w:t>
            </w:r>
          </w:p>
        </w:tc>
        <w:tc>
          <w:tcPr>
            <w:tcW w:w="222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6C90C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熟地价</w:t>
            </w:r>
          </w:p>
        </w:tc>
        <w:tc>
          <w:tcPr>
            <w:tcW w:w="20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EA6A73">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10942</w:t>
            </w:r>
          </w:p>
        </w:tc>
        <w:tc>
          <w:tcPr>
            <w:tcW w:w="19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ABE487">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5295</w:t>
            </w:r>
          </w:p>
        </w:tc>
        <w:tc>
          <w:tcPr>
            <w:tcW w:w="210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A7F616">
            <w:pPr>
              <w:widowControl/>
              <w:adjustRightInd/>
              <w:spacing w:line="300" w:lineRule="auto"/>
              <w:jc w:val="center"/>
              <w:textAlignment w:val="auto"/>
              <w:rPr>
                <w:rFonts w:hint="eastAsia" w:ascii="Arial" w:hAnsi="Arial" w:eastAsia="仿宋_GB2312" w:cs="Arial"/>
                <w:szCs w:val="24"/>
                <w:highlight w:val="none"/>
                <w:lang w:val="en-US" w:eastAsia="zh-CN"/>
              </w:rPr>
            </w:pPr>
            <w:r>
              <w:rPr>
                <w:rFonts w:hint="eastAsia" w:ascii="Arial" w:hAnsi="Arial" w:eastAsia="仿宋_GB2312" w:cs="Arial"/>
                <w:szCs w:val="24"/>
                <w:highlight w:val="none"/>
                <w:lang w:val="en-US" w:eastAsia="zh-CN"/>
              </w:rPr>
              <w:t>3249</w:t>
            </w:r>
          </w:p>
        </w:tc>
      </w:tr>
    </w:tbl>
    <w:p w14:paraId="2E46A7A8">
      <w:pPr>
        <w:snapToGrid w:val="0"/>
        <w:spacing w:before="120" w:beforeLines="50" w:line="288" w:lineRule="auto"/>
        <w:ind w:firstLine="560" w:firstLineChars="200"/>
        <w:rPr>
          <w:rFonts w:hint="eastAsia" w:ascii="Arial" w:hAnsi="Arial" w:eastAsia="仿宋" w:cs="Arial"/>
          <w:sz w:val="28"/>
          <w:highlight w:val="none"/>
          <w:lang w:val="en-US" w:eastAsia="zh-CN"/>
        </w:rPr>
      </w:pPr>
      <w:r>
        <w:rPr>
          <w:rFonts w:hint="eastAsia" w:ascii="Arial" w:hAnsi="Arial" w:eastAsia="仿宋" w:cs="Arial"/>
          <w:sz w:val="28"/>
          <w:highlight w:val="none"/>
          <w:lang w:val="en-US" w:eastAsia="zh-CN"/>
        </w:rPr>
        <w:t>经测算，本次估价求取估价对象各用途熟地价均高于协议出让最低价标准（经修正后（除因素修正外）级别基准地价的70%），因此建议该宗地以评估熟地价作为入市底价，即74568.1325万元，建议出让楼面地价为10942元/平方米（折合经营性建筑面积）。</w:t>
      </w:r>
    </w:p>
    <w:p w14:paraId="4C34FE43">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建议出让底价：74568.1325万元</w:t>
      </w:r>
    </w:p>
    <w:p w14:paraId="70B2C039">
      <w:pPr>
        <w:snapToGrid w:val="0"/>
        <w:spacing w:before="120" w:beforeLines="50" w:line="288" w:lineRule="auto"/>
        <w:ind w:firstLine="562" w:firstLineChars="200"/>
        <w:rPr>
          <w:rFonts w:hint="eastAsia" w:ascii="Arial" w:hAnsi="Arial" w:eastAsia="仿宋" w:cs="Arial"/>
          <w:b/>
          <w:bCs/>
          <w:sz w:val="28"/>
          <w:highlight w:val="none"/>
          <w:lang w:val="en-US" w:eastAsia="zh-CN"/>
        </w:rPr>
      </w:pPr>
      <w:r>
        <w:rPr>
          <w:rFonts w:hint="eastAsia" w:ascii="Arial" w:hAnsi="Arial" w:eastAsia="仿宋" w:cs="Arial"/>
          <w:b/>
          <w:bCs/>
          <w:sz w:val="28"/>
          <w:highlight w:val="none"/>
          <w:lang w:val="en-US" w:eastAsia="zh-CN"/>
        </w:rPr>
        <w:t>大写金额：柒亿肆仟伍佰陆拾捌万壹仟叁佰贰拾伍元整</w:t>
      </w:r>
    </w:p>
    <w:p w14:paraId="75E14973">
      <w:pPr>
        <w:snapToGrid w:val="0"/>
        <w:spacing w:before="120" w:beforeLines="50" w:line="288" w:lineRule="auto"/>
        <w:ind w:firstLine="562" w:firstLineChars="200"/>
        <w:rPr>
          <w:rFonts w:ascii="Arial" w:hAnsi="Arial" w:eastAsia="仿宋_GB2312" w:cs="Arial"/>
          <w:b/>
          <w:kern w:val="2"/>
          <w:sz w:val="28"/>
          <w:highlight w:val="none"/>
        </w:rPr>
      </w:pPr>
      <w:r>
        <w:rPr>
          <w:rFonts w:hint="eastAsia" w:ascii="Arial" w:hAnsi="Arial" w:eastAsia="仿宋" w:cs="Arial"/>
          <w:b/>
          <w:bCs/>
          <w:sz w:val="28"/>
          <w:highlight w:val="none"/>
          <w:lang w:val="en-US" w:eastAsia="zh-CN"/>
        </w:rPr>
        <w:t>折合经营性建筑面积楼面地价：10942元/平方米。</w:t>
      </w:r>
    </w:p>
    <w:p w14:paraId="5ECBC95F">
      <w:pPr>
        <w:snapToGrid w:val="0"/>
        <w:spacing w:line="300" w:lineRule="auto"/>
        <w:ind w:firstLine="562" w:firstLineChars="200"/>
        <w:rPr>
          <w:rFonts w:ascii="Arial" w:hAnsi="Arial" w:eastAsia="仿宋_GB2312" w:cs="Arial"/>
          <w:b/>
          <w:kern w:val="2"/>
          <w:sz w:val="28"/>
          <w:highlight w:val="none"/>
        </w:rPr>
      </w:pPr>
    </w:p>
    <w:p w14:paraId="38352269">
      <w:pPr>
        <w:snapToGrid w:val="0"/>
        <w:spacing w:before="120" w:beforeLines="50" w:line="300" w:lineRule="auto"/>
        <w:ind w:firstLine="560" w:firstLineChars="200"/>
        <w:rPr>
          <w:rFonts w:ascii="Arial" w:hAnsi="Arial" w:eastAsia="仿宋_GB2312" w:cs="Arial"/>
          <w:kern w:val="2"/>
          <w:sz w:val="28"/>
          <w:highlight w:val="none"/>
        </w:rPr>
      </w:pPr>
    </w:p>
    <w:p w14:paraId="6975D8E7">
      <w:pPr>
        <w:snapToGrid w:val="0"/>
        <w:spacing w:before="120" w:beforeLines="50" w:line="300" w:lineRule="auto"/>
        <w:ind w:firstLine="560" w:firstLineChars="200"/>
        <w:rPr>
          <w:rFonts w:ascii="Arial" w:hAnsi="Arial" w:eastAsia="仿宋_GB2312" w:cs="Arial"/>
          <w:kern w:val="2"/>
          <w:sz w:val="28"/>
          <w:highlight w:val="none"/>
        </w:rPr>
      </w:pPr>
      <w:r>
        <w:rPr>
          <w:rFonts w:ascii="Arial" w:hAnsi="Arial" w:eastAsia="仿宋_GB2312" w:cs="Arial"/>
          <w:kern w:val="2"/>
          <w:sz w:val="28"/>
          <w:highlight w:val="none"/>
        </w:rPr>
        <w:br w:type="page"/>
      </w:r>
    </w:p>
    <w:p w14:paraId="690F100D">
      <w:pPr>
        <w:spacing w:line="300" w:lineRule="auto"/>
        <w:jc w:val="center"/>
        <w:outlineLvl w:val="0"/>
        <w:rPr>
          <w:rFonts w:ascii="Arial" w:hAnsi="Arial" w:cs="Arial"/>
          <w:b/>
          <w:sz w:val="32"/>
          <w:highlight w:val="none"/>
        </w:rPr>
      </w:pPr>
      <w:bookmarkStart w:id="420" w:name="_Toc138063043"/>
      <w:r>
        <w:rPr>
          <w:rFonts w:ascii="Arial" w:hAnsi="Arial" w:cs="Arial"/>
          <w:b/>
          <w:sz w:val="32"/>
          <w:highlight w:val="none"/>
        </w:rPr>
        <w:t>第四部分</w:t>
      </w:r>
      <w:r>
        <w:rPr>
          <w:rFonts w:ascii="Arial" w:hAnsi="Arial" w:eastAsia="仿宋_GB2312" w:cs="Arial"/>
          <w:b/>
          <w:sz w:val="32"/>
          <w:highlight w:val="none"/>
        </w:rPr>
        <w:t xml:space="preserve">  </w:t>
      </w:r>
      <w:r>
        <w:rPr>
          <w:rFonts w:ascii="Arial" w:hAnsi="Arial" w:cs="Arial"/>
          <w:b/>
          <w:sz w:val="32"/>
          <w:highlight w:val="none"/>
        </w:rPr>
        <w:t>附</w:t>
      </w:r>
      <w:r>
        <w:rPr>
          <w:rFonts w:ascii="Arial" w:hAnsi="Arial" w:eastAsia="仿宋_GB2312" w:cs="Arial"/>
          <w:b/>
          <w:sz w:val="32"/>
          <w:highlight w:val="none"/>
        </w:rPr>
        <w:t xml:space="preserve">  </w:t>
      </w:r>
      <w:r>
        <w:rPr>
          <w:rFonts w:ascii="Arial" w:hAnsi="Arial" w:cs="Arial"/>
          <w:b/>
          <w:sz w:val="32"/>
          <w:highlight w:val="none"/>
        </w:rPr>
        <w:t>件</w:t>
      </w:r>
      <w:bookmarkEnd w:id="418"/>
      <w:bookmarkEnd w:id="419"/>
      <w:bookmarkEnd w:id="420"/>
    </w:p>
    <w:p w14:paraId="01E79F6A">
      <w:pPr>
        <w:numPr>
          <w:ilvl w:val="0"/>
          <w:numId w:val="14"/>
        </w:numPr>
        <w:spacing w:line="300" w:lineRule="auto"/>
        <w:jc w:val="both"/>
        <w:rPr>
          <w:rFonts w:ascii="Arial" w:hAnsi="Arial" w:eastAsia="仿宋_GB2312" w:cs="Arial"/>
          <w:sz w:val="28"/>
          <w:highlight w:val="none"/>
        </w:rPr>
      </w:pPr>
      <w:r>
        <w:rPr>
          <w:rFonts w:ascii="Arial" w:hAnsi="Arial" w:eastAsia="仿宋_GB2312" w:cs="Arial"/>
          <w:sz w:val="28"/>
          <w:highlight w:val="none"/>
        </w:rPr>
        <w:t xml:space="preserve"> 《国有建设用地使用权出让地价评估委托书》复印件</w:t>
      </w:r>
    </w:p>
    <w:p w14:paraId="2DDB4D12">
      <w:pPr>
        <w:numPr>
          <w:ilvl w:val="0"/>
          <w:numId w:val="14"/>
        </w:numPr>
        <w:spacing w:line="300" w:lineRule="auto"/>
        <w:jc w:val="both"/>
        <w:rPr>
          <w:rFonts w:ascii="Arial" w:hAnsi="Arial" w:eastAsia="仿宋_GB2312" w:cs="Arial"/>
          <w:sz w:val="28"/>
          <w:highlight w:val="none"/>
        </w:rPr>
      </w:pPr>
      <w:r>
        <w:rPr>
          <w:rFonts w:ascii="Arial" w:hAnsi="Arial" w:eastAsia="仿宋_GB2312" w:cs="Arial"/>
          <w:sz w:val="28"/>
          <w:highlight w:val="none"/>
        </w:rPr>
        <w:t xml:space="preserve"> 估价对象所在位置示意图</w:t>
      </w:r>
    </w:p>
    <w:p w14:paraId="512881C8">
      <w:pPr>
        <w:numPr>
          <w:ilvl w:val="0"/>
          <w:numId w:val="14"/>
        </w:numPr>
        <w:spacing w:line="300" w:lineRule="auto"/>
        <w:jc w:val="both"/>
        <w:rPr>
          <w:rFonts w:ascii="Arial" w:hAnsi="Arial" w:eastAsia="仿宋_GB2312" w:cs="Arial"/>
          <w:sz w:val="28"/>
          <w:highlight w:val="none"/>
        </w:rPr>
      </w:pPr>
      <w:r>
        <w:rPr>
          <w:rFonts w:ascii="Arial" w:hAnsi="Arial" w:eastAsia="仿宋_GB2312" w:cs="Arial"/>
          <w:sz w:val="28"/>
          <w:highlight w:val="none"/>
        </w:rPr>
        <w:t xml:space="preserve"> 估价对象实地勘察情况和相关照片</w:t>
      </w:r>
    </w:p>
    <w:p w14:paraId="1A07C920">
      <w:pPr>
        <w:numPr>
          <w:ilvl w:val="0"/>
          <w:numId w:val="14"/>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《北京市</w:t>
      </w:r>
      <w:r>
        <w:rPr>
          <w:rFonts w:ascii="Arial" w:hAnsi="Arial" w:eastAsia="仿宋_GB2312" w:cs="Arial"/>
          <w:sz w:val="28"/>
          <w:highlight w:val="none"/>
        </w:rPr>
        <w:t>规划和</w:t>
      </w:r>
      <w:r>
        <w:rPr>
          <w:rFonts w:hint="eastAsia" w:ascii="Arial" w:hAnsi="Arial" w:eastAsia="仿宋_GB2312" w:cs="Arial"/>
          <w:sz w:val="28"/>
          <w:highlight w:val="none"/>
        </w:rPr>
        <w:t>国土</w:t>
      </w:r>
      <w:r>
        <w:rPr>
          <w:rFonts w:ascii="Arial" w:hAnsi="Arial" w:eastAsia="仿宋_GB2312" w:cs="Arial"/>
          <w:sz w:val="28"/>
          <w:highlight w:val="none"/>
        </w:rPr>
        <w:t>资源管理委员会建设项目规划条件（</w:t>
      </w:r>
      <w:r>
        <w:rPr>
          <w:rFonts w:hint="eastAsia" w:ascii="Arial" w:hAnsi="Arial" w:eastAsia="仿宋_GB2312" w:cs="Arial"/>
          <w:sz w:val="28"/>
          <w:highlight w:val="none"/>
        </w:rPr>
        <w:t>土地</w:t>
      </w:r>
      <w:r>
        <w:rPr>
          <w:rFonts w:ascii="Arial" w:hAnsi="Arial" w:eastAsia="仿宋_GB2312" w:cs="Arial"/>
          <w:sz w:val="28"/>
          <w:highlight w:val="none"/>
        </w:rPr>
        <w:t>储备</w:t>
      </w:r>
      <w:r>
        <w:rPr>
          <w:rFonts w:hint="eastAsia" w:ascii="Arial" w:hAnsi="Arial" w:eastAsia="仿宋_GB2312" w:cs="Arial"/>
          <w:sz w:val="28"/>
          <w:highlight w:val="none"/>
        </w:rPr>
        <w:t>前期</w:t>
      </w:r>
      <w:r>
        <w:rPr>
          <w:rFonts w:ascii="Arial" w:hAnsi="Arial" w:eastAsia="仿宋_GB2312" w:cs="Arial"/>
          <w:sz w:val="28"/>
          <w:highlight w:val="none"/>
        </w:rPr>
        <w:t>整理）</w:t>
      </w:r>
      <w:r>
        <w:rPr>
          <w:rFonts w:hint="eastAsia" w:ascii="Arial" w:hAnsi="Arial" w:eastAsia="仿宋_GB2312" w:cs="Arial"/>
          <w:sz w:val="28"/>
          <w:highlight w:val="none"/>
        </w:rPr>
        <w:t>》（2017规</w:t>
      </w:r>
      <w:r>
        <w:rPr>
          <w:rFonts w:ascii="Arial" w:hAnsi="Arial" w:eastAsia="仿宋_GB2312" w:cs="Arial"/>
          <w:sz w:val="28"/>
          <w:highlight w:val="none"/>
        </w:rPr>
        <w:t>（</w:t>
      </w:r>
      <w:r>
        <w:rPr>
          <w:rFonts w:hint="eastAsia" w:ascii="Arial" w:hAnsi="Arial" w:eastAsia="仿宋_GB2312" w:cs="Arial"/>
          <w:sz w:val="28"/>
          <w:highlight w:val="none"/>
        </w:rPr>
        <w:t>顺</w:t>
      </w:r>
      <w:r>
        <w:rPr>
          <w:rFonts w:ascii="Arial" w:hAnsi="Arial" w:eastAsia="仿宋_GB2312" w:cs="Arial"/>
          <w:sz w:val="28"/>
          <w:highlight w:val="none"/>
        </w:rPr>
        <w:t>）</w:t>
      </w:r>
      <w:r>
        <w:rPr>
          <w:rFonts w:hint="eastAsia" w:ascii="Arial" w:hAnsi="Arial" w:eastAsia="仿宋_GB2312" w:cs="Arial"/>
          <w:sz w:val="28"/>
          <w:highlight w:val="none"/>
        </w:rPr>
        <w:t>条</w:t>
      </w:r>
      <w:r>
        <w:rPr>
          <w:rFonts w:ascii="Arial" w:hAnsi="Arial" w:eastAsia="仿宋_GB2312" w:cs="Arial"/>
          <w:sz w:val="28"/>
          <w:highlight w:val="none"/>
        </w:rPr>
        <w:t>整字</w:t>
      </w:r>
      <w:r>
        <w:rPr>
          <w:rFonts w:hint="eastAsia" w:ascii="Arial" w:hAnsi="Arial" w:eastAsia="仿宋_GB2312" w:cs="Arial"/>
          <w:sz w:val="28"/>
          <w:highlight w:val="none"/>
        </w:rPr>
        <w:t>0006号）复印件</w:t>
      </w:r>
    </w:p>
    <w:p w14:paraId="37BB8094">
      <w:pPr>
        <w:numPr>
          <w:ilvl w:val="0"/>
          <w:numId w:val="14"/>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《北京市</w:t>
      </w:r>
      <w:r>
        <w:rPr>
          <w:rFonts w:ascii="Arial" w:hAnsi="Arial" w:eastAsia="仿宋_GB2312" w:cs="Arial"/>
          <w:sz w:val="28"/>
          <w:highlight w:val="none"/>
        </w:rPr>
        <w:t>规划和自然资源会员会顺义分局关于顺义区高丽营镇夏县营村棚户区改造土地</w:t>
      </w:r>
      <w:r>
        <w:rPr>
          <w:rFonts w:hint="eastAsia" w:ascii="Arial" w:hAnsi="Arial" w:eastAsia="仿宋_GB2312" w:cs="Arial"/>
          <w:sz w:val="28"/>
          <w:highlight w:val="none"/>
        </w:rPr>
        <w:t>开发</w:t>
      </w:r>
      <w:r>
        <w:rPr>
          <w:rFonts w:ascii="Arial" w:hAnsi="Arial" w:eastAsia="仿宋_GB2312" w:cs="Arial"/>
          <w:sz w:val="28"/>
          <w:highlight w:val="none"/>
        </w:rPr>
        <w:t>项目调整建设项目规划条件的复函</w:t>
      </w:r>
      <w:r>
        <w:rPr>
          <w:rFonts w:hint="eastAsia" w:ascii="Arial" w:hAnsi="Arial" w:eastAsia="仿宋_GB2312" w:cs="Arial"/>
          <w:sz w:val="28"/>
          <w:highlight w:val="none"/>
        </w:rPr>
        <w:t>》（京</w:t>
      </w:r>
      <w:r>
        <w:rPr>
          <w:rFonts w:ascii="Arial" w:hAnsi="Arial" w:eastAsia="仿宋_GB2312" w:cs="Arial"/>
          <w:sz w:val="28"/>
          <w:highlight w:val="none"/>
        </w:rPr>
        <w:t>规自顺</w:t>
      </w:r>
      <w:r>
        <w:rPr>
          <w:rFonts w:hint="eastAsia" w:ascii="Arial" w:hAnsi="Arial" w:eastAsia="仿宋_GB2312" w:cs="Arial"/>
          <w:sz w:val="28"/>
          <w:highlight w:val="none"/>
        </w:rPr>
        <w:t>函</w:t>
      </w:r>
      <w:r>
        <w:rPr>
          <w:rFonts w:ascii="Arial" w:hAnsi="Arial" w:eastAsia="仿宋_GB2312" w:cs="Arial"/>
          <w:sz w:val="28"/>
          <w:highlight w:val="none"/>
        </w:rPr>
        <w:t>【</w:t>
      </w:r>
      <w:r>
        <w:rPr>
          <w:rFonts w:hint="eastAsia" w:ascii="Arial" w:hAnsi="Arial" w:eastAsia="仿宋_GB2312" w:cs="Arial"/>
          <w:sz w:val="28"/>
          <w:highlight w:val="none"/>
        </w:rPr>
        <w:t>2019</w:t>
      </w:r>
      <w:r>
        <w:rPr>
          <w:rFonts w:ascii="Arial" w:hAnsi="Arial" w:eastAsia="仿宋_GB2312" w:cs="Arial"/>
          <w:sz w:val="28"/>
          <w:highlight w:val="none"/>
        </w:rPr>
        <w:t>】</w:t>
      </w:r>
      <w:r>
        <w:rPr>
          <w:rFonts w:hint="eastAsia" w:ascii="Arial" w:hAnsi="Arial" w:eastAsia="仿宋_GB2312" w:cs="Arial"/>
          <w:sz w:val="28"/>
          <w:highlight w:val="none"/>
        </w:rPr>
        <w:t>153号）复印件</w:t>
      </w:r>
    </w:p>
    <w:p w14:paraId="2F409132">
      <w:pPr>
        <w:numPr>
          <w:ilvl w:val="0"/>
          <w:numId w:val="14"/>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《北京市人民政府关于顺义区二</w:t>
      </w:r>
      <w:r>
        <w:rPr>
          <w:rFonts w:hint="eastAsia" w:ascii="微软雅黑" w:hAnsi="微软雅黑" w:eastAsia="微软雅黑" w:cs="微软雅黑"/>
          <w:sz w:val="28"/>
          <w:highlight w:val="none"/>
        </w:rPr>
        <w:t>〇</w:t>
      </w:r>
      <w:r>
        <w:rPr>
          <w:rFonts w:hint="eastAsia" w:ascii="Arial" w:hAnsi="Arial" w:eastAsia="仿宋_GB2312" w:cs="Arial"/>
          <w:sz w:val="28"/>
          <w:highlight w:val="none"/>
        </w:rPr>
        <w:t>二</w:t>
      </w:r>
      <w:r>
        <w:rPr>
          <w:rFonts w:hint="eastAsia" w:ascii="微软雅黑" w:hAnsi="微软雅黑" w:eastAsia="微软雅黑" w:cs="微软雅黑"/>
          <w:sz w:val="28"/>
          <w:highlight w:val="none"/>
        </w:rPr>
        <w:t>〇</w:t>
      </w:r>
      <w:r>
        <w:rPr>
          <w:rFonts w:hint="eastAsia" w:ascii="Arial" w:hAnsi="Arial" w:eastAsia="仿宋_GB2312" w:cs="Arial"/>
          <w:sz w:val="28"/>
          <w:highlight w:val="none"/>
        </w:rPr>
        <w:t>年度批次建设用地的批复》（</w:t>
      </w:r>
      <w:r>
        <w:rPr>
          <w:rFonts w:hint="eastAsia" w:ascii="仿宋_GB2312" w:hAnsi="仿宋_GB2312" w:eastAsia="仿宋_GB2312" w:cs="仿宋_GB2312"/>
          <w:spacing w:val="-6"/>
          <w:sz w:val="28"/>
          <w:highlight w:val="none"/>
        </w:rPr>
        <w:t>京政地字【</w:t>
      </w:r>
      <w:r>
        <w:rPr>
          <w:rFonts w:hint="eastAsia" w:ascii="Arial" w:hAnsi="Arial" w:eastAsia="仿宋_GB2312" w:cs="Arial"/>
          <w:sz w:val="28"/>
          <w:highlight w:val="none"/>
        </w:rPr>
        <w:t>2020】121</w:t>
      </w:r>
      <w:r>
        <w:rPr>
          <w:rFonts w:hint="eastAsia" w:ascii="仿宋_GB2312" w:hAnsi="仿宋_GB2312" w:eastAsia="仿宋_GB2312" w:cs="仿宋_GB2312"/>
          <w:spacing w:val="-6"/>
          <w:sz w:val="28"/>
          <w:highlight w:val="none"/>
        </w:rPr>
        <w:t>号）</w:t>
      </w:r>
      <w:r>
        <w:rPr>
          <w:rFonts w:hint="eastAsia" w:ascii="Arial" w:hAnsi="Arial" w:eastAsia="仿宋_GB2312" w:cs="Arial"/>
          <w:spacing w:val="-6"/>
          <w:sz w:val="28"/>
          <w:highlight w:val="none"/>
        </w:rPr>
        <w:t>复印件</w:t>
      </w:r>
    </w:p>
    <w:p w14:paraId="5B0F066D">
      <w:pPr>
        <w:numPr>
          <w:ilvl w:val="0"/>
          <w:numId w:val="14"/>
        </w:numPr>
        <w:spacing w:line="300" w:lineRule="auto"/>
        <w:jc w:val="both"/>
        <w:rPr>
          <w:rFonts w:ascii="Arial" w:hAnsi="Arial" w:eastAsia="仿宋_GB2312" w:cs="Arial"/>
          <w:sz w:val="28"/>
          <w:highlight w:val="none"/>
        </w:rPr>
      </w:pPr>
      <w:r>
        <w:rPr>
          <w:rFonts w:ascii="Arial" w:hAnsi="Arial" w:eastAsia="仿宋_GB2312" w:cs="Arial"/>
          <w:sz w:val="28"/>
          <w:highlight w:val="none"/>
        </w:rPr>
        <w:t>《北京市顺义区人民政府关于顺义区高丽营镇夏县营村棚户区改造土地开发项目01</w:t>
      </w:r>
      <w:r>
        <w:rPr>
          <w:rFonts w:hint="eastAsia" w:ascii="Arial" w:hAnsi="Arial" w:eastAsia="仿宋_GB2312" w:cs="Arial"/>
          <w:sz w:val="28"/>
          <w:highlight w:val="none"/>
          <w:lang w:eastAsia="zh-CN"/>
        </w:rPr>
        <w:t>－</w:t>
      </w:r>
      <w:r>
        <w:rPr>
          <w:rFonts w:ascii="Arial" w:hAnsi="Arial" w:eastAsia="仿宋_GB2312" w:cs="Arial"/>
          <w:sz w:val="28"/>
          <w:highlight w:val="none"/>
        </w:rPr>
        <w:t>008、01</w:t>
      </w:r>
      <w:r>
        <w:rPr>
          <w:rFonts w:hint="eastAsia" w:ascii="Arial" w:hAnsi="Arial" w:eastAsia="仿宋_GB2312" w:cs="Arial"/>
          <w:sz w:val="28"/>
          <w:highlight w:val="none"/>
          <w:lang w:eastAsia="zh-CN"/>
        </w:rPr>
        <w:t>－</w:t>
      </w:r>
      <w:r>
        <w:rPr>
          <w:rFonts w:ascii="Arial" w:hAnsi="Arial" w:eastAsia="仿宋_GB2312" w:cs="Arial"/>
          <w:sz w:val="28"/>
          <w:highlight w:val="none"/>
        </w:rPr>
        <w:t>016、01</w:t>
      </w:r>
      <w:r>
        <w:rPr>
          <w:rFonts w:hint="eastAsia" w:ascii="Arial" w:hAnsi="Arial" w:eastAsia="仿宋_GB2312" w:cs="Arial"/>
          <w:sz w:val="28"/>
          <w:highlight w:val="none"/>
          <w:lang w:eastAsia="zh-CN"/>
        </w:rPr>
        <w:t>－</w:t>
      </w:r>
      <w:r>
        <w:rPr>
          <w:rFonts w:ascii="Arial" w:hAnsi="Arial" w:eastAsia="仿宋_GB2312" w:cs="Arial"/>
          <w:sz w:val="28"/>
          <w:highlight w:val="none"/>
        </w:rPr>
        <w:t>026</w:t>
      </w:r>
      <w:r>
        <w:rPr>
          <w:rFonts w:hint="eastAsia" w:ascii="Arial" w:hAnsi="Arial" w:eastAsia="仿宋_GB2312" w:cs="Arial"/>
          <w:sz w:val="28"/>
          <w:highlight w:val="none"/>
          <w:lang w:eastAsia="zh-CN"/>
        </w:rPr>
        <w:t>－</w:t>
      </w:r>
      <w:r>
        <w:rPr>
          <w:rFonts w:ascii="Arial" w:hAnsi="Arial" w:eastAsia="仿宋_GB2312" w:cs="Arial"/>
          <w:sz w:val="28"/>
          <w:highlight w:val="none"/>
        </w:rPr>
        <w:t>1、01</w:t>
      </w:r>
      <w:r>
        <w:rPr>
          <w:rFonts w:hint="eastAsia" w:ascii="Arial" w:hAnsi="Arial" w:eastAsia="仿宋_GB2312" w:cs="Arial"/>
          <w:sz w:val="28"/>
          <w:highlight w:val="none"/>
          <w:lang w:eastAsia="zh-CN"/>
        </w:rPr>
        <w:t>－</w:t>
      </w:r>
      <w:r>
        <w:rPr>
          <w:rFonts w:ascii="Arial" w:hAnsi="Arial" w:eastAsia="仿宋_GB2312" w:cs="Arial"/>
          <w:sz w:val="28"/>
          <w:highlight w:val="none"/>
        </w:rPr>
        <w:t>020地块提请地价审核有关事宜的函》（顺政函【2023】151号）复印件</w:t>
      </w:r>
    </w:p>
    <w:p w14:paraId="6A766693">
      <w:pPr>
        <w:numPr>
          <w:ilvl w:val="0"/>
          <w:numId w:val="14"/>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lang w:eastAsia="zh-CN"/>
        </w:rPr>
        <w:t>《北京市规划和自然资源委员会顺义分局关于顺义区高丽营镇夏县营村棚户区改造土地开发项目01－008、01－015－1、01－015－2、01－016、01－020、01－025、01－026－1等二类居住用地、托幼用地、商业用地地块“多规合一”协同平台供地审核意见的函》（京规自（顺）供审函【2023】0004号）</w:t>
      </w:r>
      <w:r>
        <w:rPr>
          <w:rFonts w:hint="eastAsia" w:ascii="Arial" w:hAnsi="Arial" w:eastAsia="仿宋_GB2312" w:cs="Arial"/>
          <w:sz w:val="28"/>
          <w:highlight w:val="none"/>
        </w:rPr>
        <w:t>及规划意见附图</w:t>
      </w:r>
      <w:r>
        <w:rPr>
          <w:rFonts w:ascii="Arial" w:hAnsi="Arial" w:eastAsia="仿宋_GB2312" w:cs="Arial"/>
          <w:sz w:val="28"/>
          <w:highlight w:val="none"/>
        </w:rPr>
        <w:t>复印件</w:t>
      </w:r>
    </w:p>
    <w:p w14:paraId="5B4A1395">
      <w:pPr>
        <w:numPr>
          <w:ilvl w:val="0"/>
          <w:numId w:val="14"/>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《建设工程规划用地测量成果报告书》（2021规自（顺）测字0008号）</w:t>
      </w:r>
      <w:r>
        <w:rPr>
          <w:rFonts w:ascii="Arial" w:hAnsi="Arial" w:eastAsia="仿宋_GB2312" w:cs="Arial"/>
          <w:sz w:val="28"/>
          <w:highlight w:val="none"/>
        </w:rPr>
        <w:t>复印件</w:t>
      </w:r>
    </w:p>
    <w:p w14:paraId="43DE1079">
      <w:pPr>
        <w:numPr>
          <w:ilvl w:val="0"/>
          <w:numId w:val="14"/>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《关于顺义区高丽营镇夏县营村棚户区改造土地开发项目0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008</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016</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026</w:t>
      </w:r>
      <w:r>
        <w:rPr>
          <w:rFonts w:hint="eastAsia" w:ascii="Arial" w:hAnsi="Arial" w:eastAsia="仿宋_GB2312" w:cs="Arial"/>
          <w:sz w:val="28"/>
          <w:highlight w:val="none"/>
          <w:lang w:eastAsia="zh-CN"/>
        </w:rPr>
        <w:t>－</w:t>
      </w:r>
      <w:r>
        <w:rPr>
          <w:rFonts w:ascii="Arial" w:hAnsi="Arial" w:eastAsia="仿宋_GB2312" w:cs="Arial"/>
          <w:sz w:val="28"/>
          <w:highlight w:val="none"/>
        </w:rPr>
        <w:t>1</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020</w:t>
      </w:r>
      <w:r>
        <w:rPr>
          <w:rFonts w:hint="eastAsia" w:ascii="Arial" w:hAnsi="Arial" w:eastAsia="仿宋_GB2312" w:cs="Arial"/>
          <w:sz w:val="28"/>
          <w:highlight w:val="none"/>
        </w:rPr>
        <w:t>地块实物补偿内容的说明》复印件</w:t>
      </w:r>
    </w:p>
    <w:p w14:paraId="392AC787">
      <w:pPr>
        <w:numPr>
          <w:ilvl w:val="0"/>
          <w:numId w:val="14"/>
        </w:numPr>
        <w:spacing w:line="300" w:lineRule="auto"/>
        <w:jc w:val="both"/>
        <w:rPr>
          <w:rFonts w:ascii="Arial" w:hAnsi="Arial" w:eastAsia="仿宋_GB2312" w:cs="Arial"/>
          <w:sz w:val="28"/>
          <w:highlight w:val="none"/>
        </w:rPr>
      </w:pPr>
      <w:r>
        <w:rPr>
          <w:rFonts w:hint="eastAsia" w:ascii="Arial" w:hAnsi="Arial" w:eastAsia="仿宋_GB2312" w:cs="Arial"/>
          <w:sz w:val="28"/>
          <w:highlight w:val="none"/>
        </w:rPr>
        <w:t>《关于顺义区高丽营镇夏县营村棚户区改造土地开发项目0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008</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016</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026</w:t>
      </w:r>
      <w:r>
        <w:rPr>
          <w:rFonts w:hint="eastAsia" w:ascii="Arial" w:hAnsi="Arial" w:eastAsia="仿宋_GB2312" w:cs="Arial"/>
          <w:sz w:val="28"/>
          <w:highlight w:val="none"/>
          <w:lang w:eastAsia="zh-CN"/>
        </w:rPr>
        <w:t>－</w:t>
      </w:r>
      <w:r>
        <w:rPr>
          <w:rFonts w:ascii="Arial" w:hAnsi="Arial" w:eastAsia="仿宋_GB2312" w:cs="Arial"/>
          <w:sz w:val="28"/>
          <w:highlight w:val="none"/>
        </w:rPr>
        <w:t>1</w:t>
      </w:r>
      <w:r>
        <w:rPr>
          <w:rFonts w:hint="eastAsia" w:ascii="Arial" w:hAnsi="Arial" w:eastAsia="仿宋_GB2312" w:cs="Arial"/>
          <w:sz w:val="28"/>
          <w:highlight w:val="none"/>
        </w:rPr>
        <w:t>、0</w:t>
      </w:r>
      <w:r>
        <w:rPr>
          <w:rFonts w:ascii="Arial" w:hAnsi="Arial" w:eastAsia="仿宋_GB2312" w:cs="Arial"/>
          <w:sz w:val="28"/>
          <w:highlight w:val="none"/>
        </w:rPr>
        <w:t>1</w:t>
      </w:r>
      <w:r>
        <w:rPr>
          <w:rFonts w:hint="eastAsia" w:ascii="Arial" w:hAnsi="Arial" w:eastAsia="仿宋_GB2312" w:cs="Arial"/>
          <w:sz w:val="28"/>
          <w:highlight w:val="none"/>
          <w:lang w:eastAsia="zh-CN"/>
        </w:rPr>
        <w:t>－</w:t>
      </w:r>
      <w:r>
        <w:rPr>
          <w:rFonts w:ascii="Arial" w:hAnsi="Arial" w:eastAsia="仿宋_GB2312" w:cs="Arial"/>
          <w:sz w:val="28"/>
          <w:highlight w:val="none"/>
        </w:rPr>
        <w:t>020</w:t>
      </w:r>
      <w:r>
        <w:rPr>
          <w:rFonts w:hint="eastAsia" w:ascii="Arial" w:hAnsi="Arial" w:eastAsia="仿宋_GB2312" w:cs="Arial"/>
          <w:sz w:val="28"/>
          <w:highlight w:val="none"/>
        </w:rPr>
        <w:t>地块市政条件的说明》复印件</w:t>
      </w:r>
    </w:p>
    <w:p w14:paraId="39354A27">
      <w:pPr>
        <w:numPr>
          <w:ilvl w:val="0"/>
          <w:numId w:val="14"/>
        </w:numPr>
        <w:spacing w:line="300" w:lineRule="auto"/>
        <w:jc w:val="both"/>
        <w:rPr>
          <w:rFonts w:ascii="Arial" w:hAnsi="Arial" w:eastAsia="仿宋_GB2312" w:cs="Arial"/>
          <w:sz w:val="28"/>
          <w:highlight w:val="none"/>
        </w:rPr>
      </w:pPr>
      <w:r>
        <w:rPr>
          <w:rFonts w:ascii="Arial" w:hAnsi="Arial" w:eastAsia="仿宋_GB2312" w:cs="Arial"/>
          <w:sz w:val="28"/>
          <w:szCs w:val="28"/>
          <w:highlight w:val="none"/>
        </w:rPr>
        <w:t>估价机构《营业执照（</w:t>
      </w:r>
      <w:r>
        <w:rPr>
          <w:rFonts w:ascii="Arial" w:hAnsi="Arial" w:eastAsia="仿宋_GB2312" w:cs="Arial"/>
          <w:sz w:val="28"/>
          <w:highlight w:val="none"/>
        </w:rPr>
        <w:t>副本）》复印件</w:t>
      </w:r>
    </w:p>
    <w:p w14:paraId="4C6A9847">
      <w:pPr>
        <w:numPr>
          <w:ilvl w:val="0"/>
          <w:numId w:val="14"/>
        </w:numPr>
        <w:spacing w:line="300" w:lineRule="auto"/>
        <w:jc w:val="both"/>
        <w:rPr>
          <w:rFonts w:ascii="Arial" w:hAnsi="Arial" w:eastAsia="仿宋_GB2312" w:cs="Arial"/>
          <w:sz w:val="28"/>
          <w:highlight w:val="none"/>
        </w:rPr>
      </w:pPr>
      <w:r>
        <w:rPr>
          <w:rFonts w:ascii="Arial" w:hAnsi="Arial" w:eastAsia="仿宋_GB2312" w:cs="Arial"/>
          <w:sz w:val="28"/>
          <w:highlight w:val="none"/>
        </w:rPr>
        <w:t>估价机构评估资质复印件</w:t>
      </w:r>
    </w:p>
    <w:p w14:paraId="3060BB07">
      <w:pPr>
        <w:numPr>
          <w:ilvl w:val="0"/>
          <w:numId w:val="14"/>
        </w:numPr>
        <w:spacing w:line="300" w:lineRule="auto"/>
        <w:jc w:val="both"/>
        <w:rPr>
          <w:rFonts w:ascii="Arial" w:hAnsi="Arial" w:eastAsia="仿宋_GB2312" w:cs="Arial"/>
          <w:sz w:val="28"/>
          <w:highlight w:val="none"/>
        </w:rPr>
      </w:pPr>
      <w:r>
        <w:rPr>
          <w:rFonts w:ascii="Arial" w:hAnsi="Arial" w:eastAsia="仿宋_GB2312" w:cs="Arial"/>
          <w:sz w:val="28"/>
          <w:highlight w:val="none"/>
        </w:rPr>
        <w:t>土地估价专业评估师资质证书复印件</w:t>
      </w:r>
    </w:p>
    <w:sectPr>
      <w:headerReference r:id="rId34" w:type="first"/>
      <w:footerReference r:id="rId35" w:type="default"/>
      <w:pgSz w:w="11907" w:h="16840"/>
      <w:pgMar w:top="1418" w:right="1418" w:bottom="1134" w:left="1418" w:header="794" w:footer="907" w:gutter="0"/>
      <w:pgNumType w:fmt="decimal"/>
      <w:cols w:space="425"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Modern">
    <w:altName w:val="Modern No. 20"/>
    <w:panose1 w:val="00000000000000000000"/>
    <w:charset w:val="00"/>
    <w:family w:val="roman"/>
    <w:pitch w:val="default"/>
    <w:sig w:usb0="00000000" w:usb1="00000000" w:usb2="00000000" w:usb3="00000000" w:csb0="00000001" w:csb1="00000000"/>
  </w:font>
  <w:font w:name="Modern No. 20">
    <w:panose1 w:val="02070704070505020303"/>
    <w:charset w:val="00"/>
    <w:family w:val="auto"/>
    <w:pitch w:val="default"/>
    <w:sig w:usb0="00000003" w:usb1="00000000" w:usb2="00000000" w:usb3="00000000" w:csb0="20000001"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 w:name="Arial Unicode MS">
    <w:panose1 w:val="020B0604020202020204"/>
    <w:charset w:val="86"/>
    <w:family w:val="swiss"/>
    <w:pitch w:val="default"/>
    <w:sig w:usb0="FFFFFFFF" w:usb1="E9FFFFFF" w:usb2="0000003F" w:usb3="00000000" w:csb0="603F01FF" w:csb1="FFFF0000"/>
  </w:font>
  <w:font w:name="Arial Narrow">
    <w:panose1 w:val="020B0606020202030204"/>
    <w:charset w:val="00"/>
    <w:family w:val="swiss"/>
    <w:pitch w:val="default"/>
    <w:sig w:usb0="00000287" w:usb1="00000800" w:usb2="00000000" w:usb3="00000000" w:csb0="2000009F" w:csb1="DFD70000"/>
  </w:font>
  <w:font w:name="长城粗隶书">
    <w:altName w:val="宋体"/>
    <w:panose1 w:val="00000000000000000000"/>
    <w:charset w:val="86"/>
    <w:family w:val="modern"/>
    <w:pitch w:val="default"/>
    <w:sig w:usb0="00000000" w:usb1="00000000" w:usb2="00000010" w:usb3="00000000" w:csb0="00040000" w:csb1="00000000"/>
  </w:font>
  <w:font w:name="华文细黑碙..">
    <w:altName w:val="仿宋"/>
    <w:panose1 w:val="00000000000000000000"/>
    <w:charset w:val="86"/>
    <w:family w:val="swiss"/>
    <w:pitch w:val="default"/>
    <w:sig w:usb0="00000000" w:usb1="00000000" w:usb2="00000010" w:usb3="00000000" w:csb0="00040000" w:csb1="00000000"/>
  </w:font>
  <w:font w:name="黑体萄">
    <w:altName w:val="方正舒体"/>
    <w:panose1 w:val="00000000000000000000"/>
    <w:charset w:val="86"/>
    <w:family w:val="swiss"/>
    <w:pitch w:val="default"/>
    <w:sig w:usb0="00000000" w:usb1="00000000" w:usb2="00000010" w:usb3="00000000" w:csb0="00040000" w:csb1="00000000"/>
  </w:font>
  <w:font w:name="方正舒体">
    <w:panose1 w:val="02010601030101010101"/>
    <w:charset w:val="86"/>
    <w:family w:val="auto"/>
    <w:pitch w:val="default"/>
    <w:sig w:usb0="00000003" w:usb1="080E0000" w:usb2="00000000" w:usb3="00000000" w:csb0="00040000" w:csb1="00000000"/>
  </w:font>
  <w:font w:name="昆仑仿宋">
    <w:altName w:val="宋体"/>
    <w:panose1 w:val="00000000000000000000"/>
    <w:charset w:val="86"/>
    <w:family w:val="modern"/>
    <w:pitch w:val="default"/>
    <w:sig w:usb0="00000000" w:usb1="00000000" w:usb2="00000010" w:usb3="00000000" w:csb0="00040000"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华文行楷">
    <w:panose1 w:val="02010800040101010101"/>
    <w:charset w:val="86"/>
    <w:family w:val="auto"/>
    <w:pitch w:val="default"/>
    <w:sig w:usb0="00000001" w:usb1="080F0000" w:usb2="00000000" w:usb3="00000000" w:csb0="00040000" w:csb1="00000000"/>
  </w:font>
  <w:font w:name="Arial">
    <w:panose1 w:val="020B0604020202020204"/>
    <w:charset w:val="00"/>
    <w:family w:val="swiss"/>
    <w:pitch w:val="variable"/>
    <w:sig w:usb0="E0002EFF" w:usb1="C000785B" w:usb2="00000009" w:usb3="00000000" w:csb0="400001FF" w:csb1="FFFF0000"/>
  </w:font>
  <w:font w:name="华文细黑">
    <w:panose1 w:val="02010600040101010101"/>
    <w:charset w:val="86"/>
    <w:family w:val="auto"/>
    <w:pitch w:val="default"/>
    <w:sig w:usb0="00000287" w:usb1="080F0000" w:usb2="00000000" w:usb3="00000000" w:csb0="0004009F" w:csb1="DFD70000"/>
  </w:font>
  <w:font w:name="Cambria Math">
    <w:panose1 w:val="02040503050406030204"/>
    <w:charset w:val="00"/>
    <w:family w:val="roman"/>
    <w:pitch w:val="default"/>
    <w:sig w:usb0="E00006FF" w:usb1="420024FF" w:usb2="02000000" w:usb3="00000000" w:csb0="2000019F" w:csb1="00000000"/>
  </w:font>
  <w:font w:name="汉仪中黑 197">
    <w:altName w:val="黑体"/>
    <w:panose1 w:val="00020600040101010101"/>
    <w:charset w:val="86"/>
    <w:family w:val="swiss"/>
    <w:pitch w:val="fixed"/>
    <w:sig w:usb0="00000000" w:usb1="00000000" w:usb2="00000000" w:usb3="00000000" w:csb0="00000000" w:csb1="00000000"/>
  </w:font>
  <w:font w:name="方正黑体简体">
    <w:altName w:val="微软雅黑"/>
    <w:panose1 w:val="02010601030101010101"/>
    <w:charset w:val="86"/>
    <w:family w:val="auto"/>
    <w:pitch w:val="default"/>
    <w:sig w:usb0="00000000" w:usb1="00000000" w:usb2="00000010" w:usb3="00000000" w:csb0="00040000" w:csb1="00000000"/>
  </w:font>
  <w:font w:name="KSOFE44F9426">
    <w:panose1 w:val="02010609060101010101"/>
    <w:charset w:val="86"/>
    <w:family w:val="auto"/>
    <w:pitch w:val="default"/>
    <w:sig w:usb0="00000001" w:usb1="00000000" w:usb2="00000000" w:usb3="00000000" w:csb0="00040001" w:csb1="00000000"/>
  </w:font>
  <w:font w:name="华文仿宋">
    <w:panose1 w:val="02010600040101010101"/>
    <w:charset w:val="86"/>
    <w:family w:val="auto"/>
    <w:pitch w:val="default"/>
    <w:sig w:usb0="00000287" w:usb1="080F0000" w:usb2="00000000" w:usb3="00000000" w:csb0="0004009F" w:csb1="DFD7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24D18C">
    <w:pPr>
      <w:pStyle w:val="20"/>
      <w:rPr>
        <w:rStyle w:val="38"/>
        <w:sz w:val="21"/>
      </w:rPr>
    </w:pPr>
    <w:r>
      <w:rPr>
        <w:sz w:val="21"/>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44ACDB">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2B44ACDB">
                    <w:pPr>
                      <w:pStyle w:val="20"/>
                    </w:pPr>
                    <w:r>
                      <w:fldChar w:fldCharType="begin"/>
                    </w:r>
                    <w:r>
                      <w:instrText xml:space="preserve"> PAGE  \* MERGEFORMAT </w:instrText>
                    </w:r>
                    <w:r>
                      <w:fldChar w:fldCharType="separate"/>
                    </w:r>
                    <w:r>
                      <w:t>0</w:t>
                    </w:r>
                    <w:r>
                      <w:fldChar w:fldCharType="end"/>
                    </w:r>
                  </w:p>
                </w:txbxContent>
              </v:textbox>
            </v:shape>
          </w:pict>
        </mc:Fallback>
      </mc:AlternateContent>
    </w:r>
  </w:p>
  <w:p w14:paraId="13879E8F">
    <w:pPr>
      <w:pStyle w:val="20"/>
      <w:tabs>
        <w:tab w:val="left" w:pos="4890"/>
        <w:tab w:val="clear" w:pos="4153"/>
        <w:tab w:val="clear" w:pos="8306"/>
      </w:tabs>
    </w:pP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4B967B">
    <w:pPr>
      <w:pStyle w:val="20"/>
      <w:pBdr>
        <w:top w:val="single" w:color="auto" w:sz="4" w:space="1"/>
      </w:pBdr>
      <w:jc w:val="center"/>
      <w:rPr>
        <w:rFonts w:ascii="Arial" w:hAnsi="Arial" w:cs="Arial"/>
      </w:rPr>
    </w:pPr>
    <w:r>
      <w:rPr>
        <w:lang w:val="en-US"/>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769FC3">
                          <w:pPr>
                            <w:pStyle w:val="20"/>
                            <w:pBdr>
                              <w:top w:val="single" w:color="auto" w:sz="4"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58</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Vab3IsAgAAVw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9VpvciwCAABXBAAADgAAAAAAAAABACAAAAAfAQAAZHJzL2Uyb0RvYy54bWxQSwUGAAAAAAYA&#10;BgBZAQAAvQUAAAAA&#10;">
              <v:fill on="f" focussize="0,0"/>
              <v:stroke on="f" weight="0.5pt"/>
              <v:imagedata o:title=""/>
              <o:lock v:ext="edit" aspectratio="f"/>
              <v:textbox inset="0mm,0mm,0mm,0mm" style="mso-fit-shape-to-text:t;">
                <w:txbxContent>
                  <w:p w14:paraId="2D769FC3">
                    <w:pPr>
                      <w:pStyle w:val="20"/>
                      <w:pBdr>
                        <w:top w:val="single" w:color="auto" w:sz="4" w:space="1"/>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58</w:t>
                    </w:r>
                    <w:r>
                      <w:rPr>
                        <w:rFonts w:ascii="Arial" w:hAnsi="Arial" w:cs="Arial"/>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5FA57">
    <w:pPr>
      <w:pStyle w:val="20"/>
      <w:pBdr>
        <w:top w:val="single" w:color="auto" w:sz="4" w:space="1"/>
      </w:pBdr>
      <w:jc w:val="center"/>
    </w:pPr>
    <w:r>
      <w:rPr>
        <w:lang w:val="en-US"/>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5AEB184">
                          <w:pPr>
                            <w:pStyle w:val="20"/>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brwc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v268HKwIAAFcEAAAOAAAAAAAAAAEAIAAAAB8BAABkcnMvZTJvRG9jLnhtbFBLBQYAAAAABgAG&#10;AFkBAAC8BQAAAAA=&#10;">
              <v:fill on="f" focussize="0,0"/>
              <v:stroke on="f" weight="0.5pt"/>
              <v:imagedata o:title=""/>
              <o:lock v:ext="edit" aspectratio="f"/>
              <v:textbox inset="0mm,0mm,0mm,0mm" style="mso-fit-shape-to-text:t;">
                <w:txbxContent>
                  <w:p w14:paraId="65AEB184">
                    <w:pPr>
                      <w:pStyle w:val="20"/>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DF180D">
    <w:pPr>
      <w:pStyle w:val="20"/>
    </w:pPr>
    <w:r>
      <w:rPr>
        <w:sz w:val="18"/>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C0AA19">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AT2g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AT2gzAgAAYwQAAA4AAAAAAAAAAQAgAAAAHwEAAGRycy9lMm9Eb2MueG1sUEsF&#10;BgAAAAAGAAYAWQEAAMQFAAAAAA==&#10;">
              <v:fill on="f" focussize="0,0"/>
              <v:stroke on="f" weight="0.5pt"/>
              <v:imagedata o:title=""/>
              <o:lock v:ext="edit" aspectratio="f"/>
              <v:textbox inset="0mm,0mm,0mm,0mm" style="mso-fit-shape-to-text:t;">
                <w:txbxContent>
                  <w:p w14:paraId="23C0AA19">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117388">
    <w:pPr>
      <w:pStyle w:val="20"/>
      <w:pBdr>
        <w:top w:val="single" w:color="auto" w:sz="4" w:space="1"/>
      </w:pBdr>
      <w:jc w:val="center"/>
    </w:pPr>
    <w:r>
      <w:rPr>
        <w:sz w:val="18"/>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9F709E">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teHZ4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3qbphGxU8/vp9+&#10;Ppx+fSM4g0CNCzPE3TtExvadbdE2w3nAYeLdVl6nLxgR+CHv8SKvaCPh6dJ0Mp3mcHH4hg3ws8fr&#10;zof4XlhNklFQj/p1srLDJsQ+dAhJ2YxdS6W6GipDmoJevX6T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teHZ4zAgAAYwQAAA4AAAAAAAAAAQAgAAAAHwEAAGRycy9lMm9Eb2MueG1sUEsF&#10;BgAAAAAGAAYAWQEAAMQFAAAAAA==&#10;">
              <v:fill on="f" focussize="0,0"/>
              <v:stroke on="f" weight="0.5pt"/>
              <v:imagedata o:title=""/>
              <o:lock v:ext="edit" aspectratio="f"/>
              <v:textbox inset="0mm,0mm,0mm,0mm" style="mso-fit-shape-to-text:t;">
                <w:txbxContent>
                  <w:p w14:paraId="179F709E">
                    <w:pPr>
                      <w:pStyle w:val="2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7CA3A1">
    <w:pPr>
      <w:pStyle w:val="20"/>
      <w:pBdr>
        <w:top w:val="single" w:color="auto" w:sz="8" w:space="15"/>
      </w:pBd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8F3F0B">
                          <w:pPr>
                            <w:pStyle w:val="20"/>
                            <w:jc w:val="center"/>
                            <w:rPr>
                              <w:rStyle w:val="38"/>
                              <w:rFonts w:hint="eastAsia" w:eastAsia="宋体"/>
                              <w:sz w:val="21"/>
                              <w:lang w:eastAsia="zh-CN"/>
                            </w:rPr>
                          </w:pPr>
                          <w:r>
                            <w:rPr>
                              <w:rStyle w:val="38"/>
                              <w:sz w:val="21"/>
                              <w:szCs w:val="21"/>
                            </w:rPr>
                            <w:t xml:space="preserve"> </w:t>
                          </w:r>
                          <w:r>
                            <w:rPr>
                              <w:rStyle w:val="38"/>
                              <w:sz w:val="18"/>
                              <w:szCs w:val="18"/>
                            </w:rPr>
                            <w:fldChar w:fldCharType="begin"/>
                          </w:r>
                          <w:r>
                            <w:rPr>
                              <w:rStyle w:val="38"/>
                              <w:sz w:val="18"/>
                              <w:szCs w:val="18"/>
                            </w:rPr>
                            <w:instrText xml:space="preserve"> PAGE </w:instrText>
                          </w:r>
                          <w:r>
                            <w:rPr>
                              <w:rStyle w:val="38"/>
                              <w:sz w:val="18"/>
                              <w:szCs w:val="18"/>
                            </w:rPr>
                            <w:fldChar w:fldCharType="separate"/>
                          </w:r>
                          <w:r>
                            <w:rPr>
                              <w:rStyle w:val="38"/>
                              <w:sz w:val="18"/>
                              <w:szCs w:val="18"/>
                            </w:rPr>
                            <w:t>8</w:t>
                          </w:r>
                          <w:r>
                            <w:rPr>
                              <w:rStyle w:val="38"/>
                              <w:sz w:val="18"/>
                              <w:szCs w:val="18"/>
                            </w:rPr>
                            <w:fldChar w:fldCharType="end"/>
                          </w:r>
                          <w:r>
                            <w:rPr>
                              <w:rStyle w:val="38"/>
                              <w:sz w:val="21"/>
                              <w:szCs w:val="21"/>
                            </w:rP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c45A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sc45AzAgAAZQQAAA4AAAAAAAAAAQAgAAAAHwEAAGRycy9lMm9Eb2MueG1sUEsF&#10;BgAAAAAGAAYAWQEAAMQFAAAAAA==&#10;">
              <v:fill on="f" focussize="0,0"/>
              <v:stroke on="f" weight="0.5pt"/>
              <v:imagedata o:title=""/>
              <o:lock v:ext="edit" aspectratio="f"/>
              <v:textbox inset="0mm,0mm,0mm,0mm" style="mso-fit-shape-to-text:t;">
                <w:txbxContent>
                  <w:p w14:paraId="398F3F0B">
                    <w:pPr>
                      <w:pStyle w:val="20"/>
                      <w:jc w:val="center"/>
                      <w:rPr>
                        <w:rStyle w:val="38"/>
                        <w:rFonts w:hint="eastAsia" w:eastAsia="宋体"/>
                        <w:sz w:val="21"/>
                        <w:lang w:eastAsia="zh-CN"/>
                      </w:rPr>
                    </w:pPr>
                    <w:r>
                      <w:rPr>
                        <w:rStyle w:val="38"/>
                        <w:sz w:val="21"/>
                        <w:szCs w:val="21"/>
                      </w:rPr>
                      <w:t xml:space="preserve"> </w:t>
                    </w:r>
                    <w:r>
                      <w:rPr>
                        <w:rStyle w:val="38"/>
                        <w:sz w:val="18"/>
                        <w:szCs w:val="18"/>
                      </w:rPr>
                      <w:fldChar w:fldCharType="begin"/>
                    </w:r>
                    <w:r>
                      <w:rPr>
                        <w:rStyle w:val="38"/>
                        <w:sz w:val="18"/>
                        <w:szCs w:val="18"/>
                      </w:rPr>
                      <w:instrText xml:space="preserve"> PAGE </w:instrText>
                    </w:r>
                    <w:r>
                      <w:rPr>
                        <w:rStyle w:val="38"/>
                        <w:sz w:val="18"/>
                        <w:szCs w:val="18"/>
                      </w:rPr>
                      <w:fldChar w:fldCharType="separate"/>
                    </w:r>
                    <w:r>
                      <w:rPr>
                        <w:rStyle w:val="38"/>
                        <w:sz w:val="18"/>
                        <w:szCs w:val="18"/>
                      </w:rPr>
                      <w:t>8</w:t>
                    </w:r>
                    <w:r>
                      <w:rPr>
                        <w:rStyle w:val="38"/>
                        <w:sz w:val="18"/>
                        <w:szCs w:val="18"/>
                      </w:rPr>
                      <w:fldChar w:fldCharType="end"/>
                    </w:r>
                    <w:r>
                      <w:rPr>
                        <w:rStyle w:val="38"/>
                        <w:sz w:val="21"/>
                        <w:szCs w:val="21"/>
                      </w:rPr>
                      <w:t xml:space="preserve"> </w:t>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2D3A2">
    <w:pPr>
      <w:pStyle w:val="20"/>
      <w:pBdr>
        <w:top w:val="single" w:color="auto" w:sz="4" w:space="1"/>
      </w:pBdr>
      <w:jc w:val="both"/>
    </w:pPr>
    <w:r>
      <w:rPr>
        <w:sz w:val="18"/>
      </w:rPr>
      <mc:AlternateContent>
        <mc:Choice Requires="wps">
          <w:drawing>
            <wp:anchor distT="0" distB="0" distL="114300" distR="114300" simplePos="0" relativeHeight="251676672" behindDoc="0" locked="0" layoutInCell="1" allowOverlap="1">
              <wp:simplePos x="0" y="0"/>
              <wp:positionH relativeFrom="margin">
                <wp:posOffset>3122930</wp:posOffset>
              </wp:positionH>
              <wp:positionV relativeFrom="paragraph">
                <wp:posOffset>-7620</wp:posOffset>
              </wp:positionV>
              <wp:extent cx="1828800" cy="182880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D3B703">
                          <w:pPr>
                            <w:pStyle w:val="20"/>
                            <w:pBdr>
                              <w:top w:val="none" w:color="auto" w:sz="0" w:space="1"/>
                              <w:left w:val="none" w:color="auto" w:sz="0" w:space="0"/>
                              <w:bottom w:val="none" w:color="auto" w:sz="0" w:space="0"/>
                              <w:right w:val="none" w:color="auto" w:sz="0" w:space="0"/>
                              <w:between w:val="none" w:color="auto" w:sz="0" w:space="0"/>
                            </w:pBdr>
                            <w:jc w:val="center"/>
                          </w:pPr>
                          <w:r>
                            <w:fldChar w:fldCharType="begin"/>
                          </w:r>
                          <w:r>
                            <w:instrText xml:space="preserve">PAGE   \* MERGEFORMAT</w:instrText>
                          </w:r>
                          <w:r>
                            <w:fldChar w:fldCharType="separate"/>
                          </w:r>
                          <w:r>
                            <w:t>117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45.9pt;margin-top:-0.6pt;height:144pt;width:144pt;mso-position-horizontal-relative:margin;mso-wrap-style:none;z-index:251676672;mso-width-relative:page;mso-height-relative:page;" filled="f" stroked="f" coordsize="21600,21600" o:gfxdata="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MYgZeNgAAAAKAQAADwAAAAAAAAABACAAAAAiAAAAZHJzL2Rvd25yZXYu&#10;eG1sUEsBAhQAFAAAAAgAh07iQCCgfQw0AgAAZQQAAA4AAAAAAAAAAQAgAAAAJwEAAGRycy9lMm9E&#10;b2MueG1sUEsFBgAAAAAGAAYAWQEAAM0FAAAAAA==&#10;">
              <v:fill on="f" focussize="0,0"/>
              <v:stroke on="f" weight="0.5pt"/>
              <v:imagedata o:title=""/>
              <o:lock v:ext="edit" aspectratio="f"/>
              <v:textbox inset="0mm,0mm,0mm,0mm" style="mso-fit-shape-to-text:t;">
                <w:txbxContent>
                  <w:p w14:paraId="41D3B703">
                    <w:pPr>
                      <w:pStyle w:val="20"/>
                      <w:pBdr>
                        <w:top w:val="none" w:color="auto" w:sz="0" w:space="1"/>
                        <w:left w:val="none" w:color="auto" w:sz="0" w:space="0"/>
                        <w:bottom w:val="none" w:color="auto" w:sz="0" w:space="0"/>
                        <w:right w:val="none" w:color="auto" w:sz="0" w:space="0"/>
                        <w:between w:val="none" w:color="auto" w:sz="0" w:space="0"/>
                      </w:pBdr>
                      <w:jc w:val="center"/>
                    </w:pPr>
                    <w:r>
                      <w:fldChar w:fldCharType="begin"/>
                    </w:r>
                    <w:r>
                      <w:instrText xml:space="preserve">PAGE   \* MERGEFORMAT</w:instrText>
                    </w:r>
                    <w:r>
                      <w:fldChar w:fldCharType="separate"/>
                    </w:r>
                    <w:r>
                      <w:t>117</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F35B6A">
    <w:pPr>
      <w:pStyle w:val="20"/>
      <w:pBdr>
        <w:top w:val="single" w:color="auto" w:sz="4" w:space="1"/>
      </w:pBdr>
      <w:jc w:val="center"/>
      <w:rPr>
        <w:rFonts w:ascii="Arial" w:hAnsi="Arial" w:cs="Arial"/>
      </w:rPr>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900598">
                          <w:pPr>
                            <w:pStyle w:val="20"/>
                            <w:pBdr>
                              <w:top w:val="none" w:color="auto" w:sz="0" w:space="1"/>
                              <w:left w:val="none" w:color="auto" w:sz="0" w:space="0"/>
                              <w:bottom w:val="none" w:color="auto" w:sz="0" w:space="0"/>
                              <w:right w:val="none" w:color="auto" w:sz="0" w:space="0"/>
                              <w:between w:val="none" w:color="auto" w:sz="0" w:space="0"/>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122</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xir3IzAgAAZQQAAA4AAAAAAAAAAQAgAAAAHwEAAGRycy9lMm9Eb2MueG1sUEsF&#10;BgAAAAAGAAYAWQEAAMQFAAAAAA==&#10;">
              <v:fill on="f" focussize="0,0"/>
              <v:stroke on="f" weight="0.5pt"/>
              <v:imagedata o:title=""/>
              <o:lock v:ext="edit" aspectratio="f"/>
              <v:textbox inset="0mm,0mm,0mm,0mm" style="mso-fit-shape-to-text:t;">
                <w:txbxContent>
                  <w:p w14:paraId="36900598">
                    <w:pPr>
                      <w:pStyle w:val="20"/>
                      <w:pBdr>
                        <w:top w:val="none" w:color="auto" w:sz="0" w:space="1"/>
                        <w:left w:val="none" w:color="auto" w:sz="0" w:space="0"/>
                        <w:bottom w:val="none" w:color="auto" w:sz="0" w:space="0"/>
                        <w:right w:val="none" w:color="auto" w:sz="0" w:space="0"/>
                        <w:between w:val="none" w:color="auto" w:sz="0" w:space="0"/>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122</w:t>
                    </w:r>
                    <w:r>
                      <w:rPr>
                        <w:rFonts w:ascii="Arial" w:hAnsi="Arial" w:cs="Arial"/>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204248">
    <w:pPr>
      <w:pStyle w:val="20"/>
      <w:framePr w:wrap="around" w:vAnchor="text" w:hAnchor="margin" w:xAlign="center" w:y="1"/>
      <w:rPr>
        <w:rStyle w:val="38"/>
      </w:rPr>
    </w:pPr>
    <w:r>
      <w:rPr>
        <w:rStyle w:val="38"/>
      </w:rPr>
      <w:fldChar w:fldCharType="begin"/>
    </w:r>
    <w:r>
      <w:rPr>
        <w:rStyle w:val="38"/>
      </w:rPr>
      <w:instrText xml:space="preserve">PAGE  </w:instrText>
    </w:r>
    <w:r>
      <w:rPr>
        <w:rStyle w:val="38"/>
      </w:rPr>
      <w:fldChar w:fldCharType="end"/>
    </w:r>
  </w:p>
  <w:p w14:paraId="269B8246">
    <w:pPr>
      <w:pStyle w:val="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4DE6C6">
    <w:pPr>
      <w:pStyle w:val="20"/>
      <w:jc w:val="cente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0D771C">
                          <w:pPr>
                            <w:pStyle w:val="20"/>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BfNAA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AXzQAMQIAAGMEAAAOAAAAAAAAAAEAIAAAAB8BAABkcnMvZTJvRG9jLnhtbFBLBQYA&#10;AAAABgAGAFkBAADCBQAAAAA=&#10;">
              <v:fill on="f" focussize="0,0"/>
              <v:stroke on="f" weight="0.5pt"/>
              <v:imagedata o:title=""/>
              <o:lock v:ext="edit" aspectratio="f"/>
              <v:textbox inset="0mm,0mm,0mm,0mm" style="mso-fit-shape-to-text:t;">
                <w:txbxContent>
                  <w:p w14:paraId="710D771C">
                    <w:pPr>
                      <w:pStyle w:val="20"/>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E9B16C">
    <w:pPr>
      <w:pStyle w:val="20"/>
      <w:pBdr>
        <w:top w:val="single" w:color="auto" w:sz="4" w:space="1"/>
      </w:pBdr>
      <w:jc w:val="center"/>
      <w:rPr>
        <w:rStyle w:val="38"/>
      </w:rP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48B260">
                          <w:pPr>
                            <w:pStyle w:val="20"/>
                            <w:pBdr>
                              <w:top w:val="none" w:color="auto" w:sz="0" w:space="1"/>
                              <w:left w:val="none" w:color="auto" w:sz="0" w:space="0"/>
                              <w:bottom w:val="none" w:color="auto" w:sz="0" w:space="0"/>
                              <w:right w:val="none" w:color="auto" w:sz="0" w:space="0"/>
                              <w:between w:val="none" w:color="auto" w:sz="0" w:space="0"/>
                            </w:pBdr>
                            <w:jc w:val="center"/>
                          </w:pPr>
                          <w:r>
                            <w:rPr>
                              <w:rStyle w:val="38"/>
                            </w:rPr>
                            <w:fldChar w:fldCharType="begin"/>
                          </w:r>
                          <w:r>
                            <w:rPr>
                              <w:rStyle w:val="38"/>
                            </w:rPr>
                            <w:instrText xml:space="preserve">PAGE   \* MERGEFORMAT</w:instrText>
                          </w:r>
                          <w:r>
                            <w:rPr>
                              <w:rStyle w:val="38"/>
                            </w:rPr>
                            <w:fldChar w:fldCharType="separate"/>
                          </w:r>
                          <w:r>
                            <w:rPr>
                              <w:rStyle w:val="38"/>
                            </w:rPr>
                            <w:t>8</w:t>
                          </w:r>
                          <w:r>
                            <w:rPr>
                              <w:rStyle w:val="3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uyWRc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iC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m7JZFzICAABjBAAADgAAAAAAAAABACAAAAAfAQAAZHJzL2Uyb0RvYy54bWxQSwUG&#10;AAAAAAYABgBZAQAAwwUAAAAA&#10;">
              <v:fill on="f" focussize="0,0"/>
              <v:stroke on="f" weight="0.5pt"/>
              <v:imagedata o:title=""/>
              <o:lock v:ext="edit" aspectratio="f"/>
              <v:textbox inset="0mm,0mm,0mm,0mm" style="mso-fit-shape-to-text:t;">
                <w:txbxContent>
                  <w:p w14:paraId="2748B260">
                    <w:pPr>
                      <w:pStyle w:val="20"/>
                      <w:pBdr>
                        <w:top w:val="none" w:color="auto" w:sz="0" w:space="1"/>
                        <w:left w:val="none" w:color="auto" w:sz="0" w:space="0"/>
                        <w:bottom w:val="none" w:color="auto" w:sz="0" w:space="0"/>
                        <w:right w:val="none" w:color="auto" w:sz="0" w:space="0"/>
                        <w:between w:val="none" w:color="auto" w:sz="0" w:space="0"/>
                      </w:pBdr>
                      <w:jc w:val="center"/>
                    </w:pPr>
                    <w:r>
                      <w:rPr>
                        <w:rStyle w:val="38"/>
                      </w:rPr>
                      <w:fldChar w:fldCharType="begin"/>
                    </w:r>
                    <w:r>
                      <w:rPr>
                        <w:rStyle w:val="38"/>
                      </w:rPr>
                      <w:instrText xml:space="preserve">PAGE   \* MERGEFORMAT</w:instrText>
                    </w:r>
                    <w:r>
                      <w:rPr>
                        <w:rStyle w:val="38"/>
                      </w:rPr>
                      <w:fldChar w:fldCharType="separate"/>
                    </w:r>
                    <w:r>
                      <w:rPr>
                        <w:rStyle w:val="38"/>
                      </w:rPr>
                      <w:t>8</w:t>
                    </w:r>
                    <w:r>
                      <w:rPr>
                        <w:rStyle w:val="3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E49ED2">
    <w:pPr>
      <w:pStyle w:val="20"/>
      <w:framePr w:wrap="around" w:vAnchor="text" w:hAnchor="margin" w:xAlign="center" w:y="1"/>
      <w:rPr>
        <w:rStyle w:val="38"/>
      </w:rPr>
    </w:pPr>
    <w:r>
      <w:rPr>
        <w:rStyle w:val="38"/>
      </w:rPr>
      <w:fldChar w:fldCharType="begin"/>
    </w:r>
    <w:r>
      <w:rPr>
        <w:rStyle w:val="38"/>
      </w:rPr>
      <w:instrText xml:space="preserve">PAGE  </w:instrText>
    </w:r>
    <w:r>
      <w:rPr>
        <w:rStyle w:val="38"/>
      </w:rPr>
      <w:fldChar w:fldCharType="end"/>
    </w:r>
  </w:p>
  <w:p w14:paraId="14AD961D">
    <w:pPr>
      <w:pStyle w:val="2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FED38">
    <w:pPr>
      <w:pStyle w:val="20"/>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57F42C">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4157F42C">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AD312A">
    <w:pPr>
      <w:pStyle w:val="20"/>
      <w:pBdr>
        <w:top w:val="single" w:color="auto" w:sz="4" w:space="1"/>
      </w:pBdr>
      <w:jc w:val="center"/>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255AA9">
                          <w:pPr>
                            <w:pStyle w:val="20"/>
                            <w:pBdr>
                              <w:top w:val="single" w:color="auto" w:sz="4" w:space="1"/>
                            </w:pBdr>
                            <w:jc w:val="center"/>
                          </w:pPr>
                          <w:r>
                            <w:fldChar w:fldCharType="begin"/>
                          </w:r>
                          <w:r>
                            <w:instrText xml:space="preserve">PAGE   \* MERGEFORMAT</w:instrText>
                          </w:r>
                          <w:r>
                            <w:fldChar w:fldCharType="separate"/>
                          </w:r>
                          <w:r>
                            <w:t>10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14:paraId="71255AA9">
                    <w:pPr>
                      <w:pStyle w:val="20"/>
                      <w:pBdr>
                        <w:top w:val="single" w:color="auto" w:sz="4" w:space="1"/>
                      </w:pBdr>
                      <w:jc w:val="center"/>
                    </w:pPr>
                    <w:r>
                      <w:fldChar w:fldCharType="begin"/>
                    </w:r>
                    <w:r>
                      <w:instrText xml:space="preserve">PAGE   \* MERGEFORMAT</w:instrText>
                    </w:r>
                    <w:r>
                      <w:fldChar w:fldCharType="separate"/>
                    </w:r>
                    <w:r>
                      <w:t>10</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BE5733">
    <w:pPr>
      <w:pStyle w:val="20"/>
      <w:pBdr>
        <w:top w:val="single" w:color="auto" w:sz="8" w:space="15"/>
      </w:pBdr>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15591A">
                          <w:pPr>
                            <w:pStyle w:val="20"/>
                            <w:jc w:val="center"/>
                            <w:rPr>
                              <w:rStyle w:val="38"/>
                              <w:rFonts w:hint="eastAsia" w:eastAsia="宋体"/>
                              <w:sz w:val="21"/>
                              <w:lang w:eastAsia="zh-CN"/>
                            </w:rPr>
                          </w:pPr>
                          <w:r>
                            <w:rPr>
                              <w:rStyle w:val="38"/>
                              <w:rFonts w:hint="eastAsia"/>
                              <w:sz w:val="21"/>
                              <w:szCs w:val="21"/>
                              <w:lang w:eastAsia="zh-CN"/>
                            </w:rPr>
                            <w:t>－</w:t>
                          </w:r>
                          <w:r>
                            <w:rPr>
                              <w:rStyle w:val="38"/>
                              <w:sz w:val="21"/>
                              <w:szCs w:val="21"/>
                            </w:rPr>
                            <w:t xml:space="preserve"> </w:t>
                          </w:r>
                          <w:r>
                            <w:rPr>
                              <w:rStyle w:val="38"/>
                              <w:sz w:val="21"/>
                              <w:szCs w:val="21"/>
                            </w:rPr>
                            <w:fldChar w:fldCharType="begin"/>
                          </w:r>
                          <w:r>
                            <w:rPr>
                              <w:rStyle w:val="38"/>
                              <w:sz w:val="21"/>
                              <w:szCs w:val="21"/>
                            </w:rPr>
                            <w:instrText xml:space="preserve"> PAGE </w:instrText>
                          </w:r>
                          <w:r>
                            <w:rPr>
                              <w:rStyle w:val="38"/>
                              <w:sz w:val="21"/>
                              <w:szCs w:val="21"/>
                            </w:rPr>
                            <w:fldChar w:fldCharType="separate"/>
                          </w:r>
                          <w:r>
                            <w:rPr>
                              <w:rStyle w:val="38"/>
                              <w:sz w:val="21"/>
                              <w:szCs w:val="21"/>
                            </w:rPr>
                            <w:t>8</w:t>
                          </w:r>
                          <w:r>
                            <w:rPr>
                              <w:rStyle w:val="38"/>
                              <w:sz w:val="21"/>
                              <w:szCs w:val="21"/>
                            </w:rPr>
                            <w:fldChar w:fldCharType="end"/>
                          </w:r>
                          <w:r>
                            <w:rPr>
                              <w:rStyle w:val="38"/>
                              <w:sz w:val="21"/>
                              <w:szCs w:val="21"/>
                            </w:rPr>
                            <w:t xml:space="preserve"> </w:t>
                          </w:r>
                          <w:r>
                            <w:rPr>
                              <w:rStyle w:val="38"/>
                              <w:rFonts w:hint="eastAsia"/>
                              <w:sz w:val="21"/>
                              <w:szCs w:val="21"/>
                              <w:lang w:eastAsia="zh-CN"/>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7rWQ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7rWQzAgAAYwQAAA4AAAAAAAAAAQAgAAAAHwEAAGRycy9lMm9Eb2MueG1sUEsF&#10;BgAAAAAGAAYAWQEAAMQFAAAAAA==&#10;">
              <v:fill on="f" focussize="0,0"/>
              <v:stroke on="f" weight="0.5pt"/>
              <v:imagedata o:title=""/>
              <o:lock v:ext="edit" aspectratio="f"/>
              <v:textbox inset="0mm,0mm,0mm,0mm" style="mso-fit-shape-to-text:t;">
                <w:txbxContent>
                  <w:p w14:paraId="1D15591A">
                    <w:pPr>
                      <w:pStyle w:val="20"/>
                      <w:jc w:val="center"/>
                      <w:rPr>
                        <w:rStyle w:val="38"/>
                        <w:rFonts w:hint="eastAsia" w:eastAsia="宋体"/>
                        <w:sz w:val="21"/>
                        <w:lang w:eastAsia="zh-CN"/>
                      </w:rPr>
                    </w:pPr>
                    <w:r>
                      <w:rPr>
                        <w:rStyle w:val="38"/>
                        <w:rFonts w:hint="eastAsia"/>
                        <w:sz w:val="21"/>
                        <w:szCs w:val="21"/>
                        <w:lang w:eastAsia="zh-CN"/>
                      </w:rPr>
                      <w:t>－</w:t>
                    </w:r>
                    <w:r>
                      <w:rPr>
                        <w:rStyle w:val="38"/>
                        <w:sz w:val="21"/>
                        <w:szCs w:val="21"/>
                      </w:rPr>
                      <w:t xml:space="preserve"> </w:t>
                    </w:r>
                    <w:r>
                      <w:rPr>
                        <w:rStyle w:val="38"/>
                        <w:sz w:val="21"/>
                        <w:szCs w:val="21"/>
                      </w:rPr>
                      <w:fldChar w:fldCharType="begin"/>
                    </w:r>
                    <w:r>
                      <w:rPr>
                        <w:rStyle w:val="38"/>
                        <w:sz w:val="21"/>
                        <w:szCs w:val="21"/>
                      </w:rPr>
                      <w:instrText xml:space="preserve"> PAGE </w:instrText>
                    </w:r>
                    <w:r>
                      <w:rPr>
                        <w:rStyle w:val="38"/>
                        <w:sz w:val="21"/>
                        <w:szCs w:val="21"/>
                      </w:rPr>
                      <w:fldChar w:fldCharType="separate"/>
                    </w:r>
                    <w:r>
                      <w:rPr>
                        <w:rStyle w:val="38"/>
                        <w:sz w:val="21"/>
                        <w:szCs w:val="21"/>
                      </w:rPr>
                      <w:t>8</w:t>
                    </w:r>
                    <w:r>
                      <w:rPr>
                        <w:rStyle w:val="38"/>
                        <w:sz w:val="21"/>
                        <w:szCs w:val="21"/>
                      </w:rPr>
                      <w:fldChar w:fldCharType="end"/>
                    </w:r>
                    <w:r>
                      <w:rPr>
                        <w:rStyle w:val="38"/>
                        <w:sz w:val="21"/>
                        <w:szCs w:val="21"/>
                      </w:rPr>
                      <w:t xml:space="preserve"> </w:t>
                    </w:r>
                    <w:r>
                      <w:rPr>
                        <w:rStyle w:val="38"/>
                        <w:rFonts w:hint="eastAsia"/>
                        <w:sz w:val="21"/>
                        <w:szCs w:val="21"/>
                        <w:lang w:eastAsia="zh-CN"/>
                      </w:rPr>
                      <w:t>－</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01EA74">
    <w:pPr>
      <w:pStyle w:val="20"/>
      <w:pBdr>
        <w:top w:val="single" w:color="auto" w:sz="4" w:space="1"/>
      </w:pBdr>
      <w:jc w:val="center"/>
      <w:rPr>
        <w:rFonts w:ascii="Arial" w:hAnsi="Arial" w:cs="Arial"/>
      </w:rPr>
    </w:pPr>
    <w:r>
      <w:rPr>
        <w:sz w:val="18"/>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4E42E6">
                          <w:pPr>
                            <w:pStyle w:val="20"/>
                            <w:pBdr>
                              <w:top w:val="none" w:color="auto" w:sz="0" w:space="1"/>
                              <w:left w:val="none" w:color="auto" w:sz="0" w:space="0"/>
                              <w:bottom w:val="none" w:color="auto" w:sz="0" w:space="0"/>
                              <w:right w:val="none" w:color="auto" w:sz="0" w:space="0"/>
                              <w:between w:val="none" w:color="auto" w:sz="0" w:space="0"/>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53</w:t>
                          </w:r>
                          <w:r>
                            <w:rPr>
                              <w:rFonts w:ascii="Arial" w:hAnsi="Arial" w:cs="Aria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o2IczAgAAYw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o2IczAgAAYwQAAA4AAAAAAAAAAQAgAAAAHwEAAGRycy9lMm9Eb2MueG1sUEsF&#10;BgAAAAAGAAYAWQEAAMQFAAAAAA==&#10;">
              <v:fill on="f" focussize="0,0"/>
              <v:stroke on="f" weight="0.5pt"/>
              <v:imagedata o:title=""/>
              <o:lock v:ext="edit" aspectratio="f"/>
              <v:textbox inset="0mm,0mm,0mm,0mm" style="mso-fit-shape-to-text:t;">
                <w:txbxContent>
                  <w:p w14:paraId="584E42E6">
                    <w:pPr>
                      <w:pStyle w:val="20"/>
                      <w:pBdr>
                        <w:top w:val="none" w:color="auto" w:sz="0" w:space="1"/>
                        <w:left w:val="none" w:color="auto" w:sz="0" w:space="0"/>
                        <w:bottom w:val="none" w:color="auto" w:sz="0" w:space="0"/>
                        <w:right w:val="none" w:color="auto" w:sz="0" w:space="0"/>
                        <w:between w:val="none" w:color="auto" w:sz="0" w:space="0"/>
                      </w:pBdr>
                      <w:jc w:val="center"/>
                    </w:pPr>
                    <w:r>
                      <w:rPr>
                        <w:rFonts w:ascii="Arial" w:hAnsi="Arial" w:cs="Arial"/>
                      </w:rPr>
                      <w:fldChar w:fldCharType="begin"/>
                    </w:r>
                    <w:r>
                      <w:rPr>
                        <w:rFonts w:ascii="Arial" w:hAnsi="Arial" w:cs="Arial"/>
                      </w:rPr>
                      <w:instrText xml:space="preserve">PAGE   \* MERGEFORMAT</w:instrText>
                    </w:r>
                    <w:r>
                      <w:rPr>
                        <w:rFonts w:ascii="Arial" w:hAnsi="Arial" w:cs="Arial"/>
                      </w:rPr>
                      <w:fldChar w:fldCharType="separate"/>
                    </w:r>
                    <w:r>
                      <w:rPr>
                        <w:rFonts w:ascii="Arial" w:hAnsi="Arial" w:cs="Arial"/>
                      </w:rPr>
                      <w:t>53</w:t>
                    </w:r>
                    <w:r>
                      <w:rPr>
                        <w:rFonts w:ascii="Arial" w:hAnsi="Arial" w:cs="Arial"/>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954265">
    <w:pPr>
      <w:pStyle w:val="21"/>
      <w:pBdr>
        <w:bottom w:val="none" w:color="auto" w:sz="0" w:space="0"/>
      </w:pBd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EA8F94">
    <w:pPr>
      <w:pStyle w:val="21"/>
      <w:pBdr>
        <w:bottom w:val="none" w:color="auto" w:sz="0" w:space="0"/>
      </w:pBdr>
      <w:jc w:val="both"/>
    </w:pPr>
    <w:r>
      <w:rPr>
        <w:lang w:val="en-US"/>
      </w:rPr>
      <w:drawing>
        <wp:inline distT="0" distB="0" distL="0" distR="0">
          <wp:extent cx="5497195" cy="276225"/>
          <wp:effectExtent l="0" t="0" r="0" b="3175"/>
          <wp:docPr id="58"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8"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497195" cy="27622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E06464">
    <w:pPr>
      <w:pStyle w:val="21"/>
      <w:pBdr>
        <w:bottom w:val="none" w:color="auto" w:sz="0" w:space="0"/>
      </w:pBdr>
      <w:jc w:val="both"/>
    </w:pPr>
    <w:r>
      <w:rPr>
        <w:lang w:val="en-US"/>
      </w:rPr>
      <w:drawing>
        <wp:inline distT="0" distB="0" distL="0" distR="0">
          <wp:extent cx="5901055" cy="287020"/>
          <wp:effectExtent l="0" t="0" r="0" b="0"/>
          <wp:docPr id="59"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9"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p w14:paraId="43780FA5">
    <w:pPr>
      <w:pStyle w:val="21"/>
      <w:pBdr>
        <w:bottom w:val="none" w:color="auto" w:sz="0" w:space="0"/>
      </w:pBdr>
      <w:jc w:val="both"/>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C3AFF8">
    <w:pPr>
      <w:pStyle w:val="21"/>
      <w:pBdr>
        <w:bottom w:val="none" w:color="auto" w:sz="0" w:space="0"/>
      </w:pBdr>
      <w:jc w:val="both"/>
    </w:pPr>
    <w:r>
      <w:rPr>
        <w:lang w:val="en-US"/>
      </w:rPr>
      <w:drawing>
        <wp:inline distT="0" distB="0" distL="0" distR="0">
          <wp:extent cx="5901055" cy="287020"/>
          <wp:effectExtent l="0" t="0" r="0" b="0"/>
          <wp:docPr id="60" name="图片 0" descr="评估报告内页页眉.jpg"/>
          <wp:cNvGraphicFramePr/>
          <a:graphic xmlns:a="http://schemas.openxmlformats.org/drawingml/2006/main">
            <a:graphicData uri="http://schemas.openxmlformats.org/drawingml/2006/picture">
              <pic:pic xmlns:pic="http://schemas.openxmlformats.org/drawingml/2006/picture">
                <pic:nvPicPr>
                  <pic:cNvPr id="60"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p w14:paraId="2B42A086">
    <w:pPr>
      <w:pStyle w:val="21"/>
      <w:pBdr>
        <w:bottom w:val="none" w:color="auto" w:sz="0" w:space="0"/>
      </w:pBdr>
      <w:jc w:val="both"/>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9BD5AD">
    <w:pPr>
      <w:pStyle w:val="21"/>
      <w:pBdr>
        <w:bottom w:val="none" w:color="auto" w:sz="0" w:space="0"/>
      </w:pBdr>
      <w:jc w:val="both"/>
      <w:rPr>
        <w:rFonts w:ascii="Arial" w:hAnsi="Arial" w:eastAsia="华文行楷"/>
      </w:rPr>
    </w:pPr>
    <w:r>
      <w:rPr>
        <w:rFonts w:hint="eastAsia" w:ascii="楷体_GB2312" w:eastAsia="楷体_GB2312"/>
        <w:spacing w:val="-20"/>
        <w:sz w:val="24"/>
        <w:lang w:val="en-US"/>
      </w:rPr>
      <w:drawing>
        <wp:inline distT="0" distB="0" distL="0" distR="0">
          <wp:extent cx="5873750" cy="287020"/>
          <wp:effectExtent l="0" t="0" r="8890" b="2540"/>
          <wp:docPr id="97" name="图片 97" descr="评估报告内页页眉-马甸-横版"/>
          <wp:cNvGraphicFramePr/>
          <a:graphic xmlns:a="http://schemas.openxmlformats.org/drawingml/2006/main">
            <a:graphicData uri="http://schemas.openxmlformats.org/drawingml/2006/picture">
              <pic:pic xmlns:pic="http://schemas.openxmlformats.org/drawingml/2006/picture">
                <pic:nvPicPr>
                  <pic:cNvPr id="97" name="图片 97" descr="评估报告内页页眉-马甸-横版"/>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873750" cy="287020"/>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E312F3">
    <w:pPr>
      <w:jc w:val="center"/>
    </w:pPr>
    <w:r>
      <w:drawing>
        <wp:inline distT="0" distB="0" distL="0" distR="0">
          <wp:extent cx="5752465" cy="276225"/>
          <wp:effectExtent l="0" t="0" r="8255" b="13335"/>
          <wp:docPr id="96"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6033BD">
    <w:pPr>
      <w:pStyle w:val="21"/>
      <w:pBdr>
        <w:bottom w:val="none" w:color="auto" w:sz="0" w:space="0"/>
      </w:pBdr>
      <w:rPr>
        <w:rFonts w:ascii="楷体_GB2312" w:eastAsia="楷体_GB2312"/>
        <w:spacing w:val="-20"/>
        <w:sz w:val="24"/>
      </w:rPr>
    </w:pPr>
    <w:r>
      <w:rPr>
        <w:lang w:val="en-US"/>
      </w:rPr>
      <w:drawing>
        <wp:inline distT="0" distB="0" distL="0" distR="0">
          <wp:extent cx="5901055" cy="287020"/>
          <wp:effectExtent l="0" t="0" r="0" b="0"/>
          <wp:docPr id="62" name="图片 0" descr="评估报告内页页眉.jpg"/>
          <wp:cNvGraphicFramePr/>
          <a:graphic xmlns:a="http://schemas.openxmlformats.org/drawingml/2006/main">
            <a:graphicData uri="http://schemas.openxmlformats.org/drawingml/2006/picture">
              <pic:pic xmlns:pic="http://schemas.openxmlformats.org/drawingml/2006/picture">
                <pic:nvPicPr>
                  <pic:cNvPr id="62"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7C9006">
    <w:pPr>
      <w:pStyle w:val="21"/>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F9CAB2">
    <w:pPr>
      <w:pStyle w:val="21"/>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15A4A">
    <w:pPr>
      <w:pStyle w:val="21"/>
      <w:pBdr>
        <w:bottom w:val="none" w:color="auto" w:sz="0" w:space="0"/>
      </w:pBdr>
      <w:jc w:val="both"/>
    </w:pPr>
    <w:r>
      <w:rPr>
        <w:lang w:val="en-US"/>
      </w:rPr>
      <w:drawing>
        <wp:inline distT="0" distB="0" distL="0" distR="0">
          <wp:extent cx="5752465" cy="276225"/>
          <wp:effectExtent l="0" t="0" r="0" b="3175"/>
          <wp:docPr id="51"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EF71D">
    <w:pPr>
      <w:pStyle w:val="21"/>
      <w:pBdr>
        <w:bottom w:val="none" w:color="auto" w:sz="0" w:space="0"/>
      </w:pBdr>
    </w:pPr>
    <w:r>
      <w:rPr>
        <w:lang w:val="en-US"/>
      </w:rPr>
      <w:drawing>
        <wp:inline distT="0" distB="0" distL="0" distR="0">
          <wp:extent cx="5752465" cy="276225"/>
          <wp:effectExtent l="0" t="0" r="0" b="3175"/>
          <wp:docPr id="52"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998D7D">
    <w:pPr>
      <w:pStyle w:val="21"/>
      <w:pBdr>
        <w:bottom w:val="none" w:color="auto" w:sz="0" w:space="0"/>
      </w:pBdr>
      <w:jc w:val="both"/>
      <w:rPr>
        <w:rFonts w:ascii="Arial" w:hAnsi="Arial" w:eastAsia="华文行楷"/>
      </w:rPr>
    </w:pPr>
    <w:r>
      <w:rPr>
        <w:rFonts w:hint="eastAsia" w:ascii="楷体_GB2312" w:eastAsia="楷体_GB2312"/>
        <w:spacing w:val="-20"/>
        <w:sz w:val="24"/>
        <w:lang w:val="en-US"/>
      </w:rPr>
      <w:drawing>
        <wp:inline distT="0" distB="0" distL="0" distR="0">
          <wp:extent cx="8867775" cy="393700"/>
          <wp:effectExtent l="0" t="0" r="0" b="12700"/>
          <wp:docPr id="53" name="图片 53" descr="评估报告内页页眉-马甸-横版"/>
          <wp:cNvGraphicFramePr/>
          <a:graphic xmlns:a="http://schemas.openxmlformats.org/drawingml/2006/main">
            <a:graphicData uri="http://schemas.openxmlformats.org/drawingml/2006/picture">
              <pic:pic xmlns:pic="http://schemas.openxmlformats.org/drawingml/2006/picture">
                <pic:nvPicPr>
                  <pic:cNvPr id="53" name="图片 53" descr="评估报告内页页眉-马甸-横版"/>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867775" cy="393700"/>
                  </a:xfrm>
                  <a:prstGeom prst="rect">
                    <a:avLst/>
                  </a:prstGeom>
                  <a:noFill/>
                  <a:ln>
                    <a:noFill/>
                  </a:ln>
                </pic:spPr>
              </pic:pic>
            </a:graphicData>
          </a:graphic>
        </wp:inline>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86CFE">
    <w:pPr>
      <w:jc w:val="center"/>
    </w:pPr>
    <w:r>
      <w:drawing>
        <wp:inline distT="0" distB="0" distL="0" distR="0">
          <wp:extent cx="5752465" cy="276225"/>
          <wp:effectExtent l="0" t="0" r="0" b="3175"/>
          <wp:docPr id="54"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523972">
    <w:pPr>
      <w:pStyle w:val="21"/>
      <w:pBdr>
        <w:bottom w:val="none" w:color="auto" w:sz="0" w:space="0"/>
      </w:pBdr>
      <w:rPr>
        <w:rFonts w:ascii="楷体_GB2312" w:eastAsia="楷体_GB2312"/>
        <w:spacing w:val="-20"/>
        <w:sz w:val="24"/>
      </w:rPr>
    </w:pPr>
    <w:r>
      <w:rPr>
        <w:lang w:val="en-US"/>
      </w:rPr>
      <w:drawing>
        <wp:inline distT="0" distB="0" distL="0" distR="0">
          <wp:extent cx="5901055" cy="287020"/>
          <wp:effectExtent l="0" t="0" r="0" b="0"/>
          <wp:docPr id="55" name="图片 0" descr="评估报告内页页眉.jpg"/>
          <wp:cNvGraphicFramePr/>
          <a:graphic xmlns:a="http://schemas.openxmlformats.org/drawingml/2006/main">
            <a:graphicData uri="http://schemas.openxmlformats.org/drawingml/2006/picture">
              <pic:pic xmlns:pic="http://schemas.openxmlformats.org/drawingml/2006/picture">
                <pic:nvPicPr>
                  <pic:cNvPr id="55" name="图片 0" descr="评估报告内页页眉.jpg"/>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901055" cy="287020"/>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E7AF1A">
    <w:pPr>
      <w:pStyle w:val="21"/>
      <w:pBdr>
        <w:bottom w:val="none" w:color="auto" w:sz="0" w:space="0"/>
      </w:pBdr>
    </w:pPr>
    <w:r>
      <w:rPr>
        <w:lang w:val="en-US"/>
      </w:rPr>
      <w:drawing>
        <wp:inline distT="0" distB="0" distL="0" distR="0">
          <wp:extent cx="5752465" cy="276225"/>
          <wp:effectExtent l="0" t="0" r="0" b="3175"/>
          <wp:docPr id="57" name="图片 0" descr="评估报告内页页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0" descr="评估报告内页页眉.jpg"/>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752465" cy="2762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EAA419D"/>
    <w:multiLevelType w:val="multilevel"/>
    <w:tmpl w:val="AEAA419D"/>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
    <w:nsid w:val="08054A2F"/>
    <w:multiLevelType w:val="multilevel"/>
    <w:tmpl w:val="08054A2F"/>
    <w:lvl w:ilvl="0" w:tentative="0">
      <w:start w:val="1"/>
      <w:numFmt w:val="decimal"/>
      <w:lvlText w:val="%1."/>
      <w:lvlJc w:val="left"/>
      <w:pPr>
        <w:ind w:left="1540" w:hanging="420"/>
      </w:pPr>
      <w:rPr>
        <w:rFonts w:hint="eastAsia"/>
      </w:rPr>
    </w:lvl>
    <w:lvl w:ilvl="1" w:tentative="0">
      <w:start w:val="1"/>
      <w:numFmt w:val="decimal"/>
      <w:lvlText w:val="%2."/>
      <w:lvlJc w:val="left"/>
      <w:pPr>
        <w:ind w:left="0" w:firstLine="980"/>
      </w:pPr>
      <w:rPr>
        <w:rFonts w:hint="eastAsia"/>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
    <w:nsid w:val="0CC7B1C1"/>
    <w:multiLevelType w:val="multilevel"/>
    <w:tmpl w:val="0CC7B1C1"/>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3">
    <w:nsid w:val="11163656"/>
    <w:multiLevelType w:val="multilevel"/>
    <w:tmpl w:val="11163656"/>
    <w:lvl w:ilvl="0" w:tentative="0">
      <w:start w:val="3"/>
      <w:numFmt w:val="decimal"/>
      <w:lvlText w:val="（%1）"/>
      <w:lvlJc w:val="left"/>
      <w:pPr>
        <w:tabs>
          <w:tab w:val="left" w:pos="1320"/>
        </w:tabs>
        <w:ind w:left="1320" w:hanging="720"/>
      </w:pPr>
      <w:rPr>
        <w:rFonts w:hint="eastAsia"/>
      </w:rPr>
    </w:lvl>
    <w:lvl w:ilvl="1" w:tentative="0">
      <w:start w:val="1"/>
      <w:numFmt w:val="upperLetter"/>
      <w:pStyle w:val="4"/>
      <w:lvlText w:val="%2、"/>
      <w:lvlJc w:val="left"/>
      <w:pPr>
        <w:tabs>
          <w:tab w:val="left" w:pos="1740"/>
        </w:tabs>
        <w:ind w:left="1740" w:hanging="720"/>
      </w:pPr>
      <w:rPr>
        <w:rFonts w:hint="eastAsia"/>
      </w:rPr>
    </w:lvl>
    <w:lvl w:ilvl="2" w:tentative="0">
      <w:start w:val="1"/>
      <w:numFmt w:val="lowerRoman"/>
      <w:lvlText w:val="%3."/>
      <w:lvlJc w:val="right"/>
      <w:pPr>
        <w:tabs>
          <w:tab w:val="left" w:pos="1860"/>
        </w:tabs>
        <w:ind w:left="1860" w:hanging="420"/>
      </w:pPr>
    </w:lvl>
    <w:lvl w:ilvl="3" w:tentative="0">
      <w:start w:val="1"/>
      <w:numFmt w:val="decimal"/>
      <w:lvlText w:val="%4."/>
      <w:lvlJc w:val="left"/>
      <w:pPr>
        <w:tabs>
          <w:tab w:val="left" w:pos="2280"/>
        </w:tabs>
        <w:ind w:left="2280" w:hanging="420"/>
      </w:pPr>
    </w:lvl>
    <w:lvl w:ilvl="4" w:tentative="0">
      <w:start w:val="1"/>
      <w:numFmt w:val="lowerLetter"/>
      <w:lvlText w:val="%5)"/>
      <w:lvlJc w:val="left"/>
      <w:pPr>
        <w:tabs>
          <w:tab w:val="left" w:pos="2700"/>
        </w:tabs>
        <w:ind w:left="2700" w:hanging="420"/>
      </w:pPr>
    </w:lvl>
    <w:lvl w:ilvl="5" w:tentative="0">
      <w:start w:val="1"/>
      <w:numFmt w:val="lowerRoman"/>
      <w:lvlText w:val="%6."/>
      <w:lvlJc w:val="right"/>
      <w:pPr>
        <w:tabs>
          <w:tab w:val="left" w:pos="3120"/>
        </w:tabs>
        <w:ind w:left="3120" w:hanging="420"/>
      </w:pPr>
    </w:lvl>
    <w:lvl w:ilvl="6" w:tentative="0">
      <w:start w:val="1"/>
      <w:numFmt w:val="decimal"/>
      <w:lvlText w:val="%7."/>
      <w:lvlJc w:val="left"/>
      <w:pPr>
        <w:tabs>
          <w:tab w:val="left" w:pos="3540"/>
        </w:tabs>
        <w:ind w:left="3540" w:hanging="420"/>
      </w:pPr>
    </w:lvl>
    <w:lvl w:ilvl="7" w:tentative="0">
      <w:start w:val="1"/>
      <w:numFmt w:val="lowerLetter"/>
      <w:lvlText w:val="%8)"/>
      <w:lvlJc w:val="left"/>
      <w:pPr>
        <w:tabs>
          <w:tab w:val="left" w:pos="3960"/>
        </w:tabs>
        <w:ind w:left="3960" w:hanging="420"/>
      </w:pPr>
    </w:lvl>
    <w:lvl w:ilvl="8" w:tentative="0">
      <w:start w:val="1"/>
      <w:numFmt w:val="lowerRoman"/>
      <w:lvlText w:val="%9."/>
      <w:lvlJc w:val="right"/>
      <w:pPr>
        <w:tabs>
          <w:tab w:val="left" w:pos="4380"/>
        </w:tabs>
        <w:ind w:left="4380" w:hanging="420"/>
      </w:pPr>
    </w:lvl>
  </w:abstractNum>
  <w:abstractNum w:abstractNumId="4">
    <w:nsid w:val="298A5976"/>
    <w:multiLevelType w:val="multilevel"/>
    <w:tmpl w:val="298A5976"/>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5">
    <w:nsid w:val="2D832380"/>
    <w:multiLevelType w:val="multilevel"/>
    <w:tmpl w:val="2D832380"/>
    <w:lvl w:ilvl="0" w:tentative="0">
      <w:start w:val="1"/>
      <w:numFmt w:val="decimal"/>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
    <w:nsid w:val="3F305BA7"/>
    <w:multiLevelType w:val="multilevel"/>
    <w:tmpl w:val="3F305BA7"/>
    <w:lvl w:ilvl="0" w:tentative="0">
      <w:start w:val="1"/>
      <w:numFmt w:val="decimal"/>
      <w:lvlText w:val="%1."/>
      <w:lvlJc w:val="left"/>
      <w:pPr>
        <w:ind w:left="1540" w:hanging="420"/>
      </w:pPr>
      <w:rPr>
        <w:rFonts w:hint="eastAsia"/>
      </w:rPr>
    </w:lvl>
    <w:lvl w:ilvl="1" w:tentative="0">
      <w:start w:val="1"/>
      <w:numFmt w:val="decimal"/>
      <w:lvlText w:val="%2."/>
      <w:lvlJc w:val="left"/>
      <w:pPr>
        <w:ind w:left="0" w:firstLine="980"/>
      </w:pPr>
      <w:rPr>
        <w:rFonts w:hint="eastAsia"/>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7">
    <w:nsid w:val="59D45B07"/>
    <w:multiLevelType w:val="multilevel"/>
    <w:tmpl w:val="59D45B07"/>
    <w:lvl w:ilvl="0" w:tentative="0">
      <w:start w:val="1"/>
      <w:numFmt w:val="decimal"/>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8">
    <w:nsid w:val="5F6A3DC4"/>
    <w:multiLevelType w:val="multilevel"/>
    <w:tmpl w:val="5F6A3DC4"/>
    <w:lvl w:ilvl="0" w:tentative="0">
      <w:start w:val="1"/>
      <w:numFmt w:val="upperRoman"/>
      <w:pStyle w:val="5"/>
      <w:lvlText w:val="%1、"/>
      <w:lvlJc w:val="left"/>
      <w:pPr>
        <w:tabs>
          <w:tab w:val="left" w:pos="1605"/>
        </w:tabs>
        <w:ind w:left="1605" w:hanging="1080"/>
      </w:pPr>
      <w:rPr>
        <w:rFonts w:hint="eastAsia"/>
      </w:rPr>
    </w:lvl>
    <w:lvl w:ilvl="1" w:tentative="0">
      <w:start w:val="1"/>
      <w:numFmt w:val="lowerLetter"/>
      <w:lvlText w:val="%2)"/>
      <w:lvlJc w:val="left"/>
      <w:pPr>
        <w:tabs>
          <w:tab w:val="left" w:pos="1365"/>
        </w:tabs>
        <w:ind w:left="1365" w:hanging="420"/>
      </w:pPr>
    </w:lvl>
    <w:lvl w:ilvl="2" w:tentative="0">
      <w:start w:val="1"/>
      <w:numFmt w:val="lowerRoman"/>
      <w:lvlText w:val="%3."/>
      <w:lvlJc w:val="right"/>
      <w:pPr>
        <w:tabs>
          <w:tab w:val="left" w:pos="1785"/>
        </w:tabs>
        <w:ind w:left="1785" w:hanging="420"/>
      </w:pPr>
    </w:lvl>
    <w:lvl w:ilvl="3" w:tentative="0">
      <w:start w:val="1"/>
      <w:numFmt w:val="decimal"/>
      <w:lvlText w:val="%4."/>
      <w:lvlJc w:val="left"/>
      <w:pPr>
        <w:tabs>
          <w:tab w:val="left" w:pos="2205"/>
        </w:tabs>
        <w:ind w:left="2205" w:hanging="420"/>
      </w:pPr>
    </w:lvl>
    <w:lvl w:ilvl="4" w:tentative="0">
      <w:start w:val="1"/>
      <w:numFmt w:val="lowerLetter"/>
      <w:lvlText w:val="%5)"/>
      <w:lvlJc w:val="left"/>
      <w:pPr>
        <w:tabs>
          <w:tab w:val="left" w:pos="2625"/>
        </w:tabs>
        <w:ind w:left="2625" w:hanging="420"/>
      </w:pPr>
    </w:lvl>
    <w:lvl w:ilvl="5" w:tentative="0">
      <w:start w:val="1"/>
      <w:numFmt w:val="lowerRoman"/>
      <w:lvlText w:val="%6."/>
      <w:lvlJc w:val="right"/>
      <w:pPr>
        <w:tabs>
          <w:tab w:val="left" w:pos="3045"/>
        </w:tabs>
        <w:ind w:left="3045" w:hanging="420"/>
      </w:pPr>
    </w:lvl>
    <w:lvl w:ilvl="6" w:tentative="0">
      <w:start w:val="1"/>
      <w:numFmt w:val="decimal"/>
      <w:lvlText w:val="%7."/>
      <w:lvlJc w:val="left"/>
      <w:pPr>
        <w:tabs>
          <w:tab w:val="left" w:pos="3465"/>
        </w:tabs>
        <w:ind w:left="3465" w:hanging="420"/>
      </w:pPr>
    </w:lvl>
    <w:lvl w:ilvl="7" w:tentative="0">
      <w:start w:val="1"/>
      <w:numFmt w:val="lowerLetter"/>
      <w:lvlText w:val="%8)"/>
      <w:lvlJc w:val="left"/>
      <w:pPr>
        <w:tabs>
          <w:tab w:val="left" w:pos="3885"/>
        </w:tabs>
        <w:ind w:left="3885" w:hanging="420"/>
      </w:pPr>
    </w:lvl>
    <w:lvl w:ilvl="8" w:tentative="0">
      <w:start w:val="1"/>
      <w:numFmt w:val="lowerRoman"/>
      <w:lvlText w:val="%9."/>
      <w:lvlJc w:val="right"/>
      <w:pPr>
        <w:tabs>
          <w:tab w:val="left" w:pos="4305"/>
        </w:tabs>
        <w:ind w:left="4305" w:hanging="420"/>
      </w:pPr>
    </w:lvl>
  </w:abstractNum>
  <w:abstractNum w:abstractNumId="9">
    <w:nsid w:val="6476AEBB"/>
    <w:multiLevelType w:val="multilevel"/>
    <w:tmpl w:val="6476AEBB"/>
    <w:lvl w:ilvl="0" w:tentative="0">
      <w:start w:val="1"/>
      <w:numFmt w:val="decimal"/>
      <w:lvlText w:val="%1."/>
      <w:lvlJc w:val="left"/>
      <w:pPr>
        <w:ind w:left="98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6F015446"/>
    <w:multiLevelType w:val="multilevel"/>
    <w:tmpl w:val="6F015446"/>
    <w:lvl w:ilvl="0" w:tentative="0">
      <w:start w:val="1"/>
      <w:numFmt w:val="decimal"/>
      <w:lvlText w:val="%1."/>
      <w:lvlJc w:val="left"/>
      <w:pPr>
        <w:ind w:left="846"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1">
    <w:nsid w:val="6F880C65"/>
    <w:multiLevelType w:val="multilevel"/>
    <w:tmpl w:val="6F880C65"/>
    <w:lvl w:ilvl="0" w:tentative="0">
      <w:start w:val="1"/>
      <w:numFmt w:val="decimal"/>
      <w:lvlText w:val="%1."/>
      <w:lvlJc w:val="left"/>
      <w:pPr>
        <w:ind w:left="98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75A04673"/>
    <w:multiLevelType w:val="multilevel"/>
    <w:tmpl w:val="75A04673"/>
    <w:lvl w:ilvl="0" w:tentative="0">
      <w:start w:val="1"/>
      <w:numFmt w:val="upperLetter"/>
      <w:pStyle w:val="3"/>
      <w:lvlText w:val="%1."/>
      <w:lvlJc w:val="left"/>
      <w:pPr>
        <w:tabs>
          <w:tab w:val="left" w:pos="360"/>
        </w:tabs>
        <w:ind w:left="360" w:hanging="360"/>
      </w:pPr>
      <w:rPr>
        <w:rFonts w:hint="eastAsia"/>
        <w:b w:val="0"/>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7906362E"/>
    <w:multiLevelType w:val="multilevel"/>
    <w:tmpl w:val="7906362E"/>
    <w:lvl w:ilvl="0" w:tentative="0">
      <w:start w:val="1"/>
      <w:numFmt w:val="upperLetter"/>
      <w:pStyle w:val="2"/>
      <w:lvlText w:val="%1．"/>
      <w:lvlJc w:val="left"/>
      <w:pPr>
        <w:tabs>
          <w:tab w:val="left" w:pos="720"/>
        </w:tabs>
        <w:ind w:left="720" w:hanging="720"/>
      </w:pPr>
      <w:rPr>
        <w:rFonts w:hint="eastAsia"/>
      </w:rPr>
    </w:lvl>
    <w:lvl w:ilvl="1" w:tentative="0">
      <w:start w:val="1"/>
      <w:numFmt w:val="japaneseCounting"/>
      <w:lvlText w:val="（%2）"/>
      <w:lvlJc w:val="left"/>
      <w:pPr>
        <w:tabs>
          <w:tab w:val="left" w:pos="1275"/>
        </w:tabs>
        <w:ind w:left="1275" w:hanging="855"/>
      </w:pPr>
      <w:rPr>
        <w:rFonts w:hint="eastAsia"/>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3"/>
  </w:num>
  <w:num w:numId="2">
    <w:abstractNumId w:val="12"/>
  </w:num>
  <w:num w:numId="3">
    <w:abstractNumId w:val="3"/>
  </w:num>
  <w:num w:numId="4">
    <w:abstractNumId w:val="8"/>
  </w:num>
  <w:num w:numId="5">
    <w:abstractNumId w:val="7"/>
  </w:num>
  <w:num w:numId="6">
    <w:abstractNumId w:val="4"/>
  </w:num>
  <w:num w:numId="7">
    <w:abstractNumId w:val="11"/>
  </w:num>
  <w:num w:numId="8">
    <w:abstractNumId w:val="1"/>
  </w:num>
  <w:num w:numId="9">
    <w:abstractNumId w:val="10"/>
  </w:num>
  <w:num w:numId="10">
    <w:abstractNumId w:val="2"/>
  </w:num>
  <w:num w:numId="11">
    <w:abstractNumId w:val="9"/>
  </w:num>
  <w:num w:numId="12">
    <w:abstractNumId w:val="6"/>
  </w:num>
  <w:num w:numId="13">
    <w:abstractNumId w:val="0"/>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2ZjVlM2VmNjAwMmNmMzg0MTcxOTI1ODA5M2MyOGEifQ=="/>
  </w:docVars>
  <w:rsids>
    <w:rsidRoot w:val="000001B0"/>
    <w:rsid w:val="000001B0"/>
    <w:rsid w:val="00000385"/>
    <w:rsid w:val="00000B0E"/>
    <w:rsid w:val="00000F3D"/>
    <w:rsid w:val="000014F3"/>
    <w:rsid w:val="0000160F"/>
    <w:rsid w:val="00001705"/>
    <w:rsid w:val="000020FA"/>
    <w:rsid w:val="00002460"/>
    <w:rsid w:val="000029BA"/>
    <w:rsid w:val="00002D13"/>
    <w:rsid w:val="00002EA6"/>
    <w:rsid w:val="00003069"/>
    <w:rsid w:val="0000377F"/>
    <w:rsid w:val="00004316"/>
    <w:rsid w:val="00004A11"/>
    <w:rsid w:val="0000540D"/>
    <w:rsid w:val="0000552E"/>
    <w:rsid w:val="00006FDF"/>
    <w:rsid w:val="000070FE"/>
    <w:rsid w:val="00007BAB"/>
    <w:rsid w:val="00010109"/>
    <w:rsid w:val="00010B65"/>
    <w:rsid w:val="00010EAA"/>
    <w:rsid w:val="00011141"/>
    <w:rsid w:val="0001115C"/>
    <w:rsid w:val="00011558"/>
    <w:rsid w:val="00011835"/>
    <w:rsid w:val="000123F7"/>
    <w:rsid w:val="00012421"/>
    <w:rsid w:val="00013298"/>
    <w:rsid w:val="00013C78"/>
    <w:rsid w:val="00014067"/>
    <w:rsid w:val="0001436A"/>
    <w:rsid w:val="000146DB"/>
    <w:rsid w:val="00014C8C"/>
    <w:rsid w:val="00014DA6"/>
    <w:rsid w:val="00014E20"/>
    <w:rsid w:val="00016DDE"/>
    <w:rsid w:val="000173D9"/>
    <w:rsid w:val="0001759E"/>
    <w:rsid w:val="00017627"/>
    <w:rsid w:val="000201B0"/>
    <w:rsid w:val="00020655"/>
    <w:rsid w:val="000206D2"/>
    <w:rsid w:val="000209C6"/>
    <w:rsid w:val="00020E16"/>
    <w:rsid w:val="00020F24"/>
    <w:rsid w:val="0002117A"/>
    <w:rsid w:val="00022A81"/>
    <w:rsid w:val="00022AEF"/>
    <w:rsid w:val="00022C9C"/>
    <w:rsid w:val="00022E09"/>
    <w:rsid w:val="00023655"/>
    <w:rsid w:val="00023994"/>
    <w:rsid w:val="00023A9D"/>
    <w:rsid w:val="000246BB"/>
    <w:rsid w:val="00024A2A"/>
    <w:rsid w:val="00024D48"/>
    <w:rsid w:val="000252F7"/>
    <w:rsid w:val="00025447"/>
    <w:rsid w:val="0002583D"/>
    <w:rsid w:val="00031515"/>
    <w:rsid w:val="00031A2A"/>
    <w:rsid w:val="0003261A"/>
    <w:rsid w:val="0003311A"/>
    <w:rsid w:val="00033433"/>
    <w:rsid w:val="000335C0"/>
    <w:rsid w:val="00033E17"/>
    <w:rsid w:val="00035D39"/>
    <w:rsid w:val="0003601C"/>
    <w:rsid w:val="00036421"/>
    <w:rsid w:val="00036A93"/>
    <w:rsid w:val="00036F92"/>
    <w:rsid w:val="000378BE"/>
    <w:rsid w:val="0004037C"/>
    <w:rsid w:val="00040501"/>
    <w:rsid w:val="00041021"/>
    <w:rsid w:val="0004160E"/>
    <w:rsid w:val="00041BED"/>
    <w:rsid w:val="00042272"/>
    <w:rsid w:val="0004246B"/>
    <w:rsid w:val="00044B78"/>
    <w:rsid w:val="00044D14"/>
    <w:rsid w:val="00045097"/>
    <w:rsid w:val="000453CE"/>
    <w:rsid w:val="0004637F"/>
    <w:rsid w:val="00046536"/>
    <w:rsid w:val="00047314"/>
    <w:rsid w:val="00050B46"/>
    <w:rsid w:val="00050DE4"/>
    <w:rsid w:val="000515F1"/>
    <w:rsid w:val="00051792"/>
    <w:rsid w:val="00052093"/>
    <w:rsid w:val="00052E12"/>
    <w:rsid w:val="00052FC0"/>
    <w:rsid w:val="00053869"/>
    <w:rsid w:val="0005412C"/>
    <w:rsid w:val="0005420E"/>
    <w:rsid w:val="0005458B"/>
    <w:rsid w:val="00054E3F"/>
    <w:rsid w:val="0005516C"/>
    <w:rsid w:val="00055233"/>
    <w:rsid w:val="00055277"/>
    <w:rsid w:val="000556C5"/>
    <w:rsid w:val="00055712"/>
    <w:rsid w:val="00055D46"/>
    <w:rsid w:val="000561F2"/>
    <w:rsid w:val="00060139"/>
    <w:rsid w:val="000601EE"/>
    <w:rsid w:val="00061106"/>
    <w:rsid w:val="00061D36"/>
    <w:rsid w:val="00061F17"/>
    <w:rsid w:val="000622DC"/>
    <w:rsid w:val="00062CAF"/>
    <w:rsid w:val="00062FEC"/>
    <w:rsid w:val="000631E3"/>
    <w:rsid w:val="00063483"/>
    <w:rsid w:val="000634D6"/>
    <w:rsid w:val="00064140"/>
    <w:rsid w:val="000652D5"/>
    <w:rsid w:val="000661C2"/>
    <w:rsid w:val="000664A6"/>
    <w:rsid w:val="0006677E"/>
    <w:rsid w:val="00066B9F"/>
    <w:rsid w:val="00066D8D"/>
    <w:rsid w:val="000678BD"/>
    <w:rsid w:val="00067A30"/>
    <w:rsid w:val="00067B58"/>
    <w:rsid w:val="00070276"/>
    <w:rsid w:val="000702FB"/>
    <w:rsid w:val="0007071A"/>
    <w:rsid w:val="0007098B"/>
    <w:rsid w:val="00072B8B"/>
    <w:rsid w:val="00074664"/>
    <w:rsid w:val="00074CD2"/>
    <w:rsid w:val="0007570B"/>
    <w:rsid w:val="00075C27"/>
    <w:rsid w:val="00075DF4"/>
    <w:rsid w:val="00075E74"/>
    <w:rsid w:val="00076922"/>
    <w:rsid w:val="00077757"/>
    <w:rsid w:val="00080BCA"/>
    <w:rsid w:val="00080C3C"/>
    <w:rsid w:val="000823BB"/>
    <w:rsid w:val="00083887"/>
    <w:rsid w:val="000847D5"/>
    <w:rsid w:val="0008487F"/>
    <w:rsid w:val="00084977"/>
    <w:rsid w:val="000849A1"/>
    <w:rsid w:val="00084DA6"/>
    <w:rsid w:val="00085169"/>
    <w:rsid w:val="00085336"/>
    <w:rsid w:val="0008571D"/>
    <w:rsid w:val="00085EDD"/>
    <w:rsid w:val="00086670"/>
    <w:rsid w:val="000874F1"/>
    <w:rsid w:val="00087A1B"/>
    <w:rsid w:val="00090057"/>
    <w:rsid w:val="00090D05"/>
    <w:rsid w:val="00090F6E"/>
    <w:rsid w:val="00090F7F"/>
    <w:rsid w:val="000911A1"/>
    <w:rsid w:val="00091897"/>
    <w:rsid w:val="0009241E"/>
    <w:rsid w:val="000924F6"/>
    <w:rsid w:val="0009253E"/>
    <w:rsid w:val="00094171"/>
    <w:rsid w:val="00094478"/>
    <w:rsid w:val="0009472A"/>
    <w:rsid w:val="000955AC"/>
    <w:rsid w:val="00095710"/>
    <w:rsid w:val="000961E0"/>
    <w:rsid w:val="00097626"/>
    <w:rsid w:val="00097642"/>
    <w:rsid w:val="000A02EB"/>
    <w:rsid w:val="000A174F"/>
    <w:rsid w:val="000A1CB0"/>
    <w:rsid w:val="000A316C"/>
    <w:rsid w:val="000A34DA"/>
    <w:rsid w:val="000A3619"/>
    <w:rsid w:val="000A37F3"/>
    <w:rsid w:val="000A3974"/>
    <w:rsid w:val="000A410B"/>
    <w:rsid w:val="000A5413"/>
    <w:rsid w:val="000A645F"/>
    <w:rsid w:val="000A6C40"/>
    <w:rsid w:val="000A76BD"/>
    <w:rsid w:val="000A7977"/>
    <w:rsid w:val="000A79FF"/>
    <w:rsid w:val="000A7BA3"/>
    <w:rsid w:val="000B0985"/>
    <w:rsid w:val="000B2161"/>
    <w:rsid w:val="000B264E"/>
    <w:rsid w:val="000B32A5"/>
    <w:rsid w:val="000B374C"/>
    <w:rsid w:val="000B3AC4"/>
    <w:rsid w:val="000B494D"/>
    <w:rsid w:val="000B55A0"/>
    <w:rsid w:val="000B5F9D"/>
    <w:rsid w:val="000B66B5"/>
    <w:rsid w:val="000B73DD"/>
    <w:rsid w:val="000B7865"/>
    <w:rsid w:val="000B7EFB"/>
    <w:rsid w:val="000C07B6"/>
    <w:rsid w:val="000C2A8C"/>
    <w:rsid w:val="000C3729"/>
    <w:rsid w:val="000C3808"/>
    <w:rsid w:val="000C3D3D"/>
    <w:rsid w:val="000C461F"/>
    <w:rsid w:val="000C488A"/>
    <w:rsid w:val="000C48BA"/>
    <w:rsid w:val="000C4DE1"/>
    <w:rsid w:val="000C52A6"/>
    <w:rsid w:val="000C6389"/>
    <w:rsid w:val="000C68E8"/>
    <w:rsid w:val="000C6F13"/>
    <w:rsid w:val="000C71EB"/>
    <w:rsid w:val="000C7456"/>
    <w:rsid w:val="000C798D"/>
    <w:rsid w:val="000C7EE5"/>
    <w:rsid w:val="000D00FC"/>
    <w:rsid w:val="000D0141"/>
    <w:rsid w:val="000D04CC"/>
    <w:rsid w:val="000D07F5"/>
    <w:rsid w:val="000D0C1F"/>
    <w:rsid w:val="000D0EB9"/>
    <w:rsid w:val="000D1305"/>
    <w:rsid w:val="000D169E"/>
    <w:rsid w:val="000D2261"/>
    <w:rsid w:val="000D2476"/>
    <w:rsid w:val="000D289F"/>
    <w:rsid w:val="000D2CED"/>
    <w:rsid w:val="000D32B9"/>
    <w:rsid w:val="000D3D4A"/>
    <w:rsid w:val="000D462D"/>
    <w:rsid w:val="000D5028"/>
    <w:rsid w:val="000D5EBB"/>
    <w:rsid w:val="000D6A35"/>
    <w:rsid w:val="000D7FD2"/>
    <w:rsid w:val="000E15A5"/>
    <w:rsid w:val="000E1680"/>
    <w:rsid w:val="000E16D2"/>
    <w:rsid w:val="000E18A3"/>
    <w:rsid w:val="000E1F0D"/>
    <w:rsid w:val="000E30A7"/>
    <w:rsid w:val="000E38E9"/>
    <w:rsid w:val="000E3B78"/>
    <w:rsid w:val="000E3EBB"/>
    <w:rsid w:val="000E4173"/>
    <w:rsid w:val="000E4236"/>
    <w:rsid w:val="000E4DAA"/>
    <w:rsid w:val="000E5165"/>
    <w:rsid w:val="000E5232"/>
    <w:rsid w:val="000E560B"/>
    <w:rsid w:val="000E568C"/>
    <w:rsid w:val="000E5BA0"/>
    <w:rsid w:val="000E67F1"/>
    <w:rsid w:val="000E68A1"/>
    <w:rsid w:val="000E693C"/>
    <w:rsid w:val="000E6A27"/>
    <w:rsid w:val="000E6A71"/>
    <w:rsid w:val="000E705E"/>
    <w:rsid w:val="000E78B4"/>
    <w:rsid w:val="000E7CD8"/>
    <w:rsid w:val="000F027C"/>
    <w:rsid w:val="000F0517"/>
    <w:rsid w:val="000F23FF"/>
    <w:rsid w:val="000F4961"/>
    <w:rsid w:val="000F4A93"/>
    <w:rsid w:val="000F4BC7"/>
    <w:rsid w:val="000F4BD7"/>
    <w:rsid w:val="000F4D50"/>
    <w:rsid w:val="000F4DB2"/>
    <w:rsid w:val="000F4DEE"/>
    <w:rsid w:val="000F52D9"/>
    <w:rsid w:val="000F53BD"/>
    <w:rsid w:val="000F55A4"/>
    <w:rsid w:val="000F5C18"/>
    <w:rsid w:val="000F5E70"/>
    <w:rsid w:val="000F6922"/>
    <w:rsid w:val="000F7526"/>
    <w:rsid w:val="000F75AF"/>
    <w:rsid w:val="000F78F6"/>
    <w:rsid w:val="000F7CE9"/>
    <w:rsid w:val="000F7E39"/>
    <w:rsid w:val="001001D5"/>
    <w:rsid w:val="00100A2C"/>
    <w:rsid w:val="001010B5"/>
    <w:rsid w:val="00101A70"/>
    <w:rsid w:val="001027E5"/>
    <w:rsid w:val="0010295F"/>
    <w:rsid w:val="00102CF4"/>
    <w:rsid w:val="001030E5"/>
    <w:rsid w:val="001035EA"/>
    <w:rsid w:val="00103BB1"/>
    <w:rsid w:val="00103C31"/>
    <w:rsid w:val="00103E0E"/>
    <w:rsid w:val="001052D6"/>
    <w:rsid w:val="00105368"/>
    <w:rsid w:val="001058BF"/>
    <w:rsid w:val="00105CE1"/>
    <w:rsid w:val="0010624D"/>
    <w:rsid w:val="00106393"/>
    <w:rsid w:val="00106671"/>
    <w:rsid w:val="001066AB"/>
    <w:rsid w:val="00106A81"/>
    <w:rsid w:val="001077F0"/>
    <w:rsid w:val="00107A81"/>
    <w:rsid w:val="00107B1B"/>
    <w:rsid w:val="00110BDD"/>
    <w:rsid w:val="00111921"/>
    <w:rsid w:val="001119D8"/>
    <w:rsid w:val="00113B26"/>
    <w:rsid w:val="001142D5"/>
    <w:rsid w:val="00114318"/>
    <w:rsid w:val="00114D8E"/>
    <w:rsid w:val="001159FF"/>
    <w:rsid w:val="00115A3F"/>
    <w:rsid w:val="00120689"/>
    <w:rsid w:val="00120A72"/>
    <w:rsid w:val="00120C20"/>
    <w:rsid w:val="00120EF6"/>
    <w:rsid w:val="00120FB9"/>
    <w:rsid w:val="0012236F"/>
    <w:rsid w:val="001224D0"/>
    <w:rsid w:val="001225D4"/>
    <w:rsid w:val="00122917"/>
    <w:rsid w:val="001231C1"/>
    <w:rsid w:val="001233C9"/>
    <w:rsid w:val="001248ED"/>
    <w:rsid w:val="001252F8"/>
    <w:rsid w:val="00125547"/>
    <w:rsid w:val="0012612F"/>
    <w:rsid w:val="001264F3"/>
    <w:rsid w:val="00126E72"/>
    <w:rsid w:val="00127B62"/>
    <w:rsid w:val="00130705"/>
    <w:rsid w:val="001310CA"/>
    <w:rsid w:val="001316B6"/>
    <w:rsid w:val="00132061"/>
    <w:rsid w:val="00132078"/>
    <w:rsid w:val="001326A2"/>
    <w:rsid w:val="001330DF"/>
    <w:rsid w:val="001334DC"/>
    <w:rsid w:val="00133657"/>
    <w:rsid w:val="001336BA"/>
    <w:rsid w:val="00133D47"/>
    <w:rsid w:val="00133E61"/>
    <w:rsid w:val="00134B7C"/>
    <w:rsid w:val="00134C7C"/>
    <w:rsid w:val="00134D60"/>
    <w:rsid w:val="001352C1"/>
    <w:rsid w:val="00135EF3"/>
    <w:rsid w:val="0013600F"/>
    <w:rsid w:val="001360A3"/>
    <w:rsid w:val="00136729"/>
    <w:rsid w:val="00137CC6"/>
    <w:rsid w:val="00137E12"/>
    <w:rsid w:val="00140155"/>
    <w:rsid w:val="00140697"/>
    <w:rsid w:val="001407BE"/>
    <w:rsid w:val="00140DF7"/>
    <w:rsid w:val="00141212"/>
    <w:rsid w:val="001412D0"/>
    <w:rsid w:val="001421D2"/>
    <w:rsid w:val="001421FE"/>
    <w:rsid w:val="001427F3"/>
    <w:rsid w:val="00142E1D"/>
    <w:rsid w:val="00143890"/>
    <w:rsid w:val="0014421E"/>
    <w:rsid w:val="001443C8"/>
    <w:rsid w:val="00144CCC"/>
    <w:rsid w:val="001454D3"/>
    <w:rsid w:val="00145624"/>
    <w:rsid w:val="00145CD8"/>
    <w:rsid w:val="00145CF7"/>
    <w:rsid w:val="0014698B"/>
    <w:rsid w:val="00146A69"/>
    <w:rsid w:val="00146C03"/>
    <w:rsid w:val="00146C65"/>
    <w:rsid w:val="001472FB"/>
    <w:rsid w:val="00147E23"/>
    <w:rsid w:val="00150A15"/>
    <w:rsid w:val="00150D85"/>
    <w:rsid w:val="00150DA3"/>
    <w:rsid w:val="00151572"/>
    <w:rsid w:val="00151812"/>
    <w:rsid w:val="00151D94"/>
    <w:rsid w:val="00152BCA"/>
    <w:rsid w:val="00152BE0"/>
    <w:rsid w:val="00152E9C"/>
    <w:rsid w:val="001532E0"/>
    <w:rsid w:val="00153CC7"/>
    <w:rsid w:val="00153F5F"/>
    <w:rsid w:val="001549DD"/>
    <w:rsid w:val="001552B4"/>
    <w:rsid w:val="00155558"/>
    <w:rsid w:val="00156342"/>
    <w:rsid w:val="00156953"/>
    <w:rsid w:val="00156A47"/>
    <w:rsid w:val="00157153"/>
    <w:rsid w:val="00157CE1"/>
    <w:rsid w:val="00157DD9"/>
    <w:rsid w:val="0016047A"/>
    <w:rsid w:val="00160E04"/>
    <w:rsid w:val="00161D4E"/>
    <w:rsid w:val="00161FF8"/>
    <w:rsid w:val="001632D8"/>
    <w:rsid w:val="00163358"/>
    <w:rsid w:val="0016345B"/>
    <w:rsid w:val="0016366E"/>
    <w:rsid w:val="00164354"/>
    <w:rsid w:val="00164DD0"/>
    <w:rsid w:val="0016536F"/>
    <w:rsid w:val="0016546F"/>
    <w:rsid w:val="00165735"/>
    <w:rsid w:val="00165EAB"/>
    <w:rsid w:val="00166117"/>
    <w:rsid w:val="001662FD"/>
    <w:rsid w:val="001665BC"/>
    <w:rsid w:val="001672EE"/>
    <w:rsid w:val="001675CA"/>
    <w:rsid w:val="00167DB5"/>
    <w:rsid w:val="00170095"/>
    <w:rsid w:val="001703A0"/>
    <w:rsid w:val="00170A33"/>
    <w:rsid w:val="00170CBB"/>
    <w:rsid w:val="001710D5"/>
    <w:rsid w:val="00171DE2"/>
    <w:rsid w:val="00171F78"/>
    <w:rsid w:val="00171F94"/>
    <w:rsid w:val="001731EA"/>
    <w:rsid w:val="0017355C"/>
    <w:rsid w:val="001739BC"/>
    <w:rsid w:val="0017469E"/>
    <w:rsid w:val="00174815"/>
    <w:rsid w:val="00174981"/>
    <w:rsid w:val="00174AF5"/>
    <w:rsid w:val="00175460"/>
    <w:rsid w:val="001769D7"/>
    <w:rsid w:val="00177B96"/>
    <w:rsid w:val="00177F3D"/>
    <w:rsid w:val="00177F4C"/>
    <w:rsid w:val="00180C81"/>
    <w:rsid w:val="00180D5D"/>
    <w:rsid w:val="00181861"/>
    <w:rsid w:val="00181C4A"/>
    <w:rsid w:val="00182186"/>
    <w:rsid w:val="00182700"/>
    <w:rsid w:val="00182B70"/>
    <w:rsid w:val="0018333E"/>
    <w:rsid w:val="001835BA"/>
    <w:rsid w:val="001838C3"/>
    <w:rsid w:val="0018515C"/>
    <w:rsid w:val="0018524F"/>
    <w:rsid w:val="001855B8"/>
    <w:rsid w:val="00185C38"/>
    <w:rsid w:val="001860A7"/>
    <w:rsid w:val="001869E6"/>
    <w:rsid w:val="00186BB0"/>
    <w:rsid w:val="0018781B"/>
    <w:rsid w:val="00187AA5"/>
    <w:rsid w:val="00187B9D"/>
    <w:rsid w:val="0019030D"/>
    <w:rsid w:val="00190C4C"/>
    <w:rsid w:val="00190F32"/>
    <w:rsid w:val="001919F3"/>
    <w:rsid w:val="00191A67"/>
    <w:rsid w:val="00192533"/>
    <w:rsid w:val="00192B76"/>
    <w:rsid w:val="00193555"/>
    <w:rsid w:val="001942A4"/>
    <w:rsid w:val="001943BA"/>
    <w:rsid w:val="00194452"/>
    <w:rsid w:val="0019457C"/>
    <w:rsid w:val="00194C16"/>
    <w:rsid w:val="00194C21"/>
    <w:rsid w:val="00194CC6"/>
    <w:rsid w:val="001951E9"/>
    <w:rsid w:val="00195908"/>
    <w:rsid w:val="0019650E"/>
    <w:rsid w:val="00196A9D"/>
    <w:rsid w:val="00196F58"/>
    <w:rsid w:val="00197A5E"/>
    <w:rsid w:val="00197C81"/>
    <w:rsid w:val="001A029C"/>
    <w:rsid w:val="001A059E"/>
    <w:rsid w:val="001A0B0D"/>
    <w:rsid w:val="001A10B5"/>
    <w:rsid w:val="001A138A"/>
    <w:rsid w:val="001A2ADE"/>
    <w:rsid w:val="001A35E8"/>
    <w:rsid w:val="001A4CB5"/>
    <w:rsid w:val="001A6D5A"/>
    <w:rsid w:val="001A7889"/>
    <w:rsid w:val="001B010C"/>
    <w:rsid w:val="001B0307"/>
    <w:rsid w:val="001B0B57"/>
    <w:rsid w:val="001B0DCD"/>
    <w:rsid w:val="001B19F9"/>
    <w:rsid w:val="001B2396"/>
    <w:rsid w:val="001B24AC"/>
    <w:rsid w:val="001B25EC"/>
    <w:rsid w:val="001B32E6"/>
    <w:rsid w:val="001B363D"/>
    <w:rsid w:val="001B3D44"/>
    <w:rsid w:val="001B4136"/>
    <w:rsid w:val="001B4602"/>
    <w:rsid w:val="001B47B8"/>
    <w:rsid w:val="001B53FF"/>
    <w:rsid w:val="001B583A"/>
    <w:rsid w:val="001B6796"/>
    <w:rsid w:val="001B6DFF"/>
    <w:rsid w:val="001B7DD4"/>
    <w:rsid w:val="001C076D"/>
    <w:rsid w:val="001C08CD"/>
    <w:rsid w:val="001C0D47"/>
    <w:rsid w:val="001C100B"/>
    <w:rsid w:val="001C1329"/>
    <w:rsid w:val="001C1959"/>
    <w:rsid w:val="001C1AC5"/>
    <w:rsid w:val="001C29E7"/>
    <w:rsid w:val="001C2A88"/>
    <w:rsid w:val="001C3012"/>
    <w:rsid w:val="001C335E"/>
    <w:rsid w:val="001C362D"/>
    <w:rsid w:val="001C39B5"/>
    <w:rsid w:val="001C4940"/>
    <w:rsid w:val="001C4E44"/>
    <w:rsid w:val="001C4F43"/>
    <w:rsid w:val="001C5267"/>
    <w:rsid w:val="001C528B"/>
    <w:rsid w:val="001C5BE0"/>
    <w:rsid w:val="001C6371"/>
    <w:rsid w:val="001C6BA5"/>
    <w:rsid w:val="001C77B0"/>
    <w:rsid w:val="001D0253"/>
    <w:rsid w:val="001D159D"/>
    <w:rsid w:val="001D1F2E"/>
    <w:rsid w:val="001D2376"/>
    <w:rsid w:val="001D3FE8"/>
    <w:rsid w:val="001D41D4"/>
    <w:rsid w:val="001D515B"/>
    <w:rsid w:val="001D5467"/>
    <w:rsid w:val="001D61BE"/>
    <w:rsid w:val="001D6617"/>
    <w:rsid w:val="001D66E5"/>
    <w:rsid w:val="001D727E"/>
    <w:rsid w:val="001E0220"/>
    <w:rsid w:val="001E045E"/>
    <w:rsid w:val="001E0749"/>
    <w:rsid w:val="001E09AD"/>
    <w:rsid w:val="001E1032"/>
    <w:rsid w:val="001E1188"/>
    <w:rsid w:val="001E1887"/>
    <w:rsid w:val="001E2004"/>
    <w:rsid w:val="001E369A"/>
    <w:rsid w:val="001E3B08"/>
    <w:rsid w:val="001E3D8E"/>
    <w:rsid w:val="001E4531"/>
    <w:rsid w:val="001E4E5D"/>
    <w:rsid w:val="001E5843"/>
    <w:rsid w:val="001E5DD9"/>
    <w:rsid w:val="001E65D1"/>
    <w:rsid w:val="001E6C6E"/>
    <w:rsid w:val="001E6F64"/>
    <w:rsid w:val="001E71E1"/>
    <w:rsid w:val="001E7695"/>
    <w:rsid w:val="001F0E0C"/>
    <w:rsid w:val="001F1291"/>
    <w:rsid w:val="001F1676"/>
    <w:rsid w:val="001F1854"/>
    <w:rsid w:val="001F19E5"/>
    <w:rsid w:val="001F1AF4"/>
    <w:rsid w:val="001F1D45"/>
    <w:rsid w:val="001F1F22"/>
    <w:rsid w:val="001F2814"/>
    <w:rsid w:val="001F40BF"/>
    <w:rsid w:val="001F427E"/>
    <w:rsid w:val="001F4FBD"/>
    <w:rsid w:val="001F5298"/>
    <w:rsid w:val="001F5529"/>
    <w:rsid w:val="001F6F74"/>
    <w:rsid w:val="001F713D"/>
    <w:rsid w:val="001F757C"/>
    <w:rsid w:val="001F780D"/>
    <w:rsid w:val="00200A8B"/>
    <w:rsid w:val="00200D45"/>
    <w:rsid w:val="00200D69"/>
    <w:rsid w:val="00200F4E"/>
    <w:rsid w:val="00201E18"/>
    <w:rsid w:val="00202C3A"/>
    <w:rsid w:val="00202EC5"/>
    <w:rsid w:val="002030E3"/>
    <w:rsid w:val="002032D8"/>
    <w:rsid w:val="0020390D"/>
    <w:rsid w:val="002048E0"/>
    <w:rsid w:val="00204944"/>
    <w:rsid w:val="0020512A"/>
    <w:rsid w:val="0020553A"/>
    <w:rsid w:val="00205CDA"/>
    <w:rsid w:val="00205E2A"/>
    <w:rsid w:val="002060F6"/>
    <w:rsid w:val="0020629B"/>
    <w:rsid w:val="002076DA"/>
    <w:rsid w:val="00207AC4"/>
    <w:rsid w:val="0021207E"/>
    <w:rsid w:val="00212432"/>
    <w:rsid w:val="002131D5"/>
    <w:rsid w:val="002148A7"/>
    <w:rsid w:val="0021562A"/>
    <w:rsid w:val="0021589A"/>
    <w:rsid w:val="00215A31"/>
    <w:rsid w:val="00215F4F"/>
    <w:rsid w:val="00216279"/>
    <w:rsid w:val="00216413"/>
    <w:rsid w:val="00216B0F"/>
    <w:rsid w:val="00217068"/>
    <w:rsid w:val="0021724D"/>
    <w:rsid w:val="00220E17"/>
    <w:rsid w:val="00220E88"/>
    <w:rsid w:val="0022151B"/>
    <w:rsid w:val="0022157D"/>
    <w:rsid w:val="00221B39"/>
    <w:rsid w:val="00221E8A"/>
    <w:rsid w:val="00222030"/>
    <w:rsid w:val="00222221"/>
    <w:rsid w:val="0022512A"/>
    <w:rsid w:val="002252F5"/>
    <w:rsid w:val="002254C5"/>
    <w:rsid w:val="00225B95"/>
    <w:rsid w:val="0022721B"/>
    <w:rsid w:val="00227D28"/>
    <w:rsid w:val="00227E8D"/>
    <w:rsid w:val="00230F3E"/>
    <w:rsid w:val="002316DB"/>
    <w:rsid w:val="0023225E"/>
    <w:rsid w:val="00232A30"/>
    <w:rsid w:val="00232BC5"/>
    <w:rsid w:val="00232D19"/>
    <w:rsid w:val="00233168"/>
    <w:rsid w:val="0023355D"/>
    <w:rsid w:val="002336AF"/>
    <w:rsid w:val="00233B6E"/>
    <w:rsid w:val="00234AD8"/>
    <w:rsid w:val="00234CE0"/>
    <w:rsid w:val="00234E28"/>
    <w:rsid w:val="00235642"/>
    <w:rsid w:val="00235676"/>
    <w:rsid w:val="00235889"/>
    <w:rsid w:val="00235ACC"/>
    <w:rsid w:val="00235BD2"/>
    <w:rsid w:val="00236537"/>
    <w:rsid w:val="002373DA"/>
    <w:rsid w:val="0023787C"/>
    <w:rsid w:val="002379DD"/>
    <w:rsid w:val="00237DCE"/>
    <w:rsid w:val="00240329"/>
    <w:rsid w:val="002419BD"/>
    <w:rsid w:val="00241A3D"/>
    <w:rsid w:val="002429C2"/>
    <w:rsid w:val="00242A93"/>
    <w:rsid w:val="00242FD8"/>
    <w:rsid w:val="002448E3"/>
    <w:rsid w:val="00244AC9"/>
    <w:rsid w:val="0024531A"/>
    <w:rsid w:val="00245CB5"/>
    <w:rsid w:val="002469D5"/>
    <w:rsid w:val="00246B21"/>
    <w:rsid w:val="002474D3"/>
    <w:rsid w:val="00250F82"/>
    <w:rsid w:val="00251110"/>
    <w:rsid w:val="0025183F"/>
    <w:rsid w:val="00251CF0"/>
    <w:rsid w:val="002532C4"/>
    <w:rsid w:val="002539B8"/>
    <w:rsid w:val="00253A2B"/>
    <w:rsid w:val="002546C6"/>
    <w:rsid w:val="002559BB"/>
    <w:rsid w:val="0025641F"/>
    <w:rsid w:val="00256420"/>
    <w:rsid w:val="00257C17"/>
    <w:rsid w:val="00257DCE"/>
    <w:rsid w:val="002605F1"/>
    <w:rsid w:val="002609C3"/>
    <w:rsid w:val="00260DBA"/>
    <w:rsid w:val="00261064"/>
    <w:rsid w:val="00261AA1"/>
    <w:rsid w:val="00261C3B"/>
    <w:rsid w:val="00261D6C"/>
    <w:rsid w:val="00262E25"/>
    <w:rsid w:val="00263684"/>
    <w:rsid w:val="0026407E"/>
    <w:rsid w:val="0026430E"/>
    <w:rsid w:val="002647DB"/>
    <w:rsid w:val="002649CE"/>
    <w:rsid w:val="00264B54"/>
    <w:rsid w:val="00264B79"/>
    <w:rsid w:val="00264C28"/>
    <w:rsid w:val="00264EB2"/>
    <w:rsid w:val="00265C9F"/>
    <w:rsid w:val="00265F5D"/>
    <w:rsid w:val="00267F49"/>
    <w:rsid w:val="0027002E"/>
    <w:rsid w:val="002702D4"/>
    <w:rsid w:val="00271275"/>
    <w:rsid w:val="002717C6"/>
    <w:rsid w:val="002718AF"/>
    <w:rsid w:val="00271B49"/>
    <w:rsid w:val="00271F45"/>
    <w:rsid w:val="00272AE5"/>
    <w:rsid w:val="002736D2"/>
    <w:rsid w:val="00273DE0"/>
    <w:rsid w:val="00273FA3"/>
    <w:rsid w:val="00275313"/>
    <w:rsid w:val="00275EAB"/>
    <w:rsid w:val="002763D9"/>
    <w:rsid w:val="00276A1A"/>
    <w:rsid w:val="00276BB2"/>
    <w:rsid w:val="00276F7E"/>
    <w:rsid w:val="0027714F"/>
    <w:rsid w:val="00277188"/>
    <w:rsid w:val="0027775C"/>
    <w:rsid w:val="002777AB"/>
    <w:rsid w:val="002777E4"/>
    <w:rsid w:val="002800F4"/>
    <w:rsid w:val="00280229"/>
    <w:rsid w:val="00280F8F"/>
    <w:rsid w:val="0028121B"/>
    <w:rsid w:val="0028137D"/>
    <w:rsid w:val="00281750"/>
    <w:rsid w:val="00281CB1"/>
    <w:rsid w:val="00282105"/>
    <w:rsid w:val="00282942"/>
    <w:rsid w:val="00282B19"/>
    <w:rsid w:val="0028380A"/>
    <w:rsid w:val="00283A14"/>
    <w:rsid w:val="00283B94"/>
    <w:rsid w:val="00283D4F"/>
    <w:rsid w:val="00283F25"/>
    <w:rsid w:val="00284E77"/>
    <w:rsid w:val="00285479"/>
    <w:rsid w:val="0028590E"/>
    <w:rsid w:val="0028666F"/>
    <w:rsid w:val="00287334"/>
    <w:rsid w:val="002876D1"/>
    <w:rsid w:val="002878DF"/>
    <w:rsid w:val="00287EDA"/>
    <w:rsid w:val="002908E0"/>
    <w:rsid w:val="00290BC0"/>
    <w:rsid w:val="00291E12"/>
    <w:rsid w:val="00292192"/>
    <w:rsid w:val="00293169"/>
    <w:rsid w:val="00293ABA"/>
    <w:rsid w:val="002942E8"/>
    <w:rsid w:val="0029535A"/>
    <w:rsid w:val="002955AE"/>
    <w:rsid w:val="00296CBD"/>
    <w:rsid w:val="002977A8"/>
    <w:rsid w:val="002A0435"/>
    <w:rsid w:val="002A0E6F"/>
    <w:rsid w:val="002A0F54"/>
    <w:rsid w:val="002A13AE"/>
    <w:rsid w:val="002A13D0"/>
    <w:rsid w:val="002A148B"/>
    <w:rsid w:val="002A1AAF"/>
    <w:rsid w:val="002A1F6D"/>
    <w:rsid w:val="002A29BD"/>
    <w:rsid w:val="002A2D5C"/>
    <w:rsid w:val="002A3AB4"/>
    <w:rsid w:val="002A3AE5"/>
    <w:rsid w:val="002A42A5"/>
    <w:rsid w:val="002A44CE"/>
    <w:rsid w:val="002A52B6"/>
    <w:rsid w:val="002A53B5"/>
    <w:rsid w:val="002A5CC8"/>
    <w:rsid w:val="002A6AA9"/>
    <w:rsid w:val="002A71B6"/>
    <w:rsid w:val="002A7288"/>
    <w:rsid w:val="002A749A"/>
    <w:rsid w:val="002B0053"/>
    <w:rsid w:val="002B04E5"/>
    <w:rsid w:val="002B105C"/>
    <w:rsid w:val="002B138E"/>
    <w:rsid w:val="002B1ED0"/>
    <w:rsid w:val="002B3037"/>
    <w:rsid w:val="002B380C"/>
    <w:rsid w:val="002B3FEF"/>
    <w:rsid w:val="002B41E3"/>
    <w:rsid w:val="002B4288"/>
    <w:rsid w:val="002B4691"/>
    <w:rsid w:val="002B4725"/>
    <w:rsid w:val="002B47CF"/>
    <w:rsid w:val="002B51E0"/>
    <w:rsid w:val="002B5A0B"/>
    <w:rsid w:val="002B5CCC"/>
    <w:rsid w:val="002B62BA"/>
    <w:rsid w:val="002B6325"/>
    <w:rsid w:val="002B67C8"/>
    <w:rsid w:val="002B6CFE"/>
    <w:rsid w:val="002B73FC"/>
    <w:rsid w:val="002B7582"/>
    <w:rsid w:val="002C07CC"/>
    <w:rsid w:val="002C1F9C"/>
    <w:rsid w:val="002C2105"/>
    <w:rsid w:val="002C2309"/>
    <w:rsid w:val="002C236A"/>
    <w:rsid w:val="002C3188"/>
    <w:rsid w:val="002C3B1E"/>
    <w:rsid w:val="002C3F6F"/>
    <w:rsid w:val="002C4651"/>
    <w:rsid w:val="002C4D07"/>
    <w:rsid w:val="002C5656"/>
    <w:rsid w:val="002C5D8A"/>
    <w:rsid w:val="002C6C39"/>
    <w:rsid w:val="002D0DA9"/>
    <w:rsid w:val="002D0E5B"/>
    <w:rsid w:val="002D0E82"/>
    <w:rsid w:val="002D0E9B"/>
    <w:rsid w:val="002D0F98"/>
    <w:rsid w:val="002D1955"/>
    <w:rsid w:val="002D19A5"/>
    <w:rsid w:val="002D1DA2"/>
    <w:rsid w:val="002D1E6A"/>
    <w:rsid w:val="002D2502"/>
    <w:rsid w:val="002D27C3"/>
    <w:rsid w:val="002D3B81"/>
    <w:rsid w:val="002D3F93"/>
    <w:rsid w:val="002D5684"/>
    <w:rsid w:val="002D6449"/>
    <w:rsid w:val="002D74A4"/>
    <w:rsid w:val="002D7BDC"/>
    <w:rsid w:val="002D7E69"/>
    <w:rsid w:val="002E0834"/>
    <w:rsid w:val="002E1EA7"/>
    <w:rsid w:val="002E301D"/>
    <w:rsid w:val="002E3695"/>
    <w:rsid w:val="002E4847"/>
    <w:rsid w:val="002E54A6"/>
    <w:rsid w:val="002E5745"/>
    <w:rsid w:val="002E69F7"/>
    <w:rsid w:val="002E6E46"/>
    <w:rsid w:val="002E769F"/>
    <w:rsid w:val="002E7880"/>
    <w:rsid w:val="002E7A5B"/>
    <w:rsid w:val="002F0328"/>
    <w:rsid w:val="002F0EA1"/>
    <w:rsid w:val="002F0F6A"/>
    <w:rsid w:val="002F1264"/>
    <w:rsid w:val="002F130A"/>
    <w:rsid w:val="002F1863"/>
    <w:rsid w:val="002F1F02"/>
    <w:rsid w:val="002F2461"/>
    <w:rsid w:val="002F246F"/>
    <w:rsid w:val="002F2B90"/>
    <w:rsid w:val="002F2E86"/>
    <w:rsid w:val="002F43F5"/>
    <w:rsid w:val="002F4573"/>
    <w:rsid w:val="002F4903"/>
    <w:rsid w:val="002F49F8"/>
    <w:rsid w:val="002F53AB"/>
    <w:rsid w:val="002F53EB"/>
    <w:rsid w:val="002F6CD0"/>
    <w:rsid w:val="002F6FD8"/>
    <w:rsid w:val="002F709D"/>
    <w:rsid w:val="003001A8"/>
    <w:rsid w:val="0030102F"/>
    <w:rsid w:val="003011B9"/>
    <w:rsid w:val="00301381"/>
    <w:rsid w:val="00301791"/>
    <w:rsid w:val="003025EC"/>
    <w:rsid w:val="00302BED"/>
    <w:rsid w:val="0030312A"/>
    <w:rsid w:val="00303655"/>
    <w:rsid w:val="00303703"/>
    <w:rsid w:val="00304D70"/>
    <w:rsid w:val="00304D85"/>
    <w:rsid w:val="00304DF3"/>
    <w:rsid w:val="00305B0D"/>
    <w:rsid w:val="00305B3F"/>
    <w:rsid w:val="00305FAA"/>
    <w:rsid w:val="003061D0"/>
    <w:rsid w:val="00306649"/>
    <w:rsid w:val="003067EC"/>
    <w:rsid w:val="00306D21"/>
    <w:rsid w:val="00307247"/>
    <w:rsid w:val="003074CA"/>
    <w:rsid w:val="003103CC"/>
    <w:rsid w:val="00310B11"/>
    <w:rsid w:val="00312F5D"/>
    <w:rsid w:val="00313C22"/>
    <w:rsid w:val="00314512"/>
    <w:rsid w:val="00314F8D"/>
    <w:rsid w:val="00315B54"/>
    <w:rsid w:val="00315B92"/>
    <w:rsid w:val="00315D0F"/>
    <w:rsid w:val="003161E4"/>
    <w:rsid w:val="00316DD4"/>
    <w:rsid w:val="00317440"/>
    <w:rsid w:val="00317619"/>
    <w:rsid w:val="00317EA7"/>
    <w:rsid w:val="00320176"/>
    <w:rsid w:val="00320214"/>
    <w:rsid w:val="0032056A"/>
    <w:rsid w:val="0032078F"/>
    <w:rsid w:val="0032092C"/>
    <w:rsid w:val="003211D1"/>
    <w:rsid w:val="0032174A"/>
    <w:rsid w:val="00322252"/>
    <w:rsid w:val="0032242C"/>
    <w:rsid w:val="00323758"/>
    <w:rsid w:val="00323DDF"/>
    <w:rsid w:val="003246D6"/>
    <w:rsid w:val="003252DF"/>
    <w:rsid w:val="003262DC"/>
    <w:rsid w:val="00326CFB"/>
    <w:rsid w:val="00327283"/>
    <w:rsid w:val="00327893"/>
    <w:rsid w:val="00327B61"/>
    <w:rsid w:val="0033093B"/>
    <w:rsid w:val="00330A6F"/>
    <w:rsid w:val="00330E56"/>
    <w:rsid w:val="00331607"/>
    <w:rsid w:val="00331C9F"/>
    <w:rsid w:val="00332CBE"/>
    <w:rsid w:val="00333409"/>
    <w:rsid w:val="00333CE6"/>
    <w:rsid w:val="003340F6"/>
    <w:rsid w:val="003353B0"/>
    <w:rsid w:val="003354A2"/>
    <w:rsid w:val="00335BFD"/>
    <w:rsid w:val="00336B3B"/>
    <w:rsid w:val="003375E2"/>
    <w:rsid w:val="00340679"/>
    <w:rsid w:val="00340A4E"/>
    <w:rsid w:val="003417D7"/>
    <w:rsid w:val="00341A91"/>
    <w:rsid w:val="00342E49"/>
    <w:rsid w:val="0034317C"/>
    <w:rsid w:val="003437FB"/>
    <w:rsid w:val="00343F11"/>
    <w:rsid w:val="00343FA8"/>
    <w:rsid w:val="00344BE6"/>
    <w:rsid w:val="003454FF"/>
    <w:rsid w:val="00345EFE"/>
    <w:rsid w:val="003461ED"/>
    <w:rsid w:val="0034689C"/>
    <w:rsid w:val="00347E8F"/>
    <w:rsid w:val="00350291"/>
    <w:rsid w:val="00350F79"/>
    <w:rsid w:val="003518C4"/>
    <w:rsid w:val="00352789"/>
    <w:rsid w:val="00352B6D"/>
    <w:rsid w:val="00352B7B"/>
    <w:rsid w:val="00353704"/>
    <w:rsid w:val="00354770"/>
    <w:rsid w:val="00354DD7"/>
    <w:rsid w:val="00354E7A"/>
    <w:rsid w:val="003559EF"/>
    <w:rsid w:val="003564AB"/>
    <w:rsid w:val="00356C67"/>
    <w:rsid w:val="0036002F"/>
    <w:rsid w:val="00361861"/>
    <w:rsid w:val="00361B6D"/>
    <w:rsid w:val="00361D48"/>
    <w:rsid w:val="00362360"/>
    <w:rsid w:val="003626D7"/>
    <w:rsid w:val="003634F1"/>
    <w:rsid w:val="00363838"/>
    <w:rsid w:val="00364114"/>
    <w:rsid w:val="00365228"/>
    <w:rsid w:val="00365B1F"/>
    <w:rsid w:val="00365D97"/>
    <w:rsid w:val="0036680A"/>
    <w:rsid w:val="00366BB6"/>
    <w:rsid w:val="00367135"/>
    <w:rsid w:val="003671A9"/>
    <w:rsid w:val="003672A9"/>
    <w:rsid w:val="003674DF"/>
    <w:rsid w:val="0037060C"/>
    <w:rsid w:val="00370E22"/>
    <w:rsid w:val="003717A2"/>
    <w:rsid w:val="0037203A"/>
    <w:rsid w:val="00372252"/>
    <w:rsid w:val="003727EA"/>
    <w:rsid w:val="00372FCA"/>
    <w:rsid w:val="00373752"/>
    <w:rsid w:val="003744D6"/>
    <w:rsid w:val="0037464C"/>
    <w:rsid w:val="003749B4"/>
    <w:rsid w:val="00375354"/>
    <w:rsid w:val="00376043"/>
    <w:rsid w:val="00376176"/>
    <w:rsid w:val="0037624E"/>
    <w:rsid w:val="00376335"/>
    <w:rsid w:val="00376B39"/>
    <w:rsid w:val="00376C6B"/>
    <w:rsid w:val="00376DB7"/>
    <w:rsid w:val="0037766C"/>
    <w:rsid w:val="003778F8"/>
    <w:rsid w:val="00377D36"/>
    <w:rsid w:val="003803AF"/>
    <w:rsid w:val="00380485"/>
    <w:rsid w:val="00380764"/>
    <w:rsid w:val="00380B99"/>
    <w:rsid w:val="00380D85"/>
    <w:rsid w:val="00381220"/>
    <w:rsid w:val="00381C6B"/>
    <w:rsid w:val="00381D2E"/>
    <w:rsid w:val="00382F22"/>
    <w:rsid w:val="003837ED"/>
    <w:rsid w:val="00383822"/>
    <w:rsid w:val="00383D1A"/>
    <w:rsid w:val="00383F44"/>
    <w:rsid w:val="0038459D"/>
    <w:rsid w:val="0038476B"/>
    <w:rsid w:val="0038497E"/>
    <w:rsid w:val="00384AC7"/>
    <w:rsid w:val="00384E7C"/>
    <w:rsid w:val="0038506C"/>
    <w:rsid w:val="003853B3"/>
    <w:rsid w:val="0038541D"/>
    <w:rsid w:val="00386461"/>
    <w:rsid w:val="00386D4F"/>
    <w:rsid w:val="0038703C"/>
    <w:rsid w:val="003873C1"/>
    <w:rsid w:val="00387DF5"/>
    <w:rsid w:val="00390670"/>
    <w:rsid w:val="00390C99"/>
    <w:rsid w:val="00391884"/>
    <w:rsid w:val="00391CAD"/>
    <w:rsid w:val="00391CCD"/>
    <w:rsid w:val="003924DF"/>
    <w:rsid w:val="003931B1"/>
    <w:rsid w:val="00393A7C"/>
    <w:rsid w:val="00393F08"/>
    <w:rsid w:val="00394C71"/>
    <w:rsid w:val="003962AF"/>
    <w:rsid w:val="003973FE"/>
    <w:rsid w:val="0039750D"/>
    <w:rsid w:val="003976EE"/>
    <w:rsid w:val="003A010F"/>
    <w:rsid w:val="003A01EC"/>
    <w:rsid w:val="003A0615"/>
    <w:rsid w:val="003A16EC"/>
    <w:rsid w:val="003A1DBA"/>
    <w:rsid w:val="003A27C2"/>
    <w:rsid w:val="003A2B4D"/>
    <w:rsid w:val="003A2B81"/>
    <w:rsid w:val="003A2F73"/>
    <w:rsid w:val="003A32F5"/>
    <w:rsid w:val="003A3702"/>
    <w:rsid w:val="003A389C"/>
    <w:rsid w:val="003A39BF"/>
    <w:rsid w:val="003A3D50"/>
    <w:rsid w:val="003A4023"/>
    <w:rsid w:val="003A4123"/>
    <w:rsid w:val="003A44AF"/>
    <w:rsid w:val="003A6272"/>
    <w:rsid w:val="003A75B8"/>
    <w:rsid w:val="003A7A20"/>
    <w:rsid w:val="003B084D"/>
    <w:rsid w:val="003B14B1"/>
    <w:rsid w:val="003B1855"/>
    <w:rsid w:val="003B1AD3"/>
    <w:rsid w:val="003B1CD1"/>
    <w:rsid w:val="003B30E9"/>
    <w:rsid w:val="003B34E8"/>
    <w:rsid w:val="003B3725"/>
    <w:rsid w:val="003B3B67"/>
    <w:rsid w:val="003B3EE7"/>
    <w:rsid w:val="003B56CD"/>
    <w:rsid w:val="003B72A9"/>
    <w:rsid w:val="003B7537"/>
    <w:rsid w:val="003B775A"/>
    <w:rsid w:val="003B7BC7"/>
    <w:rsid w:val="003B7D95"/>
    <w:rsid w:val="003B7DF0"/>
    <w:rsid w:val="003C04C8"/>
    <w:rsid w:val="003C0C11"/>
    <w:rsid w:val="003C113A"/>
    <w:rsid w:val="003C1790"/>
    <w:rsid w:val="003C18F8"/>
    <w:rsid w:val="003C3089"/>
    <w:rsid w:val="003C3095"/>
    <w:rsid w:val="003C32E8"/>
    <w:rsid w:val="003C3A44"/>
    <w:rsid w:val="003C3AC5"/>
    <w:rsid w:val="003C445C"/>
    <w:rsid w:val="003C6B80"/>
    <w:rsid w:val="003C72B6"/>
    <w:rsid w:val="003C7842"/>
    <w:rsid w:val="003D01C2"/>
    <w:rsid w:val="003D02C3"/>
    <w:rsid w:val="003D07EA"/>
    <w:rsid w:val="003D0AA1"/>
    <w:rsid w:val="003D1C97"/>
    <w:rsid w:val="003D253F"/>
    <w:rsid w:val="003D350B"/>
    <w:rsid w:val="003D3628"/>
    <w:rsid w:val="003D3C19"/>
    <w:rsid w:val="003D3EE0"/>
    <w:rsid w:val="003D4DA4"/>
    <w:rsid w:val="003D50A2"/>
    <w:rsid w:val="003D5B54"/>
    <w:rsid w:val="003D737A"/>
    <w:rsid w:val="003D7B11"/>
    <w:rsid w:val="003D7FBB"/>
    <w:rsid w:val="003E07A8"/>
    <w:rsid w:val="003E1C74"/>
    <w:rsid w:val="003E235F"/>
    <w:rsid w:val="003E265F"/>
    <w:rsid w:val="003E2A56"/>
    <w:rsid w:val="003E3819"/>
    <w:rsid w:val="003E4C16"/>
    <w:rsid w:val="003E4FE2"/>
    <w:rsid w:val="003E548F"/>
    <w:rsid w:val="003E5688"/>
    <w:rsid w:val="003E6371"/>
    <w:rsid w:val="003E72AC"/>
    <w:rsid w:val="003F04A3"/>
    <w:rsid w:val="003F0A4A"/>
    <w:rsid w:val="003F0AA8"/>
    <w:rsid w:val="003F1157"/>
    <w:rsid w:val="003F121E"/>
    <w:rsid w:val="003F1391"/>
    <w:rsid w:val="003F13B3"/>
    <w:rsid w:val="003F1DCD"/>
    <w:rsid w:val="003F1DED"/>
    <w:rsid w:val="003F27BE"/>
    <w:rsid w:val="003F2F09"/>
    <w:rsid w:val="003F45CB"/>
    <w:rsid w:val="003F4D5E"/>
    <w:rsid w:val="003F4E0E"/>
    <w:rsid w:val="003F5E55"/>
    <w:rsid w:val="003F690B"/>
    <w:rsid w:val="003F6A05"/>
    <w:rsid w:val="003F6DAE"/>
    <w:rsid w:val="003F7A62"/>
    <w:rsid w:val="003F7C33"/>
    <w:rsid w:val="003F7F06"/>
    <w:rsid w:val="004003E3"/>
    <w:rsid w:val="00400B08"/>
    <w:rsid w:val="00400D0C"/>
    <w:rsid w:val="00401258"/>
    <w:rsid w:val="0040134C"/>
    <w:rsid w:val="0040149B"/>
    <w:rsid w:val="00401709"/>
    <w:rsid w:val="00401DCC"/>
    <w:rsid w:val="00402200"/>
    <w:rsid w:val="00402822"/>
    <w:rsid w:val="004029EF"/>
    <w:rsid w:val="00403615"/>
    <w:rsid w:val="00403E19"/>
    <w:rsid w:val="00404907"/>
    <w:rsid w:val="00404AAC"/>
    <w:rsid w:val="00404BB3"/>
    <w:rsid w:val="00404F17"/>
    <w:rsid w:val="00405024"/>
    <w:rsid w:val="00405ECA"/>
    <w:rsid w:val="00406269"/>
    <w:rsid w:val="00406E91"/>
    <w:rsid w:val="0040740A"/>
    <w:rsid w:val="004074CC"/>
    <w:rsid w:val="00407C54"/>
    <w:rsid w:val="00407F12"/>
    <w:rsid w:val="00407FA0"/>
    <w:rsid w:val="00411559"/>
    <w:rsid w:val="00411AEF"/>
    <w:rsid w:val="00411DE0"/>
    <w:rsid w:val="00412BBC"/>
    <w:rsid w:val="00412E92"/>
    <w:rsid w:val="00413AD4"/>
    <w:rsid w:val="00413E36"/>
    <w:rsid w:val="00413FCA"/>
    <w:rsid w:val="004140EB"/>
    <w:rsid w:val="0041467F"/>
    <w:rsid w:val="00414EA1"/>
    <w:rsid w:val="00415084"/>
    <w:rsid w:val="00415F96"/>
    <w:rsid w:val="004212E5"/>
    <w:rsid w:val="00421BC7"/>
    <w:rsid w:val="00422679"/>
    <w:rsid w:val="00422C2C"/>
    <w:rsid w:val="00422C6D"/>
    <w:rsid w:val="00423526"/>
    <w:rsid w:val="00423A03"/>
    <w:rsid w:val="004246BE"/>
    <w:rsid w:val="00424ED5"/>
    <w:rsid w:val="00425574"/>
    <w:rsid w:val="0042580F"/>
    <w:rsid w:val="00425F7B"/>
    <w:rsid w:val="00426209"/>
    <w:rsid w:val="0042679D"/>
    <w:rsid w:val="004267E5"/>
    <w:rsid w:val="00427636"/>
    <w:rsid w:val="00427638"/>
    <w:rsid w:val="00431710"/>
    <w:rsid w:val="0043174D"/>
    <w:rsid w:val="004317BA"/>
    <w:rsid w:val="00431979"/>
    <w:rsid w:val="00431C32"/>
    <w:rsid w:val="00433B59"/>
    <w:rsid w:val="00433DA8"/>
    <w:rsid w:val="0043423E"/>
    <w:rsid w:val="00434748"/>
    <w:rsid w:val="004349A6"/>
    <w:rsid w:val="00436024"/>
    <w:rsid w:val="0043632F"/>
    <w:rsid w:val="004366C4"/>
    <w:rsid w:val="00436F2D"/>
    <w:rsid w:val="0043790A"/>
    <w:rsid w:val="00440587"/>
    <w:rsid w:val="0044268B"/>
    <w:rsid w:val="00442DD5"/>
    <w:rsid w:val="00442DE7"/>
    <w:rsid w:val="00443A83"/>
    <w:rsid w:val="004442D4"/>
    <w:rsid w:val="0044446E"/>
    <w:rsid w:val="00445378"/>
    <w:rsid w:val="00445623"/>
    <w:rsid w:val="0044566F"/>
    <w:rsid w:val="00445F4B"/>
    <w:rsid w:val="00446260"/>
    <w:rsid w:val="00446502"/>
    <w:rsid w:val="004469D9"/>
    <w:rsid w:val="00447375"/>
    <w:rsid w:val="00447DFF"/>
    <w:rsid w:val="00447E72"/>
    <w:rsid w:val="00450879"/>
    <w:rsid w:val="00451E74"/>
    <w:rsid w:val="004521BC"/>
    <w:rsid w:val="004532BF"/>
    <w:rsid w:val="0045386B"/>
    <w:rsid w:val="004538B7"/>
    <w:rsid w:val="004543B6"/>
    <w:rsid w:val="00454763"/>
    <w:rsid w:val="00454949"/>
    <w:rsid w:val="00454CF9"/>
    <w:rsid w:val="00454F67"/>
    <w:rsid w:val="00455A0C"/>
    <w:rsid w:val="00455F8C"/>
    <w:rsid w:val="00455FC7"/>
    <w:rsid w:val="00456CF7"/>
    <w:rsid w:val="00456D07"/>
    <w:rsid w:val="00456DAC"/>
    <w:rsid w:val="00460276"/>
    <w:rsid w:val="004604BD"/>
    <w:rsid w:val="004607CF"/>
    <w:rsid w:val="0046160C"/>
    <w:rsid w:val="0046179B"/>
    <w:rsid w:val="00461D6E"/>
    <w:rsid w:val="004624F5"/>
    <w:rsid w:val="00463A44"/>
    <w:rsid w:val="00464895"/>
    <w:rsid w:val="00465EAC"/>
    <w:rsid w:val="004663B4"/>
    <w:rsid w:val="0046679D"/>
    <w:rsid w:val="0046694B"/>
    <w:rsid w:val="00470AB7"/>
    <w:rsid w:val="00471492"/>
    <w:rsid w:val="00471709"/>
    <w:rsid w:val="0047210D"/>
    <w:rsid w:val="004724D0"/>
    <w:rsid w:val="004728BF"/>
    <w:rsid w:val="00472B12"/>
    <w:rsid w:val="00474178"/>
    <w:rsid w:val="0047450A"/>
    <w:rsid w:val="0047488D"/>
    <w:rsid w:val="004749F0"/>
    <w:rsid w:val="00475735"/>
    <w:rsid w:val="00475A1E"/>
    <w:rsid w:val="00475A83"/>
    <w:rsid w:val="00476E92"/>
    <w:rsid w:val="0048029B"/>
    <w:rsid w:val="0048108A"/>
    <w:rsid w:val="00481286"/>
    <w:rsid w:val="004819C7"/>
    <w:rsid w:val="00481F5B"/>
    <w:rsid w:val="00482038"/>
    <w:rsid w:val="0048234D"/>
    <w:rsid w:val="004827DA"/>
    <w:rsid w:val="00484220"/>
    <w:rsid w:val="0048436D"/>
    <w:rsid w:val="00484664"/>
    <w:rsid w:val="0048491A"/>
    <w:rsid w:val="004851A3"/>
    <w:rsid w:val="0048577B"/>
    <w:rsid w:val="00485C8F"/>
    <w:rsid w:val="00485EE9"/>
    <w:rsid w:val="00485F20"/>
    <w:rsid w:val="004866EA"/>
    <w:rsid w:val="00486ECB"/>
    <w:rsid w:val="004875C9"/>
    <w:rsid w:val="00490774"/>
    <w:rsid w:val="00490C8D"/>
    <w:rsid w:val="0049106A"/>
    <w:rsid w:val="0049106F"/>
    <w:rsid w:val="0049111F"/>
    <w:rsid w:val="004913A2"/>
    <w:rsid w:val="004914CD"/>
    <w:rsid w:val="004919A1"/>
    <w:rsid w:val="00491B46"/>
    <w:rsid w:val="00491C66"/>
    <w:rsid w:val="00491F14"/>
    <w:rsid w:val="00492EF0"/>
    <w:rsid w:val="00493150"/>
    <w:rsid w:val="004931B1"/>
    <w:rsid w:val="00494CCE"/>
    <w:rsid w:val="00495E02"/>
    <w:rsid w:val="00496E84"/>
    <w:rsid w:val="004974E2"/>
    <w:rsid w:val="004975F9"/>
    <w:rsid w:val="0049773E"/>
    <w:rsid w:val="004A0C51"/>
    <w:rsid w:val="004A1D0B"/>
    <w:rsid w:val="004A2D55"/>
    <w:rsid w:val="004A2F06"/>
    <w:rsid w:val="004A3102"/>
    <w:rsid w:val="004A4BED"/>
    <w:rsid w:val="004A5273"/>
    <w:rsid w:val="004A5A78"/>
    <w:rsid w:val="004A5D2C"/>
    <w:rsid w:val="004A61F0"/>
    <w:rsid w:val="004A63B3"/>
    <w:rsid w:val="004A6955"/>
    <w:rsid w:val="004A6C1E"/>
    <w:rsid w:val="004A6FE2"/>
    <w:rsid w:val="004A7BC8"/>
    <w:rsid w:val="004A7C41"/>
    <w:rsid w:val="004A7F41"/>
    <w:rsid w:val="004B09BA"/>
    <w:rsid w:val="004B1B4E"/>
    <w:rsid w:val="004B2CE3"/>
    <w:rsid w:val="004B2D37"/>
    <w:rsid w:val="004B3142"/>
    <w:rsid w:val="004B3AA0"/>
    <w:rsid w:val="004B3C8E"/>
    <w:rsid w:val="004B42A9"/>
    <w:rsid w:val="004B453B"/>
    <w:rsid w:val="004B4737"/>
    <w:rsid w:val="004B4AC0"/>
    <w:rsid w:val="004B50EE"/>
    <w:rsid w:val="004B5B18"/>
    <w:rsid w:val="004B62DE"/>
    <w:rsid w:val="004B652C"/>
    <w:rsid w:val="004B6CCC"/>
    <w:rsid w:val="004B79FF"/>
    <w:rsid w:val="004B7B40"/>
    <w:rsid w:val="004B7BB5"/>
    <w:rsid w:val="004C0329"/>
    <w:rsid w:val="004C0429"/>
    <w:rsid w:val="004C0A0E"/>
    <w:rsid w:val="004C1361"/>
    <w:rsid w:val="004C136E"/>
    <w:rsid w:val="004C21E0"/>
    <w:rsid w:val="004C2E12"/>
    <w:rsid w:val="004C3172"/>
    <w:rsid w:val="004C368F"/>
    <w:rsid w:val="004C3E14"/>
    <w:rsid w:val="004C4021"/>
    <w:rsid w:val="004C47F4"/>
    <w:rsid w:val="004C5682"/>
    <w:rsid w:val="004C57C5"/>
    <w:rsid w:val="004C598C"/>
    <w:rsid w:val="004C59E4"/>
    <w:rsid w:val="004C5FD4"/>
    <w:rsid w:val="004C60BF"/>
    <w:rsid w:val="004C68B9"/>
    <w:rsid w:val="004C6B0A"/>
    <w:rsid w:val="004C6FB7"/>
    <w:rsid w:val="004C74C4"/>
    <w:rsid w:val="004C7D74"/>
    <w:rsid w:val="004C7D7E"/>
    <w:rsid w:val="004D0662"/>
    <w:rsid w:val="004D0BCA"/>
    <w:rsid w:val="004D17E3"/>
    <w:rsid w:val="004D25F0"/>
    <w:rsid w:val="004D29EC"/>
    <w:rsid w:val="004D31CD"/>
    <w:rsid w:val="004D3E88"/>
    <w:rsid w:val="004D5889"/>
    <w:rsid w:val="004D5C14"/>
    <w:rsid w:val="004D5C37"/>
    <w:rsid w:val="004D5C4D"/>
    <w:rsid w:val="004D6092"/>
    <w:rsid w:val="004D6719"/>
    <w:rsid w:val="004D74F4"/>
    <w:rsid w:val="004E01B4"/>
    <w:rsid w:val="004E033F"/>
    <w:rsid w:val="004E0609"/>
    <w:rsid w:val="004E0877"/>
    <w:rsid w:val="004E1E3C"/>
    <w:rsid w:val="004E22F0"/>
    <w:rsid w:val="004E234F"/>
    <w:rsid w:val="004E2FAA"/>
    <w:rsid w:val="004E30B7"/>
    <w:rsid w:val="004E33AE"/>
    <w:rsid w:val="004E3416"/>
    <w:rsid w:val="004E3735"/>
    <w:rsid w:val="004E38DF"/>
    <w:rsid w:val="004E3C1C"/>
    <w:rsid w:val="004E419C"/>
    <w:rsid w:val="004E4EEF"/>
    <w:rsid w:val="004E5C77"/>
    <w:rsid w:val="004E5EA1"/>
    <w:rsid w:val="004E60C7"/>
    <w:rsid w:val="004E6529"/>
    <w:rsid w:val="004E65D7"/>
    <w:rsid w:val="004E7333"/>
    <w:rsid w:val="004E7890"/>
    <w:rsid w:val="004E7E58"/>
    <w:rsid w:val="004F00C6"/>
    <w:rsid w:val="004F046B"/>
    <w:rsid w:val="004F0A61"/>
    <w:rsid w:val="004F216F"/>
    <w:rsid w:val="004F2298"/>
    <w:rsid w:val="004F5A32"/>
    <w:rsid w:val="004F63E6"/>
    <w:rsid w:val="004F6973"/>
    <w:rsid w:val="004F7343"/>
    <w:rsid w:val="00500031"/>
    <w:rsid w:val="005006F0"/>
    <w:rsid w:val="00500AE9"/>
    <w:rsid w:val="00500DEF"/>
    <w:rsid w:val="00501DCA"/>
    <w:rsid w:val="005024A1"/>
    <w:rsid w:val="00502E1D"/>
    <w:rsid w:val="00504671"/>
    <w:rsid w:val="00504B3B"/>
    <w:rsid w:val="00506104"/>
    <w:rsid w:val="0050674E"/>
    <w:rsid w:val="005074A8"/>
    <w:rsid w:val="00507959"/>
    <w:rsid w:val="00507F9A"/>
    <w:rsid w:val="00510330"/>
    <w:rsid w:val="005112FE"/>
    <w:rsid w:val="00511544"/>
    <w:rsid w:val="00511E6D"/>
    <w:rsid w:val="00512324"/>
    <w:rsid w:val="0051283A"/>
    <w:rsid w:val="00512A86"/>
    <w:rsid w:val="00512F89"/>
    <w:rsid w:val="005136D2"/>
    <w:rsid w:val="00513F06"/>
    <w:rsid w:val="0051452C"/>
    <w:rsid w:val="0051594B"/>
    <w:rsid w:val="00516A41"/>
    <w:rsid w:val="00516C5F"/>
    <w:rsid w:val="005170F1"/>
    <w:rsid w:val="00517ACD"/>
    <w:rsid w:val="00517B71"/>
    <w:rsid w:val="0052033F"/>
    <w:rsid w:val="005203C3"/>
    <w:rsid w:val="00521F40"/>
    <w:rsid w:val="00522129"/>
    <w:rsid w:val="005224A8"/>
    <w:rsid w:val="0052254C"/>
    <w:rsid w:val="00523BAB"/>
    <w:rsid w:val="00523CA7"/>
    <w:rsid w:val="00524104"/>
    <w:rsid w:val="005255B5"/>
    <w:rsid w:val="00525870"/>
    <w:rsid w:val="005259FC"/>
    <w:rsid w:val="005266BA"/>
    <w:rsid w:val="0052677F"/>
    <w:rsid w:val="00527A41"/>
    <w:rsid w:val="00527E39"/>
    <w:rsid w:val="00530B60"/>
    <w:rsid w:val="00530FDC"/>
    <w:rsid w:val="005318FF"/>
    <w:rsid w:val="00532E27"/>
    <w:rsid w:val="00533CF1"/>
    <w:rsid w:val="00534A5C"/>
    <w:rsid w:val="00534C75"/>
    <w:rsid w:val="005356FB"/>
    <w:rsid w:val="005357F7"/>
    <w:rsid w:val="00535CA1"/>
    <w:rsid w:val="00535F31"/>
    <w:rsid w:val="00536411"/>
    <w:rsid w:val="00540133"/>
    <w:rsid w:val="00541BB4"/>
    <w:rsid w:val="005426EE"/>
    <w:rsid w:val="00542AED"/>
    <w:rsid w:val="00542D7F"/>
    <w:rsid w:val="00543087"/>
    <w:rsid w:val="00543B14"/>
    <w:rsid w:val="00544019"/>
    <w:rsid w:val="00544B34"/>
    <w:rsid w:val="00544DCD"/>
    <w:rsid w:val="00545066"/>
    <w:rsid w:val="005465A0"/>
    <w:rsid w:val="0054718C"/>
    <w:rsid w:val="005501EB"/>
    <w:rsid w:val="00550D0A"/>
    <w:rsid w:val="00550FB0"/>
    <w:rsid w:val="00551D2D"/>
    <w:rsid w:val="00551DF1"/>
    <w:rsid w:val="00552DCE"/>
    <w:rsid w:val="00552EDE"/>
    <w:rsid w:val="00554049"/>
    <w:rsid w:val="00554866"/>
    <w:rsid w:val="00554B20"/>
    <w:rsid w:val="0055582C"/>
    <w:rsid w:val="00556A9F"/>
    <w:rsid w:val="00556C2B"/>
    <w:rsid w:val="00556DB6"/>
    <w:rsid w:val="005570B2"/>
    <w:rsid w:val="00557C18"/>
    <w:rsid w:val="00557E0C"/>
    <w:rsid w:val="00560CD2"/>
    <w:rsid w:val="00560DC3"/>
    <w:rsid w:val="00560FDE"/>
    <w:rsid w:val="00561A61"/>
    <w:rsid w:val="00561C9D"/>
    <w:rsid w:val="0056271E"/>
    <w:rsid w:val="00562F2F"/>
    <w:rsid w:val="00562FC8"/>
    <w:rsid w:val="005632F1"/>
    <w:rsid w:val="00564F35"/>
    <w:rsid w:val="00565014"/>
    <w:rsid w:val="00565BDF"/>
    <w:rsid w:val="005664EC"/>
    <w:rsid w:val="00566E0D"/>
    <w:rsid w:val="00567076"/>
    <w:rsid w:val="00567A97"/>
    <w:rsid w:val="005701AC"/>
    <w:rsid w:val="00570F02"/>
    <w:rsid w:val="005715BA"/>
    <w:rsid w:val="005716C1"/>
    <w:rsid w:val="005719DE"/>
    <w:rsid w:val="00571B16"/>
    <w:rsid w:val="005723A3"/>
    <w:rsid w:val="005739C4"/>
    <w:rsid w:val="00573D43"/>
    <w:rsid w:val="0057436C"/>
    <w:rsid w:val="0057450B"/>
    <w:rsid w:val="0057486F"/>
    <w:rsid w:val="005752D0"/>
    <w:rsid w:val="005756C7"/>
    <w:rsid w:val="00576DED"/>
    <w:rsid w:val="00577FF4"/>
    <w:rsid w:val="005807D9"/>
    <w:rsid w:val="005813CC"/>
    <w:rsid w:val="00582273"/>
    <w:rsid w:val="0058279E"/>
    <w:rsid w:val="00582D43"/>
    <w:rsid w:val="00583158"/>
    <w:rsid w:val="005846C7"/>
    <w:rsid w:val="00584A25"/>
    <w:rsid w:val="0058581A"/>
    <w:rsid w:val="00585A7F"/>
    <w:rsid w:val="00585B42"/>
    <w:rsid w:val="005902A3"/>
    <w:rsid w:val="005902E8"/>
    <w:rsid w:val="00591124"/>
    <w:rsid w:val="005913B3"/>
    <w:rsid w:val="00592F0B"/>
    <w:rsid w:val="00593068"/>
    <w:rsid w:val="005930A0"/>
    <w:rsid w:val="00593157"/>
    <w:rsid w:val="00594D11"/>
    <w:rsid w:val="005956C8"/>
    <w:rsid w:val="00595A93"/>
    <w:rsid w:val="005961B7"/>
    <w:rsid w:val="00596609"/>
    <w:rsid w:val="00596707"/>
    <w:rsid w:val="00596857"/>
    <w:rsid w:val="0059765C"/>
    <w:rsid w:val="005A0114"/>
    <w:rsid w:val="005A03A7"/>
    <w:rsid w:val="005A18FD"/>
    <w:rsid w:val="005A1C4B"/>
    <w:rsid w:val="005A20C8"/>
    <w:rsid w:val="005A2136"/>
    <w:rsid w:val="005A323A"/>
    <w:rsid w:val="005A3AB3"/>
    <w:rsid w:val="005A3C7F"/>
    <w:rsid w:val="005A3E7B"/>
    <w:rsid w:val="005A3E8C"/>
    <w:rsid w:val="005A4891"/>
    <w:rsid w:val="005A5087"/>
    <w:rsid w:val="005A542C"/>
    <w:rsid w:val="005A60BF"/>
    <w:rsid w:val="005A64B0"/>
    <w:rsid w:val="005A6864"/>
    <w:rsid w:val="005A6B63"/>
    <w:rsid w:val="005A6BAC"/>
    <w:rsid w:val="005A6D32"/>
    <w:rsid w:val="005A6E68"/>
    <w:rsid w:val="005A744A"/>
    <w:rsid w:val="005A7716"/>
    <w:rsid w:val="005A7871"/>
    <w:rsid w:val="005B01FF"/>
    <w:rsid w:val="005B0348"/>
    <w:rsid w:val="005B0B73"/>
    <w:rsid w:val="005B1E71"/>
    <w:rsid w:val="005B2245"/>
    <w:rsid w:val="005B2B6C"/>
    <w:rsid w:val="005B32E1"/>
    <w:rsid w:val="005B4C08"/>
    <w:rsid w:val="005B51D0"/>
    <w:rsid w:val="005B5A0A"/>
    <w:rsid w:val="005B64E9"/>
    <w:rsid w:val="005B68C2"/>
    <w:rsid w:val="005B6C3A"/>
    <w:rsid w:val="005B6F57"/>
    <w:rsid w:val="005B7910"/>
    <w:rsid w:val="005B7CD3"/>
    <w:rsid w:val="005C0D16"/>
    <w:rsid w:val="005C11F3"/>
    <w:rsid w:val="005C1665"/>
    <w:rsid w:val="005C18DA"/>
    <w:rsid w:val="005C1CF5"/>
    <w:rsid w:val="005C1D72"/>
    <w:rsid w:val="005C1F65"/>
    <w:rsid w:val="005C1F9C"/>
    <w:rsid w:val="005C280F"/>
    <w:rsid w:val="005C2CF3"/>
    <w:rsid w:val="005C4A8E"/>
    <w:rsid w:val="005C630C"/>
    <w:rsid w:val="005C65D8"/>
    <w:rsid w:val="005C68A7"/>
    <w:rsid w:val="005C6F00"/>
    <w:rsid w:val="005C76C4"/>
    <w:rsid w:val="005C77B6"/>
    <w:rsid w:val="005D1D78"/>
    <w:rsid w:val="005D2236"/>
    <w:rsid w:val="005D299F"/>
    <w:rsid w:val="005D3126"/>
    <w:rsid w:val="005D3369"/>
    <w:rsid w:val="005D3699"/>
    <w:rsid w:val="005D39B6"/>
    <w:rsid w:val="005D4587"/>
    <w:rsid w:val="005D4945"/>
    <w:rsid w:val="005D49D2"/>
    <w:rsid w:val="005D4DB0"/>
    <w:rsid w:val="005D5067"/>
    <w:rsid w:val="005D5E5E"/>
    <w:rsid w:val="005D6184"/>
    <w:rsid w:val="005D63A3"/>
    <w:rsid w:val="005D6A26"/>
    <w:rsid w:val="005D72D1"/>
    <w:rsid w:val="005D74CD"/>
    <w:rsid w:val="005E0540"/>
    <w:rsid w:val="005E0802"/>
    <w:rsid w:val="005E0BF2"/>
    <w:rsid w:val="005E0C77"/>
    <w:rsid w:val="005E0E1E"/>
    <w:rsid w:val="005E0F41"/>
    <w:rsid w:val="005E1BA0"/>
    <w:rsid w:val="005E1D49"/>
    <w:rsid w:val="005E27EF"/>
    <w:rsid w:val="005E2BC3"/>
    <w:rsid w:val="005E2DCA"/>
    <w:rsid w:val="005E355F"/>
    <w:rsid w:val="005E48AF"/>
    <w:rsid w:val="005E4BFA"/>
    <w:rsid w:val="005E554D"/>
    <w:rsid w:val="005E575C"/>
    <w:rsid w:val="005E5A54"/>
    <w:rsid w:val="005E5CF8"/>
    <w:rsid w:val="005E5E21"/>
    <w:rsid w:val="005E62ED"/>
    <w:rsid w:val="005E6691"/>
    <w:rsid w:val="005E6C08"/>
    <w:rsid w:val="005E6CA7"/>
    <w:rsid w:val="005E6F31"/>
    <w:rsid w:val="005E7178"/>
    <w:rsid w:val="005E7283"/>
    <w:rsid w:val="005E76EF"/>
    <w:rsid w:val="005E7C27"/>
    <w:rsid w:val="005F02D7"/>
    <w:rsid w:val="005F0AF1"/>
    <w:rsid w:val="005F0B10"/>
    <w:rsid w:val="005F0C53"/>
    <w:rsid w:val="005F1163"/>
    <w:rsid w:val="005F14DC"/>
    <w:rsid w:val="005F180B"/>
    <w:rsid w:val="005F23CF"/>
    <w:rsid w:val="005F277B"/>
    <w:rsid w:val="005F29FE"/>
    <w:rsid w:val="005F2C45"/>
    <w:rsid w:val="005F2C82"/>
    <w:rsid w:val="005F30F1"/>
    <w:rsid w:val="005F37AE"/>
    <w:rsid w:val="005F397D"/>
    <w:rsid w:val="005F3C2F"/>
    <w:rsid w:val="005F4292"/>
    <w:rsid w:val="005F4344"/>
    <w:rsid w:val="005F5C77"/>
    <w:rsid w:val="005F621E"/>
    <w:rsid w:val="005F6540"/>
    <w:rsid w:val="00600697"/>
    <w:rsid w:val="00601E54"/>
    <w:rsid w:val="006028A0"/>
    <w:rsid w:val="0060299E"/>
    <w:rsid w:val="006029F9"/>
    <w:rsid w:val="0060313B"/>
    <w:rsid w:val="00603A6F"/>
    <w:rsid w:val="00603B3C"/>
    <w:rsid w:val="00603C15"/>
    <w:rsid w:val="00603EF9"/>
    <w:rsid w:val="00603F27"/>
    <w:rsid w:val="0060408F"/>
    <w:rsid w:val="0060470D"/>
    <w:rsid w:val="006049A6"/>
    <w:rsid w:val="006054D5"/>
    <w:rsid w:val="00605A77"/>
    <w:rsid w:val="00606011"/>
    <w:rsid w:val="00606159"/>
    <w:rsid w:val="0060652A"/>
    <w:rsid w:val="00606F21"/>
    <w:rsid w:val="006075E2"/>
    <w:rsid w:val="0060767A"/>
    <w:rsid w:val="006102C2"/>
    <w:rsid w:val="00611088"/>
    <w:rsid w:val="0061111C"/>
    <w:rsid w:val="00612524"/>
    <w:rsid w:val="006126E3"/>
    <w:rsid w:val="00612A4F"/>
    <w:rsid w:val="00612B8D"/>
    <w:rsid w:val="00612F38"/>
    <w:rsid w:val="00613454"/>
    <w:rsid w:val="006135E5"/>
    <w:rsid w:val="00615D92"/>
    <w:rsid w:val="00616FFB"/>
    <w:rsid w:val="006177C9"/>
    <w:rsid w:val="0061781D"/>
    <w:rsid w:val="00617D58"/>
    <w:rsid w:val="00621184"/>
    <w:rsid w:val="00621723"/>
    <w:rsid w:val="00621ABE"/>
    <w:rsid w:val="00621E48"/>
    <w:rsid w:val="006229B9"/>
    <w:rsid w:val="0062347A"/>
    <w:rsid w:val="00625DF7"/>
    <w:rsid w:val="006260BA"/>
    <w:rsid w:val="006261FE"/>
    <w:rsid w:val="00626679"/>
    <w:rsid w:val="006271AD"/>
    <w:rsid w:val="0062768B"/>
    <w:rsid w:val="0062771A"/>
    <w:rsid w:val="00627A92"/>
    <w:rsid w:val="00630AF9"/>
    <w:rsid w:val="0063146E"/>
    <w:rsid w:val="0063236C"/>
    <w:rsid w:val="0063308E"/>
    <w:rsid w:val="00633DE0"/>
    <w:rsid w:val="0063454E"/>
    <w:rsid w:val="006352C1"/>
    <w:rsid w:val="006356AC"/>
    <w:rsid w:val="00636CA7"/>
    <w:rsid w:val="006373EF"/>
    <w:rsid w:val="006378CD"/>
    <w:rsid w:val="00640B80"/>
    <w:rsid w:val="00640CB1"/>
    <w:rsid w:val="00641317"/>
    <w:rsid w:val="00642D1C"/>
    <w:rsid w:val="00642F89"/>
    <w:rsid w:val="0064358D"/>
    <w:rsid w:val="00643A5E"/>
    <w:rsid w:val="00644374"/>
    <w:rsid w:val="00644595"/>
    <w:rsid w:val="00644BBD"/>
    <w:rsid w:val="00644E5E"/>
    <w:rsid w:val="0064727F"/>
    <w:rsid w:val="00647863"/>
    <w:rsid w:val="00650B0A"/>
    <w:rsid w:val="0065126F"/>
    <w:rsid w:val="0065215E"/>
    <w:rsid w:val="0065237F"/>
    <w:rsid w:val="006523D1"/>
    <w:rsid w:val="00652993"/>
    <w:rsid w:val="00652F31"/>
    <w:rsid w:val="0065604B"/>
    <w:rsid w:val="00656501"/>
    <w:rsid w:val="00656920"/>
    <w:rsid w:val="0065693C"/>
    <w:rsid w:val="00656C5E"/>
    <w:rsid w:val="006570DD"/>
    <w:rsid w:val="00657D05"/>
    <w:rsid w:val="006611A9"/>
    <w:rsid w:val="0066169B"/>
    <w:rsid w:val="006637A9"/>
    <w:rsid w:val="00663AE8"/>
    <w:rsid w:val="0066416A"/>
    <w:rsid w:val="0066425A"/>
    <w:rsid w:val="006643A0"/>
    <w:rsid w:val="00664738"/>
    <w:rsid w:val="00665351"/>
    <w:rsid w:val="006675FD"/>
    <w:rsid w:val="00667D95"/>
    <w:rsid w:val="00670013"/>
    <w:rsid w:val="0067102A"/>
    <w:rsid w:val="00671D6C"/>
    <w:rsid w:val="00671EED"/>
    <w:rsid w:val="00672C2B"/>
    <w:rsid w:val="00673F19"/>
    <w:rsid w:val="0067451E"/>
    <w:rsid w:val="00674B86"/>
    <w:rsid w:val="0067512A"/>
    <w:rsid w:val="00675533"/>
    <w:rsid w:val="006755BC"/>
    <w:rsid w:val="006758B7"/>
    <w:rsid w:val="00675A56"/>
    <w:rsid w:val="00675AC6"/>
    <w:rsid w:val="00675C35"/>
    <w:rsid w:val="00676B4A"/>
    <w:rsid w:val="0068004C"/>
    <w:rsid w:val="006800B4"/>
    <w:rsid w:val="006803B4"/>
    <w:rsid w:val="00680D25"/>
    <w:rsid w:val="006812E1"/>
    <w:rsid w:val="006815C2"/>
    <w:rsid w:val="00681780"/>
    <w:rsid w:val="00681809"/>
    <w:rsid w:val="00681897"/>
    <w:rsid w:val="00681C2F"/>
    <w:rsid w:val="00683328"/>
    <w:rsid w:val="00683546"/>
    <w:rsid w:val="00683641"/>
    <w:rsid w:val="006836CD"/>
    <w:rsid w:val="00683A07"/>
    <w:rsid w:val="00683D9D"/>
    <w:rsid w:val="0068411A"/>
    <w:rsid w:val="00684E0F"/>
    <w:rsid w:val="006853F7"/>
    <w:rsid w:val="00685C9D"/>
    <w:rsid w:val="00686A69"/>
    <w:rsid w:val="00686CDB"/>
    <w:rsid w:val="006874E9"/>
    <w:rsid w:val="006879C6"/>
    <w:rsid w:val="00687FC0"/>
    <w:rsid w:val="00691410"/>
    <w:rsid w:val="00692E68"/>
    <w:rsid w:val="0069312D"/>
    <w:rsid w:val="006932DC"/>
    <w:rsid w:val="006938C6"/>
    <w:rsid w:val="00694196"/>
    <w:rsid w:val="00694869"/>
    <w:rsid w:val="00695F95"/>
    <w:rsid w:val="0069632E"/>
    <w:rsid w:val="00696337"/>
    <w:rsid w:val="00696911"/>
    <w:rsid w:val="00696AF0"/>
    <w:rsid w:val="00696D89"/>
    <w:rsid w:val="00696FED"/>
    <w:rsid w:val="006A084D"/>
    <w:rsid w:val="006A0BB7"/>
    <w:rsid w:val="006A0BE8"/>
    <w:rsid w:val="006A1502"/>
    <w:rsid w:val="006A1BC4"/>
    <w:rsid w:val="006A267D"/>
    <w:rsid w:val="006A27B1"/>
    <w:rsid w:val="006A2850"/>
    <w:rsid w:val="006A2F51"/>
    <w:rsid w:val="006A3167"/>
    <w:rsid w:val="006A3509"/>
    <w:rsid w:val="006A3CD0"/>
    <w:rsid w:val="006A43D3"/>
    <w:rsid w:val="006A4978"/>
    <w:rsid w:val="006A4E04"/>
    <w:rsid w:val="006A63CC"/>
    <w:rsid w:val="006A6DEA"/>
    <w:rsid w:val="006A7314"/>
    <w:rsid w:val="006A74C1"/>
    <w:rsid w:val="006B052F"/>
    <w:rsid w:val="006B0945"/>
    <w:rsid w:val="006B0CFC"/>
    <w:rsid w:val="006B0DBC"/>
    <w:rsid w:val="006B13EB"/>
    <w:rsid w:val="006B16A1"/>
    <w:rsid w:val="006B175B"/>
    <w:rsid w:val="006B1AA0"/>
    <w:rsid w:val="006B22CE"/>
    <w:rsid w:val="006B26A0"/>
    <w:rsid w:val="006B2CEE"/>
    <w:rsid w:val="006B2E8D"/>
    <w:rsid w:val="006B32CF"/>
    <w:rsid w:val="006B34B1"/>
    <w:rsid w:val="006B3D35"/>
    <w:rsid w:val="006B3DEE"/>
    <w:rsid w:val="006B41FB"/>
    <w:rsid w:val="006B61B3"/>
    <w:rsid w:val="006B6777"/>
    <w:rsid w:val="006B696D"/>
    <w:rsid w:val="006B6C44"/>
    <w:rsid w:val="006B7005"/>
    <w:rsid w:val="006B707D"/>
    <w:rsid w:val="006B72D4"/>
    <w:rsid w:val="006B74AA"/>
    <w:rsid w:val="006B79CC"/>
    <w:rsid w:val="006B7A8B"/>
    <w:rsid w:val="006B7B29"/>
    <w:rsid w:val="006C2012"/>
    <w:rsid w:val="006C217D"/>
    <w:rsid w:val="006C2355"/>
    <w:rsid w:val="006C2611"/>
    <w:rsid w:val="006C3716"/>
    <w:rsid w:val="006C3733"/>
    <w:rsid w:val="006C3B67"/>
    <w:rsid w:val="006C4112"/>
    <w:rsid w:val="006C46CA"/>
    <w:rsid w:val="006C4741"/>
    <w:rsid w:val="006C49CC"/>
    <w:rsid w:val="006C60A7"/>
    <w:rsid w:val="006C7C27"/>
    <w:rsid w:val="006D017D"/>
    <w:rsid w:val="006D094A"/>
    <w:rsid w:val="006D09F4"/>
    <w:rsid w:val="006D0AD0"/>
    <w:rsid w:val="006D15DE"/>
    <w:rsid w:val="006D2660"/>
    <w:rsid w:val="006D27AD"/>
    <w:rsid w:val="006D2954"/>
    <w:rsid w:val="006D2CCC"/>
    <w:rsid w:val="006D3757"/>
    <w:rsid w:val="006D3B54"/>
    <w:rsid w:val="006D3C3B"/>
    <w:rsid w:val="006D4727"/>
    <w:rsid w:val="006D54CD"/>
    <w:rsid w:val="006D6232"/>
    <w:rsid w:val="006D6690"/>
    <w:rsid w:val="006D6703"/>
    <w:rsid w:val="006D69F8"/>
    <w:rsid w:val="006D6F29"/>
    <w:rsid w:val="006D6FA9"/>
    <w:rsid w:val="006D7085"/>
    <w:rsid w:val="006D7A21"/>
    <w:rsid w:val="006E04FE"/>
    <w:rsid w:val="006E1310"/>
    <w:rsid w:val="006E1364"/>
    <w:rsid w:val="006E1DD9"/>
    <w:rsid w:val="006E217B"/>
    <w:rsid w:val="006E22F5"/>
    <w:rsid w:val="006E251A"/>
    <w:rsid w:val="006E2A0F"/>
    <w:rsid w:val="006E324B"/>
    <w:rsid w:val="006E325D"/>
    <w:rsid w:val="006E4011"/>
    <w:rsid w:val="006E4780"/>
    <w:rsid w:val="006E48F5"/>
    <w:rsid w:val="006E4951"/>
    <w:rsid w:val="006E516F"/>
    <w:rsid w:val="006E599D"/>
    <w:rsid w:val="006E5A29"/>
    <w:rsid w:val="006E615D"/>
    <w:rsid w:val="006E737D"/>
    <w:rsid w:val="006E7468"/>
    <w:rsid w:val="006E7B1E"/>
    <w:rsid w:val="006E7E40"/>
    <w:rsid w:val="006F09B1"/>
    <w:rsid w:val="006F19D6"/>
    <w:rsid w:val="006F1E95"/>
    <w:rsid w:val="006F23BC"/>
    <w:rsid w:val="006F2C7F"/>
    <w:rsid w:val="006F38D5"/>
    <w:rsid w:val="006F41D4"/>
    <w:rsid w:val="006F485C"/>
    <w:rsid w:val="006F48A2"/>
    <w:rsid w:val="006F4F57"/>
    <w:rsid w:val="006F5351"/>
    <w:rsid w:val="006F53EA"/>
    <w:rsid w:val="006F61F2"/>
    <w:rsid w:val="006F745A"/>
    <w:rsid w:val="006F7DF7"/>
    <w:rsid w:val="006F7F27"/>
    <w:rsid w:val="00700628"/>
    <w:rsid w:val="00701C37"/>
    <w:rsid w:val="00702B03"/>
    <w:rsid w:val="007036CE"/>
    <w:rsid w:val="0070387B"/>
    <w:rsid w:val="00705736"/>
    <w:rsid w:val="007057C1"/>
    <w:rsid w:val="00705AB7"/>
    <w:rsid w:val="00705AE4"/>
    <w:rsid w:val="00706784"/>
    <w:rsid w:val="0070699A"/>
    <w:rsid w:val="00707106"/>
    <w:rsid w:val="00707EC5"/>
    <w:rsid w:val="007112A1"/>
    <w:rsid w:val="00711521"/>
    <w:rsid w:val="00711605"/>
    <w:rsid w:val="00711BBB"/>
    <w:rsid w:val="00711C9A"/>
    <w:rsid w:val="00712069"/>
    <w:rsid w:val="007122E6"/>
    <w:rsid w:val="00712447"/>
    <w:rsid w:val="007132CB"/>
    <w:rsid w:val="007132D6"/>
    <w:rsid w:val="007145D1"/>
    <w:rsid w:val="00714619"/>
    <w:rsid w:val="00714A36"/>
    <w:rsid w:val="007157C7"/>
    <w:rsid w:val="00715A03"/>
    <w:rsid w:val="00715DE1"/>
    <w:rsid w:val="00716720"/>
    <w:rsid w:val="00716811"/>
    <w:rsid w:val="007169E6"/>
    <w:rsid w:val="007172C1"/>
    <w:rsid w:val="007179CE"/>
    <w:rsid w:val="0072035B"/>
    <w:rsid w:val="007204E4"/>
    <w:rsid w:val="00720C66"/>
    <w:rsid w:val="00720EF9"/>
    <w:rsid w:val="00721B77"/>
    <w:rsid w:val="00722215"/>
    <w:rsid w:val="00722749"/>
    <w:rsid w:val="00722B6D"/>
    <w:rsid w:val="00723DBB"/>
    <w:rsid w:val="00724082"/>
    <w:rsid w:val="00724906"/>
    <w:rsid w:val="00724966"/>
    <w:rsid w:val="00724D90"/>
    <w:rsid w:val="007250C3"/>
    <w:rsid w:val="00725221"/>
    <w:rsid w:val="007275D6"/>
    <w:rsid w:val="00730BF1"/>
    <w:rsid w:val="00732806"/>
    <w:rsid w:val="007328EB"/>
    <w:rsid w:val="007339FD"/>
    <w:rsid w:val="00733FA8"/>
    <w:rsid w:val="00734970"/>
    <w:rsid w:val="007349A5"/>
    <w:rsid w:val="00735669"/>
    <w:rsid w:val="0073571E"/>
    <w:rsid w:val="00737545"/>
    <w:rsid w:val="00737B2F"/>
    <w:rsid w:val="00737E0F"/>
    <w:rsid w:val="00740149"/>
    <w:rsid w:val="00740E6D"/>
    <w:rsid w:val="00741289"/>
    <w:rsid w:val="007417BC"/>
    <w:rsid w:val="00741811"/>
    <w:rsid w:val="00742554"/>
    <w:rsid w:val="00743D6D"/>
    <w:rsid w:val="00743F68"/>
    <w:rsid w:val="00744520"/>
    <w:rsid w:val="0074553A"/>
    <w:rsid w:val="00745DDD"/>
    <w:rsid w:val="00746292"/>
    <w:rsid w:val="0074692B"/>
    <w:rsid w:val="00746CA5"/>
    <w:rsid w:val="00747806"/>
    <w:rsid w:val="00750604"/>
    <w:rsid w:val="0075099D"/>
    <w:rsid w:val="007516F3"/>
    <w:rsid w:val="007523B6"/>
    <w:rsid w:val="0075385D"/>
    <w:rsid w:val="00753DB4"/>
    <w:rsid w:val="00753ED6"/>
    <w:rsid w:val="00754113"/>
    <w:rsid w:val="00754E55"/>
    <w:rsid w:val="00755406"/>
    <w:rsid w:val="00755480"/>
    <w:rsid w:val="00756886"/>
    <w:rsid w:val="00756D4F"/>
    <w:rsid w:val="00757549"/>
    <w:rsid w:val="00757F02"/>
    <w:rsid w:val="007609B8"/>
    <w:rsid w:val="00760EBD"/>
    <w:rsid w:val="00762466"/>
    <w:rsid w:val="0076284D"/>
    <w:rsid w:val="00762B39"/>
    <w:rsid w:val="00762D4F"/>
    <w:rsid w:val="00763695"/>
    <w:rsid w:val="00763ADF"/>
    <w:rsid w:val="00763F21"/>
    <w:rsid w:val="007640D0"/>
    <w:rsid w:val="007645BE"/>
    <w:rsid w:val="0076539A"/>
    <w:rsid w:val="00765615"/>
    <w:rsid w:val="00766256"/>
    <w:rsid w:val="0076753D"/>
    <w:rsid w:val="00770175"/>
    <w:rsid w:val="00770790"/>
    <w:rsid w:val="00770A8E"/>
    <w:rsid w:val="00770C9F"/>
    <w:rsid w:val="00771257"/>
    <w:rsid w:val="00771A58"/>
    <w:rsid w:val="00771AC3"/>
    <w:rsid w:val="0077229F"/>
    <w:rsid w:val="007726FA"/>
    <w:rsid w:val="00772CE9"/>
    <w:rsid w:val="007733C0"/>
    <w:rsid w:val="0077343E"/>
    <w:rsid w:val="00773507"/>
    <w:rsid w:val="00773AE5"/>
    <w:rsid w:val="0077401E"/>
    <w:rsid w:val="007741C3"/>
    <w:rsid w:val="00774408"/>
    <w:rsid w:val="00775806"/>
    <w:rsid w:val="00775A2E"/>
    <w:rsid w:val="00775B32"/>
    <w:rsid w:val="00775D36"/>
    <w:rsid w:val="00776626"/>
    <w:rsid w:val="007807FC"/>
    <w:rsid w:val="00780F25"/>
    <w:rsid w:val="00781B88"/>
    <w:rsid w:val="00782687"/>
    <w:rsid w:val="00782910"/>
    <w:rsid w:val="00783551"/>
    <w:rsid w:val="007836F7"/>
    <w:rsid w:val="007838A5"/>
    <w:rsid w:val="00783DC8"/>
    <w:rsid w:val="0078451D"/>
    <w:rsid w:val="0078494B"/>
    <w:rsid w:val="00784CF5"/>
    <w:rsid w:val="0078530D"/>
    <w:rsid w:val="00785838"/>
    <w:rsid w:val="00786E6D"/>
    <w:rsid w:val="007874E7"/>
    <w:rsid w:val="007875F5"/>
    <w:rsid w:val="00790188"/>
    <w:rsid w:val="0079055F"/>
    <w:rsid w:val="00790ADA"/>
    <w:rsid w:val="00790B99"/>
    <w:rsid w:val="00791975"/>
    <w:rsid w:val="00791FE1"/>
    <w:rsid w:val="0079382D"/>
    <w:rsid w:val="00793A4A"/>
    <w:rsid w:val="00793FB7"/>
    <w:rsid w:val="0079411C"/>
    <w:rsid w:val="00794B75"/>
    <w:rsid w:val="00795CDB"/>
    <w:rsid w:val="00796182"/>
    <w:rsid w:val="00796912"/>
    <w:rsid w:val="00796BCF"/>
    <w:rsid w:val="00796DFA"/>
    <w:rsid w:val="007971F7"/>
    <w:rsid w:val="00797B02"/>
    <w:rsid w:val="007A027B"/>
    <w:rsid w:val="007A0C8F"/>
    <w:rsid w:val="007A1061"/>
    <w:rsid w:val="007A2036"/>
    <w:rsid w:val="007A207D"/>
    <w:rsid w:val="007A2623"/>
    <w:rsid w:val="007A44F0"/>
    <w:rsid w:val="007A5690"/>
    <w:rsid w:val="007A5876"/>
    <w:rsid w:val="007A5EA8"/>
    <w:rsid w:val="007A643E"/>
    <w:rsid w:val="007A69C7"/>
    <w:rsid w:val="007A6DA2"/>
    <w:rsid w:val="007A72B2"/>
    <w:rsid w:val="007A734D"/>
    <w:rsid w:val="007B0522"/>
    <w:rsid w:val="007B0FE3"/>
    <w:rsid w:val="007B13AF"/>
    <w:rsid w:val="007B1521"/>
    <w:rsid w:val="007B1659"/>
    <w:rsid w:val="007B24A8"/>
    <w:rsid w:val="007B2899"/>
    <w:rsid w:val="007B2A83"/>
    <w:rsid w:val="007B33AA"/>
    <w:rsid w:val="007B39FB"/>
    <w:rsid w:val="007B3B6D"/>
    <w:rsid w:val="007B3DF7"/>
    <w:rsid w:val="007B4639"/>
    <w:rsid w:val="007B4A04"/>
    <w:rsid w:val="007B4CA6"/>
    <w:rsid w:val="007B64F5"/>
    <w:rsid w:val="007B691E"/>
    <w:rsid w:val="007B6D5B"/>
    <w:rsid w:val="007B6F36"/>
    <w:rsid w:val="007B741A"/>
    <w:rsid w:val="007B7AE8"/>
    <w:rsid w:val="007B7DF9"/>
    <w:rsid w:val="007C0A0E"/>
    <w:rsid w:val="007C1079"/>
    <w:rsid w:val="007C14D7"/>
    <w:rsid w:val="007C24E0"/>
    <w:rsid w:val="007C2DE3"/>
    <w:rsid w:val="007C30B8"/>
    <w:rsid w:val="007C313C"/>
    <w:rsid w:val="007C4145"/>
    <w:rsid w:val="007C5765"/>
    <w:rsid w:val="007C5A2C"/>
    <w:rsid w:val="007C699D"/>
    <w:rsid w:val="007C6D37"/>
    <w:rsid w:val="007C6D40"/>
    <w:rsid w:val="007C701B"/>
    <w:rsid w:val="007C71E8"/>
    <w:rsid w:val="007C7BB7"/>
    <w:rsid w:val="007D1AFA"/>
    <w:rsid w:val="007D221B"/>
    <w:rsid w:val="007D221D"/>
    <w:rsid w:val="007D259A"/>
    <w:rsid w:val="007D2BDE"/>
    <w:rsid w:val="007D2E09"/>
    <w:rsid w:val="007D3A7A"/>
    <w:rsid w:val="007D3C3E"/>
    <w:rsid w:val="007D55CF"/>
    <w:rsid w:val="007D5F2F"/>
    <w:rsid w:val="007D638D"/>
    <w:rsid w:val="007D6D90"/>
    <w:rsid w:val="007D74BE"/>
    <w:rsid w:val="007D77A4"/>
    <w:rsid w:val="007E0470"/>
    <w:rsid w:val="007E05B8"/>
    <w:rsid w:val="007E06F1"/>
    <w:rsid w:val="007E0B03"/>
    <w:rsid w:val="007E0CE5"/>
    <w:rsid w:val="007E0F00"/>
    <w:rsid w:val="007E10C4"/>
    <w:rsid w:val="007E129C"/>
    <w:rsid w:val="007E1366"/>
    <w:rsid w:val="007E1EDF"/>
    <w:rsid w:val="007E2174"/>
    <w:rsid w:val="007E25DB"/>
    <w:rsid w:val="007E2F0A"/>
    <w:rsid w:val="007E3832"/>
    <w:rsid w:val="007E55C1"/>
    <w:rsid w:val="007E59D1"/>
    <w:rsid w:val="007E5B45"/>
    <w:rsid w:val="007E64E1"/>
    <w:rsid w:val="007E6ADB"/>
    <w:rsid w:val="007E6E5A"/>
    <w:rsid w:val="007E75D8"/>
    <w:rsid w:val="007F0918"/>
    <w:rsid w:val="007F186A"/>
    <w:rsid w:val="007F2111"/>
    <w:rsid w:val="007F2436"/>
    <w:rsid w:val="007F3EC4"/>
    <w:rsid w:val="007F4900"/>
    <w:rsid w:val="007F4C69"/>
    <w:rsid w:val="007F524B"/>
    <w:rsid w:val="007F5534"/>
    <w:rsid w:val="007F642F"/>
    <w:rsid w:val="007F676A"/>
    <w:rsid w:val="007F6D62"/>
    <w:rsid w:val="007F7DC7"/>
    <w:rsid w:val="00800EEE"/>
    <w:rsid w:val="00801A38"/>
    <w:rsid w:val="00801E2B"/>
    <w:rsid w:val="00802122"/>
    <w:rsid w:val="00802495"/>
    <w:rsid w:val="00802E73"/>
    <w:rsid w:val="00802EA8"/>
    <w:rsid w:val="008030FA"/>
    <w:rsid w:val="00804E27"/>
    <w:rsid w:val="00805101"/>
    <w:rsid w:val="00805136"/>
    <w:rsid w:val="00805579"/>
    <w:rsid w:val="00805602"/>
    <w:rsid w:val="00806D61"/>
    <w:rsid w:val="00807148"/>
    <w:rsid w:val="00807FB4"/>
    <w:rsid w:val="008106FD"/>
    <w:rsid w:val="00810765"/>
    <w:rsid w:val="00810DCC"/>
    <w:rsid w:val="00811601"/>
    <w:rsid w:val="00811F79"/>
    <w:rsid w:val="00812A62"/>
    <w:rsid w:val="00812EA4"/>
    <w:rsid w:val="008137E0"/>
    <w:rsid w:val="008138A3"/>
    <w:rsid w:val="008149AC"/>
    <w:rsid w:val="00814A60"/>
    <w:rsid w:val="00814DB6"/>
    <w:rsid w:val="00814F15"/>
    <w:rsid w:val="0081591C"/>
    <w:rsid w:val="00815981"/>
    <w:rsid w:val="008159BB"/>
    <w:rsid w:val="00815C24"/>
    <w:rsid w:val="00815EEC"/>
    <w:rsid w:val="008163DA"/>
    <w:rsid w:val="00816B77"/>
    <w:rsid w:val="00816E1D"/>
    <w:rsid w:val="00817C51"/>
    <w:rsid w:val="00817C68"/>
    <w:rsid w:val="00817DC9"/>
    <w:rsid w:val="00817DD3"/>
    <w:rsid w:val="008208E9"/>
    <w:rsid w:val="00820964"/>
    <w:rsid w:val="00820CE2"/>
    <w:rsid w:val="0082165A"/>
    <w:rsid w:val="00821A1F"/>
    <w:rsid w:val="00821AFA"/>
    <w:rsid w:val="008220E3"/>
    <w:rsid w:val="00822195"/>
    <w:rsid w:val="00822B60"/>
    <w:rsid w:val="008232D2"/>
    <w:rsid w:val="00823481"/>
    <w:rsid w:val="00823C0E"/>
    <w:rsid w:val="00823EAD"/>
    <w:rsid w:val="00824582"/>
    <w:rsid w:val="00824A59"/>
    <w:rsid w:val="00824FA5"/>
    <w:rsid w:val="00825161"/>
    <w:rsid w:val="00825B7D"/>
    <w:rsid w:val="008261F3"/>
    <w:rsid w:val="008262D3"/>
    <w:rsid w:val="00826552"/>
    <w:rsid w:val="00826613"/>
    <w:rsid w:val="00826885"/>
    <w:rsid w:val="00827C16"/>
    <w:rsid w:val="00827E4A"/>
    <w:rsid w:val="008308AD"/>
    <w:rsid w:val="00831169"/>
    <w:rsid w:val="008316BB"/>
    <w:rsid w:val="00831AE4"/>
    <w:rsid w:val="008321CA"/>
    <w:rsid w:val="008326E2"/>
    <w:rsid w:val="00832B84"/>
    <w:rsid w:val="0083321B"/>
    <w:rsid w:val="008341FC"/>
    <w:rsid w:val="008342CD"/>
    <w:rsid w:val="0083464A"/>
    <w:rsid w:val="00834927"/>
    <w:rsid w:val="00834ABA"/>
    <w:rsid w:val="00834BB4"/>
    <w:rsid w:val="00834D53"/>
    <w:rsid w:val="00835791"/>
    <w:rsid w:val="00836419"/>
    <w:rsid w:val="00836D17"/>
    <w:rsid w:val="00836E08"/>
    <w:rsid w:val="008374CF"/>
    <w:rsid w:val="008376CF"/>
    <w:rsid w:val="0084046E"/>
    <w:rsid w:val="008405E6"/>
    <w:rsid w:val="00840CDE"/>
    <w:rsid w:val="008410DC"/>
    <w:rsid w:val="008414DF"/>
    <w:rsid w:val="00841964"/>
    <w:rsid w:val="008423B7"/>
    <w:rsid w:val="0084279E"/>
    <w:rsid w:val="00842A05"/>
    <w:rsid w:val="00842A30"/>
    <w:rsid w:val="00842E1E"/>
    <w:rsid w:val="00843612"/>
    <w:rsid w:val="0084391C"/>
    <w:rsid w:val="00843D94"/>
    <w:rsid w:val="008456B1"/>
    <w:rsid w:val="00845D1E"/>
    <w:rsid w:val="00846677"/>
    <w:rsid w:val="00846B22"/>
    <w:rsid w:val="00850312"/>
    <w:rsid w:val="00850352"/>
    <w:rsid w:val="0085044C"/>
    <w:rsid w:val="00850642"/>
    <w:rsid w:val="00850E9B"/>
    <w:rsid w:val="0085115B"/>
    <w:rsid w:val="008516C3"/>
    <w:rsid w:val="00852291"/>
    <w:rsid w:val="00852FAF"/>
    <w:rsid w:val="0085306C"/>
    <w:rsid w:val="008530A4"/>
    <w:rsid w:val="00853FDD"/>
    <w:rsid w:val="008540EF"/>
    <w:rsid w:val="0085446E"/>
    <w:rsid w:val="00854723"/>
    <w:rsid w:val="00855E0F"/>
    <w:rsid w:val="00856B66"/>
    <w:rsid w:val="00856F9F"/>
    <w:rsid w:val="00857178"/>
    <w:rsid w:val="008572AE"/>
    <w:rsid w:val="00857C84"/>
    <w:rsid w:val="00860AAD"/>
    <w:rsid w:val="00860FFC"/>
    <w:rsid w:val="00861208"/>
    <w:rsid w:val="008614E4"/>
    <w:rsid w:val="008616CD"/>
    <w:rsid w:val="00861D6A"/>
    <w:rsid w:val="00861E01"/>
    <w:rsid w:val="00862470"/>
    <w:rsid w:val="008630A6"/>
    <w:rsid w:val="0086386B"/>
    <w:rsid w:val="008638EB"/>
    <w:rsid w:val="00864072"/>
    <w:rsid w:val="00864DFD"/>
    <w:rsid w:val="00865416"/>
    <w:rsid w:val="00865A81"/>
    <w:rsid w:val="00865B2D"/>
    <w:rsid w:val="00866CC8"/>
    <w:rsid w:val="00867337"/>
    <w:rsid w:val="008675D8"/>
    <w:rsid w:val="00870196"/>
    <w:rsid w:val="008710F3"/>
    <w:rsid w:val="008711D0"/>
    <w:rsid w:val="0087172D"/>
    <w:rsid w:val="00872434"/>
    <w:rsid w:val="00872C6D"/>
    <w:rsid w:val="008732EA"/>
    <w:rsid w:val="00873691"/>
    <w:rsid w:val="008747A6"/>
    <w:rsid w:val="008748F6"/>
    <w:rsid w:val="00874BC7"/>
    <w:rsid w:val="00874F4B"/>
    <w:rsid w:val="0087567C"/>
    <w:rsid w:val="00876026"/>
    <w:rsid w:val="00876432"/>
    <w:rsid w:val="00876574"/>
    <w:rsid w:val="00877B1E"/>
    <w:rsid w:val="00877B6A"/>
    <w:rsid w:val="00877ED6"/>
    <w:rsid w:val="00880AEC"/>
    <w:rsid w:val="00880E25"/>
    <w:rsid w:val="0088100B"/>
    <w:rsid w:val="00881155"/>
    <w:rsid w:val="00881C25"/>
    <w:rsid w:val="0088207B"/>
    <w:rsid w:val="0088251C"/>
    <w:rsid w:val="00883494"/>
    <w:rsid w:val="00883D26"/>
    <w:rsid w:val="00884F10"/>
    <w:rsid w:val="00884F22"/>
    <w:rsid w:val="0088613D"/>
    <w:rsid w:val="00886656"/>
    <w:rsid w:val="0088699D"/>
    <w:rsid w:val="00886B6C"/>
    <w:rsid w:val="0088769F"/>
    <w:rsid w:val="00887867"/>
    <w:rsid w:val="0088791C"/>
    <w:rsid w:val="00887A9B"/>
    <w:rsid w:val="00890030"/>
    <w:rsid w:val="00890131"/>
    <w:rsid w:val="00892638"/>
    <w:rsid w:val="0089359E"/>
    <w:rsid w:val="00893E9B"/>
    <w:rsid w:val="008943A0"/>
    <w:rsid w:val="0089501D"/>
    <w:rsid w:val="00895342"/>
    <w:rsid w:val="00895FB3"/>
    <w:rsid w:val="008960C3"/>
    <w:rsid w:val="0089673A"/>
    <w:rsid w:val="0089711C"/>
    <w:rsid w:val="00897794"/>
    <w:rsid w:val="008A024C"/>
    <w:rsid w:val="008A088E"/>
    <w:rsid w:val="008A08CC"/>
    <w:rsid w:val="008A25CD"/>
    <w:rsid w:val="008A27FB"/>
    <w:rsid w:val="008A2B48"/>
    <w:rsid w:val="008A3753"/>
    <w:rsid w:val="008A3DF4"/>
    <w:rsid w:val="008A477C"/>
    <w:rsid w:val="008A479A"/>
    <w:rsid w:val="008A531E"/>
    <w:rsid w:val="008A57A3"/>
    <w:rsid w:val="008A662F"/>
    <w:rsid w:val="008A685E"/>
    <w:rsid w:val="008A6948"/>
    <w:rsid w:val="008A6F67"/>
    <w:rsid w:val="008A7EB7"/>
    <w:rsid w:val="008B0492"/>
    <w:rsid w:val="008B0D2B"/>
    <w:rsid w:val="008B15E7"/>
    <w:rsid w:val="008B1752"/>
    <w:rsid w:val="008B1B53"/>
    <w:rsid w:val="008B1E37"/>
    <w:rsid w:val="008B1F56"/>
    <w:rsid w:val="008B2E01"/>
    <w:rsid w:val="008B35C9"/>
    <w:rsid w:val="008B377E"/>
    <w:rsid w:val="008B3ADF"/>
    <w:rsid w:val="008B4F91"/>
    <w:rsid w:val="008B4F9E"/>
    <w:rsid w:val="008B59F8"/>
    <w:rsid w:val="008B5E48"/>
    <w:rsid w:val="008B6097"/>
    <w:rsid w:val="008B7F7C"/>
    <w:rsid w:val="008B7FC0"/>
    <w:rsid w:val="008C0CC1"/>
    <w:rsid w:val="008C19D1"/>
    <w:rsid w:val="008C1F3F"/>
    <w:rsid w:val="008C21E5"/>
    <w:rsid w:val="008C25CB"/>
    <w:rsid w:val="008C2799"/>
    <w:rsid w:val="008C2A10"/>
    <w:rsid w:val="008C2D32"/>
    <w:rsid w:val="008C2F7C"/>
    <w:rsid w:val="008C30ED"/>
    <w:rsid w:val="008C3750"/>
    <w:rsid w:val="008C4014"/>
    <w:rsid w:val="008C429C"/>
    <w:rsid w:val="008C441D"/>
    <w:rsid w:val="008C55D0"/>
    <w:rsid w:val="008C5FAA"/>
    <w:rsid w:val="008C625F"/>
    <w:rsid w:val="008C6535"/>
    <w:rsid w:val="008C6F1D"/>
    <w:rsid w:val="008C7093"/>
    <w:rsid w:val="008C761A"/>
    <w:rsid w:val="008D1160"/>
    <w:rsid w:val="008D1C26"/>
    <w:rsid w:val="008D2403"/>
    <w:rsid w:val="008D32B6"/>
    <w:rsid w:val="008D3DD0"/>
    <w:rsid w:val="008D4247"/>
    <w:rsid w:val="008D4700"/>
    <w:rsid w:val="008D50B5"/>
    <w:rsid w:val="008D5180"/>
    <w:rsid w:val="008D5952"/>
    <w:rsid w:val="008D5A3B"/>
    <w:rsid w:val="008D5BE0"/>
    <w:rsid w:val="008D6298"/>
    <w:rsid w:val="008D6982"/>
    <w:rsid w:val="008D6D22"/>
    <w:rsid w:val="008D77B7"/>
    <w:rsid w:val="008D7FC6"/>
    <w:rsid w:val="008E0E4E"/>
    <w:rsid w:val="008E111F"/>
    <w:rsid w:val="008E1A68"/>
    <w:rsid w:val="008E1D66"/>
    <w:rsid w:val="008E1EFA"/>
    <w:rsid w:val="008E1F05"/>
    <w:rsid w:val="008E201E"/>
    <w:rsid w:val="008E20FC"/>
    <w:rsid w:val="008E221A"/>
    <w:rsid w:val="008E254B"/>
    <w:rsid w:val="008E2629"/>
    <w:rsid w:val="008E2B97"/>
    <w:rsid w:val="008E2F85"/>
    <w:rsid w:val="008E3BA4"/>
    <w:rsid w:val="008E4444"/>
    <w:rsid w:val="008E4536"/>
    <w:rsid w:val="008E474A"/>
    <w:rsid w:val="008E47A6"/>
    <w:rsid w:val="008E5C0A"/>
    <w:rsid w:val="008E5F42"/>
    <w:rsid w:val="008E64A7"/>
    <w:rsid w:val="008E6990"/>
    <w:rsid w:val="008E7067"/>
    <w:rsid w:val="008E73B3"/>
    <w:rsid w:val="008F01D8"/>
    <w:rsid w:val="008F0348"/>
    <w:rsid w:val="008F0466"/>
    <w:rsid w:val="008F0639"/>
    <w:rsid w:val="008F1077"/>
    <w:rsid w:val="008F16A3"/>
    <w:rsid w:val="008F1A5C"/>
    <w:rsid w:val="008F229D"/>
    <w:rsid w:val="008F29B6"/>
    <w:rsid w:val="008F2B5E"/>
    <w:rsid w:val="008F498F"/>
    <w:rsid w:val="008F4BBD"/>
    <w:rsid w:val="008F4C62"/>
    <w:rsid w:val="008F5414"/>
    <w:rsid w:val="008F563C"/>
    <w:rsid w:val="008F5E92"/>
    <w:rsid w:val="008F6051"/>
    <w:rsid w:val="008F6577"/>
    <w:rsid w:val="008F6821"/>
    <w:rsid w:val="008F6C2F"/>
    <w:rsid w:val="008F7A09"/>
    <w:rsid w:val="008F7B7E"/>
    <w:rsid w:val="00901254"/>
    <w:rsid w:val="009013DB"/>
    <w:rsid w:val="00901A1E"/>
    <w:rsid w:val="00902146"/>
    <w:rsid w:val="0090247E"/>
    <w:rsid w:val="00903031"/>
    <w:rsid w:val="00903EC4"/>
    <w:rsid w:val="009045B5"/>
    <w:rsid w:val="00904CAE"/>
    <w:rsid w:val="009059CF"/>
    <w:rsid w:val="00905A1D"/>
    <w:rsid w:val="00906341"/>
    <w:rsid w:val="00906434"/>
    <w:rsid w:val="0090670E"/>
    <w:rsid w:val="00906B76"/>
    <w:rsid w:val="009072A6"/>
    <w:rsid w:val="00907E09"/>
    <w:rsid w:val="00907EF4"/>
    <w:rsid w:val="00910601"/>
    <w:rsid w:val="00913086"/>
    <w:rsid w:val="00913173"/>
    <w:rsid w:val="009131A8"/>
    <w:rsid w:val="00913615"/>
    <w:rsid w:val="009136D9"/>
    <w:rsid w:val="00913A80"/>
    <w:rsid w:val="0091424E"/>
    <w:rsid w:val="00914667"/>
    <w:rsid w:val="00914947"/>
    <w:rsid w:val="00914CCD"/>
    <w:rsid w:val="009162B2"/>
    <w:rsid w:val="00916E29"/>
    <w:rsid w:val="00917178"/>
    <w:rsid w:val="00917DD3"/>
    <w:rsid w:val="00917EF0"/>
    <w:rsid w:val="009200EB"/>
    <w:rsid w:val="00921362"/>
    <w:rsid w:val="009216B1"/>
    <w:rsid w:val="00921DD0"/>
    <w:rsid w:val="00922568"/>
    <w:rsid w:val="009229F1"/>
    <w:rsid w:val="00922A34"/>
    <w:rsid w:val="0092362D"/>
    <w:rsid w:val="00923F5E"/>
    <w:rsid w:val="009241E4"/>
    <w:rsid w:val="009246C4"/>
    <w:rsid w:val="0092502D"/>
    <w:rsid w:val="009253D1"/>
    <w:rsid w:val="0092600D"/>
    <w:rsid w:val="00926652"/>
    <w:rsid w:val="00926D05"/>
    <w:rsid w:val="00926F45"/>
    <w:rsid w:val="00927292"/>
    <w:rsid w:val="0092748C"/>
    <w:rsid w:val="009274A5"/>
    <w:rsid w:val="009278BB"/>
    <w:rsid w:val="00930BA1"/>
    <w:rsid w:val="00930F17"/>
    <w:rsid w:val="009311C6"/>
    <w:rsid w:val="009312CF"/>
    <w:rsid w:val="009315FC"/>
    <w:rsid w:val="00931BF3"/>
    <w:rsid w:val="00933AC7"/>
    <w:rsid w:val="00934705"/>
    <w:rsid w:val="00934741"/>
    <w:rsid w:val="00934EF5"/>
    <w:rsid w:val="00935895"/>
    <w:rsid w:val="00936863"/>
    <w:rsid w:val="009368F0"/>
    <w:rsid w:val="00936B98"/>
    <w:rsid w:val="00936F86"/>
    <w:rsid w:val="00937C9A"/>
    <w:rsid w:val="00937DCE"/>
    <w:rsid w:val="0094013B"/>
    <w:rsid w:val="0094036C"/>
    <w:rsid w:val="0094052F"/>
    <w:rsid w:val="00940749"/>
    <w:rsid w:val="00940EEF"/>
    <w:rsid w:val="00940F18"/>
    <w:rsid w:val="009413E3"/>
    <w:rsid w:val="00941CB8"/>
    <w:rsid w:val="00942FE0"/>
    <w:rsid w:val="0094374E"/>
    <w:rsid w:val="00944BE2"/>
    <w:rsid w:val="00944F5D"/>
    <w:rsid w:val="009451C0"/>
    <w:rsid w:val="00945FF8"/>
    <w:rsid w:val="009462B4"/>
    <w:rsid w:val="00946F04"/>
    <w:rsid w:val="00946F47"/>
    <w:rsid w:val="00947166"/>
    <w:rsid w:val="00947271"/>
    <w:rsid w:val="00947599"/>
    <w:rsid w:val="009475CC"/>
    <w:rsid w:val="0094790B"/>
    <w:rsid w:val="00947DFF"/>
    <w:rsid w:val="00950623"/>
    <w:rsid w:val="0095085B"/>
    <w:rsid w:val="00950AC1"/>
    <w:rsid w:val="009510C2"/>
    <w:rsid w:val="00951130"/>
    <w:rsid w:val="00951782"/>
    <w:rsid w:val="00951B8C"/>
    <w:rsid w:val="009523CB"/>
    <w:rsid w:val="009535FC"/>
    <w:rsid w:val="00953F08"/>
    <w:rsid w:val="009547CE"/>
    <w:rsid w:val="00955777"/>
    <w:rsid w:val="00955C22"/>
    <w:rsid w:val="00955C64"/>
    <w:rsid w:val="00955E5F"/>
    <w:rsid w:val="0095612C"/>
    <w:rsid w:val="00956A3C"/>
    <w:rsid w:val="00956BDC"/>
    <w:rsid w:val="00957029"/>
    <w:rsid w:val="0095752C"/>
    <w:rsid w:val="00957B80"/>
    <w:rsid w:val="009604FD"/>
    <w:rsid w:val="009608E7"/>
    <w:rsid w:val="00960A23"/>
    <w:rsid w:val="00960B1C"/>
    <w:rsid w:val="00960F99"/>
    <w:rsid w:val="0096157E"/>
    <w:rsid w:val="00961990"/>
    <w:rsid w:val="009633C7"/>
    <w:rsid w:val="00963808"/>
    <w:rsid w:val="009644D0"/>
    <w:rsid w:val="0096493C"/>
    <w:rsid w:val="0096509A"/>
    <w:rsid w:val="0096541E"/>
    <w:rsid w:val="00965FAF"/>
    <w:rsid w:val="00966C76"/>
    <w:rsid w:val="00966CB2"/>
    <w:rsid w:val="009671F5"/>
    <w:rsid w:val="009677F9"/>
    <w:rsid w:val="00967D71"/>
    <w:rsid w:val="0097123C"/>
    <w:rsid w:val="0097150D"/>
    <w:rsid w:val="00971783"/>
    <w:rsid w:val="0097227D"/>
    <w:rsid w:val="009722A9"/>
    <w:rsid w:val="00973818"/>
    <w:rsid w:val="00973C6F"/>
    <w:rsid w:val="00974283"/>
    <w:rsid w:val="0097461C"/>
    <w:rsid w:val="0097487A"/>
    <w:rsid w:val="00975B03"/>
    <w:rsid w:val="00976262"/>
    <w:rsid w:val="009801A1"/>
    <w:rsid w:val="009806D6"/>
    <w:rsid w:val="00980EF2"/>
    <w:rsid w:val="0098104A"/>
    <w:rsid w:val="009814A5"/>
    <w:rsid w:val="0098152F"/>
    <w:rsid w:val="00981979"/>
    <w:rsid w:val="00981F70"/>
    <w:rsid w:val="00982112"/>
    <w:rsid w:val="00982F9B"/>
    <w:rsid w:val="00983107"/>
    <w:rsid w:val="0098341B"/>
    <w:rsid w:val="00983980"/>
    <w:rsid w:val="00984CBA"/>
    <w:rsid w:val="00985726"/>
    <w:rsid w:val="00985EE3"/>
    <w:rsid w:val="0098667A"/>
    <w:rsid w:val="00986A4C"/>
    <w:rsid w:val="00986B09"/>
    <w:rsid w:val="009876D5"/>
    <w:rsid w:val="00990827"/>
    <w:rsid w:val="0099082B"/>
    <w:rsid w:val="0099091A"/>
    <w:rsid w:val="00990A6B"/>
    <w:rsid w:val="0099175A"/>
    <w:rsid w:val="00991CFB"/>
    <w:rsid w:val="00992382"/>
    <w:rsid w:val="00992A24"/>
    <w:rsid w:val="00992D73"/>
    <w:rsid w:val="00993022"/>
    <w:rsid w:val="009931E4"/>
    <w:rsid w:val="009932D6"/>
    <w:rsid w:val="00993366"/>
    <w:rsid w:val="009941B6"/>
    <w:rsid w:val="00994D17"/>
    <w:rsid w:val="00994FB5"/>
    <w:rsid w:val="0099516D"/>
    <w:rsid w:val="00995DA0"/>
    <w:rsid w:val="00996AF5"/>
    <w:rsid w:val="00996B7A"/>
    <w:rsid w:val="00997084"/>
    <w:rsid w:val="0099793A"/>
    <w:rsid w:val="009A05F1"/>
    <w:rsid w:val="009A0BA9"/>
    <w:rsid w:val="009A15FC"/>
    <w:rsid w:val="009A214A"/>
    <w:rsid w:val="009A22D6"/>
    <w:rsid w:val="009A28DB"/>
    <w:rsid w:val="009A32F9"/>
    <w:rsid w:val="009A433F"/>
    <w:rsid w:val="009A4E59"/>
    <w:rsid w:val="009A51FE"/>
    <w:rsid w:val="009A5578"/>
    <w:rsid w:val="009A5898"/>
    <w:rsid w:val="009A6927"/>
    <w:rsid w:val="009A6B33"/>
    <w:rsid w:val="009A6E9D"/>
    <w:rsid w:val="009A7136"/>
    <w:rsid w:val="009A7F57"/>
    <w:rsid w:val="009B021E"/>
    <w:rsid w:val="009B024C"/>
    <w:rsid w:val="009B108E"/>
    <w:rsid w:val="009B129D"/>
    <w:rsid w:val="009B16AD"/>
    <w:rsid w:val="009B17C9"/>
    <w:rsid w:val="009B206F"/>
    <w:rsid w:val="009B35FD"/>
    <w:rsid w:val="009B398A"/>
    <w:rsid w:val="009B451C"/>
    <w:rsid w:val="009B4705"/>
    <w:rsid w:val="009B4745"/>
    <w:rsid w:val="009B479F"/>
    <w:rsid w:val="009B4A42"/>
    <w:rsid w:val="009B4E00"/>
    <w:rsid w:val="009B511E"/>
    <w:rsid w:val="009B5444"/>
    <w:rsid w:val="009B6138"/>
    <w:rsid w:val="009B6151"/>
    <w:rsid w:val="009B746D"/>
    <w:rsid w:val="009B779B"/>
    <w:rsid w:val="009B7D1E"/>
    <w:rsid w:val="009C141A"/>
    <w:rsid w:val="009C2524"/>
    <w:rsid w:val="009C437E"/>
    <w:rsid w:val="009C5C64"/>
    <w:rsid w:val="009C72BA"/>
    <w:rsid w:val="009C7C68"/>
    <w:rsid w:val="009D02D1"/>
    <w:rsid w:val="009D1387"/>
    <w:rsid w:val="009D2028"/>
    <w:rsid w:val="009D2B2C"/>
    <w:rsid w:val="009D2CE7"/>
    <w:rsid w:val="009D2E6C"/>
    <w:rsid w:val="009D3BDE"/>
    <w:rsid w:val="009D3CF0"/>
    <w:rsid w:val="009D3FC8"/>
    <w:rsid w:val="009D4937"/>
    <w:rsid w:val="009D6783"/>
    <w:rsid w:val="009D68D7"/>
    <w:rsid w:val="009D6A49"/>
    <w:rsid w:val="009D6BA7"/>
    <w:rsid w:val="009D6CDE"/>
    <w:rsid w:val="009D701B"/>
    <w:rsid w:val="009E0208"/>
    <w:rsid w:val="009E0B61"/>
    <w:rsid w:val="009E17CC"/>
    <w:rsid w:val="009E1F4A"/>
    <w:rsid w:val="009E2EDB"/>
    <w:rsid w:val="009E3BA7"/>
    <w:rsid w:val="009E5571"/>
    <w:rsid w:val="009E5647"/>
    <w:rsid w:val="009E595D"/>
    <w:rsid w:val="009E5CBB"/>
    <w:rsid w:val="009E6781"/>
    <w:rsid w:val="009E6A53"/>
    <w:rsid w:val="009F019F"/>
    <w:rsid w:val="009F01F3"/>
    <w:rsid w:val="009F156C"/>
    <w:rsid w:val="009F1CB0"/>
    <w:rsid w:val="009F1D74"/>
    <w:rsid w:val="009F1E46"/>
    <w:rsid w:val="009F28C1"/>
    <w:rsid w:val="009F4C34"/>
    <w:rsid w:val="009F507F"/>
    <w:rsid w:val="009F5E17"/>
    <w:rsid w:val="009F6B7B"/>
    <w:rsid w:val="009F7A0D"/>
    <w:rsid w:val="009F7BD3"/>
    <w:rsid w:val="009F7FD5"/>
    <w:rsid w:val="00A01C75"/>
    <w:rsid w:val="00A020BD"/>
    <w:rsid w:val="00A0230B"/>
    <w:rsid w:val="00A0230D"/>
    <w:rsid w:val="00A0286D"/>
    <w:rsid w:val="00A02AD3"/>
    <w:rsid w:val="00A02BFE"/>
    <w:rsid w:val="00A02E8F"/>
    <w:rsid w:val="00A04740"/>
    <w:rsid w:val="00A04B08"/>
    <w:rsid w:val="00A04BD2"/>
    <w:rsid w:val="00A04E97"/>
    <w:rsid w:val="00A0529F"/>
    <w:rsid w:val="00A05405"/>
    <w:rsid w:val="00A05460"/>
    <w:rsid w:val="00A05A61"/>
    <w:rsid w:val="00A06026"/>
    <w:rsid w:val="00A0637C"/>
    <w:rsid w:val="00A06FEA"/>
    <w:rsid w:val="00A07DCF"/>
    <w:rsid w:val="00A1058E"/>
    <w:rsid w:val="00A105C6"/>
    <w:rsid w:val="00A10630"/>
    <w:rsid w:val="00A11629"/>
    <w:rsid w:val="00A11832"/>
    <w:rsid w:val="00A11AB8"/>
    <w:rsid w:val="00A11BF6"/>
    <w:rsid w:val="00A12B6B"/>
    <w:rsid w:val="00A12C6B"/>
    <w:rsid w:val="00A12E31"/>
    <w:rsid w:val="00A13729"/>
    <w:rsid w:val="00A13798"/>
    <w:rsid w:val="00A1413B"/>
    <w:rsid w:val="00A14550"/>
    <w:rsid w:val="00A14647"/>
    <w:rsid w:val="00A146EF"/>
    <w:rsid w:val="00A14881"/>
    <w:rsid w:val="00A14A1F"/>
    <w:rsid w:val="00A14B7E"/>
    <w:rsid w:val="00A15304"/>
    <w:rsid w:val="00A15A2E"/>
    <w:rsid w:val="00A15D7E"/>
    <w:rsid w:val="00A16153"/>
    <w:rsid w:val="00A161DC"/>
    <w:rsid w:val="00A1620C"/>
    <w:rsid w:val="00A16931"/>
    <w:rsid w:val="00A16ADE"/>
    <w:rsid w:val="00A16CCD"/>
    <w:rsid w:val="00A16FC7"/>
    <w:rsid w:val="00A178A5"/>
    <w:rsid w:val="00A17A5E"/>
    <w:rsid w:val="00A17DB4"/>
    <w:rsid w:val="00A20881"/>
    <w:rsid w:val="00A2116C"/>
    <w:rsid w:val="00A211C5"/>
    <w:rsid w:val="00A21ABB"/>
    <w:rsid w:val="00A21B87"/>
    <w:rsid w:val="00A21C96"/>
    <w:rsid w:val="00A221F4"/>
    <w:rsid w:val="00A233D5"/>
    <w:rsid w:val="00A235D5"/>
    <w:rsid w:val="00A23653"/>
    <w:rsid w:val="00A237B5"/>
    <w:rsid w:val="00A24AF0"/>
    <w:rsid w:val="00A24CFC"/>
    <w:rsid w:val="00A24FB7"/>
    <w:rsid w:val="00A25160"/>
    <w:rsid w:val="00A262C8"/>
    <w:rsid w:val="00A26971"/>
    <w:rsid w:val="00A27481"/>
    <w:rsid w:val="00A27F87"/>
    <w:rsid w:val="00A300D5"/>
    <w:rsid w:val="00A307AD"/>
    <w:rsid w:val="00A31407"/>
    <w:rsid w:val="00A330BA"/>
    <w:rsid w:val="00A33366"/>
    <w:rsid w:val="00A336F3"/>
    <w:rsid w:val="00A33C00"/>
    <w:rsid w:val="00A34085"/>
    <w:rsid w:val="00A35B63"/>
    <w:rsid w:val="00A35E4B"/>
    <w:rsid w:val="00A362C4"/>
    <w:rsid w:val="00A363E0"/>
    <w:rsid w:val="00A36A2C"/>
    <w:rsid w:val="00A36CA0"/>
    <w:rsid w:val="00A36CE9"/>
    <w:rsid w:val="00A37A3A"/>
    <w:rsid w:val="00A37C2E"/>
    <w:rsid w:val="00A37EE7"/>
    <w:rsid w:val="00A4049B"/>
    <w:rsid w:val="00A415BB"/>
    <w:rsid w:val="00A41643"/>
    <w:rsid w:val="00A41894"/>
    <w:rsid w:val="00A4195B"/>
    <w:rsid w:val="00A42D93"/>
    <w:rsid w:val="00A43803"/>
    <w:rsid w:val="00A43DDD"/>
    <w:rsid w:val="00A44135"/>
    <w:rsid w:val="00A449CC"/>
    <w:rsid w:val="00A45A6F"/>
    <w:rsid w:val="00A45C6C"/>
    <w:rsid w:val="00A45D41"/>
    <w:rsid w:val="00A45EE8"/>
    <w:rsid w:val="00A460F2"/>
    <w:rsid w:val="00A463A8"/>
    <w:rsid w:val="00A466D8"/>
    <w:rsid w:val="00A47077"/>
    <w:rsid w:val="00A47470"/>
    <w:rsid w:val="00A514AB"/>
    <w:rsid w:val="00A518FA"/>
    <w:rsid w:val="00A51B5E"/>
    <w:rsid w:val="00A52406"/>
    <w:rsid w:val="00A526FD"/>
    <w:rsid w:val="00A53105"/>
    <w:rsid w:val="00A533A4"/>
    <w:rsid w:val="00A53442"/>
    <w:rsid w:val="00A5390E"/>
    <w:rsid w:val="00A545C1"/>
    <w:rsid w:val="00A54759"/>
    <w:rsid w:val="00A54C4D"/>
    <w:rsid w:val="00A54E08"/>
    <w:rsid w:val="00A54EF3"/>
    <w:rsid w:val="00A54FF5"/>
    <w:rsid w:val="00A565C4"/>
    <w:rsid w:val="00A56618"/>
    <w:rsid w:val="00A566EE"/>
    <w:rsid w:val="00A567A1"/>
    <w:rsid w:val="00A56BD3"/>
    <w:rsid w:val="00A570FF"/>
    <w:rsid w:val="00A61C42"/>
    <w:rsid w:val="00A61FC4"/>
    <w:rsid w:val="00A62654"/>
    <w:rsid w:val="00A62B30"/>
    <w:rsid w:val="00A63F7D"/>
    <w:rsid w:val="00A641EB"/>
    <w:rsid w:val="00A64391"/>
    <w:rsid w:val="00A64F98"/>
    <w:rsid w:val="00A66DFA"/>
    <w:rsid w:val="00A67D9F"/>
    <w:rsid w:val="00A701AB"/>
    <w:rsid w:val="00A70306"/>
    <w:rsid w:val="00A704D0"/>
    <w:rsid w:val="00A70978"/>
    <w:rsid w:val="00A70C28"/>
    <w:rsid w:val="00A70CBD"/>
    <w:rsid w:val="00A71944"/>
    <w:rsid w:val="00A71BCF"/>
    <w:rsid w:val="00A71C07"/>
    <w:rsid w:val="00A71DBC"/>
    <w:rsid w:val="00A7235A"/>
    <w:rsid w:val="00A723AA"/>
    <w:rsid w:val="00A72444"/>
    <w:rsid w:val="00A727F5"/>
    <w:rsid w:val="00A72F18"/>
    <w:rsid w:val="00A73608"/>
    <w:rsid w:val="00A73C6C"/>
    <w:rsid w:val="00A76117"/>
    <w:rsid w:val="00A76C3D"/>
    <w:rsid w:val="00A76C7C"/>
    <w:rsid w:val="00A774AA"/>
    <w:rsid w:val="00A7755E"/>
    <w:rsid w:val="00A80740"/>
    <w:rsid w:val="00A82002"/>
    <w:rsid w:val="00A824CB"/>
    <w:rsid w:val="00A8304B"/>
    <w:rsid w:val="00A84D0F"/>
    <w:rsid w:val="00A8572B"/>
    <w:rsid w:val="00A85B8A"/>
    <w:rsid w:val="00A86213"/>
    <w:rsid w:val="00A86360"/>
    <w:rsid w:val="00A8651C"/>
    <w:rsid w:val="00A86EAC"/>
    <w:rsid w:val="00A86ED9"/>
    <w:rsid w:val="00A8729A"/>
    <w:rsid w:val="00A87706"/>
    <w:rsid w:val="00A87CC4"/>
    <w:rsid w:val="00A87FFE"/>
    <w:rsid w:val="00A90E5C"/>
    <w:rsid w:val="00A91F73"/>
    <w:rsid w:val="00A92C7D"/>
    <w:rsid w:val="00A92E79"/>
    <w:rsid w:val="00A93115"/>
    <w:rsid w:val="00A93142"/>
    <w:rsid w:val="00A94C41"/>
    <w:rsid w:val="00A95488"/>
    <w:rsid w:val="00A957A3"/>
    <w:rsid w:val="00A95848"/>
    <w:rsid w:val="00A95961"/>
    <w:rsid w:val="00A965A0"/>
    <w:rsid w:val="00A96628"/>
    <w:rsid w:val="00A96AC4"/>
    <w:rsid w:val="00A96DC0"/>
    <w:rsid w:val="00A97774"/>
    <w:rsid w:val="00A97D78"/>
    <w:rsid w:val="00AA0373"/>
    <w:rsid w:val="00AA0A74"/>
    <w:rsid w:val="00AA1286"/>
    <w:rsid w:val="00AA1896"/>
    <w:rsid w:val="00AA1B57"/>
    <w:rsid w:val="00AA1F87"/>
    <w:rsid w:val="00AA2BFB"/>
    <w:rsid w:val="00AA2E53"/>
    <w:rsid w:val="00AA35F6"/>
    <w:rsid w:val="00AA48C4"/>
    <w:rsid w:val="00AA5493"/>
    <w:rsid w:val="00AA561E"/>
    <w:rsid w:val="00AA60D3"/>
    <w:rsid w:val="00AA6588"/>
    <w:rsid w:val="00AA6869"/>
    <w:rsid w:val="00AA688C"/>
    <w:rsid w:val="00AA6FC6"/>
    <w:rsid w:val="00AA789A"/>
    <w:rsid w:val="00AA7BC1"/>
    <w:rsid w:val="00AB00B6"/>
    <w:rsid w:val="00AB02AF"/>
    <w:rsid w:val="00AB06F5"/>
    <w:rsid w:val="00AB092B"/>
    <w:rsid w:val="00AB11CC"/>
    <w:rsid w:val="00AB1AC4"/>
    <w:rsid w:val="00AB1C26"/>
    <w:rsid w:val="00AB1C3F"/>
    <w:rsid w:val="00AB1E62"/>
    <w:rsid w:val="00AB210C"/>
    <w:rsid w:val="00AB38CA"/>
    <w:rsid w:val="00AB4ABC"/>
    <w:rsid w:val="00AB5298"/>
    <w:rsid w:val="00AB541A"/>
    <w:rsid w:val="00AB5569"/>
    <w:rsid w:val="00AB5BF6"/>
    <w:rsid w:val="00AB651D"/>
    <w:rsid w:val="00AB69A8"/>
    <w:rsid w:val="00AB6AEC"/>
    <w:rsid w:val="00AB79AD"/>
    <w:rsid w:val="00AB7C93"/>
    <w:rsid w:val="00AB7E8E"/>
    <w:rsid w:val="00AC0612"/>
    <w:rsid w:val="00AC0637"/>
    <w:rsid w:val="00AC0791"/>
    <w:rsid w:val="00AC0F33"/>
    <w:rsid w:val="00AC0FE0"/>
    <w:rsid w:val="00AC1B2F"/>
    <w:rsid w:val="00AC1DA5"/>
    <w:rsid w:val="00AC2020"/>
    <w:rsid w:val="00AC2467"/>
    <w:rsid w:val="00AC2989"/>
    <w:rsid w:val="00AC2A64"/>
    <w:rsid w:val="00AC3384"/>
    <w:rsid w:val="00AC49B1"/>
    <w:rsid w:val="00AC4A70"/>
    <w:rsid w:val="00AC4AFA"/>
    <w:rsid w:val="00AC582B"/>
    <w:rsid w:val="00AC5AEA"/>
    <w:rsid w:val="00AC5AEE"/>
    <w:rsid w:val="00AC5DA3"/>
    <w:rsid w:val="00AC6A7D"/>
    <w:rsid w:val="00AC738D"/>
    <w:rsid w:val="00AC7EBF"/>
    <w:rsid w:val="00AD0611"/>
    <w:rsid w:val="00AD08A3"/>
    <w:rsid w:val="00AD1D20"/>
    <w:rsid w:val="00AD25ED"/>
    <w:rsid w:val="00AD2B6E"/>
    <w:rsid w:val="00AD2FB2"/>
    <w:rsid w:val="00AD32F2"/>
    <w:rsid w:val="00AD3D14"/>
    <w:rsid w:val="00AD470C"/>
    <w:rsid w:val="00AD4955"/>
    <w:rsid w:val="00AD4BA6"/>
    <w:rsid w:val="00AD5727"/>
    <w:rsid w:val="00AD5A8D"/>
    <w:rsid w:val="00AD60D3"/>
    <w:rsid w:val="00AD721A"/>
    <w:rsid w:val="00AD74B5"/>
    <w:rsid w:val="00AD787E"/>
    <w:rsid w:val="00AD7B7A"/>
    <w:rsid w:val="00AE006B"/>
    <w:rsid w:val="00AE0378"/>
    <w:rsid w:val="00AE0CBC"/>
    <w:rsid w:val="00AE1401"/>
    <w:rsid w:val="00AE19E1"/>
    <w:rsid w:val="00AE19E4"/>
    <w:rsid w:val="00AE1A4A"/>
    <w:rsid w:val="00AE1FAA"/>
    <w:rsid w:val="00AE27A8"/>
    <w:rsid w:val="00AE2963"/>
    <w:rsid w:val="00AE3C2C"/>
    <w:rsid w:val="00AE3CB6"/>
    <w:rsid w:val="00AE3D7B"/>
    <w:rsid w:val="00AE4744"/>
    <w:rsid w:val="00AE4C53"/>
    <w:rsid w:val="00AE5048"/>
    <w:rsid w:val="00AE555E"/>
    <w:rsid w:val="00AE6FEF"/>
    <w:rsid w:val="00AE7429"/>
    <w:rsid w:val="00AF032B"/>
    <w:rsid w:val="00AF0354"/>
    <w:rsid w:val="00AF06AE"/>
    <w:rsid w:val="00AF0FF8"/>
    <w:rsid w:val="00AF17DB"/>
    <w:rsid w:val="00AF278A"/>
    <w:rsid w:val="00AF2F7E"/>
    <w:rsid w:val="00AF30D5"/>
    <w:rsid w:val="00AF373C"/>
    <w:rsid w:val="00AF3C1B"/>
    <w:rsid w:val="00AF3E17"/>
    <w:rsid w:val="00AF4481"/>
    <w:rsid w:val="00AF4C94"/>
    <w:rsid w:val="00AF54CD"/>
    <w:rsid w:val="00AF5A24"/>
    <w:rsid w:val="00AF5DC5"/>
    <w:rsid w:val="00AF6098"/>
    <w:rsid w:val="00AF64C8"/>
    <w:rsid w:val="00AF76CE"/>
    <w:rsid w:val="00AF7D19"/>
    <w:rsid w:val="00B008F2"/>
    <w:rsid w:val="00B00EB6"/>
    <w:rsid w:val="00B01105"/>
    <w:rsid w:val="00B01280"/>
    <w:rsid w:val="00B0226C"/>
    <w:rsid w:val="00B022DA"/>
    <w:rsid w:val="00B02C82"/>
    <w:rsid w:val="00B02EAA"/>
    <w:rsid w:val="00B0304A"/>
    <w:rsid w:val="00B033CE"/>
    <w:rsid w:val="00B0392C"/>
    <w:rsid w:val="00B0394C"/>
    <w:rsid w:val="00B04943"/>
    <w:rsid w:val="00B0503B"/>
    <w:rsid w:val="00B054A8"/>
    <w:rsid w:val="00B05551"/>
    <w:rsid w:val="00B055E2"/>
    <w:rsid w:val="00B062A7"/>
    <w:rsid w:val="00B065C2"/>
    <w:rsid w:val="00B06B6C"/>
    <w:rsid w:val="00B0741E"/>
    <w:rsid w:val="00B07795"/>
    <w:rsid w:val="00B07E20"/>
    <w:rsid w:val="00B07F4D"/>
    <w:rsid w:val="00B10759"/>
    <w:rsid w:val="00B107BA"/>
    <w:rsid w:val="00B110DC"/>
    <w:rsid w:val="00B1130A"/>
    <w:rsid w:val="00B118C6"/>
    <w:rsid w:val="00B11B8E"/>
    <w:rsid w:val="00B11F43"/>
    <w:rsid w:val="00B124C2"/>
    <w:rsid w:val="00B12EBF"/>
    <w:rsid w:val="00B1370D"/>
    <w:rsid w:val="00B13B9B"/>
    <w:rsid w:val="00B13F4D"/>
    <w:rsid w:val="00B14065"/>
    <w:rsid w:val="00B14314"/>
    <w:rsid w:val="00B145E9"/>
    <w:rsid w:val="00B148D7"/>
    <w:rsid w:val="00B14AA2"/>
    <w:rsid w:val="00B14AF5"/>
    <w:rsid w:val="00B14CC6"/>
    <w:rsid w:val="00B14CEC"/>
    <w:rsid w:val="00B15F97"/>
    <w:rsid w:val="00B208A0"/>
    <w:rsid w:val="00B21E02"/>
    <w:rsid w:val="00B22AF8"/>
    <w:rsid w:val="00B22DAC"/>
    <w:rsid w:val="00B23123"/>
    <w:rsid w:val="00B2351C"/>
    <w:rsid w:val="00B2382C"/>
    <w:rsid w:val="00B2461D"/>
    <w:rsid w:val="00B256CC"/>
    <w:rsid w:val="00B2581E"/>
    <w:rsid w:val="00B25AE2"/>
    <w:rsid w:val="00B2748D"/>
    <w:rsid w:val="00B27CE8"/>
    <w:rsid w:val="00B302E0"/>
    <w:rsid w:val="00B30481"/>
    <w:rsid w:val="00B306E0"/>
    <w:rsid w:val="00B31465"/>
    <w:rsid w:val="00B32512"/>
    <w:rsid w:val="00B32F96"/>
    <w:rsid w:val="00B3368B"/>
    <w:rsid w:val="00B337DE"/>
    <w:rsid w:val="00B349B8"/>
    <w:rsid w:val="00B34DA2"/>
    <w:rsid w:val="00B35BB9"/>
    <w:rsid w:val="00B37A38"/>
    <w:rsid w:val="00B37D43"/>
    <w:rsid w:val="00B4025B"/>
    <w:rsid w:val="00B408D4"/>
    <w:rsid w:val="00B40B4C"/>
    <w:rsid w:val="00B41D77"/>
    <w:rsid w:val="00B41F64"/>
    <w:rsid w:val="00B42410"/>
    <w:rsid w:val="00B431D8"/>
    <w:rsid w:val="00B43C31"/>
    <w:rsid w:val="00B43FEC"/>
    <w:rsid w:val="00B44500"/>
    <w:rsid w:val="00B449A6"/>
    <w:rsid w:val="00B449AD"/>
    <w:rsid w:val="00B45701"/>
    <w:rsid w:val="00B45D98"/>
    <w:rsid w:val="00B46FC4"/>
    <w:rsid w:val="00B47046"/>
    <w:rsid w:val="00B473EA"/>
    <w:rsid w:val="00B47A35"/>
    <w:rsid w:val="00B47EC5"/>
    <w:rsid w:val="00B50565"/>
    <w:rsid w:val="00B50D0D"/>
    <w:rsid w:val="00B51E5B"/>
    <w:rsid w:val="00B51EAC"/>
    <w:rsid w:val="00B5205B"/>
    <w:rsid w:val="00B5429A"/>
    <w:rsid w:val="00B543BD"/>
    <w:rsid w:val="00B54708"/>
    <w:rsid w:val="00B548D3"/>
    <w:rsid w:val="00B54FBC"/>
    <w:rsid w:val="00B552A3"/>
    <w:rsid w:val="00B553C0"/>
    <w:rsid w:val="00B55C47"/>
    <w:rsid w:val="00B5618D"/>
    <w:rsid w:val="00B56311"/>
    <w:rsid w:val="00B578DC"/>
    <w:rsid w:val="00B579E3"/>
    <w:rsid w:val="00B6019D"/>
    <w:rsid w:val="00B604B3"/>
    <w:rsid w:val="00B60945"/>
    <w:rsid w:val="00B60FFB"/>
    <w:rsid w:val="00B615E2"/>
    <w:rsid w:val="00B62693"/>
    <w:rsid w:val="00B63A43"/>
    <w:rsid w:val="00B63C00"/>
    <w:rsid w:val="00B63DDF"/>
    <w:rsid w:val="00B640F4"/>
    <w:rsid w:val="00B642F1"/>
    <w:rsid w:val="00B64AA1"/>
    <w:rsid w:val="00B6526F"/>
    <w:rsid w:val="00B65721"/>
    <w:rsid w:val="00B65893"/>
    <w:rsid w:val="00B658B6"/>
    <w:rsid w:val="00B65948"/>
    <w:rsid w:val="00B65DBE"/>
    <w:rsid w:val="00B66014"/>
    <w:rsid w:val="00B66E59"/>
    <w:rsid w:val="00B6795F"/>
    <w:rsid w:val="00B67F14"/>
    <w:rsid w:val="00B71103"/>
    <w:rsid w:val="00B71206"/>
    <w:rsid w:val="00B71A51"/>
    <w:rsid w:val="00B71DA7"/>
    <w:rsid w:val="00B721E5"/>
    <w:rsid w:val="00B72472"/>
    <w:rsid w:val="00B72A10"/>
    <w:rsid w:val="00B73619"/>
    <w:rsid w:val="00B73DFF"/>
    <w:rsid w:val="00B73EE7"/>
    <w:rsid w:val="00B74366"/>
    <w:rsid w:val="00B74A65"/>
    <w:rsid w:val="00B75791"/>
    <w:rsid w:val="00B75AD3"/>
    <w:rsid w:val="00B7662A"/>
    <w:rsid w:val="00B76C8A"/>
    <w:rsid w:val="00B76D46"/>
    <w:rsid w:val="00B76DBA"/>
    <w:rsid w:val="00B76F1C"/>
    <w:rsid w:val="00B771F5"/>
    <w:rsid w:val="00B77564"/>
    <w:rsid w:val="00B7756E"/>
    <w:rsid w:val="00B800A7"/>
    <w:rsid w:val="00B81359"/>
    <w:rsid w:val="00B81701"/>
    <w:rsid w:val="00B82228"/>
    <w:rsid w:val="00B822BD"/>
    <w:rsid w:val="00B824DB"/>
    <w:rsid w:val="00B827BC"/>
    <w:rsid w:val="00B8332C"/>
    <w:rsid w:val="00B845DF"/>
    <w:rsid w:val="00B846E5"/>
    <w:rsid w:val="00B85A3A"/>
    <w:rsid w:val="00B861CB"/>
    <w:rsid w:val="00B86EA4"/>
    <w:rsid w:val="00B87252"/>
    <w:rsid w:val="00B8730B"/>
    <w:rsid w:val="00B8772F"/>
    <w:rsid w:val="00B87CDB"/>
    <w:rsid w:val="00B87F8D"/>
    <w:rsid w:val="00B90EE0"/>
    <w:rsid w:val="00B91D85"/>
    <w:rsid w:val="00B925EF"/>
    <w:rsid w:val="00B92746"/>
    <w:rsid w:val="00B92E2D"/>
    <w:rsid w:val="00B9318B"/>
    <w:rsid w:val="00B93480"/>
    <w:rsid w:val="00B93CEA"/>
    <w:rsid w:val="00B93D18"/>
    <w:rsid w:val="00B940C1"/>
    <w:rsid w:val="00B9419B"/>
    <w:rsid w:val="00B94637"/>
    <w:rsid w:val="00B9522D"/>
    <w:rsid w:val="00B959F6"/>
    <w:rsid w:val="00B963B6"/>
    <w:rsid w:val="00B96690"/>
    <w:rsid w:val="00B968BB"/>
    <w:rsid w:val="00B96A2C"/>
    <w:rsid w:val="00B97E90"/>
    <w:rsid w:val="00B97EDF"/>
    <w:rsid w:val="00BA15CA"/>
    <w:rsid w:val="00BA15D7"/>
    <w:rsid w:val="00BA1CD3"/>
    <w:rsid w:val="00BA3064"/>
    <w:rsid w:val="00BA3113"/>
    <w:rsid w:val="00BA3347"/>
    <w:rsid w:val="00BA3DD4"/>
    <w:rsid w:val="00BA42CB"/>
    <w:rsid w:val="00BA64ED"/>
    <w:rsid w:val="00BA6B31"/>
    <w:rsid w:val="00BA6E92"/>
    <w:rsid w:val="00BA7204"/>
    <w:rsid w:val="00BA7A4E"/>
    <w:rsid w:val="00BB028C"/>
    <w:rsid w:val="00BB0DDC"/>
    <w:rsid w:val="00BB107C"/>
    <w:rsid w:val="00BB10CA"/>
    <w:rsid w:val="00BB19E1"/>
    <w:rsid w:val="00BB1A85"/>
    <w:rsid w:val="00BB29C4"/>
    <w:rsid w:val="00BB2CD1"/>
    <w:rsid w:val="00BB3021"/>
    <w:rsid w:val="00BB369D"/>
    <w:rsid w:val="00BB39AB"/>
    <w:rsid w:val="00BB3BDE"/>
    <w:rsid w:val="00BB3CFE"/>
    <w:rsid w:val="00BB4638"/>
    <w:rsid w:val="00BB4D5A"/>
    <w:rsid w:val="00BB53F1"/>
    <w:rsid w:val="00BB556B"/>
    <w:rsid w:val="00BB6A8D"/>
    <w:rsid w:val="00BB6B38"/>
    <w:rsid w:val="00BB7746"/>
    <w:rsid w:val="00BB7AC6"/>
    <w:rsid w:val="00BC00F4"/>
    <w:rsid w:val="00BC033E"/>
    <w:rsid w:val="00BC125D"/>
    <w:rsid w:val="00BC15F8"/>
    <w:rsid w:val="00BC1C7B"/>
    <w:rsid w:val="00BC1CDC"/>
    <w:rsid w:val="00BC20D0"/>
    <w:rsid w:val="00BC23C2"/>
    <w:rsid w:val="00BC2AE0"/>
    <w:rsid w:val="00BC2D5E"/>
    <w:rsid w:val="00BC3307"/>
    <w:rsid w:val="00BC37DA"/>
    <w:rsid w:val="00BC3C26"/>
    <w:rsid w:val="00BC3DAB"/>
    <w:rsid w:val="00BC409D"/>
    <w:rsid w:val="00BC5268"/>
    <w:rsid w:val="00BC54ED"/>
    <w:rsid w:val="00BC622A"/>
    <w:rsid w:val="00BC6EDB"/>
    <w:rsid w:val="00BC77B7"/>
    <w:rsid w:val="00BC7E9F"/>
    <w:rsid w:val="00BD0A40"/>
    <w:rsid w:val="00BD0C4A"/>
    <w:rsid w:val="00BD15BA"/>
    <w:rsid w:val="00BD2A53"/>
    <w:rsid w:val="00BD3086"/>
    <w:rsid w:val="00BD44C6"/>
    <w:rsid w:val="00BD4C17"/>
    <w:rsid w:val="00BD4E50"/>
    <w:rsid w:val="00BD5571"/>
    <w:rsid w:val="00BD5CD5"/>
    <w:rsid w:val="00BD64DD"/>
    <w:rsid w:val="00BD70EB"/>
    <w:rsid w:val="00BD7301"/>
    <w:rsid w:val="00BD7E99"/>
    <w:rsid w:val="00BE16CB"/>
    <w:rsid w:val="00BE1B7D"/>
    <w:rsid w:val="00BE1D6B"/>
    <w:rsid w:val="00BE22CA"/>
    <w:rsid w:val="00BE2AF3"/>
    <w:rsid w:val="00BE2CBD"/>
    <w:rsid w:val="00BE3824"/>
    <w:rsid w:val="00BE468A"/>
    <w:rsid w:val="00BE5D4C"/>
    <w:rsid w:val="00BE6092"/>
    <w:rsid w:val="00BE6729"/>
    <w:rsid w:val="00BE6D46"/>
    <w:rsid w:val="00BE6F27"/>
    <w:rsid w:val="00BE7485"/>
    <w:rsid w:val="00BF06EB"/>
    <w:rsid w:val="00BF0B8F"/>
    <w:rsid w:val="00BF11AA"/>
    <w:rsid w:val="00BF2885"/>
    <w:rsid w:val="00BF2916"/>
    <w:rsid w:val="00BF2B0C"/>
    <w:rsid w:val="00BF2D4B"/>
    <w:rsid w:val="00BF31E2"/>
    <w:rsid w:val="00BF348B"/>
    <w:rsid w:val="00BF3680"/>
    <w:rsid w:val="00BF40B2"/>
    <w:rsid w:val="00BF44C4"/>
    <w:rsid w:val="00BF44DC"/>
    <w:rsid w:val="00BF500E"/>
    <w:rsid w:val="00BF5260"/>
    <w:rsid w:val="00BF563C"/>
    <w:rsid w:val="00BF5C35"/>
    <w:rsid w:val="00BF5E01"/>
    <w:rsid w:val="00BF6882"/>
    <w:rsid w:val="00BF6A99"/>
    <w:rsid w:val="00BF714F"/>
    <w:rsid w:val="00BF75FC"/>
    <w:rsid w:val="00C003A1"/>
    <w:rsid w:val="00C011D0"/>
    <w:rsid w:val="00C0184A"/>
    <w:rsid w:val="00C01910"/>
    <w:rsid w:val="00C01BFE"/>
    <w:rsid w:val="00C021A5"/>
    <w:rsid w:val="00C022F3"/>
    <w:rsid w:val="00C02C35"/>
    <w:rsid w:val="00C02CA2"/>
    <w:rsid w:val="00C02E21"/>
    <w:rsid w:val="00C038B6"/>
    <w:rsid w:val="00C0444D"/>
    <w:rsid w:val="00C04750"/>
    <w:rsid w:val="00C04A22"/>
    <w:rsid w:val="00C0501C"/>
    <w:rsid w:val="00C054D1"/>
    <w:rsid w:val="00C05AA7"/>
    <w:rsid w:val="00C06153"/>
    <w:rsid w:val="00C06261"/>
    <w:rsid w:val="00C06D69"/>
    <w:rsid w:val="00C06E12"/>
    <w:rsid w:val="00C06EFE"/>
    <w:rsid w:val="00C06F9C"/>
    <w:rsid w:val="00C0703C"/>
    <w:rsid w:val="00C07484"/>
    <w:rsid w:val="00C1017C"/>
    <w:rsid w:val="00C1022E"/>
    <w:rsid w:val="00C1039D"/>
    <w:rsid w:val="00C10815"/>
    <w:rsid w:val="00C1223D"/>
    <w:rsid w:val="00C124BE"/>
    <w:rsid w:val="00C12998"/>
    <w:rsid w:val="00C13494"/>
    <w:rsid w:val="00C138FC"/>
    <w:rsid w:val="00C13F47"/>
    <w:rsid w:val="00C14793"/>
    <w:rsid w:val="00C1485D"/>
    <w:rsid w:val="00C15381"/>
    <w:rsid w:val="00C158BF"/>
    <w:rsid w:val="00C16986"/>
    <w:rsid w:val="00C16DAC"/>
    <w:rsid w:val="00C16E41"/>
    <w:rsid w:val="00C16FF7"/>
    <w:rsid w:val="00C171F3"/>
    <w:rsid w:val="00C1773C"/>
    <w:rsid w:val="00C17963"/>
    <w:rsid w:val="00C2069E"/>
    <w:rsid w:val="00C208C3"/>
    <w:rsid w:val="00C20970"/>
    <w:rsid w:val="00C20FDD"/>
    <w:rsid w:val="00C211D9"/>
    <w:rsid w:val="00C220F2"/>
    <w:rsid w:val="00C22426"/>
    <w:rsid w:val="00C23A88"/>
    <w:rsid w:val="00C23C2E"/>
    <w:rsid w:val="00C248FF"/>
    <w:rsid w:val="00C25935"/>
    <w:rsid w:val="00C278B5"/>
    <w:rsid w:val="00C27CEC"/>
    <w:rsid w:val="00C27EC9"/>
    <w:rsid w:val="00C30981"/>
    <w:rsid w:val="00C31336"/>
    <w:rsid w:val="00C3200D"/>
    <w:rsid w:val="00C325B7"/>
    <w:rsid w:val="00C32968"/>
    <w:rsid w:val="00C32A57"/>
    <w:rsid w:val="00C34277"/>
    <w:rsid w:val="00C347E7"/>
    <w:rsid w:val="00C34AEB"/>
    <w:rsid w:val="00C351EA"/>
    <w:rsid w:val="00C35AB6"/>
    <w:rsid w:val="00C3695A"/>
    <w:rsid w:val="00C36A87"/>
    <w:rsid w:val="00C36B97"/>
    <w:rsid w:val="00C37AC0"/>
    <w:rsid w:val="00C37D3F"/>
    <w:rsid w:val="00C40284"/>
    <w:rsid w:val="00C40B4B"/>
    <w:rsid w:val="00C40DE4"/>
    <w:rsid w:val="00C41C55"/>
    <w:rsid w:val="00C42595"/>
    <w:rsid w:val="00C43E78"/>
    <w:rsid w:val="00C44314"/>
    <w:rsid w:val="00C4464E"/>
    <w:rsid w:val="00C45E1E"/>
    <w:rsid w:val="00C46AD9"/>
    <w:rsid w:val="00C46BB1"/>
    <w:rsid w:val="00C50BAC"/>
    <w:rsid w:val="00C51E69"/>
    <w:rsid w:val="00C52505"/>
    <w:rsid w:val="00C525E8"/>
    <w:rsid w:val="00C53C87"/>
    <w:rsid w:val="00C53F02"/>
    <w:rsid w:val="00C53F8B"/>
    <w:rsid w:val="00C54049"/>
    <w:rsid w:val="00C54DE5"/>
    <w:rsid w:val="00C556FA"/>
    <w:rsid w:val="00C56897"/>
    <w:rsid w:val="00C56976"/>
    <w:rsid w:val="00C56C07"/>
    <w:rsid w:val="00C56F23"/>
    <w:rsid w:val="00C574D1"/>
    <w:rsid w:val="00C57C61"/>
    <w:rsid w:val="00C601AC"/>
    <w:rsid w:val="00C60253"/>
    <w:rsid w:val="00C60267"/>
    <w:rsid w:val="00C6065A"/>
    <w:rsid w:val="00C60A4A"/>
    <w:rsid w:val="00C60AFF"/>
    <w:rsid w:val="00C619E6"/>
    <w:rsid w:val="00C61AB2"/>
    <w:rsid w:val="00C61DA1"/>
    <w:rsid w:val="00C61E98"/>
    <w:rsid w:val="00C6200C"/>
    <w:rsid w:val="00C62AD1"/>
    <w:rsid w:val="00C62CEC"/>
    <w:rsid w:val="00C62E99"/>
    <w:rsid w:val="00C634AF"/>
    <w:rsid w:val="00C6378F"/>
    <w:rsid w:val="00C6471B"/>
    <w:rsid w:val="00C655B6"/>
    <w:rsid w:val="00C65F35"/>
    <w:rsid w:val="00C665D5"/>
    <w:rsid w:val="00C670D4"/>
    <w:rsid w:val="00C67188"/>
    <w:rsid w:val="00C672BD"/>
    <w:rsid w:val="00C67615"/>
    <w:rsid w:val="00C679E7"/>
    <w:rsid w:val="00C704FF"/>
    <w:rsid w:val="00C7077E"/>
    <w:rsid w:val="00C70D06"/>
    <w:rsid w:val="00C7286E"/>
    <w:rsid w:val="00C729A3"/>
    <w:rsid w:val="00C73040"/>
    <w:rsid w:val="00C739B7"/>
    <w:rsid w:val="00C73A2A"/>
    <w:rsid w:val="00C74206"/>
    <w:rsid w:val="00C74B93"/>
    <w:rsid w:val="00C75768"/>
    <w:rsid w:val="00C75C9F"/>
    <w:rsid w:val="00C75E6A"/>
    <w:rsid w:val="00C75FF5"/>
    <w:rsid w:val="00C76921"/>
    <w:rsid w:val="00C76B7F"/>
    <w:rsid w:val="00C76BDC"/>
    <w:rsid w:val="00C76DB9"/>
    <w:rsid w:val="00C770CC"/>
    <w:rsid w:val="00C771E4"/>
    <w:rsid w:val="00C772D2"/>
    <w:rsid w:val="00C772DD"/>
    <w:rsid w:val="00C778B7"/>
    <w:rsid w:val="00C77AD8"/>
    <w:rsid w:val="00C77FC0"/>
    <w:rsid w:val="00C80FB3"/>
    <w:rsid w:val="00C8101B"/>
    <w:rsid w:val="00C81071"/>
    <w:rsid w:val="00C815BD"/>
    <w:rsid w:val="00C81C0B"/>
    <w:rsid w:val="00C83265"/>
    <w:rsid w:val="00C835FC"/>
    <w:rsid w:val="00C84FA1"/>
    <w:rsid w:val="00C878CB"/>
    <w:rsid w:val="00C90375"/>
    <w:rsid w:val="00C90800"/>
    <w:rsid w:val="00C90F79"/>
    <w:rsid w:val="00C90F9D"/>
    <w:rsid w:val="00C9114E"/>
    <w:rsid w:val="00C9117B"/>
    <w:rsid w:val="00C9120A"/>
    <w:rsid w:val="00C913DD"/>
    <w:rsid w:val="00C914FD"/>
    <w:rsid w:val="00C91871"/>
    <w:rsid w:val="00C9198C"/>
    <w:rsid w:val="00C9263B"/>
    <w:rsid w:val="00C9279A"/>
    <w:rsid w:val="00C92C82"/>
    <w:rsid w:val="00C92D42"/>
    <w:rsid w:val="00C932D5"/>
    <w:rsid w:val="00C9343C"/>
    <w:rsid w:val="00C93F3C"/>
    <w:rsid w:val="00C949CB"/>
    <w:rsid w:val="00C951A4"/>
    <w:rsid w:val="00C9544E"/>
    <w:rsid w:val="00C968BD"/>
    <w:rsid w:val="00C96DEF"/>
    <w:rsid w:val="00C96E26"/>
    <w:rsid w:val="00C973DC"/>
    <w:rsid w:val="00CA072D"/>
    <w:rsid w:val="00CA0E33"/>
    <w:rsid w:val="00CA1512"/>
    <w:rsid w:val="00CA17BC"/>
    <w:rsid w:val="00CA186A"/>
    <w:rsid w:val="00CA1946"/>
    <w:rsid w:val="00CA223C"/>
    <w:rsid w:val="00CA2409"/>
    <w:rsid w:val="00CA246E"/>
    <w:rsid w:val="00CA2A43"/>
    <w:rsid w:val="00CA3077"/>
    <w:rsid w:val="00CA3421"/>
    <w:rsid w:val="00CA3556"/>
    <w:rsid w:val="00CA53CF"/>
    <w:rsid w:val="00CA7F56"/>
    <w:rsid w:val="00CB01E4"/>
    <w:rsid w:val="00CB022E"/>
    <w:rsid w:val="00CB1006"/>
    <w:rsid w:val="00CB1355"/>
    <w:rsid w:val="00CB1646"/>
    <w:rsid w:val="00CB1838"/>
    <w:rsid w:val="00CB1E3F"/>
    <w:rsid w:val="00CB1F63"/>
    <w:rsid w:val="00CB1F89"/>
    <w:rsid w:val="00CB2647"/>
    <w:rsid w:val="00CB2C8D"/>
    <w:rsid w:val="00CB3316"/>
    <w:rsid w:val="00CB35E2"/>
    <w:rsid w:val="00CB35FC"/>
    <w:rsid w:val="00CB4C8B"/>
    <w:rsid w:val="00CB4F32"/>
    <w:rsid w:val="00CB555A"/>
    <w:rsid w:val="00CB55DA"/>
    <w:rsid w:val="00CB563C"/>
    <w:rsid w:val="00CB5C1D"/>
    <w:rsid w:val="00CB5CF1"/>
    <w:rsid w:val="00CB6100"/>
    <w:rsid w:val="00CB629B"/>
    <w:rsid w:val="00CB6856"/>
    <w:rsid w:val="00CB6F65"/>
    <w:rsid w:val="00CB74F0"/>
    <w:rsid w:val="00CC002A"/>
    <w:rsid w:val="00CC18C9"/>
    <w:rsid w:val="00CC1C62"/>
    <w:rsid w:val="00CC2AED"/>
    <w:rsid w:val="00CC2E5E"/>
    <w:rsid w:val="00CC3040"/>
    <w:rsid w:val="00CC30CE"/>
    <w:rsid w:val="00CC32B0"/>
    <w:rsid w:val="00CC42B7"/>
    <w:rsid w:val="00CC474B"/>
    <w:rsid w:val="00CC4BDE"/>
    <w:rsid w:val="00CC4FD2"/>
    <w:rsid w:val="00CC5374"/>
    <w:rsid w:val="00CC5EB1"/>
    <w:rsid w:val="00CC6130"/>
    <w:rsid w:val="00CC73A8"/>
    <w:rsid w:val="00CC7996"/>
    <w:rsid w:val="00CC7EBE"/>
    <w:rsid w:val="00CD0B5A"/>
    <w:rsid w:val="00CD10D4"/>
    <w:rsid w:val="00CD1F28"/>
    <w:rsid w:val="00CD20C1"/>
    <w:rsid w:val="00CD2184"/>
    <w:rsid w:val="00CD22C6"/>
    <w:rsid w:val="00CD2617"/>
    <w:rsid w:val="00CD2734"/>
    <w:rsid w:val="00CD29AE"/>
    <w:rsid w:val="00CD2B9D"/>
    <w:rsid w:val="00CD2F89"/>
    <w:rsid w:val="00CD36A9"/>
    <w:rsid w:val="00CD3819"/>
    <w:rsid w:val="00CD3EF4"/>
    <w:rsid w:val="00CD5319"/>
    <w:rsid w:val="00CD5FB9"/>
    <w:rsid w:val="00CD672E"/>
    <w:rsid w:val="00CD7811"/>
    <w:rsid w:val="00CD7A42"/>
    <w:rsid w:val="00CD7ADA"/>
    <w:rsid w:val="00CE0058"/>
    <w:rsid w:val="00CE0282"/>
    <w:rsid w:val="00CE04A6"/>
    <w:rsid w:val="00CE1407"/>
    <w:rsid w:val="00CE1836"/>
    <w:rsid w:val="00CE1A4B"/>
    <w:rsid w:val="00CE2AFB"/>
    <w:rsid w:val="00CE2D8B"/>
    <w:rsid w:val="00CE31DA"/>
    <w:rsid w:val="00CE3A54"/>
    <w:rsid w:val="00CE4505"/>
    <w:rsid w:val="00CE4B9A"/>
    <w:rsid w:val="00CE4DE3"/>
    <w:rsid w:val="00CE569D"/>
    <w:rsid w:val="00CE5EE9"/>
    <w:rsid w:val="00CE6D0E"/>
    <w:rsid w:val="00CE6FFC"/>
    <w:rsid w:val="00CF0617"/>
    <w:rsid w:val="00CF189D"/>
    <w:rsid w:val="00CF31E8"/>
    <w:rsid w:val="00CF3A3D"/>
    <w:rsid w:val="00CF3FB4"/>
    <w:rsid w:val="00CF5505"/>
    <w:rsid w:val="00CF55B2"/>
    <w:rsid w:val="00CF5994"/>
    <w:rsid w:val="00CF755F"/>
    <w:rsid w:val="00D01031"/>
    <w:rsid w:val="00D01C8F"/>
    <w:rsid w:val="00D01CA8"/>
    <w:rsid w:val="00D02DB9"/>
    <w:rsid w:val="00D0324E"/>
    <w:rsid w:val="00D03284"/>
    <w:rsid w:val="00D03AB7"/>
    <w:rsid w:val="00D03C0C"/>
    <w:rsid w:val="00D043EA"/>
    <w:rsid w:val="00D05E42"/>
    <w:rsid w:val="00D05E79"/>
    <w:rsid w:val="00D06736"/>
    <w:rsid w:val="00D07EF5"/>
    <w:rsid w:val="00D104EC"/>
    <w:rsid w:val="00D10538"/>
    <w:rsid w:val="00D106EF"/>
    <w:rsid w:val="00D10AE9"/>
    <w:rsid w:val="00D11D19"/>
    <w:rsid w:val="00D11E5B"/>
    <w:rsid w:val="00D12408"/>
    <w:rsid w:val="00D12D5A"/>
    <w:rsid w:val="00D130AB"/>
    <w:rsid w:val="00D130F1"/>
    <w:rsid w:val="00D1322B"/>
    <w:rsid w:val="00D134ED"/>
    <w:rsid w:val="00D13C63"/>
    <w:rsid w:val="00D13D3F"/>
    <w:rsid w:val="00D141E8"/>
    <w:rsid w:val="00D152C6"/>
    <w:rsid w:val="00D158DD"/>
    <w:rsid w:val="00D159A7"/>
    <w:rsid w:val="00D179F8"/>
    <w:rsid w:val="00D17C58"/>
    <w:rsid w:val="00D206AA"/>
    <w:rsid w:val="00D20BB1"/>
    <w:rsid w:val="00D2103F"/>
    <w:rsid w:val="00D220AF"/>
    <w:rsid w:val="00D2225E"/>
    <w:rsid w:val="00D229E7"/>
    <w:rsid w:val="00D22D3A"/>
    <w:rsid w:val="00D235A2"/>
    <w:rsid w:val="00D24B0D"/>
    <w:rsid w:val="00D24C7B"/>
    <w:rsid w:val="00D24D7B"/>
    <w:rsid w:val="00D24F15"/>
    <w:rsid w:val="00D258BB"/>
    <w:rsid w:val="00D262E1"/>
    <w:rsid w:val="00D26427"/>
    <w:rsid w:val="00D278C7"/>
    <w:rsid w:val="00D27A6E"/>
    <w:rsid w:val="00D3002B"/>
    <w:rsid w:val="00D309C3"/>
    <w:rsid w:val="00D30B93"/>
    <w:rsid w:val="00D3179A"/>
    <w:rsid w:val="00D31CE3"/>
    <w:rsid w:val="00D320A9"/>
    <w:rsid w:val="00D32601"/>
    <w:rsid w:val="00D3272B"/>
    <w:rsid w:val="00D32DB8"/>
    <w:rsid w:val="00D3310A"/>
    <w:rsid w:val="00D333D8"/>
    <w:rsid w:val="00D34C66"/>
    <w:rsid w:val="00D35264"/>
    <w:rsid w:val="00D35363"/>
    <w:rsid w:val="00D363A1"/>
    <w:rsid w:val="00D36527"/>
    <w:rsid w:val="00D36A60"/>
    <w:rsid w:val="00D373FD"/>
    <w:rsid w:val="00D37480"/>
    <w:rsid w:val="00D40017"/>
    <w:rsid w:val="00D41858"/>
    <w:rsid w:val="00D41FAA"/>
    <w:rsid w:val="00D4227F"/>
    <w:rsid w:val="00D437D2"/>
    <w:rsid w:val="00D43EAB"/>
    <w:rsid w:val="00D449ED"/>
    <w:rsid w:val="00D44D89"/>
    <w:rsid w:val="00D452ED"/>
    <w:rsid w:val="00D45802"/>
    <w:rsid w:val="00D45980"/>
    <w:rsid w:val="00D45A78"/>
    <w:rsid w:val="00D45D52"/>
    <w:rsid w:val="00D46A4A"/>
    <w:rsid w:val="00D46D4B"/>
    <w:rsid w:val="00D4722A"/>
    <w:rsid w:val="00D4765B"/>
    <w:rsid w:val="00D500B4"/>
    <w:rsid w:val="00D5139C"/>
    <w:rsid w:val="00D51649"/>
    <w:rsid w:val="00D519E7"/>
    <w:rsid w:val="00D5282D"/>
    <w:rsid w:val="00D530AD"/>
    <w:rsid w:val="00D53885"/>
    <w:rsid w:val="00D53C71"/>
    <w:rsid w:val="00D543AE"/>
    <w:rsid w:val="00D54496"/>
    <w:rsid w:val="00D544E9"/>
    <w:rsid w:val="00D54C7B"/>
    <w:rsid w:val="00D55723"/>
    <w:rsid w:val="00D55804"/>
    <w:rsid w:val="00D561E8"/>
    <w:rsid w:val="00D56C90"/>
    <w:rsid w:val="00D56EBC"/>
    <w:rsid w:val="00D5776D"/>
    <w:rsid w:val="00D604BA"/>
    <w:rsid w:val="00D60F1F"/>
    <w:rsid w:val="00D612F2"/>
    <w:rsid w:val="00D613B1"/>
    <w:rsid w:val="00D61412"/>
    <w:rsid w:val="00D62379"/>
    <w:rsid w:val="00D62AA8"/>
    <w:rsid w:val="00D62D71"/>
    <w:rsid w:val="00D62E0C"/>
    <w:rsid w:val="00D63083"/>
    <w:rsid w:val="00D63381"/>
    <w:rsid w:val="00D63DBF"/>
    <w:rsid w:val="00D6498F"/>
    <w:rsid w:val="00D64C97"/>
    <w:rsid w:val="00D64D57"/>
    <w:rsid w:val="00D653FE"/>
    <w:rsid w:val="00D714EC"/>
    <w:rsid w:val="00D71AEF"/>
    <w:rsid w:val="00D71E8B"/>
    <w:rsid w:val="00D72915"/>
    <w:rsid w:val="00D736C5"/>
    <w:rsid w:val="00D73E6D"/>
    <w:rsid w:val="00D73FA8"/>
    <w:rsid w:val="00D74293"/>
    <w:rsid w:val="00D743E2"/>
    <w:rsid w:val="00D757C7"/>
    <w:rsid w:val="00D75AA9"/>
    <w:rsid w:val="00D765B2"/>
    <w:rsid w:val="00D766C3"/>
    <w:rsid w:val="00D76C54"/>
    <w:rsid w:val="00D76D1A"/>
    <w:rsid w:val="00D771F0"/>
    <w:rsid w:val="00D8099E"/>
    <w:rsid w:val="00D80C73"/>
    <w:rsid w:val="00D80CDA"/>
    <w:rsid w:val="00D80DC1"/>
    <w:rsid w:val="00D80E05"/>
    <w:rsid w:val="00D80F5C"/>
    <w:rsid w:val="00D80FA3"/>
    <w:rsid w:val="00D81E60"/>
    <w:rsid w:val="00D83993"/>
    <w:rsid w:val="00D83F77"/>
    <w:rsid w:val="00D84646"/>
    <w:rsid w:val="00D847C0"/>
    <w:rsid w:val="00D849D3"/>
    <w:rsid w:val="00D84FA9"/>
    <w:rsid w:val="00D85499"/>
    <w:rsid w:val="00D854D6"/>
    <w:rsid w:val="00D856E4"/>
    <w:rsid w:val="00D86BCD"/>
    <w:rsid w:val="00D86C31"/>
    <w:rsid w:val="00D87D60"/>
    <w:rsid w:val="00D9012B"/>
    <w:rsid w:val="00D901BC"/>
    <w:rsid w:val="00D905D6"/>
    <w:rsid w:val="00D91B2F"/>
    <w:rsid w:val="00D91CC1"/>
    <w:rsid w:val="00D91D76"/>
    <w:rsid w:val="00D922A3"/>
    <w:rsid w:val="00D9270D"/>
    <w:rsid w:val="00D93274"/>
    <w:rsid w:val="00D947EE"/>
    <w:rsid w:val="00D9536E"/>
    <w:rsid w:val="00D960B8"/>
    <w:rsid w:val="00D961FF"/>
    <w:rsid w:val="00D96D23"/>
    <w:rsid w:val="00D96E4F"/>
    <w:rsid w:val="00D973EF"/>
    <w:rsid w:val="00D9785D"/>
    <w:rsid w:val="00D97B7F"/>
    <w:rsid w:val="00DA0DBA"/>
    <w:rsid w:val="00DA13D9"/>
    <w:rsid w:val="00DA177C"/>
    <w:rsid w:val="00DA1CE4"/>
    <w:rsid w:val="00DA2062"/>
    <w:rsid w:val="00DA2ABA"/>
    <w:rsid w:val="00DA3890"/>
    <w:rsid w:val="00DA4084"/>
    <w:rsid w:val="00DA4E3C"/>
    <w:rsid w:val="00DA5E02"/>
    <w:rsid w:val="00DA6EEB"/>
    <w:rsid w:val="00DA710C"/>
    <w:rsid w:val="00DA71BA"/>
    <w:rsid w:val="00DA7B87"/>
    <w:rsid w:val="00DB0041"/>
    <w:rsid w:val="00DB00DE"/>
    <w:rsid w:val="00DB04EA"/>
    <w:rsid w:val="00DB090E"/>
    <w:rsid w:val="00DB2472"/>
    <w:rsid w:val="00DB2495"/>
    <w:rsid w:val="00DB556D"/>
    <w:rsid w:val="00DB5DE6"/>
    <w:rsid w:val="00DB61B4"/>
    <w:rsid w:val="00DB6242"/>
    <w:rsid w:val="00DB68E1"/>
    <w:rsid w:val="00DB6A4F"/>
    <w:rsid w:val="00DB762D"/>
    <w:rsid w:val="00DC1A04"/>
    <w:rsid w:val="00DC1D13"/>
    <w:rsid w:val="00DC225D"/>
    <w:rsid w:val="00DC2EB9"/>
    <w:rsid w:val="00DC2F5D"/>
    <w:rsid w:val="00DC3561"/>
    <w:rsid w:val="00DC36EA"/>
    <w:rsid w:val="00DC4B88"/>
    <w:rsid w:val="00DC4CAD"/>
    <w:rsid w:val="00DC4D59"/>
    <w:rsid w:val="00DC50FB"/>
    <w:rsid w:val="00DC5292"/>
    <w:rsid w:val="00DC5C32"/>
    <w:rsid w:val="00DC5CD6"/>
    <w:rsid w:val="00DC5F1F"/>
    <w:rsid w:val="00DC63BF"/>
    <w:rsid w:val="00DC63E0"/>
    <w:rsid w:val="00DC7855"/>
    <w:rsid w:val="00DC7E87"/>
    <w:rsid w:val="00DD164F"/>
    <w:rsid w:val="00DD1F6E"/>
    <w:rsid w:val="00DD2073"/>
    <w:rsid w:val="00DD2117"/>
    <w:rsid w:val="00DD2503"/>
    <w:rsid w:val="00DD3098"/>
    <w:rsid w:val="00DD35F5"/>
    <w:rsid w:val="00DD365D"/>
    <w:rsid w:val="00DD3866"/>
    <w:rsid w:val="00DD4574"/>
    <w:rsid w:val="00DD4A09"/>
    <w:rsid w:val="00DD4F62"/>
    <w:rsid w:val="00DD5AC5"/>
    <w:rsid w:val="00DD7159"/>
    <w:rsid w:val="00DD7287"/>
    <w:rsid w:val="00DD77C5"/>
    <w:rsid w:val="00DE06D5"/>
    <w:rsid w:val="00DE0CBB"/>
    <w:rsid w:val="00DE0F35"/>
    <w:rsid w:val="00DE246B"/>
    <w:rsid w:val="00DE2875"/>
    <w:rsid w:val="00DE42FE"/>
    <w:rsid w:val="00DE4856"/>
    <w:rsid w:val="00DE48C7"/>
    <w:rsid w:val="00DE5EBC"/>
    <w:rsid w:val="00DE5F64"/>
    <w:rsid w:val="00DE6899"/>
    <w:rsid w:val="00DE7A76"/>
    <w:rsid w:val="00DE7C05"/>
    <w:rsid w:val="00DE7CD8"/>
    <w:rsid w:val="00DF0840"/>
    <w:rsid w:val="00DF0CC7"/>
    <w:rsid w:val="00DF173C"/>
    <w:rsid w:val="00DF1D4D"/>
    <w:rsid w:val="00DF21D7"/>
    <w:rsid w:val="00DF269D"/>
    <w:rsid w:val="00DF2723"/>
    <w:rsid w:val="00DF2C68"/>
    <w:rsid w:val="00DF30A8"/>
    <w:rsid w:val="00DF3473"/>
    <w:rsid w:val="00DF390F"/>
    <w:rsid w:val="00DF39AE"/>
    <w:rsid w:val="00DF3BFD"/>
    <w:rsid w:val="00DF3C1B"/>
    <w:rsid w:val="00DF5AD7"/>
    <w:rsid w:val="00DF5E26"/>
    <w:rsid w:val="00DF63D4"/>
    <w:rsid w:val="00DF668F"/>
    <w:rsid w:val="00DF7CEB"/>
    <w:rsid w:val="00E00065"/>
    <w:rsid w:val="00E00564"/>
    <w:rsid w:val="00E00A3B"/>
    <w:rsid w:val="00E0105F"/>
    <w:rsid w:val="00E01140"/>
    <w:rsid w:val="00E013D7"/>
    <w:rsid w:val="00E02112"/>
    <w:rsid w:val="00E024C2"/>
    <w:rsid w:val="00E026BD"/>
    <w:rsid w:val="00E02E73"/>
    <w:rsid w:val="00E031DF"/>
    <w:rsid w:val="00E0338C"/>
    <w:rsid w:val="00E034B6"/>
    <w:rsid w:val="00E0395B"/>
    <w:rsid w:val="00E03DAD"/>
    <w:rsid w:val="00E03E7C"/>
    <w:rsid w:val="00E03F96"/>
    <w:rsid w:val="00E0419F"/>
    <w:rsid w:val="00E04332"/>
    <w:rsid w:val="00E046D5"/>
    <w:rsid w:val="00E05EA7"/>
    <w:rsid w:val="00E05EBC"/>
    <w:rsid w:val="00E068DB"/>
    <w:rsid w:val="00E06FE8"/>
    <w:rsid w:val="00E07548"/>
    <w:rsid w:val="00E07F09"/>
    <w:rsid w:val="00E10007"/>
    <w:rsid w:val="00E10E9F"/>
    <w:rsid w:val="00E10EDA"/>
    <w:rsid w:val="00E11BAD"/>
    <w:rsid w:val="00E11FBC"/>
    <w:rsid w:val="00E1294B"/>
    <w:rsid w:val="00E12D22"/>
    <w:rsid w:val="00E134DC"/>
    <w:rsid w:val="00E13D3D"/>
    <w:rsid w:val="00E149FA"/>
    <w:rsid w:val="00E1619A"/>
    <w:rsid w:val="00E16BDE"/>
    <w:rsid w:val="00E16F59"/>
    <w:rsid w:val="00E179D0"/>
    <w:rsid w:val="00E17BD1"/>
    <w:rsid w:val="00E17BFA"/>
    <w:rsid w:val="00E17D36"/>
    <w:rsid w:val="00E204BA"/>
    <w:rsid w:val="00E20738"/>
    <w:rsid w:val="00E214CB"/>
    <w:rsid w:val="00E21A35"/>
    <w:rsid w:val="00E21BB8"/>
    <w:rsid w:val="00E21BE6"/>
    <w:rsid w:val="00E22275"/>
    <w:rsid w:val="00E22E01"/>
    <w:rsid w:val="00E23DF6"/>
    <w:rsid w:val="00E241B4"/>
    <w:rsid w:val="00E24311"/>
    <w:rsid w:val="00E249E6"/>
    <w:rsid w:val="00E24AB3"/>
    <w:rsid w:val="00E255FD"/>
    <w:rsid w:val="00E2574A"/>
    <w:rsid w:val="00E2580D"/>
    <w:rsid w:val="00E25CCD"/>
    <w:rsid w:val="00E26A5B"/>
    <w:rsid w:val="00E279E7"/>
    <w:rsid w:val="00E30E0D"/>
    <w:rsid w:val="00E3280E"/>
    <w:rsid w:val="00E32AC1"/>
    <w:rsid w:val="00E32E22"/>
    <w:rsid w:val="00E335C8"/>
    <w:rsid w:val="00E336E1"/>
    <w:rsid w:val="00E33D28"/>
    <w:rsid w:val="00E33D31"/>
    <w:rsid w:val="00E34589"/>
    <w:rsid w:val="00E35431"/>
    <w:rsid w:val="00E35652"/>
    <w:rsid w:val="00E3597F"/>
    <w:rsid w:val="00E360B3"/>
    <w:rsid w:val="00E36321"/>
    <w:rsid w:val="00E3649E"/>
    <w:rsid w:val="00E36BAC"/>
    <w:rsid w:val="00E36D2A"/>
    <w:rsid w:val="00E3713F"/>
    <w:rsid w:val="00E40008"/>
    <w:rsid w:val="00E401CE"/>
    <w:rsid w:val="00E40904"/>
    <w:rsid w:val="00E40AA6"/>
    <w:rsid w:val="00E415BC"/>
    <w:rsid w:val="00E41616"/>
    <w:rsid w:val="00E42515"/>
    <w:rsid w:val="00E43343"/>
    <w:rsid w:val="00E440B8"/>
    <w:rsid w:val="00E44C93"/>
    <w:rsid w:val="00E4532D"/>
    <w:rsid w:val="00E4552F"/>
    <w:rsid w:val="00E45777"/>
    <w:rsid w:val="00E4589F"/>
    <w:rsid w:val="00E466F0"/>
    <w:rsid w:val="00E470C5"/>
    <w:rsid w:val="00E472F9"/>
    <w:rsid w:val="00E475A2"/>
    <w:rsid w:val="00E503F5"/>
    <w:rsid w:val="00E52121"/>
    <w:rsid w:val="00E525E4"/>
    <w:rsid w:val="00E52C08"/>
    <w:rsid w:val="00E52EB2"/>
    <w:rsid w:val="00E53692"/>
    <w:rsid w:val="00E53A12"/>
    <w:rsid w:val="00E54512"/>
    <w:rsid w:val="00E54B46"/>
    <w:rsid w:val="00E55E09"/>
    <w:rsid w:val="00E565CE"/>
    <w:rsid w:val="00E5771E"/>
    <w:rsid w:val="00E57A11"/>
    <w:rsid w:val="00E604D9"/>
    <w:rsid w:val="00E60575"/>
    <w:rsid w:val="00E61531"/>
    <w:rsid w:val="00E6202A"/>
    <w:rsid w:val="00E62C9A"/>
    <w:rsid w:val="00E645F2"/>
    <w:rsid w:val="00E64C3C"/>
    <w:rsid w:val="00E65ECF"/>
    <w:rsid w:val="00E66473"/>
    <w:rsid w:val="00E6695C"/>
    <w:rsid w:val="00E66ACB"/>
    <w:rsid w:val="00E675FB"/>
    <w:rsid w:val="00E67665"/>
    <w:rsid w:val="00E67BC0"/>
    <w:rsid w:val="00E67D05"/>
    <w:rsid w:val="00E67DCE"/>
    <w:rsid w:val="00E70BFE"/>
    <w:rsid w:val="00E73178"/>
    <w:rsid w:val="00E732DC"/>
    <w:rsid w:val="00E74201"/>
    <w:rsid w:val="00E74306"/>
    <w:rsid w:val="00E74941"/>
    <w:rsid w:val="00E74F3D"/>
    <w:rsid w:val="00E7579A"/>
    <w:rsid w:val="00E75B9E"/>
    <w:rsid w:val="00E76122"/>
    <w:rsid w:val="00E76210"/>
    <w:rsid w:val="00E763E0"/>
    <w:rsid w:val="00E76E7D"/>
    <w:rsid w:val="00E773B0"/>
    <w:rsid w:val="00E77870"/>
    <w:rsid w:val="00E77909"/>
    <w:rsid w:val="00E77E92"/>
    <w:rsid w:val="00E77FC4"/>
    <w:rsid w:val="00E80391"/>
    <w:rsid w:val="00E81604"/>
    <w:rsid w:val="00E82110"/>
    <w:rsid w:val="00E822D0"/>
    <w:rsid w:val="00E82643"/>
    <w:rsid w:val="00E82D4E"/>
    <w:rsid w:val="00E83EA4"/>
    <w:rsid w:val="00E8473D"/>
    <w:rsid w:val="00E84EC3"/>
    <w:rsid w:val="00E86519"/>
    <w:rsid w:val="00E879BB"/>
    <w:rsid w:val="00E93133"/>
    <w:rsid w:val="00E93798"/>
    <w:rsid w:val="00E94369"/>
    <w:rsid w:val="00E94D8B"/>
    <w:rsid w:val="00E95589"/>
    <w:rsid w:val="00E9576C"/>
    <w:rsid w:val="00E95831"/>
    <w:rsid w:val="00E95E90"/>
    <w:rsid w:val="00E96266"/>
    <w:rsid w:val="00E969AE"/>
    <w:rsid w:val="00E96B70"/>
    <w:rsid w:val="00EA082F"/>
    <w:rsid w:val="00EA092E"/>
    <w:rsid w:val="00EA0A25"/>
    <w:rsid w:val="00EA0BC8"/>
    <w:rsid w:val="00EA0BFE"/>
    <w:rsid w:val="00EA0DAE"/>
    <w:rsid w:val="00EA10A2"/>
    <w:rsid w:val="00EA29F1"/>
    <w:rsid w:val="00EA32DB"/>
    <w:rsid w:val="00EA3763"/>
    <w:rsid w:val="00EA45EC"/>
    <w:rsid w:val="00EA4D63"/>
    <w:rsid w:val="00EA4FEF"/>
    <w:rsid w:val="00EA5135"/>
    <w:rsid w:val="00EA5D1B"/>
    <w:rsid w:val="00EA6A0B"/>
    <w:rsid w:val="00EA7232"/>
    <w:rsid w:val="00EB02BC"/>
    <w:rsid w:val="00EB0594"/>
    <w:rsid w:val="00EB0F0B"/>
    <w:rsid w:val="00EB1D87"/>
    <w:rsid w:val="00EB2655"/>
    <w:rsid w:val="00EB296C"/>
    <w:rsid w:val="00EB2E08"/>
    <w:rsid w:val="00EB2F2D"/>
    <w:rsid w:val="00EB359A"/>
    <w:rsid w:val="00EB3667"/>
    <w:rsid w:val="00EB3B70"/>
    <w:rsid w:val="00EB3BC9"/>
    <w:rsid w:val="00EB4207"/>
    <w:rsid w:val="00EB42EC"/>
    <w:rsid w:val="00EB49F7"/>
    <w:rsid w:val="00EB4E92"/>
    <w:rsid w:val="00EB5050"/>
    <w:rsid w:val="00EB6D6B"/>
    <w:rsid w:val="00EB7151"/>
    <w:rsid w:val="00EB7426"/>
    <w:rsid w:val="00EC0164"/>
    <w:rsid w:val="00EC025D"/>
    <w:rsid w:val="00EC0848"/>
    <w:rsid w:val="00EC1BE4"/>
    <w:rsid w:val="00EC259F"/>
    <w:rsid w:val="00EC308A"/>
    <w:rsid w:val="00EC3747"/>
    <w:rsid w:val="00EC39C7"/>
    <w:rsid w:val="00EC41D4"/>
    <w:rsid w:val="00EC669D"/>
    <w:rsid w:val="00EC6D52"/>
    <w:rsid w:val="00EC7DB4"/>
    <w:rsid w:val="00EC7E42"/>
    <w:rsid w:val="00ED0C7B"/>
    <w:rsid w:val="00ED15EA"/>
    <w:rsid w:val="00ED16C9"/>
    <w:rsid w:val="00ED2538"/>
    <w:rsid w:val="00ED2BB6"/>
    <w:rsid w:val="00ED3B76"/>
    <w:rsid w:val="00ED3BF9"/>
    <w:rsid w:val="00ED3C69"/>
    <w:rsid w:val="00ED41BC"/>
    <w:rsid w:val="00ED45D1"/>
    <w:rsid w:val="00ED4EB7"/>
    <w:rsid w:val="00ED5380"/>
    <w:rsid w:val="00ED5B3F"/>
    <w:rsid w:val="00ED63E1"/>
    <w:rsid w:val="00ED645F"/>
    <w:rsid w:val="00ED64B1"/>
    <w:rsid w:val="00ED6AF6"/>
    <w:rsid w:val="00ED6CD4"/>
    <w:rsid w:val="00ED7632"/>
    <w:rsid w:val="00EE0141"/>
    <w:rsid w:val="00EE0C53"/>
    <w:rsid w:val="00EE1410"/>
    <w:rsid w:val="00EE15D9"/>
    <w:rsid w:val="00EE312B"/>
    <w:rsid w:val="00EE37AA"/>
    <w:rsid w:val="00EE38A6"/>
    <w:rsid w:val="00EE40E3"/>
    <w:rsid w:val="00EE4A49"/>
    <w:rsid w:val="00EE4A63"/>
    <w:rsid w:val="00EE5ADD"/>
    <w:rsid w:val="00EE68AD"/>
    <w:rsid w:val="00EE6CB2"/>
    <w:rsid w:val="00EE70E9"/>
    <w:rsid w:val="00EE7300"/>
    <w:rsid w:val="00EE73AF"/>
    <w:rsid w:val="00EE777A"/>
    <w:rsid w:val="00EF069F"/>
    <w:rsid w:val="00EF0D13"/>
    <w:rsid w:val="00EF0E4B"/>
    <w:rsid w:val="00EF2756"/>
    <w:rsid w:val="00EF28A6"/>
    <w:rsid w:val="00EF2F25"/>
    <w:rsid w:val="00EF32BF"/>
    <w:rsid w:val="00EF3C3F"/>
    <w:rsid w:val="00EF3C65"/>
    <w:rsid w:val="00EF3DDF"/>
    <w:rsid w:val="00EF4386"/>
    <w:rsid w:val="00EF455D"/>
    <w:rsid w:val="00EF5778"/>
    <w:rsid w:val="00EF61B4"/>
    <w:rsid w:val="00EF6388"/>
    <w:rsid w:val="00EF79DC"/>
    <w:rsid w:val="00F00152"/>
    <w:rsid w:val="00F0092F"/>
    <w:rsid w:val="00F009F9"/>
    <w:rsid w:val="00F00E7A"/>
    <w:rsid w:val="00F00EB9"/>
    <w:rsid w:val="00F015BD"/>
    <w:rsid w:val="00F01AD4"/>
    <w:rsid w:val="00F02080"/>
    <w:rsid w:val="00F0297D"/>
    <w:rsid w:val="00F029C1"/>
    <w:rsid w:val="00F02A53"/>
    <w:rsid w:val="00F03198"/>
    <w:rsid w:val="00F031F7"/>
    <w:rsid w:val="00F0321D"/>
    <w:rsid w:val="00F03C4F"/>
    <w:rsid w:val="00F04D8E"/>
    <w:rsid w:val="00F06011"/>
    <w:rsid w:val="00F0631A"/>
    <w:rsid w:val="00F064AE"/>
    <w:rsid w:val="00F068C9"/>
    <w:rsid w:val="00F06DAE"/>
    <w:rsid w:val="00F06E0A"/>
    <w:rsid w:val="00F07225"/>
    <w:rsid w:val="00F07306"/>
    <w:rsid w:val="00F077F8"/>
    <w:rsid w:val="00F07C63"/>
    <w:rsid w:val="00F07FAD"/>
    <w:rsid w:val="00F10A83"/>
    <w:rsid w:val="00F10F9D"/>
    <w:rsid w:val="00F1119C"/>
    <w:rsid w:val="00F11346"/>
    <w:rsid w:val="00F1186F"/>
    <w:rsid w:val="00F12EFF"/>
    <w:rsid w:val="00F12F79"/>
    <w:rsid w:val="00F13378"/>
    <w:rsid w:val="00F13B59"/>
    <w:rsid w:val="00F13FAC"/>
    <w:rsid w:val="00F140DB"/>
    <w:rsid w:val="00F14193"/>
    <w:rsid w:val="00F145FA"/>
    <w:rsid w:val="00F14BFA"/>
    <w:rsid w:val="00F15255"/>
    <w:rsid w:val="00F15F45"/>
    <w:rsid w:val="00F16D11"/>
    <w:rsid w:val="00F17642"/>
    <w:rsid w:val="00F17987"/>
    <w:rsid w:val="00F17A16"/>
    <w:rsid w:val="00F21347"/>
    <w:rsid w:val="00F21451"/>
    <w:rsid w:val="00F215E6"/>
    <w:rsid w:val="00F229D0"/>
    <w:rsid w:val="00F2318B"/>
    <w:rsid w:val="00F241B3"/>
    <w:rsid w:val="00F24872"/>
    <w:rsid w:val="00F25032"/>
    <w:rsid w:val="00F25119"/>
    <w:rsid w:val="00F25855"/>
    <w:rsid w:val="00F25940"/>
    <w:rsid w:val="00F26152"/>
    <w:rsid w:val="00F26236"/>
    <w:rsid w:val="00F26722"/>
    <w:rsid w:val="00F26F8F"/>
    <w:rsid w:val="00F2720C"/>
    <w:rsid w:val="00F27476"/>
    <w:rsid w:val="00F2787D"/>
    <w:rsid w:val="00F3030F"/>
    <w:rsid w:val="00F31356"/>
    <w:rsid w:val="00F31F9A"/>
    <w:rsid w:val="00F32103"/>
    <w:rsid w:val="00F324EA"/>
    <w:rsid w:val="00F326D7"/>
    <w:rsid w:val="00F32B70"/>
    <w:rsid w:val="00F32DD8"/>
    <w:rsid w:val="00F33229"/>
    <w:rsid w:val="00F33D79"/>
    <w:rsid w:val="00F343A4"/>
    <w:rsid w:val="00F3525D"/>
    <w:rsid w:val="00F36DBE"/>
    <w:rsid w:val="00F36E99"/>
    <w:rsid w:val="00F37130"/>
    <w:rsid w:val="00F37EA6"/>
    <w:rsid w:val="00F40888"/>
    <w:rsid w:val="00F40CEB"/>
    <w:rsid w:val="00F423B7"/>
    <w:rsid w:val="00F4287D"/>
    <w:rsid w:val="00F42954"/>
    <w:rsid w:val="00F43A38"/>
    <w:rsid w:val="00F43CD5"/>
    <w:rsid w:val="00F44964"/>
    <w:rsid w:val="00F44AB7"/>
    <w:rsid w:val="00F451CE"/>
    <w:rsid w:val="00F46069"/>
    <w:rsid w:val="00F46B0F"/>
    <w:rsid w:val="00F47624"/>
    <w:rsid w:val="00F4776B"/>
    <w:rsid w:val="00F50754"/>
    <w:rsid w:val="00F50888"/>
    <w:rsid w:val="00F50F4D"/>
    <w:rsid w:val="00F51143"/>
    <w:rsid w:val="00F51821"/>
    <w:rsid w:val="00F51EA1"/>
    <w:rsid w:val="00F521C0"/>
    <w:rsid w:val="00F5292F"/>
    <w:rsid w:val="00F5450B"/>
    <w:rsid w:val="00F54F56"/>
    <w:rsid w:val="00F5536D"/>
    <w:rsid w:val="00F554CE"/>
    <w:rsid w:val="00F555E1"/>
    <w:rsid w:val="00F55C71"/>
    <w:rsid w:val="00F55D5C"/>
    <w:rsid w:val="00F561FE"/>
    <w:rsid w:val="00F56320"/>
    <w:rsid w:val="00F56409"/>
    <w:rsid w:val="00F56424"/>
    <w:rsid w:val="00F56D71"/>
    <w:rsid w:val="00F56DDC"/>
    <w:rsid w:val="00F608E7"/>
    <w:rsid w:val="00F615D2"/>
    <w:rsid w:val="00F61C74"/>
    <w:rsid w:val="00F61C9B"/>
    <w:rsid w:val="00F62453"/>
    <w:rsid w:val="00F6300C"/>
    <w:rsid w:val="00F64768"/>
    <w:rsid w:val="00F64CEB"/>
    <w:rsid w:val="00F64FAF"/>
    <w:rsid w:val="00F6635D"/>
    <w:rsid w:val="00F66961"/>
    <w:rsid w:val="00F6779B"/>
    <w:rsid w:val="00F67AB4"/>
    <w:rsid w:val="00F706BA"/>
    <w:rsid w:val="00F707E7"/>
    <w:rsid w:val="00F715D8"/>
    <w:rsid w:val="00F717CC"/>
    <w:rsid w:val="00F71BDA"/>
    <w:rsid w:val="00F73757"/>
    <w:rsid w:val="00F73D42"/>
    <w:rsid w:val="00F741E8"/>
    <w:rsid w:val="00F74F69"/>
    <w:rsid w:val="00F76184"/>
    <w:rsid w:val="00F76FA2"/>
    <w:rsid w:val="00F772F5"/>
    <w:rsid w:val="00F7790B"/>
    <w:rsid w:val="00F779F3"/>
    <w:rsid w:val="00F800DB"/>
    <w:rsid w:val="00F8024B"/>
    <w:rsid w:val="00F80869"/>
    <w:rsid w:val="00F80DB3"/>
    <w:rsid w:val="00F8122E"/>
    <w:rsid w:val="00F81F65"/>
    <w:rsid w:val="00F82C78"/>
    <w:rsid w:val="00F82EA1"/>
    <w:rsid w:val="00F8443A"/>
    <w:rsid w:val="00F84477"/>
    <w:rsid w:val="00F85272"/>
    <w:rsid w:val="00F858FD"/>
    <w:rsid w:val="00F859EF"/>
    <w:rsid w:val="00F864DA"/>
    <w:rsid w:val="00F868CC"/>
    <w:rsid w:val="00F86A93"/>
    <w:rsid w:val="00F87831"/>
    <w:rsid w:val="00F87CC1"/>
    <w:rsid w:val="00F907B1"/>
    <w:rsid w:val="00F9098D"/>
    <w:rsid w:val="00F91023"/>
    <w:rsid w:val="00F910EB"/>
    <w:rsid w:val="00F916C2"/>
    <w:rsid w:val="00F921E3"/>
    <w:rsid w:val="00F92D0C"/>
    <w:rsid w:val="00F92F29"/>
    <w:rsid w:val="00F931BF"/>
    <w:rsid w:val="00F932F6"/>
    <w:rsid w:val="00F933FA"/>
    <w:rsid w:val="00F9364A"/>
    <w:rsid w:val="00F94702"/>
    <w:rsid w:val="00F94AFA"/>
    <w:rsid w:val="00F95223"/>
    <w:rsid w:val="00F958E1"/>
    <w:rsid w:val="00F95E93"/>
    <w:rsid w:val="00FA0878"/>
    <w:rsid w:val="00FA189A"/>
    <w:rsid w:val="00FA1EE6"/>
    <w:rsid w:val="00FA1FE9"/>
    <w:rsid w:val="00FA2864"/>
    <w:rsid w:val="00FA2B89"/>
    <w:rsid w:val="00FA351D"/>
    <w:rsid w:val="00FA36B3"/>
    <w:rsid w:val="00FA428F"/>
    <w:rsid w:val="00FA570E"/>
    <w:rsid w:val="00FA57A4"/>
    <w:rsid w:val="00FA5834"/>
    <w:rsid w:val="00FA5A54"/>
    <w:rsid w:val="00FA5B36"/>
    <w:rsid w:val="00FA5B38"/>
    <w:rsid w:val="00FA5CD1"/>
    <w:rsid w:val="00FA619B"/>
    <w:rsid w:val="00FA6205"/>
    <w:rsid w:val="00FA64D1"/>
    <w:rsid w:val="00FA7017"/>
    <w:rsid w:val="00FA7207"/>
    <w:rsid w:val="00FA7405"/>
    <w:rsid w:val="00FA7B56"/>
    <w:rsid w:val="00FA7F60"/>
    <w:rsid w:val="00FB02D2"/>
    <w:rsid w:val="00FB16D7"/>
    <w:rsid w:val="00FB2297"/>
    <w:rsid w:val="00FB2921"/>
    <w:rsid w:val="00FB294B"/>
    <w:rsid w:val="00FB3707"/>
    <w:rsid w:val="00FB3A48"/>
    <w:rsid w:val="00FB3A4E"/>
    <w:rsid w:val="00FB47E3"/>
    <w:rsid w:val="00FB481F"/>
    <w:rsid w:val="00FB5981"/>
    <w:rsid w:val="00FB5A99"/>
    <w:rsid w:val="00FB6205"/>
    <w:rsid w:val="00FB655C"/>
    <w:rsid w:val="00FB794F"/>
    <w:rsid w:val="00FB7BC3"/>
    <w:rsid w:val="00FC0C41"/>
    <w:rsid w:val="00FC17D6"/>
    <w:rsid w:val="00FC1864"/>
    <w:rsid w:val="00FC1A10"/>
    <w:rsid w:val="00FC2556"/>
    <w:rsid w:val="00FC3D81"/>
    <w:rsid w:val="00FC3E7E"/>
    <w:rsid w:val="00FC4D19"/>
    <w:rsid w:val="00FC5834"/>
    <w:rsid w:val="00FC684D"/>
    <w:rsid w:val="00FC740C"/>
    <w:rsid w:val="00FC7815"/>
    <w:rsid w:val="00FC785E"/>
    <w:rsid w:val="00FC7B1E"/>
    <w:rsid w:val="00FD06EE"/>
    <w:rsid w:val="00FD09E3"/>
    <w:rsid w:val="00FD1FDE"/>
    <w:rsid w:val="00FD2020"/>
    <w:rsid w:val="00FD2570"/>
    <w:rsid w:val="00FD2754"/>
    <w:rsid w:val="00FD3B26"/>
    <w:rsid w:val="00FD48B5"/>
    <w:rsid w:val="00FD49BB"/>
    <w:rsid w:val="00FD4A57"/>
    <w:rsid w:val="00FD4B2D"/>
    <w:rsid w:val="00FD5FC8"/>
    <w:rsid w:val="00FD68A0"/>
    <w:rsid w:val="00FD6980"/>
    <w:rsid w:val="00FD6B05"/>
    <w:rsid w:val="00FD74E5"/>
    <w:rsid w:val="00FD782F"/>
    <w:rsid w:val="00FE022D"/>
    <w:rsid w:val="00FE0550"/>
    <w:rsid w:val="00FE0765"/>
    <w:rsid w:val="00FE237D"/>
    <w:rsid w:val="00FE4289"/>
    <w:rsid w:val="00FE48CC"/>
    <w:rsid w:val="00FE4C69"/>
    <w:rsid w:val="00FE5D8D"/>
    <w:rsid w:val="00FE5EA4"/>
    <w:rsid w:val="00FE615F"/>
    <w:rsid w:val="00FE65D5"/>
    <w:rsid w:val="00FE7029"/>
    <w:rsid w:val="00FF0082"/>
    <w:rsid w:val="00FF0143"/>
    <w:rsid w:val="00FF01F4"/>
    <w:rsid w:val="00FF0810"/>
    <w:rsid w:val="00FF1224"/>
    <w:rsid w:val="00FF16E4"/>
    <w:rsid w:val="00FF1B01"/>
    <w:rsid w:val="00FF1B6D"/>
    <w:rsid w:val="00FF1D2C"/>
    <w:rsid w:val="00FF2A9D"/>
    <w:rsid w:val="00FF331A"/>
    <w:rsid w:val="00FF3790"/>
    <w:rsid w:val="00FF3940"/>
    <w:rsid w:val="00FF3C19"/>
    <w:rsid w:val="00FF3F02"/>
    <w:rsid w:val="00FF4784"/>
    <w:rsid w:val="00FF49F1"/>
    <w:rsid w:val="00FF4CDA"/>
    <w:rsid w:val="00FF583A"/>
    <w:rsid w:val="00FF5AFC"/>
    <w:rsid w:val="00FF6707"/>
    <w:rsid w:val="00FF682E"/>
    <w:rsid w:val="00FF68EF"/>
    <w:rsid w:val="00FF6CE4"/>
    <w:rsid w:val="00FF6E31"/>
    <w:rsid w:val="00FF745E"/>
    <w:rsid w:val="00FF77A0"/>
    <w:rsid w:val="00FF7BDC"/>
    <w:rsid w:val="022573A2"/>
    <w:rsid w:val="024737BC"/>
    <w:rsid w:val="0264611C"/>
    <w:rsid w:val="02881E0B"/>
    <w:rsid w:val="028D4356"/>
    <w:rsid w:val="02C96F7E"/>
    <w:rsid w:val="03766107"/>
    <w:rsid w:val="049F343C"/>
    <w:rsid w:val="04CE1F73"/>
    <w:rsid w:val="04E90B5B"/>
    <w:rsid w:val="05235E1B"/>
    <w:rsid w:val="06345E06"/>
    <w:rsid w:val="06BD229F"/>
    <w:rsid w:val="07571DAC"/>
    <w:rsid w:val="07A007DE"/>
    <w:rsid w:val="08F17FDE"/>
    <w:rsid w:val="094D7AD2"/>
    <w:rsid w:val="09CA6513"/>
    <w:rsid w:val="09E244F6"/>
    <w:rsid w:val="0A1C0D64"/>
    <w:rsid w:val="0A486323"/>
    <w:rsid w:val="0A5D1DCF"/>
    <w:rsid w:val="0B0009AC"/>
    <w:rsid w:val="0B0E131B"/>
    <w:rsid w:val="0B534F80"/>
    <w:rsid w:val="0B6131F9"/>
    <w:rsid w:val="0B690F28"/>
    <w:rsid w:val="0C1B3CF0"/>
    <w:rsid w:val="0C252478"/>
    <w:rsid w:val="0C4F3C99"/>
    <w:rsid w:val="0C937D2A"/>
    <w:rsid w:val="0F5F0397"/>
    <w:rsid w:val="0F706100"/>
    <w:rsid w:val="0FAC7134"/>
    <w:rsid w:val="0FDF3286"/>
    <w:rsid w:val="0FE465D5"/>
    <w:rsid w:val="0FF22FB9"/>
    <w:rsid w:val="107514F4"/>
    <w:rsid w:val="10FE14EA"/>
    <w:rsid w:val="117B0D8C"/>
    <w:rsid w:val="11943BFC"/>
    <w:rsid w:val="11CE2445"/>
    <w:rsid w:val="121A2353"/>
    <w:rsid w:val="12413D84"/>
    <w:rsid w:val="12BE3627"/>
    <w:rsid w:val="13320F87"/>
    <w:rsid w:val="133E49A6"/>
    <w:rsid w:val="134262E0"/>
    <w:rsid w:val="134E6759"/>
    <w:rsid w:val="13F82B68"/>
    <w:rsid w:val="14357918"/>
    <w:rsid w:val="15EA64E1"/>
    <w:rsid w:val="174C1201"/>
    <w:rsid w:val="189F1804"/>
    <w:rsid w:val="191915B7"/>
    <w:rsid w:val="191A70DD"/>
    <w:rsid w:val="19E51499"/>
    <w:rsid w:val="1A255D39"/>
    <w:rsid w:val="1A2A7B44"/>
    <w:rsid w:val="1A3441CE"/>
    <w:rsid w:val="1A4C776A"/>
    <w:rsid w:val="1A8C400A"/>
    <w:rsid w:val="1AB175CD"/>
    <w:rsid w:val="1ACE4623"/>
    <w:rsid w:val="1B334486"/>
    <w:rsid w:val="1BEA5C24"/>
    <w:rsid w:val="1C006A5E"/>
    <w:rsid w:val="1C7E47A3"/>
    <w:rsid w:val="1D1C3424"/>
    <w:rsid w:val="1DAC0C4B"/>
    <w:rsid w:val="1DFB572F"/>
    <w:rsid w:val="1E5170FD"/>
    <w:rsid w:val="1E5C3A77"/>
    <w:rsid w:val="1F9E45C4"/>
    <w:rsid w:val="1FBF453A"/>
    <w:rsid w:val="20052895"/>
    <w:rsid w:val="201605FE"/>
    <w:rsid w:val="20340A84"/>
    <w:rsid w:val="20626E75"/>
    <w:rsid w:val="219043E0"/>
    <w:rsid w:val="220C28B3"/>
    <w:rsid w:val="223E208E"/>
    <w:rsid w:val="24294678"/>
    <w:rsid w:val="2483647E"/>
    <w:rsid w:val="24DB1E16"/>
    <w:rsid w:val="251B2213"/>
    <w:rsid w:val="255F65A3"/>
    <w:rsid w:val="257B5C80"/>
    <w:rsid w:val="26284BE7"/>
    <w:rsid w:val="263C68E5"/>
    <w:rsid w:val="26EC030B"/>
    <w:rsid w:val="27333B61"/>
    <w:rsid w:val="273D2914"/>
    <w:rsid w:val="27693709"/>
    <w:rsid w:val="27BA5D13"/>
    <w:rsid w:val="27CC1FB9"/>
    <w:rsid w:val="28423380"/>
    <w:rsid w:val="285048C9"/>
    <w:rsid w:val="287C7648"/>
    <w:rsid w:val="290C4C94"/>
    <w:rsid w:val="2940493E"/>
    <w:rsid w:val="295419DA"/>
    <w:rsid w:val="29820AB2"/>
    <w:rsid w:val="2A495A74"/>
    <w:rsid w:val="2A8E6137"/>
    <w:rsid w:val="2AA50082"/>
    <w:rsid w:val="2ABF1892"/>
    <w:rsid w:val="2AF92FF6"/>
    <w:rsid w:val="2B966A97"/>
    <w:rsid w:val="2BA25ED1"/>
    <w:rsid w:val="2C0A4D8F"/>
    <w:rsid w:val="2D393B7E"/>
    <w:rsid w:val="2DA6610C"/>
    <w:rsid w:val="2E4E18AB"/>
    <w:rsid w:val="2EDD678B"/>
    <w:rsid w:val="2F126434"/>
    <w:rsid w:val="2F3E36CD"/>
    <w:rsid w:val="2FEF49C8"/>
    <w:rsid w:val="30913CD1"/>
    <w:rsid w:val="30FB3146"/>
    <w:rsid w:val="31224929"/>
    <w:rsid w:val="31322DBE"/>
    <w:rsid w:val="316F4012"/>
    <w:rsid w:val="33A361F5"/>
    <w:rsid w:val="33BC72B7"/>
    <w:rsid w:val="34CC52D7"/>
    <w:rsid w:val="3569702C"/>
    <w:rsid w:val="35DF159F"/>
    <w:rsid w:val="365D53C4"/>
    <w:rsid w:val="366D6646"/>
    <w:rsid w:val="37585548"/>
    <w:rsid w:val="38521F98"/>
    <w:rsid w:val="389E6B6E"/>
    <w:rsid w:val="39050DB8"/>
    <w:rsid w:val="392456E2"/>
    <w:rsid w:val="39697599"/>
    <w:rsid w:val="39730417"/>
    <w:rsid w:val="39BC3B6C"/>
    <w:rsid w:val="3A345DF9"/>
    <w:rsid w:val="3A6F6E31"/>
    <w:rsid w:val="3A922B1F"/>
    <w:rsid w:val="3AD757AC"/>
    <w:rsid w:val="3AFE48B5"/>
    <w:rsid w:val="3B40257B"/>
    <w:rsid w:val="3C065573"/>
    <w:rsid w:val="3E155F41"/>
    <w:rsid w:val="3EA370A9"/>
    <w:rsid w:val="3ED34AA0"/>
    <w:rsid w:val="3ED74FA5"/>
    <w:rsid w:val="3EDA6843"/>
    <w:rsid w:val="3F422D66"/>
    <w:rsid w:val="3F6F00E8"/>
    <w:rsid w:val="41D1217F"/>
    <w:rsid w:val="420C0914"/>
    <w:rsid w:val="42A11B51"/>
    <w:rsid w:val="42FA73ED"/>
    <w:rsid w:val="42FE082E"/>
    <w:rsid w:val="43160791"/>
    <w:rsid w:val="43277BDB"/>
    <w:rsid w:val="4335673E"/>
    <w:rsid w:val="4436276D"/>
    <w:rsid w:val="444A7FC7"/>
    <w:rsid w:val="446A2417"/>
    <w:rsid w:val="44BA6EFA"/>
    <w:rsid w:val="44CE29A6"/>
    <w:rsid w:val="450C67E5"/>
    <w:rsid w:val="45575091"/>
    <w:rsid w:val="45A656D1"/>
    <w:rsid w:val="45E05087"/>
    <w:rsid w:val="466F1F67"/>
    <w:rsid w:val="47C45A2F"/>
    <w:rsid w:val="47D227AD"/>
    <w:rsid w:val="47FE35A2"/>
    <w:rsid w:val="48AB1789"/>
    <w:rsid w:val="48D32C81"/>
    <w:rsid w:val="490A0454"/>
    <w:rsid w:val="4961203A"/>
    <w:rsid w:val="49A75C13"/>
    <w:rsid w:val="49DD237F"/>
    <w:rsid w:val="4A192915"/>
    <w:rsid w:val="4A2C2648"/>
    <w:rsid w:val="4AD131B9"/>
    <w:rsid w:val="4B005883"/>
    <w:rsid w:val="4B117A90"/>
    <w:rsid w:val="4B3D0885"/>
    <w:rsid w:val="4C87000A"/>
    <w:rsid w:val="4C942727"/>
    <w:rsid w:val="4D697710"/>
    <w:rsid w:val="4D9C1893"/>
    <w:rsid w:val="4DD46B1C"/>
    <w:rsid w:val="4E013DEC"/>
    <w:rsid w:val="4E6F6FA8"/>
    <w:rsid w:val="4E93713A"/>
    <w:rsid w:val="4ECE0172"/>
    <w:rsid w:val="507F5ACF"/>
    <w:rsid w:val="51C067F9"/>
    <w:rsid w:val="523D520F"/>
    <w:rsid w:val="52717CC6"/>
    <w:rsid w:val="52D5566F"/>
    <w:rsid w:val="52F43F1F"/>
    <w:rsid w:val="532540D9"/>
    <w:rsid w:val="53270B28"/>
    <w:rsid w:val="539B4307"/>
    <w:rsid w:val="53D578AD"/>
    <w:rsid w:val="54B576DE"/>
    <w:rsid w:val="55314FB7"/>
    <w:rsid w:val="55927A01"/>
    <w:rsid w:val="561A1EEF"/>
    <w:rsid w:val="56EA6CCC"/>
    <w:rsid w:val="56EA7B13"/>
    <w:rsid w:val="56FE536D"/>
    <w:rsid w:val="57F16C7F"/>
    <w:rsid w:val="58006EC2"/>
    <w:rsid w:val="584E40D2"/>
    <w:rsid w:val="58C93758"/>
    <w:rsid w:val="590D1897"/>
    <w:rsid w:val="591D619D"/>
    <w:rsid w:val="59803961"/>
    <w:rsid w:val="59CB43DE"/>
    <w:rsid w:val="59D2663D"/>
    <w:rsid w:val="5A5D23AA"/>
    <w:rsid w:val="5AA4447D"/>
    <w:rsid w:val="5CE86DD9"/>
    <w:rsid w:val="5D2D34F3"/>
    <w:rsid w:val="5EC56770"/>
    <w:rsid w:val="5F530220"/>
    <w:rsid w:val="5F8B5C0B"/>
    <w:rsid w:val="6008725C"/>
    <w:rsid w:val="60803296"/>
    <w:rsid w:val="60AB59F9"/>
    <w:rsid w:val="60C34F31"/>
    <w:rsid w:val="613320B7"/>
    <w:rsid w:val="617579FA"/>
    <w:rsid w:val="61975ECB"/>
    <w:rsid w:val="61BF22B1"/>
    <w:rsid w:val="630E06E5"/>
    <w:rsid w:val="635A392B"/>
    <w:rsid w:val="6401024A"/>
    <w:rsid w:val="644665A5"/>
    <w:rsid w:val="64992B79"/>
    <w:rsid w:val="64B96D77"/>
    <w:rsid w:val="64C23E7D"/>
    <w:rsid w:val="64C9520C"/>
    <w:rsid w:val="66287D10"/>
    <w:rsid w:val="665D15EF"/>
    <w:rsid w:val="66A3383B"/>
    <w:rsid w:val="66B5359B"/>
    <w:rsid w:val="66BC48FC"/>
    <w:rsid w:val="66EF6A80"/>
    <w:rsid w:val="66F9345B"/>
    <w:rsid w:val="671F55B7"/>
    <w:rsid w:val="67650BBF"/>
    <w:rsid w:val="68005FF9"/>
    <w:rsid w:val="689A0B09"/>
    <w:rsid w:val="68B23016"/>
    <w:rsid w:val="68ED3493"/>
    <w:rsid w:val="68F47BF7"/>
    <w:rsid w:val="69126A56"/>
    <w:rsid w:val="6922313D"/>
    <w:rsid w:val="69F83CCF"/>
    <w:rsid w:val="69FF347E"/>
    <w:rsid w:val="6ADC556D"/>
    <w:rsid w:val="6AEC0F62"/>
    <w:rsid w:val="6B3E3B32"/>
    <w:rsid w:val="6B4A3C2D"/>
    <w:rsid w:val="6BC71D79"/>
    <w:rsid w:val="6BD12BF8"/>
    <w:rsid w:val="6C751CFC"/>
    <w:rsid w:val="6CDF1345"/>
    <w:rsid w:val="6D68133A"/>
    <w:rsid w:val="6D8F68C7"/>
    <w:rsid w:val="6DA54C1F"/>
    <w:rsid w:val="6F0719AA"/>
    <w:rsid w:val="6F310344"/>
    <w:rsid w:val="6F614293"/>
    <w:rsid w:val="6FA303CF"/>
    <w:rsid w:val="70912956"/>
    <w:rsid w:val="71235CA4"/>
    <w:rsid w:val="71535E5D"/>
    <w:rsid w:val="7172737E"/>
    <w:rsid w:val="71BE777B"/>
    <w:rsid w:val="72090B5F"/>
    <w:rsid w:val="729D1A86"/>
    <w:rsid w:val="72C46456"/>
    <w:rsid w:val="72DD00D4"/>
    <w:rsid w:val="73C01985"/>
    <w:rsid w:val="74033B6B"/>
    <w:rsid w:val="74C652C4"/>
    <w:rsid w:val="74F00593"/>
    <w:rsid w:val="752C0E9F"/>
    <w:rsid w:val="75A629FF"/>
    <w:rsid w:val="75E35A02"/>
    <w:rsid w:val="7645046A"/>
    <w:rsid w:val="76650B0D"/>
    <w:rsid w:val="766823AB"/>
    <w:rsid w:val="76962A74"/>
    <w:rsid w:val="77361E52"/>
    <w:rsid w:val="77642B72"/>
    <w:rsid w:val="782578C0"/>
    <w:rsid w:val="78B673FD"/>
    <w:rsid w:val="78D41F79"/>
    <w:rsid w:val="798017B9"/>
    <w:rsid w:val="79C63670"/>
    <w:rsid w:val="7A0B19CB"/>
    <w:rsid w:val="7A440A39"/>
    <w:rsid w:val="7A505630"/>
    <w:rsid w:val="7B5353D8"/>
    <w:rsid w:val="7B5F3D7C"/>
    <w:rsid w:val="7B914152"/>
    <w:rsid w:val="7BFF730D"/>
    <w:rsid w:val="7C541407"/>
    <w:rsid w:val="7C920181"/>
    <w:rsid w:val="7C991510"/>
    <w:rsid w:val="7CC0084B"/>
    <w:rsid w:val="7CEF7382"/>
    <w:rsid w:val="7D423956"/>
    <w:rsid w:val="7D5B7327"/>
    <w:rsid w:val="7DDD71DA"/>
    <w:rsid w:val="7FFD1D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f">
      <v:fill on="t" focussize="0,0"/>
      <v:stroke on="f"/>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qFormat="1" w:unhideWhenUsed="0" w:uiPriority="0" w:semiHidden="0" w:name="footnote text"/>
    <w:lsdException w:qFormat="1" w:uiPriority="99" w:semiHidden="0" w:name="annotation text"/>
    <w:lsdException w:qFormat="1" w:unhideWhenUsed="0" w:uiPriority="99"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pacing w:line="360" w:lineRule="atLeast"/>
      <w:textAlignment w:val="baseline"/>
    </w:pPr>
    <w:rPr>
      <w:rFonts w:ascii="Times New Roman" w:hAnsi="Times New Roman" w:eastAsia="宋体" w:cs="Times New Roman"/>
      <w:sz w:val="24"/>
      <w:lang w:val="en-US" w:eastAsia="zh-CN" w:bidi="ar-SA"/>
    </w:rPr>
  </w:style>
  <w:style w:type="paragraph" w:styleId="2">
    <w:name w:val="heading 1"/>
    <w:basedOn w:val="1"/>
    <w:next w:val="1"/>
    <w:link w:val="42"/>
    <w:qFormat/>
    <w:uiPriority w:val="0"/>
    <w:pPr>
      <w:keepNext/>
      <w:numPr>
        <w:ilvl w:val="0"/>
        <w:numId w:val="1"/>
      </w:numPr>
      <w:spacing w:line="300" w:lineRule="auto"/>
      <w:jc w:val="both"/>
      <w:outlineLvl w:val="0"/>
    </w:pPr>
    <w:rPr>
      <w:rFonts w:ascii="Arial" w:hAnsi="Arial" w:eastAsia="仿宋_GB2312"/>
      <w:b/>
      <w:sz w:val="28"/>
      <w:lang w:val="zh-CN"/>
    </w:rPr>
  </w:style>
  <w:style w:type="paragraph" w:styleId="3">
    <w:name w:val="heading 2"/>
    <w:basedOn w:val="1"/>
    <w:next w:val="1"/>
    <w:link w:val="43"/>
    <w:qFormat/>
    <w:uiPriority w:val="0"/>
    <w:pPr>
      <w:keepNext/>
      <w:numPr>
        <w:ilvl w:val="0"/>
        <w:numId w:val="2"/>
      </w:numPr>
      <w:spacing w:line="300" w:lineRule="auto"/>
      <w:outlineLvl w:val="1"/>
    </w:pPr>
    <w:rPr>
      <w:rFonts w:ascii="Arial" w:hAnsi="Arial" w:eastAsia="仿宋_GB2312"/>
      <w:b/>
      <w:bCs/>
      <w:sz w:val="28"/>
      <w:lang w:val="zh-CN"/>
    </w:rPr>
  </w:style>
  <w:style w:type="paragraph" w:styleId="4">
    <w:name w:val="heading 3"/>
    <w:basedOn w:val="1"/>
    <w:next w:val="1"/>
    <w:link w:val="44"/>
    <w:qFormat/>
    <w:uiPriority w:val="0"/>
    <w:pPr>
      <w:keepNext/>
      <w:numPr>
        <w:ilvl w:val="1"/>
        <w:numId w:val="3"/>
      </w:numPr>
      <w:tabs>
        <w:tab w:val="left" w:pos="0"/>
        <w:tab w:val="left" w:pos="1200"/>
        <w:tab w:val="clear" w:pos="1740"/>
      </w:tabs>
      <w:spacing w:line="440" w:lineRule="atLeast"/>
      <w:ind w:left="1320" w:hanging="600"/>
      <w:jc w:val="both"/>
      <w:outlineLvl w:val="2"/>
    </w:pPr>
    <w:rPr>
      <w:rFonts w:ascii="仿宋_GB2312" w:hAnsi="Arial" w:eastAsia="仿宋_GB2312"/>
      <w:sz w:val="28"/>
      <w:lang w:val="zh-CN"/>
    </w:rPr>
  </w:style>
  <w:style w:type="paragraph" w:styleId="5">
    <w:name w:val="heading 4"/>
    <w:basedOn w:val="1"/>
    <w:next w:val="1"/>
    <w:link w:val="45"/>
    <w:qFormat/>
    <w:uiPriority w:val="0"/>
    <w:pPr>
      <w:keepNext/>
      <w:numPr>
        <w:ilvl w:val="0"/>
        <w:numId w:val="4"/>
      </w:numPr>
      <w:tabs>
        <w:tab w:val="clear" w:pos="1605"/>
      </w:tabs>
      <w:spacing w:line="440" w:lineRule="atLeast"/>
      <w:ind w:right="-22"/>
      <w:outlineLvl w:val="3"/>
    </w:pPr>
    <w:rPr>
      <w:rFonts w:ascii="仿宋_GB2312" w:eastAsia="仿宋_GB2312"/>
      <w:sz w:val="28"/>
      <w:lang w:val="zh-CN"/>
    </w:rPr>
  </w:style>
  <w:style w:type="character" w:default="1" w:styleId="36">
    <w:name w:val="Default Paragraph Font"/>
    <w:semiHidden/>
    <w:unhideWhenUsed/>
    <w:qFormat/>
    <w:uiPriority w:val="1"/>
  </w:style>
  <w:style w:type="table" w:default="1" w:styleId="34">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adjustRightInd/>
      <w:spacing w:line="240" w:lineRule="auto"/>
      <w:ind w:left="2520" w:leftChars="1200"/>
      <w:jc w:val="both"/>
      <w:textAlignment w:val="auto"/>
    </w:pPr>
    <w:rPr>
      <w:rFonts w:ascii="Calibri" w:hAnsi="Calibri"/>
      <w:kern w:val="2"/>
      <w:sz w:val="21"/>
      <w:szCs w:val="22"/>
    </w:rPr>
  </w:style>
  <w:style w:type="paragraph" w:styleId="7">
    <w:name w:val="Normal Indent"/>
    <w:basedOn w:val="1"/>
    <w:qFormat/>
    <w:uiPriority w:val="0"/>
    <w:pPr>
      <w:spacing w:line="312" w:lineRule="atLeast"/>
      <w:ind w:firstLine="420"/>
      <w:jc w:val="both"/>
    </w:pPr>
    <w:rPr>
      <w:rFonts w:ascii="Modern" w:hAnsi="Modern" w:eastAsia="仿宋_GB2312"/>
      <w:sz w:val="28"/>
    </w:rPr>
  </w:style>
  <w:style w:type="paragraph" w:styleId="8">
    <w:name w:val="Document Map"/>
    <w:basedOn w:val="1"/>
    <w:link w:val="48"/>
    <w:qFormat/>
    <w:uiPriority w:val="0"/>
    <w:pPr>
      <w:shd w:val="clear" w:color="auto" w:fill="000080"/>
    </w:pPr>
    <w:rPr>
      <w:lang w:val="zh-CN"/>
    </w:rPr>
  </w:style>
  <w:style w:type="paragraph" w:styleId="9">
    <w:name w:val="annotation text"/>
    <w:basedOn w:val="1"/>
    <w:link w:val="85"/>
    <w:unhideWhenUsed/>
    <w:qFormat/>
    <w:uiPriority w:val="99"/>
    <w:rPr>
      <w:lang w:val="zh-CN"/>
    </w:rPr>
  </w:style>
  <w:style w:type="paragraph" w:styleId="10">
    <w:name w:val="Body Text 3"/>
    <w:basedOn w:val="1"/>
    <w:link w:val="56"/>
    <w:qFormat/>
    <w:uiPriority w:val="0"/>
    <w:pPr>
      <w:spacing w:line="288" w:lineRule="auto"/>
      <w:jc w:val="both"/>
    </w:pPr>
    <w:rPr>
      <w:rFonts w:ascii="楷体_GB2312" w:hAnsi="Arial" w:eastAsia="楷体_GB2312"/>
      <w:sz w:val="32"/>
      <w:lang w:val="zh-CN"/>
    </w:rPr>
  </w:style>
  <w:style w:type="paragraph" w:styleId="11">
    <w:name w:val="Body Text"/>
    <w:basedOn w:val="1"/>
    <w:link w:val="49"/>
    <w:qFormat/>
    <w:uiPriority w:val="0"/>
    <w:pPr>
      <w:adjustRightInd/>
      <w:spacing w:line="240" w:lineRule="auto"/>
      <w:jc w:val="both"/>
      <w:textAlignment w:val="auto"/>
    </w:pPr>
    <w:rPr>
      <w:rFonts w:ascii="宋体"/>
      <w:sz w:val="30"/>
      <w:lang w:val="zh-CN"/>
    </w:rPr>
  </w:style>
  <w:style w:type="paragraph" w:styleId="12">
    <w:name w:val="Body Text Indent"/>
    <w:basedOn w:val="1"/>
    <w:link w:val="51"/>
    <w:qFormat/>
    <w:uiPriority w:val="0"/>
    <w:pPr>
      <w:spacing w:line="400" w:lineRule="atLeast"/>
      <w:ind w:firstLine="570"/>
    </w:pPr>
    <w:rPr>
      <w:rFonts w:ascii="仿宋_GB2312" w:eastAsia="仿宋_GB2312"/>
      <w:sz w:val="28"/>
      <w:lang w:val="zh-CN"/>
    </w:rPr>
  </w:style>
  <w:style w:type="paragraph" w:styleId="13">
    <w:name w:val="toc 5"/>
    <w:basedOn w:val="1"/>
    <w:next w:val="1"/>
    <w:unhideWhenUsed/>
    <w:qFormat/>
    <w:uiPriority w:val="39"/>
    <w:pPr>
      <w:adjustRightInd/>
      <w:spacing w:line="240" w:lineRule="auto"/>
      <w:ind w:left="1680" w:leftChars="800"/>
      <w:jc w:val="both"/>
      <w:textAlignment w:val="auto"/>
    </w:pPr>
    <w:rPr>
      <w:rFonts w:ascii="Calibri" w:hAnsi="Calibri"/>
      <w:kern w:val="2"/>
      <w:sz w:val="21"/>
      <w:szCs w:val="22"/>
    </w:rPr>
  </w:style>
  <w:style w:type="paragraph" w:styleId="14">
    <w:name w:val="toc 3"/>
    <w:basedOn w:val="1"/>
    <w:next w:val="1"/>
    <w:unhideWhenUsed/>
    <w:qFormat/>
    <w:uiPriority w:val="39"/>
    <w:pPr>
      <w:adjustRightInd/>
      <w:spacing w:line="240" w:lineRule="auto"/>
      <w:ind w:left="840" w:leftChars="400"/>
      <w:jc w:val="both"/>
      <w:textAlignment w:val="auto"/>
    </w:pPr>
    <w:rPr>
      <w:rFonts w:ascii="Calibri" w:hAnsi="Calibri"/>
      <w:kern w:val="2"/>
      <w:sz w:val="21"/>
      <w:szCs w:val="22"/>
    </w:rPr>
  </w:style>
  <w:style w:type="paragraph" w:styleId="15">
    <w:name w:val="Plain Text"/>
    <w:basedOn w:val="1"/>
    <w:link w:val="55"/>
    <w:qFormat/>
    <w:uiPriority w:val="0"/>
    <w:pPr>
      <w:adjustRightInd/>
      <w:spacing w:line="240" w:lineRule="auto"/>
      <w:jc w:val="both"/>
      <w:textAlignment w:val="auto"/>
    </w:pPr>
    <w:rPr>
      <w:rFonts w:ascii="宋体" w:hAnsi="Courier New"/>
      <w:sz w:val="20"/>
      <w:lang w:val="zh-CN"/>
    </w:rPr>
  </w:style>
  <w:style w:type="paragraph" w:styleId="16">
    <w:name w:val="toc 8"/>
    <w:basedOn w:val="1"/>
    <w:next w:val="1"/>
    <w:unhideWhenUsed/>
    <w:qFormat/>
    <w:uiPriority w:val="39"/>
    <w:pPr>
      <w:adjustRightInd/>
      <w:spacing w:line="240" w:lineRule="auto"/>
      <w:ind w:left="2940" w:leftChars="1400"/>
      <w:jc w:val="both"/>
      <w:textAlignment w:val="auto"/>
    </w:pPr>
    <w:rPr>
      <w:rFonts w:ascii="Calibri" w:hAnsi="Calibri"/>
      <w:kern w:val="2"/>
      <w:sz w:val="21"/>
      <w:szCs w:val="22"/>
    </w:rPr>
  </w:style>
  <w:style w:type="paragraph" w:styleId="17">
    <w:name w:val="Date"/>
    <w:basedOn w:val="1"/>
    <w:next w:val="1"/>
    <w:link w:val="58"/>
    <w:qFormat/>
    <w:uiPriority w:val="0"/>
    <w:pPr>
      <w:jc w:val="both"/>
    </w:pPr>
    <w:rPr>
      <w:rFonts w:ascii="楷体_GB2312" w:eastAsia="楷体_GB2312"/>
      <w:b/>
      <w:sz w:val="28"/>
      <w:lang w:val="zh-CN"/>
    </w:rPr>
  </w:style>
  <w:style w:type="paragraph" w:styleId="18">
    <w:name w:val="Body Text Indent 2"/>
    <w:basedOn w:val="1"/>
    <w:link w:val="52"/>
    <w:qFormat/>
    <w:uiPriority w:val="0"/>
    <w:pPr>
      <w:spacing w:line="360" w:lineRule="exact"/>
      <w:ind w:firstLine="560" w:firstLineChars="200"/>
      <w:jc w:val="both"/>
      <w:outlineLvl w:val="0"/>
    </w:pPr>
    <w:rPr>
      <w:rFonts w:ascii="仿宋_GB2312" w:eastAsia="仿宋_GB2312"/>
      <w:sz w:val="28"/>
      <w:lang w:val="zh-CN"/>
    </w:rPr>
  </w:style>
  <w:style w:type="paragraph" w:styleId="19">
    <w:name w:val="Balloon Text"/>
    <w:basedOn w:val="1"/>
    <w:link w:val="80"/>
    <w:qFormat/>
    <w:uiPriority w:val="99"/>
    <w:rPr>
      <w:sz w:val="18"/>
      <w:szCs w:val="18"/>
      <w:lang w:val="zh-CN"/>
    </w:rPr>
  </w:style>
  <w:style w:type="paragraph" w:styleId="20">
    <w:name w:val="footer"/>
    <w:basedOn w:val="1"/>
    <w:link w:val="47"/>
    <w:qFormat/>
    <w:uiPriority w:val="99"/>
    <w:pPr>
      <w:tabs>
        <w:tab w:val="center" w:pos="4153"/>
        <w:tab w:val="right" w:pos="8306"/>
      </w:tabs>
      <w:spacing w:line="240" w:lineRule="atLeast"/>
    </w:pPr>
    <w:rPr>
      <w:sz w:val="18"/>
      <w:lang w:val="zh-CN"/>
    </w:rPr>
  </w:style>
  <w:style w:type="paragraph" w:styleId="21">
    <w:name w:val="header"/>
    <w:basedOn w:val="1"/>
    <w:link w:val="46"/>
    <w:qFormat/>
    <w:uiPriority w:val="99"/>
    <w:pPr>
      <w:pBdr>
        <w:bottom w:val="single" w:color="auto" w:sz="6" w:space="1"/>
      </w:pBdr>
      <w:tabs>
        <w:tab w:val="center" w:pos="4153"/>
        <w:tab w:val="right" w:pos="8306"/>
      </w:tabs>
      <w:spacing w:line="240" w:lineRule="atLeast"/>
      <w:jc w:val="center"/>
    </w:pPr>
    <w:rPr>
      <w:sz w:val="18"/>
      <w:lang w:val="zh-CN"/>
    </w:rPr>
  </w:style>
  <w:style w:type="paragraph" w:styleId="22">
    <w:name w:val="toc 1"/>
    <w:basedOn w:val="1"/>
    <w:next w:val="1"/>
    <w:unhideWhenUsed/>
    <w:qFormat/>
    <w:uiPriority w:val="39"/>
    <w:pPr>
      <w:tabs>
        <w:tab w:val="left" w:pos="840"/>
        <w:tab w:val="right" w:leader="dot" w:pos="8654"/>
      </w:tabs>
      <w:spacing w:line="360" w:lineRule="auto"/>
      <w:jc w:val="center"/>
    </w:pPr>
    <w:rPr>
      <w:rFonts w:ascii="仿宋_GB2312" w:hAnsi="Arial" w:eastAsia="仿宋_GB2312"/>
      <w:sz w:val="28"/>
      <w:szCs w:val="28"/>
    </w:rPr>
  </w:style>
  <w:style w:type="paragraph" w:styleId="23">
    <w:name w:val="toc 4"/>
    <w:basedOn w:val="1"/>
    <w:next w:val="1"/>
    <w:unhideWhenUsed/>
    <w:qFormat/>
    <w:uiPriority w:val="39"/>
    <w:pPr>
      <w:adjustRightInd/>
      <w:spacing w:line="240" w:lineRule="auto"/>
      <w:ind w:left="1260" w:leftChars="600"/>
      <w:jc w:val="both"/>
      <w:textAlignment w:val="auto"/>
    </w:pPr>
    <w:rPr>
      <w:rFonts w:ascii="Calibri" w:hAnsi="Calibri"/>
      <w:kern w:val="2"/>
      <w:sz w:val="21"/>
      <w:szCs w:val="22"/>
    </w:rPr>
  </w:style>
  <w:style w:type="paragraph" w:styleId="24">
    <w:name w:val="footnote text"/>
    <w:basedOn w:val="1"/>
    <w:link w:val="96"/>
    <w:qFormat/>
    <w:uiPriority w:val="0"/>
    <w:pPr>
      <w:adjustRightInd/>
      <w:snapToGrid w:val="0"/>
      <w:spacing w:line="240" w:lineRule="auto"/>
      <w:textAlignment w:val="auto"/>
    </w:pPr>
    <w:rPr>
      <w:kern w:val="2"/>
      <w:sz w:val="18"/>
      <w:szCs w:val="18"/>
      <w:lang w:val="zh-CN"/>
    </w:rPr>
  </w:style>
  <w:style w:type="paragraph" w:styleId="25">
    <w:name w:val="toc 6"/>
    <w:basedOn w:val="1"/>
    <w:next w:val="1"/>
    <w:unhideWhenUsed/>
    <w:qFormat/>
    <w:uiPriority w:val="39"/>
    <w:pPr>
      <w:adjustRightInd/>
      <w:spacing w:line="240" w:lineRule="auto"/>
      <w:ind w:left="2100" w:leftChars="1000"/>
      <w:jc w:val="both"/>
      <w:textAlignment w:val="auto"/>
    </w:pPr>
    <w:rPr>
      <w:rFonts w:ascii="Calibri" w:hAnsi="Calibri"/>
      <w:kern w:val="2"/>
      <w:sz w:val="21"/>
      <w:szCs w:val="22"/>
    </w:rPr>
  </w:style>
  <w:style w:type="paragraph" w:styleId="26">
    <w:name w:val="Body Text Indent 3"/>
    <w:basedOn w:val="1"/>
    <w:link w:val="53"/>
    <w:qFormat/>
    <w:uiPriority w:val="0"/>
    <w:pPr>
      <w:spacing w:line="440" w:lineRule="atLeast"/>
      <w:ind w:firstLine="600"/>
      <w:jc w:val="both"/>
    </w:pPr>
    <w:rPr>
      <w:rFonts w:ascii="Arial" w:hAnsi="Arial" w:eastAsia="仿宋_GB2312"/>
      <w:sz w:val="28"/>
      <w:lang w:val="zh-CN"/>
    </w:rPr>
  </w:style>
  <w:style w:type="paragraph" w:styleId="27">
    <w:name w:val="toc 2"/>
    <w:basedOn w:val="1"/>
    <w:next w:val="1"/>
    <w:unhideWhenUsed/>
    <w:qFormat/>
    <w:uiPriority w:val="39"/>
    <w:pPr>
      <w:tabs>
        <w:tab w:val="right" w:leader="dot" w:pos="8931"/>
      </w:tabs>
      <w:spacing w:line="360" w:lineRule="auto"/>
      <w:ind w:left="480" w:leftChars="200"/>
    </w:pPr>
  </w:style>
  <w:style w:type="paragraph" w:styleId="28">
    <w:name w:val="toc 9"/>
    <w:basedOn w:val="1"/>
    <w:next w:val="1"/>
    <w:unhideWhenUsed/>
    <w:qFormat/>
    <w:uiPriority w:val="39"/>
    <w:pPr>
      <w:adjustRightInd/>
      <w:spacing w:line="240" w:lineRule="auto"/>
      <w:ind w:left="3360" w:leftChars="1600"/>
      <w:jc w:val="both"/>
      <w:textAlignment w:val="auto"/>
    </w:pPr>
    <w:rPr>
      <w:rFonts w:ascii="Calibri" w:hAnsi="Calibri"/>
      <w:kern w:val="2"/>
      <w:sz w:val="21"/>
      <w:szCs w:val="22"/>
    </w:rPr>
  </w:style>
  <w:style w:type="paragraph" w:styleId="29">
    <w:name w:val="Body Text 2"/>
    <w:basedOn w:val="1"/>
    <w:link w:val="54"/>
    <w:qFormat/>
    <w:uiPriority w:val="0"/>
    <w:pPr>
      <w:autoSpaceDE w:val="0"/>
      <w:autoSpaceDN w:val="0"/>
      <w:spacing w:line="440" w:lineRule="exact"/>
      <w:jc w:val="both"/>
    </w:pPr>
    <w:rPr>
      <w:rFonts w:ascii="仿宋_GB2312" w:hAnsi="Arial" w:eastAsia="仿宋_GB2312"/>
      <w:sz w:val="28"/>
      <w:lang w:val="zh-CN"/>
    </w:rPr>
  </w:style>
  <w:style w:type="paragraph" w:styleId="30">
    <w:name w:val="HTML Preformatted"/>
    <w:basedOn w:val="1"/>
    <w:link w:val="76"/>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textAlignment w:val="auto"/>
    </w:pPr>
    <w:rPr>
      <w:rFonts w:ascii="宋体" w:hAnsi="宋体"/>
      <w:szCs w:val="24"/>
      <w:lang w:val="zh-CN"/>
    </w:rPr>
  </w:style>
  <w:style w:type="paragraph" w:styleId="31">
    <w:name w:val="Normal (Web)"/>
    <w:basedOn w:val="1"/>
    <w:qFormat/>
    <w:uiPriority w:val="99"/>
    <w:pPr>
      <w:widowControl/>
      <w:adjustRightInd/>
      <w:spacing w:line="360" w:lineRule="auto"/>
      <w:textAlignment w:val="auto"/>
    </w:pPr>
    <w:rPr>
      <w:rFonts w:ascii="宋体" w:hAnsi="宋体"/>
      <w:sz w:val="18"/>
      <w:szCs w:val="18"/>
    </w:rPr>
  </w:style>
  <w:style w:type="paragraph" w:styleId="32">
    <w:name w:val="annotation subject"/>
    <w:basedOn w:val="9"/>
    <w:next w:val="9"/>
    <w:link w:val="86"/>
    <w:unhideWhenUsed/>
    <w:qFormat/>
    <w:uiPriority w:val="99"/>
    <w:rPr>
      <w:b/>
      <w:bCs/>
    </w:rPr>
  </w:style>
  <w:style w:type="paragraph" w:styleId="33">
    <w:name w:val="Body Text First Indent"/>
    <w:basedOn w:val="11"/>
    <w:link w:val="50"/>
    <w:qFormat/>
    <w:uiPriority w:val="0"/>
    <w:pPr>
      <w:spacing w:after="120"/>
      <w:ind w:firstLine="420"/>
    </w:pPr>
    <w:rPr>
      <w:rFonts w:ascii="Times New Roman"/>
    </w:rPr>
  </w:style>
  <w:style w:type="table" w:styleId="35">
    <w:name w:val="Table Grid"/>
    <w:basedOn w:val="34"/>
    <w:qFormat/>
    <w:uiPriority w:val="0"/>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qFormat/>
    <w:uiPriority w:val="0"/>
    <w:rPr>
      <w:b/>
      <w:bCs/>
    </w:rPr>
  </w:style>
  <w:style w:type="character" w:styleId="38">
    <w:name w:val="page number"/>
    <w:basedOn w:val="36"/>
    <w:qFormat/>
    <w:uiPriority w:val="0"/>
  </w:style>
  <w:style w:type="character" w:styleId="39">
    <w:name w:val="Emphasis"/>
    <w:qFormat/>
    <w:uiPriority w:val="20"/>
    <w:rPr>
      <w:i/>
      <w:iCs/>
    </w:rPr>
  </w:style>
  <w:style w:type="character" w:styleId="40">
    <w:name w:val="Hyperlink"/>
    <w:unhideWhenUsed/>
    <w:qFormat/>
    <w:uiPriority w:val="99"/>
    <w:rPr>
      <w:color w:val="0000FF"/>
      <w:u w:val="single"/>
    </w:rPr>
  </w:style>
  <w:style w:type="character" w:styleId="41">
    <w:name w:val="annotation reference"/>
    <w:unhideWhenUsed/>
    <w:qFormat/>
    <w:uiPriority w:val="0"/>
    <w:rPr>
      <w:sz w:val="21"/>
      <w:szCs w:val="21"/>
    </w:rPr>
  </w:style>
  <w:style w:type="character" w:customStyle="1" w:styleId="42">
    <w:name w:val="标题 1 字符1"/>
    <w:link w:val="2"/>
    <w:qFormat/>
    <w:uiPriority w:val="0"/>
    <w:rPr>
      <w:rFonts w:ascii="Arial" w:hAnsi="Arial" w:eastAsia="仿宋_GB2312"/>
      <w:b/>
      <w:sz w:val="28"/>
      <w:lang w:val="zh-CN" w:eastAsia="zh-CN"/>
    </w:rPr>
  </w:style>
  <w:style w:type="character" w:customStyle="1" w:styleId="43">
    <w:name w:val="标题 2 字符1"/>
    <w:link w:val="3"/>
    <w:qFormat/>
    <w:uiPriority w:val="0"/>
    <w:rPr>
      <w:rFonts w:ascii="Arial" w:hAnsi="Arial" w:eastAsia="仿宋_GB2312"/>
      <w:b/>
      <w:bCs/>
      <w:sz w:val="28"/>
      <w:lang w:val="zh-CN" w:eastAsia="zh-CN"/>
    </w:rPr>
  </w:style>
  <w:style w:type="character" w:customStyle="1" w:styleId="44">
    <w:name w:val="标题 3 字符1"/>
    <w:link w:val="4"/>
    <w:qFormat/>
    <w:uiPriority w:val="0"/>
    <w:rPr>
      <w:rFonts w:ascii="仿宋_GB2312" w:hAnsi="Arial" w:eastAsia="仿宋_GB2312"/>
      <w:sz w:val="28"/>
      <w:lang w:val="zh-CN" w:eastAsia="zh-CN"/>
    </w:rPr>
  </w:style>
  <w:style w:type="character" w:customStyle="1" w:styleId="45">
    <w:name w:val="标题 4 字符1"/>
    <w:link w:val="5"/>
    <w:qFormat/>
    <w:uiPriority w:val="0"/>
    <w:rPr>
      <w:rFonts w:ascii="仿宋_GB2312" w:hAnsi="Times New Roman" w:eastAsia="仿宋_GB2312"/>
      <w:sz w:val="28"/>
      <w:lang w:val="zh-CN" w:eastAsia="zh-CN"/>
    </w:rPr>
  </w:style>
  <w:style w:type="character" w:customStyle="1" w:styleId="46">
    <w:name w:val="页眉 字符1"/>
    <w:link w:val="21"/>
    <w:qFormat/>
    <w:uiPriority w:val="99"/>
    <w:rPr>
      <w:rFonts w:ascii="Times New Roman" w:hAnsi="Times New Roman" w:eastAsia="宋体" w:cs="Times New Roman"/>
      <w:kern w:val="0"/>
      <w:sz w:val="18"/>
      <w:szCs w:val="20"/>
    </w:rPr>
  </w:style>
  <w:style w:type="character" w:customStyle="1" w:styleId="47">
    <w:name w:val="页脚 字符1"/>
    <w:link w:val="20"/>
    <w:qFormat/>
    <w:uiPriority w:val="99"/>
    <w:rPr>
      <w:rFonts w:ascii="Times New Roman" w:hAnsi="Times New Roman" w:eastAsia="宋体" w:cs="Times New Roman"/>
      <w:kern w:val="0"/>
      <w:sz w:val="18"/>
      <w:szCs w:val="20"/>
    </w:rPr>
  </w:style>
  <w:style w:type="character" w:customStyle="1" w:styleId="48">
    <w:name w:val="文档结构图 字符1"/>
    <w:link w:val="8"/>
    <w:qFormat/>
    <w:uiPriority w:val="0"/>
    <w:rPr>
      <w:rFonts w:ascii="Times New Roman" w:hAnsi="Times New Roman" w:eastAsia="宋体" w:cs="Times New Roman"/>
      <w:kern w:val="0"/>
      <w:sz w:val="24"/>
      <w:szCs w:val="20"/>
      <w:shd w:val="clear" w:color="auto" w:fill="000080"/>
    </w:rPr>
  </w:style>
  <w:style w:type="character" w:customStyle="1" w:styleId="49">
    <w:name w:val="正文文本 字符1"/>
    <w:link w:val="11"/>
    <w:qFormat/>
    <w:uiPriority w:val="0"/>
    <w:rPr>
      <w:rFonts w:ascii="宋体" w:hAnsi="Times New Roman" w:eastAsia="宋体" w:cs="Times New Roman"/>
      <w:sz w:val="30"/>
      <w:szCs w:val="20"/>
    </w:rPr>
  </w:style>
  <w:style w:type="character" w:customStyle="1" w:styleId="50">
    <w:name w:val="正文文本首行缩进 字符1"/>
    <w:link w:val="33"/>
    <w:qFormat/>
    <w:uiPriority w:val="0"/>
    <w:rPr>
      <w:rFonts w:ascii="Times New Roman" w:hAnsi="Times New Roman" w:eastAsia="宋体" w:cs="Times New Roman"/>
      <w:sz w:val="30"/>
      <w:szCs w:val="20"/>
    </w:rPr>
  </w:style>
  <w:style w:type="character" w:customStyle="1" w:styleId="51">
    <w:name w:val="正文文本缩进 字符1"/>
    <w:link w:val="12"/>
    <w:qFormat/>
    <w:uiPriority w:val="0"/>
    <w:rPr>
      <w:rFonts w:ascii="仿宋_GB2312" w:eastAsia="仿宋_GB2312" w:cs="Times New Roman"/>
      <w:kern w:val="0"/>
      <w:sz w:val="28"/>
      <w:szCs w:val="20"/>
    </w:rPr>
  </w:style>
  <w:style w:type="character" w:customStyle="1" w:styleId="52">
    <w:name w:val="正文文本缩进 2 字符1"/>
    <w:link w:val="18"/>
    <w:qFormat/>
    <w:uiPriority w:val="0"/>
    <w:rPr>
      <w:rFonts w:ascii="仿宋_GB2312" w:hAnsi="Times New Roman" w:eastAsia="仿宋_GB2312" w:cs="Times New Roman"/>
      <w:kern w:val="0"/>
      <w:sz w:val="28"/>
      <w:szCs w:val="20"/>
    </w:rPr>
  </w:style>
  <w:style w:type="character" w:customStyle="1" w:styleId="53">
    <w:name w:val="正文文本缩进 3 字符1"/>
    <w:link w:val="26"/>
    <w:qFormat/>
    <w:uiPriority w:val="0"/>
    <w:rPr>
      <w:rFonts w:ascii="Arial" w:hAnsi="Arial" w:eastAsia="仿宋_GB2312" w:cs="Arial"/>
      <w:kern w:val="0"/>
      <w:sz w:val="28"/>
      <w:szCs w:val="20"/>
    </w:rPr>
  </w:style>
  <w:style w:type="character" w:customStyle="1" w:styleId="54">
    <w:name w:val="正文文本 2 字符1"/>
    <w:link w:val="29"/>
    <w:qFormat/>
    <w:uiPriority w:val="0"/>
    <w:rPr>
      <w:rFonts w:ascii="仿宋_GB2312" w:hAnsi="Arial" w:eastAsia="仿宋_GB2312" w:cs="Times New Roman"/>
      <w:kern w:val="0"/>
      <w:sz w:val="28"/>
      <w:szCs w:val="20"/>
    </w:rPr>
  </w:style>
  <w:style w:type="character" w:customStyle="1" w:styleId="55">
    <w:name w:val="纯文本 字符1"/>
    <w:link w:val="15"/>
    <w:qFormat/>
    <w:uiPriority w:val="0"/>
    <w:rPr>
      <w:rFonts w:ascii="宋体" w:hAnsi="Courier New" w:eastAsia="宋体" w:cs="Times New Roman"/>
      <w:szCs w:val="20"/>
    </w:rPr>
  </w:style>
  <w:style w:type="character" w:customStyle="1" w:styleId="56">
    <w:name w:val="正文文本 3 字符1"/>
    <w:link w:val="10"/>
    <w:qFormat/>
    <w:uiPriority w:val="0"/>
    <w:rPr>
      <w:rFonts w:ascii="楷体_GB2312" w:hAnsi="Arial" w:eastAsia="楷体_GB2312" w:cs="Times New Roman"/>
      <w:kern w:val="0"/>
      <w:sz w:val="32"/>
      <w:szCs w:val="20"/>
    </w:rPr>
  </w:style>
  <w:style w:type="paragraph" w:customStyle="1" w:styleId="57">
    <w:name w:val="正文1"/>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58">
    <w:name w:val="日期 字符1"/>
    <w:link w:val="17"/>
    <w:qFormat/>
    <w:uiPriority w:val="0"/>
    <w:rPr>
      <w:rFonts w:ascii="楷体_GB2312" w:hAnsi="Times New Roman" w:eastAsia="楷体_GB2312" w:cs="Times New Roman"/>
      <w:b/>
      <w:kern w:val="0"/>
      <w:sz w:val="28"/>
      <w:szCs w:val="20"/>
    </w:rPr>
  </w:style>
  <w:style w:type="character" w:customStyle="1" w:styleId="59">
    <w:name w:val="text1"/>
    <w:qFormat/>
    <w:uiPriority w:val="0"/>
    <w:rPr>
      <w:spacing w:val="10"/>
      <w:sz w:val="28"/>
      <w:szCs w:val="28"/>
    </w:rPr>
  </w:style>
  <w:style w:type="paragraph" w:customStyle="1" w:styleId="60">
    <w:name w:val="xl33"/>
    <w:basedOn w:val="1"/>
    <w:qFormat/>
    <w:uiPriority w:val="0"/>
    <w:pPr>
      <w:widowControl/>
      <w:pBdr>
        <w:top w:val="single" w:color="auto" w:sz="4" w:space="0"/>
        <w:bottom w:val="single" w:color="auto" w:sz="4" w:space="0"/>
      </w:pBdr>
      <w:adjustRightInd/>
      <w:spacing w:before="100" w:beforeAutospacing="1" w:after="100" w:afterAutospacing="1" w:line="240" w:lineRule="auto"/>
      <w:jc w:val="center"/>
      <w:textAlignment w:val="center"/>
    </w:pPr>
    <w:rPr>
      <w:rFonts w:ascii="Arial Unicode MS" w:hAnsi="Arial Unicode MS"/>
      <w:b/>
      <w:bCs/>
      <w:szCs w:val="24"/>
    </w:rPr>
  </w:style>
  <w:style w:type="paragraph" w:customStyle="1" w:styleId="61">
    <w:name w:val="font5"/>
    <w:basedOn w:val="1"/>
    <w:qFormat/>
    <w:uiPriority w:val="0"/>
    <w:pPr>
      <w:widowControl/>
      <w:adjustRightInd/>
      <w:spacing w:before="100" w:beforeAutospacing="1" w:after="100" w:afterAutospacing="1" w:line="240" w:lineRule="auto"/>
      <w:textAlignment w:val="auto"/>
    </w:pPr>
    <w:rPr>
      <w:rFonts w:hint="eastAsia" w:ascii="宋体" w:hAnsi="宋体"/>
      <w:sz w:val="18"/>
      <w:szCs w:val="18"/>
    </w:rPr>
  </w:style>
  <w:style w:type="paragraph" w:customStyle="1" w:styleId="62">
    <w:name w:val="font6"/>
    <w:basedOn w:val="1"/>
    <w:qFormat/>
    <w:uiPriority w:val="0"/>
    <w:pPr>
      <w:widowControl/>
      <w:adjustRightInd/>
      <w:spacing w:before="100" w:beforeAutospacing="1" w:after="100" w:afterAutospacing="1" w:line="240" w:lineRule="auto"/>
      <w:textAlignment w:val="auto"/>
    </w:pPr>
    <w:rPr>
      <w:rFonts w:hint="eastAsia" w:ascii="宋体" w:hAnsi="宋体"/>
      <w:b/>
      <w:bCs/>
      <w:sz w:val="32"/>
      <w:szCs w:val="32"/>
    </w:rPr>
  </w:style>
  <w:style w:type="paragraph" w:customStyle="1" w:styleId="63">
    <w:name w:val="font7"/>
    <w:basedOn w:val="1"/>
    <w:qFormat/>
    <w:uiPriority w:val="0"/>
    <w:pPr>
      <w:widowControl/>
      <w:adjustRightInd/>
      <w:spacing w:before="100" w:beforeAutospacing="1" w:after="100" w:afterAutospacing="1" w:line="240" w:lineRule="auto"/>
      <w:textAlignment w:val="auto"/>
    </w:pPr>
    <w:rPr>
      <w:szCs w:val="24"/>
    </w:rPr>
  </w:style>
  <w:style w:type="paragraph" w:customStyle="1" w:styleId="64">
    <w:name w:val="font8"/>
    <w:basedOn w:val="1"/>
    <w:qFormat/>
    <w:uiPriority w:val="0"/>
    <w:pPr>
      <w:widowControl/>
      <w:adjustRightInd/>
      <w:spacing w:before="100" w:beforeAutospacing="1" w:after="100" w:afterAutospacing="1" w:line="240" w:lineRule="auto"/>
      <w:textAlignment w:val="auto"/>
    </w:pPr>
    <w:rPr>
      <w:rFonts w:hint="eastAsia" w:ascii="宋体" w:hAnsi="宋体"/>
      <w:b/>
      <w:bCs/>
      <w:sz w:val="36"/>
      <w:szCs w:val="36"/>
    </w:rPr>
  </w:style>
  <w:style w:type="paragraph" w:customStyle="1" w:styleId="65">
    <w:name w:val="font9"/>
    <w:basedOn w:val="1"/>
    <w:qFormat/>
    <w:uiPriority w:val="0"/>
    <w:pPr>
      <w:widowControl/>
      <w:adjustRightInd/>
      <w:spacing w:before="100" w:beforeAutospacing="1" w:after="100" w:afterAutospacing="1" w:line="240" w:lineRule="auto"/>
      <w:textAlignment w:val="auto"/>
    </w:pPr>
    <w:rPr>
      <w:b/>
      <w:bCs/>
      <w:sz w:val="36"/>
      <w:szCs w:val="36"/>
    </w:rPr>
  </w:style>
  <w:style w:type="paragraph" w:customStyle="1" w:styleId="66">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rFonts w:ascii="Arial Unicode MS" w:hAnsi="Arial Unicode MS"/>
      <w:szCs w:val="24"/>
    </w:rPr>
  </w:style>
  <w:style w:type="paragraph" w:customStyle="1" w:styleId="67">
    <w:name w:val="xl2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szCs w:val="24"/>
    </w:rPr>
  </w:style>
  <w:style w:type="paragraph" w:customStyle="1" w:styleId="68">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sz w:val="20"/>
    </w:rPr>
  </w:style>
  <w:style w:type="paragraph" w:customStyle="1" w:styleId="6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textAlignment w:val="auto"/>
    </w:pPr>
    <w:rPr>
      <w:rFonts w:ascii="Arial Narrow" w:hAnsi="Arial Narrow"/>
      <w:sz w:val="20"/>
    </w:rPr>
  </w:style>
  <w:style w:type="paragraph" w:customStyle="1" w:styleId="70">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textAlignment w:val="auto"/>
    </w:pPr>
    <w:rPr>
      <w:rFonts w:ascii="Arial Narrow" w:hAnsi="Arial Narrow"/>
      <w:sz w:val="20"/>
    </w:rPr>
  </w:style>
  <w:style w:type="paragraph" w:customStyle="1" w:styleId="71">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240" w:lineRule="auto"/>
      <w:jc w:val="right"/>
      <w:textAlignment w:val="auto"/>
    </w:pPr>
    <w:rPr>
      <w:rFonts w:ascii="Arial Narrow" w:hAnsi="Arial Narrow"/>
      <w:sz w:val="20"/>
    </w:rPr>
  </w:style>
  <w:style w:type="paragraph" w:customStyle="1" w:styleId="72">
    <w:name w:val="xl30"/>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paragraph" w:customStyle="1" w:styleId="73">
    <w:name w:val="xl31"/>
    <w:basedOn w:val="1"/>
    <w:qFormat/>
    <w:uiPriority w:val="0"/>
    <w:pPr>
      <w:widowControl/>
      <w:pBdr>
        <w:top w:val="single" w:color="auto" w:sz="4" w:space="0"/>
        <w:bottom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paragraph" w:customStyle="1" w:styleId="74">
    <w:name w:val="xl32"/>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line="240" w:lineRule="auto"/>
      <w:jc w:val="center"/>
      <w:textAlignment w:val="auto"/>
    </w:pPr>
    <w:rPr>
      <w:rFonts w:ascii="Arial Unicode MS" w:hAnsi="Arial Unicode MS"/>
      <w:sz w:val="20"/>
    </w:rPr>
  </w:style>
  <w:style w:type="character" w:customStyle="1" w:styleId="75">
    <w:name w:val="nr1"/>
    <w:qFormat/>
    <w:uiPriority w:val="0"/>
    <w:rPr>
      <w:rFonts w:hint="eastAsia" w:ascii="楷体_GB2312" w:eastAsia="楷体_GB2312"/>
      <w:color w:val="000000"/>
      <w:sz w:val="24"/>
      <w:szCs w:val="24"/>
    </w:rPr>
  </w:style>
  <w:style w:type="character" w:customStyle="1" w:styleId="76">
    <w:name w:val="HTML 预设格式 字符1"/>
    <w:link w:val="30"/>
    <w:qFormat/>
    <w:uiPriority w:val="99"/>
    <w:rPr>
      <w:rFonts w:ascii="宋体" w:hAnsi="宋体" w:eastAsia="宋体" w:cs="Times New Roman"/>
      <w:kern w:val="0"/>
      <w:sz w:val="24"/>
      <w:szCs w:val="24"/>
    </w:rPr>
  </w:style>
  <w:style w:type="paragraph" w:customStyle="1" w:styleId="77">
    <w:name w:val="样式2"/>
    <w:basedOn w:val="1"/>
    <w:qFormat/>
    <w:uiPriority w:val="0"/>
    <w:pPr>
      <w:autoSpaceDE w:val="0"/>
      <w:autoSpaceDN w:val="0"/>
      <w:spacing w:line="240" w:lineRule="auto"/>
      <w:jc w:val="center"/>
    </w:pPr>
    <w:rPr>
      <w:rFonts w:ascii="长城粗隶书" w:eastAsia="长城粗隶书"/>
      <w:b/>
      <w:spacing w:val="20"/>
      <w:sz w:val="52"/>
    </w:rPr>
  </w:style>
  <w:style w:type="paragraph" w:customStyle="1" w:styleId="78">
    <w:name w:val="Char Char1 Char"/>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79">
    <w:name w:val="Char"/>
    <w:basedOn w:val="1"/>
    <w:qFormat/>
    <w:uiPriority w:val="0"/>
    <w:pPr>
      <w:adjustRightInd/>
      <w:spacing w:line="240" w:lineRule="auto"/>
      <w:jc w:val="both"/>
      <w:textAlignment w:val="auto"/>
    </w:pPr>
    <w:rPr>
      <w:rFonts w:ascii="宋体" w:hAnsi="宋体" w:cs="Courier New"/>
      <w:kern w:val="2"/>
      <w:sz w:val="32"/>
      <w:szCs w:val="32"/>
    </w:rPr>
  </w:style>
  <w:style w:type="character" w:customStyle="1" w:styleId="80">
    <w:name w:val="批注框文本 字符1"/>
    <w:link w:val="19"/>
    <w:qFormat/>
    <w:uiPriority w:val="99"/>
    <w:rPr>
      <w:rFonts w:ascii="Times New Roman" w:hAnsi="Times New Roman" w:eastAsia="宋体" w:cs="Times New Roman"/>
      <w:kern w:val="0"/>
      <w:sz w:val="18"/>
      <w:szCs w:val="18"/>
    </w:rPr>
  </w:style>
  <w:style w:type="character" w:customStyle="1" w:styleId="81">
    <w:name w:val="t12h291"/>
    <w:qFormat/>
    <w:uiPriority w:val="0"/>
    <w:rPr>
      <w:color w:val="000000"/>
      <w:sz w:val="24"/>
      <w:szCs w:val="24"/>
    </w:rPr>
  </w:style>
  <w:style w:type="paragraph" w:customStyle="1" w:styleId="82">
    <w:name w:val="Default"/>
    <w:qFormat/>
    <w:uiPriority w:val="0"/>
    <w:pPr>
      <w:widowControl w:val="0"/>
      <w:autoSpaceDE w:val="0"/>
      <w:autoSpaceDN w:val="0"/>
      <w:adjustRightInd w:val="0"/>
    </w:pPr>
    <w:rPr>
      <w:rFonts w:ascii="华文细黑碙.." w:hAnsi="Calibri" w:eastAsia="华文细黑碙.." w:cs="华文细黑碙.."/>
      <w:color w:val="000000"/>
      <w:sz w:val="24"/>
      <w:szCs w:val="24"/>
      <w:lang w:val="en-US" w:eastAsia="zh-CN" w:bidi="ar-SA"/>
    </w:rPr>
  </w:style>
  <w:style w:type="character" w:customStyle="1" w:styleId="83">
    <w:name w:val="A4"/>
    <w:qFormat/>
    <w:uiPriority w:val="0"/>
    <w:rPr>
      <w:rFonts w:cs="华文细黑碙.."/>
      <w:color w:val="000000"/>
      <w:sz w:val="16"/>
      <w:szCs w:val="16"/>
    </w:rPr>
  </w:style>
  <w:style w:type="character" w:customStyle="1" w:styleId="84">
    <w:name w:val="A3"/>
    <w:qFormat/>
    <w:uiPriority w:val="0"/>
    <w:rPr>
      <w:rFonts w:cs="黑体萄"/>
      <w:color w:val="000000"/>
      <w:sz w:val="18"/>
      <w:szCs w:val="18"/>
    </w:rPr>
  </w:style>
  <w:style w:type="character" w:customStyle="1" w:styleId="85">
    <w:name w:val="批注文字 字符1"/>
    <w:link w:val="9"/>
    <w:qFormat/>
    <w:uiPriority w:val="99"/>
    <w:rPr>
      <w:rFonts w:ascii="Times New Roman" w:hAnsi="Times New Roman"/>
      <w:sz w:val="24"/>
    </w:rPr>
  </w:style>
  <w:style w:type="character" w:customStyle="1" w:styleId="86">
    <w:name w:val="批注主题 字符1"/>
    <w:link w:val="32"/>
    <w:qFormat/>
    <w:uiPriority w:val="99"/>
    <w:rPr>
      <w:rFonts w:ascii="Times New Roman" w:hAnsi="Times New Roman"/>
      <w:b/>
      <w:bCs/>
      <w:sz w:val="24"/>
    </w:rPr>
  </w:style>
  <w:style w:type="paragraph" w:customStyle="1" w:styleId="87">
    <w:name w:val="浅色列表 - 强调文字颜色 32"/>
    <w:hidden/>
    <w:semiHidden/>
    <w:qFormat/>
    <w:uiPriority w:val="99"/>
    <w:rPr>
      <w:rFonts w:ascii="Times New Roman" w:hAnsi="Times New Roman" w:eastAsia="宋体" w:cs="Times New Roman"/>
      <w:sz w:val="24"/>
      <w:lang w:val="en-US" w:eastAsia="zh-CN" w:bidi="ar-SA"/>
    </w:rPr>
  </w:style>
  <w:style w:type="paragraph" w:customStyle="1" w:styleId="88">
    <w:name w:val="iw_poi_title"/>
    <w:basedOn w:val="1"/>
    <w:qFormat/>
    <w:uiPriority w:val="0"/>
    <w:pPr>
      <w:widowControl/>
      <w:adjustRightInd/>
      <w:spacing w:line="240" w:lineRule="auto"/>
      <w:textAlignment w:val="auto"/>
    </w:pPr>
    <w:rPr>
      <w:rFonts w:ascii="宋体" w:hAnsi="宋体" w:cs="宋体"/>
      <w:b/>
      <w:bCs/>
      <w:color w:val="4D4D4D"/>
      <w:sz w:val="21"/>
      <w:szCs w:val="21"/>
    </w:rPr>
  </w:style>
  <w:style w:type="paragraph" w:customStyle="1" w:styleId="89">
    <w:name w:val="Char Char Char Char"/>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90">
    <w:name w:val="浅色网格 - 强调文字颜色 32"/>
    <w:basedOn w:val="1"/>
    <w:qFormat/>
    <w:uiPriority w:val="34"/>
    <w:pPr>
      <w:ind w:firstLine="420" w:firstLineChars="200"/>
    </w:pPr>
  </w:style>
  <w:style w:type="paragraph" w:customStyle="1" w:styleId="91">
    <w:name w:val="正文111"/>
    <w:basedOn w:val="1"/>
    <w:link w:val="92"/>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lang w:val="zh-CN"/>
    </w:rPr>
  </w:style>
  <w:style w:type="character" w:customStyle="1" w:styleId="92">
    <w:name w:val="正文1 Char"/>
    <w:link w:val="91"/>
    <w:qFormat/>
    <w:uiPriority w:val="0"/>
    <w:rPr>
      <w:rFonts w:ascii="Times New Roman" w:hAnsi="Times New Roman" w:eastAsia="仿宋_GB2312"/>
      <w:kern w:val="2"/>
      <w:sz w:val="28"/>
      <w:szCs w:val="24"/>
    </w:rPr>
  </w:style>
  <w:style w:type="paragraph" w:customStyle="1" w:styleId="93">
    <w:name w:val="Normal_37"/>
    <w:qFormat/>
    <w:uiPriority w:val="0"/>
    <w:pPr>
      <w:spacing w:before="120" w:after="240"/>
      <w:jc w:val="both"/>
    </w:pPr>
    <w:rPr>
      <w:rFonts w:ascii="Calibri" w:hAnsi="Calibri" w:eastAsia="Calibri" w:cs="Times New Roman"/>
      <w:sz w:val="22"/>
      <w:szCs w:val="22"/>
      <w:lang w:val="ru-RU" w:eastAsia="en-US" w:bidi="ar-SA"/>
    </w:rPr>
  </w:style>
  <w:style w:type="paragraph" w:customStyle="1" w:styleId="94">
    <w:name w:val="内容"/>
    <w:basedOn w:val="1"/>
    <w:qFormat/>
    <w:uiPriority w:val="0"/>
    <w:pPr>
      <w:snapToGrid w:val="0"/>
      <w:spacing w:line="480" w:lineRule="atLeast"/>
      <w:ind w:firstLine="567"/>
      <w:jc w:val="both"/>
      <w:textAlignment w:val="auto"/>
    </w:pPr>
    <w:rPr>
      <w:rFonts w:ascii="楷体_GB2312" w:eastAsia="楷体_GB2312"/>
      <w:kern w:val="2"/>
      <w:sz w:val="28"/>
    </w:rPr>
  </w:style>
  <w:style w:type="character" w:customStyle="1" w:styleId="95">
    <w:name w:val="showtreebodycontent1"/>
    <w:qFormat/>
    <w:uiPriority w:val="0"/>
    <w:rPr>
      <w:sz w:val="21"/>
      <w:szCs w:val="21"/>
    </w:rPr>
  </w:style>
  <w:style w:type="character" w:customStyle="1" w:styleId="96">
    <w:name w:val="脚注文本 字符1"/>
    <w:link w:val="24"/>
    <w:qFormat/>
    <w:uiPriority w:val="0"/>
    <w:rPr>
      <w:rFonts w:ascii="Times New Roman" w:hAnsi="Times New Roman"/>
      <w:kern w:val="2"/>
      <w:sz w:val="18"/>
      <w:szCs w:val="18"/>
    </w:rPr>
  </w:style>
  <w:style w:type="paragraph" w:customStyle="1" w:styleId="97">
    <w:name w:val="12"/>
    <w:basedOn w:val="18"/>
    <w:qFormat/>
    <w:uiPriority w:val="0"/>
    <w:pPr>
      <w:adjustRightInd/>
      <w:spacing w:before="120" w:line="360" w:lineRule="auto"/>
      <w:ind w:firstLine="0" w:firstLineChars="0"/>
      <w:jc w:val="center"/>
      <w:textAlignment w:val="auto"/>
      <w:outlineLvl w:val="9"/>
    </w:pPr>
    <w:rPr>
      <w:rFonts w:ascii="Times New Roman" w:eastAsia="黑体"/>
      <w:kern w:val="2"/>
      <w:sz w:val="48"/>
      <w:lang w:val="en-US"/>
    </w:rPr>
  </w:style>
  <w:style w:type="character" w:customStyle="1" w:styleId="98">
    <w:name w:val="duanluo"/>
    <w:qFormat/>
    <w:uiPriority w:val="0"/>
  </w:style>
  <w:style w:type="character" w:customStyle="1" w:styleId="99">
    <w:name w:val="Char Char12"/>
    <w:qFormat/>
    <w:uiPriority w:val="0"/>
    <w:rPr>
      <w:sz w:val="18"/>
    </w:rPr>
  </w:style>
  <w:style w:type="character" w:customStyle="1" w:styleId="100">
    <w:name w:val="Char Char5"/>
    <w:qFormat/>
    <w:uiPriority w:val="0"/>
    <w:rPr>
      <w:rFonts w:ascii="Arial" w:hAnsi="Arial" w:eastAsia="仿宋_GB2312" w:cs="Arial"/>
      <w:sz w:val="28"/>
    </w:rPr>
  </w:style>
  <w:style w:type="character" w:customStyle="1" w:styleId="101">
    <w:name w:val="Char Char1"/>
    <w:qFormat/>
    <w:locked/>
    <w:uiPriority w:val="0"/>
    <w:rPr>
      <w:rFonts w:ascii="宋体" w:hAnsi="Courier New" w:eastAsia="宋体"/>
      <w:kern w:val="2"/>
      <w:sz w:val="21"/>
      <w:lang w:val="en-US" w:eastAsia="zh-CN" w:bidi="ar-SA"/>
    </w:rPr>
  </w:style>
  <w:style w:type="character" w:customStyle="1" w:styleId="102">
    <w:name w:val="Plain Text Char"/>
    <w:qFormat/>
    <w:locked/>
    <w:uiPriority w:val="0"/>
    <w:rPr>
      <w:rFonts w:ascii="宋体" w:hAnsi="Courier New" w:eastAsia="宋体" w:cs="Times New Roman"/>
      <w:sz w:val="20"/>
      <w:szCs w:val="20"/>
    </w:rPr>
  </w:style>
  <w:style w:type="paragraph" w:customStyle="1" w:styleId="103">
    <w:name w:val="样式7"/>
    <w:basedOn w:val="1"/>
    <w:qFormat/>
    <w:uiPriority w:val="0"/>
    <w:pPr>
      <w:adjustRightInd/>
      <w:spacing w:line="360" w:lineRule="auto"/>
      <w:ind w:firstLine="567"/>
      <w:jc w:val="both"/>
      <w:textAlignment w:val="auto"/>
    </w:pPr>
    <w:rPr>
      <w:rFonts w:ascii="仿宋_GB2312" w:eastAsia="仿宋_GB2312"/>
      <w:kern w:val="2"/>
      <w:sz w:val="28"/>
    </w:rPr>
  </w:style>
  <w:style w:type="paragraph" w:customStyle="1" w:styleId="104">
    <w:name w:val="pic-info"/>
    <w:basedOn w:val="1"/>
    <w:qFormat/>
    <w:uiPriority w:val="0"/>
    <w:pPr>
      <w:widowControl/>
      <w:adjustRightInd/>
      <w:spacing w:before="100" w:beforeAutospacing="1" w:after="100" w:afterAutospacing="1" w:line="240" w:lineRule="auto"/>
      <w:textAlignment w:val="auto"/>
    </w:pPr>
    <w:rPr>
      <w:rFonts w:ascii="宋体" w:hAnsi="宋体" w:cs="宋体"/>
      <w:szCs w:val="24"/>
    </w:rPr>
  </w:style>
  <w:style w:type="character" w:customStyle="1" w:styleId="105">
    <w:name w:val="oline"/>
    <w:qFormat/>
    <w:uiPriority w:val="0"/>
  </w:style>
  <w:style w:type="paragraph" w:customStyle="1" w:styleId="106">
    <w:name w:val="Char11"/>
    <w:basedOn w:val="1"/>
    <w:qFormat/>
    <w:uiPriority w:val="0"/>
    <w:pPr>
      <w:adjustRightInd/>
      <w:spacing w:line="240" w:lineRule="auto"/>
      <w:jc w:val="both"/>
      <w:textAlignment w:val="auto"/>
    </w:pPr>
    <w:rPr>
      <w:rFonts w:ascii="宋体" w:hAnsi="宋体" w:cs="Courier New"/>
      <w:kern w:val="2"/>
      <w:sz w:val="32"/>
      <w:szCs w:val="32"/>
    </w:rPr>
  </w:style>
  <w:style w:type="paragraph" w:customStyle="1" w:styleId="107">
    <w:name w:val="正文11"/>
    <w:basedOn w:val="1"/>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rPr>
  </w:style>
  <w:style w:type="character" w:customStyle="1" w:styleId="108">
    <w:name w:val="Char Char1211"/>
    <w:qFormat/>
    <w:uiPriority w:val="0"/>
    <w:rPr>
      <w:sz w:val="18"/>
    </w:rPr>
  </w:style>
  <w:style w:type="character" w:customStyle="1" w:styleId="109">
    <w:name w:val="Char Char511"/>
    <w:qFormat/>
    <w:uiPriority w:val="0"/>
    <w:rPr>
      <w:rFonts w:ascii="Arial" w:hAnsi="Arial" w:eastAsia="仿宋_GB2312" w:cs="Arial"/>
      <w:sz w:val="28"/>
    </w:rPr>
  </w:style>
  <w:style w:type="character" w:customStyle="1" w:styleId="110">
    <w:name w:val="apple-converted-space"/>
    <w:qFormat/>
    <w:uiPriority w:val="0"/>
  </w:style>
  <w:style w:type="table" w:customStyle="1" w:styleId="111">
    <w:name w:val="TableGrid"/>
    <w:qFormat/>
    <w:uiPriority w:val="0"/>
    <w:rPr>
      <w:kern w:val="2"/>
      <w:sz w:val="21"/>
      <w:szCs w:val="22"/>
    </w:rPr>
    <w:tblPr>
      <w:tblCellMar>
        <w:top w:w="0" w:type="dxa"/>
        <w:left w:w="0" w:type="dxa"/>
        <w:bottom w:w="0" w:type="dxa"/>
        <w:right w:w="0" w:type="dxa"/>
      </w:tblCellMar>
    </w:tblPr>
  </w:style>
  <w:style w:type="character" w:customStyle="1" w:styleId="112">
    <w:name w:val="description"/>
    <w:basedOn w:val="36"/>
    <w:qFormat/>
    <w:uiPriority w:val="0"/>
  </w:style>
  <w:style w:type="character" w:customStyle="1" w:styleId="113">
    <w:name w:val="文档结构图 Char1"/>
    <w:qFormat/>
    <w:uiPriority w:val="99"/>
    <w:rPr>
      <w:rFonts w:ascii="宋体" w:hAnsi="Times New Roman" w:eastAsia="宋体" w:cs="Times New Roman"/>
      <w:kern w:val="0"/>
      <w:sz w:val="18"/>
      <w:szCs w:val="18"/>
    </w:rPr>
  </w:style>
  <w:style w:type="character" w:customStyle="1" w:styleId="114">
    <w:name w:val="正文文本 Char1"/>
    <w:qFormat/>
    <w:uiPriority w:val="0"/>
    <w:rPr>
      <w:rFonts w:ascii="宋体" w:hAnsi="Times New Roman" w:eastAsia="宋体" w:cs="Times New Roman"/>
      <w:kern w:val="0"/>
      <w:sz w:val="30"/>
      <w:szCs w:val="20"/>
    </w:rPr>
  </w:style>
  <w:style w:type="paragraph" w:customStyle="1" w:styleId="115">
    <w:name w:val="修订1"/>
    <w:semiHidden/>
    <w:qFormat/>
    <w:uiPriority w:val="99"/>
    <w:rPr>
      <w:rFonts w:ascii="Times New Roman" w:hAnsi="Times New Roman" w:eastAsia="宋体" w:cs="Times New Roman"/>
      <w:sz w:val="24"/>
      <w:lang w:val="en-US" w:eastAsia="zh-CN" w:bidi="ar-SA"/>
    </w:rPr>
  </w:style>
  <w:style w:type="paragraph" w:customStyle="1" w:styleId="116">
    <w:name w:val="正文2"/>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7">
    <w:name w:val="正文3"/>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8">
    <w:name w:val="正文4"/>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19">
    <w:name w:val="正文5"/>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paragraph" w:customStyle="1" w:styleId="120">
    <w:name w:val="正文6"/>
    <w:qFormat/>
    <w:uiPriority w:val="0"/>
    <w:pPr>
      <w:widowControl w:val="0"/>
      <w:adjustRightInd w:val="0"/>
      <w:spacing w:line="360" w:lineRule="atLeast"/>
      <w:textAlignment w:val="baseline"/>
    </w:pPr>
    <w:rPr>
      <w:rFonts w:ascii="宋体" w:hAnsi="Times New Roman" w:eastAsia="宋体" w:cs="Times New Roman"/>
      <w:sz w:val="34"/>
      <w:lang w:val="en-US" w:eastAsia="zh-CN" w:bidi="ar-SA"/>
    </w:rPr>
  </w:style>
  <w:style w:type="character" w:customStyle="1" w:styleId="121">
    <w:name w:val="批注框文本 Char1"/>
    <w:semiHidden/>
    <w:qFormat/>
    <w:uiPriority w:val="99"/>
    <w:rPr>
      <w:sz w:val="18"/>
      <w:szCs w:val="18"/>
    </w:rPr>
  </w:style>
  <w:style w:type="paragraph" w:customStyle="1" w:styleId="122">
    <w:name w:val="正文12"/>
    <w:basedOn w:val="1"/>
    <w:qFormat/>
    <w:uiPriority w:val="0"/>
    <w:pPr>
      <w:tabs>
        <w:tab w:val="left" w:pos="1135"/>
        <w:tab w:val="left" w:pos="2390"/>
      </w:tabs>
      <w:adjustRightInd/>
      <w:snapToGrid w:val="0"/>
      <w:spacing w:line="360" w:lineRule="auto"/>
      <w:ind w:firstLine="560" w:firstLineChars="200"/>
      <w:textAlignment w:val="auto"/>
    </w:pPr>
    <w:rPr>
      <w:rFonts w:eastAsia="仿宋_GB2312"/>
      <w:kern w:val="2"/>
      <w:sz w:val="28"/>
      <w:szCs w:val="24"/>
    </w:rPr>
  </w:style>
  <w:style w:type="paragraph" w:customStyle="1" w:styleId="123">
    <w:name w:val="Char1"/>
    <w:basedOn w:val="1"/>
    <w:qFormat/>
    <w:uiPriority w:val="0"/>
    <w:pPr>
      <w:adjustRightInd/>
      <w:spacing w:line="240" w:lineRule="auto"/>
      <w:jc w:val="both"/>
      <w:textAlignment w:val="auto"/>
    </w:pPr>
    <w:rPr>
      <w:rFonts w:ascii="宋体" w:hAnsi="宋体" w:cs="Courier New"/>
      <w:kern w:val="2"/>
      <w:sz w:val="32"/>
      <w:szCs w:val="32"/>
    </w:rPr>
  </w:style>
  <w:style w:type="character" w:customStyle="1" w:styleId="124">
    <w:name w:val="Char Char121"/>
    <w:qFormat/>
    <w:uiPriority w:val="0"/>
    <w:rPr>
      <w:sz w:val="18"/>
    </w:rPr>
  </w:style>
  <w:style w:type="character" w:customStyle="1" w:styleId="125">
    <w:name w:val="Char Char51"/>
    <w:qFormat/>
    <w:uiPriority w:val="0"/>
    <w:rPr>
      <w:rFonts w:ascii="Arial" w:hAnsi="Arial" w:eastAsia="仿宋_GB2312" w:cs="Arial"/>
      <w:sz w:val="28"/>
    </w:rPr>
  </w:style>
  <w:style w:type="character" w:customStyle="1" w:styleId="126">
    <w:name w:val="fwzhdz"/>
    <w:basedOn w:val="36"/>
    <w:qFormat/>
    <w:uiPriority w:val="0"/>
  </w:style>
  <w:style w:type="character" w:customStyle="1" w:styleId="127">
    <w:name w:val="fwzhnf"/>
    <w:basedOn w:val="36"/>
    <w:qFormat/>
    <w:uiPriority w:val="0"/>
  </w:style>
  <w:style w:type="character" w:customStyle="1" w:styleId="128">
    <w:name w:val="fwzhxh"/>
    <w:basedOn w:val="36"/>
    <w:qFormat/>
    <w:uiPriority w:val="0"/>
  </w:style>
  <w:style w:type="character" w:customStyle="1" w:styleId="129">
    <w:name w:val="批注文字 字符"/>
    <w:qFormat/>
    <w:uiPriority w:val="99"/>
    <w:rPr>
      <w:rFonts w:ascii="Times New Roman" w:hAnsi="Times New Roman"/>
      <w:sz w:val="24"/>
    </w:rPr>
  </w:style>
  <w:style w:type="character" w:customStyle="1" w:styleId="130">
    <w:name w:val="正文文本 字符"/>
    <w:qFormat/>
    <w:uiPriority w:val="0"/>
    <w:rPr>
      <w:rFonts w:ascii="宋体"/>
      <w:kern w:val="2"/>
      <w:sz w:val="30"/>
    </w:rPr>
  </w:style>
  <w:style w:type="character" w:customStyle="1" w:styleId="131">
    <w:name w:val="正文文本缩进 字符"/>
    <w:qFormat/>
    <w:uiPriority w:val="0"/>
    <w:rPr>
      <w:rFonts w:ascii="仿宋_GB2312" w:eastAsia="仿宋_GB2312"/>
      <w:sz w:val="28"/>
    </w:rPr>
  </w:style>
  <w:style w:type="character" w:customStyle="1" w:styleId="132">
    <w:name w:val="页脚 字符"/>
    <w:qFormat/>
    <w:uiPriority w:val="99"/>
    <w:rPr>
      <w:sz w:val="18"/>
    </w:rPr>
  </w:style>
  <w:style w:type="character" w:customStyle="1" w:styleId="133">
    <w:name w:val="页眉 字符"/>
    <w:qFormat/>
    <w:uiPriority w:val="99"/>
    <w:rPr>
      <w:sz w:val="18"/>
    </w:rPr>
  </w:style>
  <w:style w:type="character" w:customStyle="1" w:styleId="134">
    <w:name w:val="标题 1 字符"/>
    <w:qFormat/>
    <w:uiPriority w:val="0"/>
    <w:rPr>
      <w:rFonts w:ascii="Arial" w:hAnsi="Arial" w:eastAsia="仿宋_GB2312"/>
      <w:b/>
      <w:sz w:val="28"/>
    </w:rPr>
  </w:style>
  <w:style w:type="character" w:customStyle="1" w:styleId="135">
    <w:name w:val="标题 2 字符"/>
    <w:qFormat/>
    <w:uiPriority w:val="0"/>
    <w:rPr>
      <w:rFonts w:ascii="Arial" w:hAnsi="Arial" w:eastAsia="仿宋_GB2312"/>
      <w:b/>
      <w:bCs/>
      <w:sz w:val="28"/>
    </w:rPr>
  </w:style>
  <w:style w:type="character" w:customStyle="1" w:styleId="136">
    <w:name w:val="标题 3 字符"/>
    <w:qFormat/>
    <w:uiPriority w:val="0"/>
    <w:rPr>
      <w:rFonts w:ascii="仿宋_GB2312" w:hAnsi="Arial" w:eastAsia="仿宋_GB2312"/>
      <w:sz w:val="28"/>
    </w:rPr>
  </w:style>
  <w:style w:type="character" w:customStyle="1" w:styleId="137">
    <w:name w:val="标题 4 字符"/>
    <w:qFormat/>
    <w:uiPriority w:val="0"/>
    <w:rPr>
      <w:rFonts w:ascii="仿宋_GB2312" w:hAnsi="Times New Roman" w:eastAsia="仿宋_GB2312"/>
      <w:sz w:val="28"/>
    </w:rPr>
  </w:style>
  <w:style w:type="character" w:customStyle="1" w:styleId="138">
    <w:name w:val="文档结构图 字符"/>
    <w:qFormat/>
    <w:uiPriority w:val="0"/>
    <w:rPr>
      <w:rFonts w:ascii="Times New Roman" w:hAnsi="Times New Roman" w:eastAsia="宋体" w:cs="Times New Roman"/>
      <w:kern w:val="0"/>
      <w:sz w:val="24"/>
      <w:szCs w:val="20"/>
      <w:shd w:val="clear" w:color="auto" w:fill="000080"/>
    </w:rPr>
  </w:style>
  <w:style w:type="character" w:customStyle="1" w:styleId="139">
    <w:name w:val="正文文本 3 字符"/>
    <w:qFormat/>
    <w:uiPriority w:val="0"/>
    <w:rPr>
      <w:rFonts w:ascii="楷体_GB2312" w:hAnsi="Arial" w:eastAsia="楷体_GB2312" w:cs="Times New Roman"/>
      <w:kern w:val="0"/>
      <w:sz w:val="32"/>
      <w:szCs w:val="20"/>
    </w:rPr>
  </w:style>
  <w:style w:type="character" w:customStyle="1" w:styleId="140">
    <w:name w:val="纯文本 字符"/>
    <w:qFormat/>
    <w:uiPriority w:val="0"/>
    <w:rPr>
      <w:rFonts w:ascii="宋体" w:hAnsi="Courier New" w:eastAsia="宋体" w:cs="Times New Roman"/>
      <w:szCs w:val="20"/>
    </w:rPr>
  </w:style>
  <w:style w:type="character" w:customStyle="1" w:styleId="141">
    <w:name w:val="日期 字符"/>
    <w:qFormat/>
    <w:uiPriority w:val="0"/>
    <w:rPr>
      <w:rFonts w:ascii="楷体_GB2312" w:hAnsi="Times New Roman" w:eastAsia="楷体_GB2312" w:cs="Times New Roman"/>
      <w:b/>
      <w:kern w:val="0"/>
      <w:sz w:val="28"/>
      <w:szCs w:val="20"/>
    </w:rPr>
  </w:style>
  <w:style w:type="character" w:customStyle="1" w:styleId="142">
    <w:name w:val="正文文本缩进 2 字符"/>
    <w:qFormat/>
    <w:uiPriority w:val="0"/>
    <w:rPr>
      <w:rFonts w:ascii="仿宋_GB2312" w:hAnsi="Times New Roman" w:eastAsia="仿宋_GB2312" w:cs="Times New Roman"/>
      <w:kern w:val="0"/>
      <w:sz w:val="28"/>
      <w:szCs w:val="20"/>
    </w:rPr>
  </w:style>
  <w:style w:type="character" w:customStyle="1" w:styleId="143">
    <w:name w:val="批注框文本 字符"/>
    <w:qFormat/>
    <w:uiPriority w:val="99"/>
    <w:rPr>
      <w:rFonts w:ascii="Times New Roman" w:hAnsi="Times New Roman" w:eastAsia="宋体" w:cs="Times New Roman"/>
      <w:kern w:val="0"/>
      <w:sz w:val="18"/>
      <w:szCs w:val="18"/>
    </w:rPr>
  </w:style>
  <w:style w:type="character" w:customStyle="1" w:styleId="144">
    <w:name w:val="脚注文本 字符"/>
    <w:qFormat/>
    <w:uiPriority w:val="0"/>
    <w:rPr>
      <w:rFonts w:ascii="Times New Roman" w:hAnsi="Times New Roman"/>
      <w:kern w:val="2"/>
      <w:sz w:val="18"/>
      <w:szCs w:val="18"/>
    </w:rPr>
  </w:style>
  <w:style w:type="character" w:customStyle="1" w:styleId="145">
    <w:name w:val="正文文本缩进 3 字符"/>
    <w:qFormat/>
    <w:uiPriority w:val="0"/>
    <w:rPr>
      <w:rFonts w:ascii="Arial" w:hAnsi="Arial" w:eastAsia="仿宋_GB2312" w:cs="Arial"/>
      <w:kern w:val="0"/>
      <w:sz w:val="28"/>
      <w:szCs w:val="20"/>
    </w:rPr>
  </w:style>
  <w:style w:type="character" w:customStyle="1" w:styleId="146">
    <w:name w:val="正文文本 2 字符"/>
    <w:qFormat/>
    <w:uiPriority w:val="0"/>
    <w:rPr>
      <w:rFonts w:ascii="仿宋_GB2312" w:hAnsi="Arial" w:eastAsia="仿宋_GB2312" w:cs="Times New Roman"/>
      <w:kern w:val="0"/>
      <w:sz w:val="28"/>
      <w:szCs w:val="20"/>
    </w:rPr>
  </w:style>
  <w:style w:type="character" w:customStyle="1" w:styleId="147">
    <w:name w:val="HTML 预设格式 字符"/>
    <w:qFormat/>
    <w:uiPriority w:val="99"/>
    <w:rPr>
      <w:rFonts w:ascii="宋体" w:hAnsi="宋体" w:eastAsia="宋体" w:cs="Times New Roman"/>
      <w:kern w:val="0"/>
      <w:sz w:val="24"/>
      <w:szCs w:val="24"/>
    </w:rPr>
  </w:style>
  <w:style w:type="character" w:customStyle="1" w:styleId="148">
    <w:name w:val="批注主题 字符"/>
    <w:qFormat/>
    <w:uiPriority w:val="99"/>
    <w:rPr>
      <w:rFonts w:ascii="Times New Roman" w:hAnsi="Times New Roman"/>
      <w:b/>
      <w:bCs/>
      <w:sz w:val="24"/>
    </w:rPr>
  </w:style>
  <w:style w:type="character" w:customStyle="1" w:styleId="149">
    <w:name w:val="正文文本首行缩进 字符"/>
    <w:qFormat/>
    <w:uiPriority w:val="0"/>
    <w:rPr>
      <w:rFonts w:ascii="Times New Roman" w:hAnsi="Times New Roman" w:eastAsia="宋体" w:cs="Times New Roman"/>
      <w:sz w:val="30"/>
      <w:szCs w:val="20"/>
    </w:rPr>
  </w:style>
  <w:style w:type="paragraph" w:customStyle="1" w:styleId="150">
    <w:name w:val="浅色列表 - 强调文字颜色 31"/>
    <w:semiHidden/>
    <w:qFormat/>
    <w:uiPriority w:val="99"/>
    <w:rPr>
      <w:rFonts w:ascii="Times New Roman" w:hAnsi="Times New Roman" w:eastAsia="宋体" w:cs="Times New Roman"/>
      <w:sz w:val="24"/>
      <w:lang w:val="en-US" w:eastAsia="zh-CN" w:bidi="ar-SA"/>
    </w:rPr>
  </w:style>
  <w:style w:type="paragraph" w:customStyle="1" w:styleId="151">
    <w:name w:val="浅色网格 - 强调文字颜色 31"/>
    <w:basedOn w:val="1"/>
    <w:qFormat/>
    <w:uiPriority w:val="34"/>
    <w:pPr>
      <w:ind w:firstLine="420" w:firstLineChars="200"/>
    </w:pPr>
  </w:style>
  <w:style w:type="paragraph" w:customStyle="1" w:styleId="152">
    <w:name w:val="Revision1"/>
    <w:hidden/>
    <w:unhideWhenUsed/>
    <w:qFormat/>
    <w:uiPriority w:val="99"/>
    <w:rPr>
      <w:rFonts w:ascii="Times New Roman" w:hAnsi="Times New Roman" w:eastAsia="宋体" w:cs="Times New Roman"/>
      <w:sz w:val="24"/>
      <w:lang w:val="en-US" w:eastAsia="zh-CN" w:bidi="ar-SA"/>
    </w:rPr>
  </w:style>
  <w:style w:type="character" w:customStyle="1" w:styleId="153">
    <w:name w:val="批注文字 Char"/>
    <w:qFormat/>
    <w:uiPriority w:val="99"/>
    <w:rPr>
      <w:rFonts w:ascii="Times New Roman" w:hAnsi="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1" Type="http://schemas.openxmlformats.org/officeDocument/2006/relationships/fontTable" Target="fontTable.xml"/><Relationship Id="rId80" Type="http://schemas.openxmlformats.org/officeDocument/2006/relationships/customXml" Target="../customXml/item2.xml"/><Relationship Id="rId8" Type="http://schemas.openxmlformats.org/officeDocument/2006/relationships/footer" Target="footer1.xml"/><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35.png"/><Relationship Id="rId76" Type="http://schemas.openxmlformats.org/officeDocument/2006/relationships/image" Target="media/image34.jpeg"/><Relationship Id="rId75" Type="http://schemas.openxmlformats.org/officeDocument/2006/relationships/image" Target="media/image33.png"/><Relationship Id="rId74" Type="http://schemas.openxmlformats.org/officeDocument/2006/relationships/image" Target="media/image32.png"/><Relationship Id="rId73" Type="http://schemas.openxmlformats.org/officeDocument/2006/relationships/image" Target="media/image31.png"/><Relationship Id="rId72" Type="http://schemas.openxmlformats.org/officeDocument/2006/relationships/image" Target="media/image30.png"/><Relationship Id="rId71" Type="http://schemas.openxmlformats.org/officeDocument/2006/relationships/image" Target="media/image29.png"/><Relationship Id="rId70" Type="http://schemas.openxmlformats.org/officeDocument/2006/relationships/image" Target="media/image28.png"/><Relationship Id="rId7" Type="http://schemas.openxmlformats.org/officeDocument/2006/relationships/header" Target="header3.xml"/><Relationship Id="rId69" Type="http://schemas.openxmlformats.org/officeDocument/2006/relationships/image" Target="media/image27.png"/><Relationship Id="rId68" Type="http://schemas.openxmlformats.org/officeDocument/2006/relationships/image" Target="media/image26.png"/><Relationship Id="rId67" Type="http://schemas.openxmlformats.org/officeDocument/2006/relationships/image" Target="media/image25.png"/><Relationship Id="rId66" Type="http://schemas.openxmlformats.org/officeDocument/2006/relationships/image" Target="media/image24.png"/><Relationship Id="rId65" Type="http://schemas.openxmlformats.org/officeDocument/2006/relationships/image" Target="media/image23.png"/><Relationship Id="rId64" Type="http://schemas.openxmlformats.org/officeDocument/2006/relationships/image" Target="media/image22.png"/><Relationship Id="rId63" Type="http://schemas.openxmlformats.org/officeDocument/2006/relationships/chart" Target="charts/chart8.xml"/><Relationship Id="rId62" Type="http://schemas.openxmlformats.org/officeDocument/2006/relationships/chart" Target="charts/chart7.xml"/><Relationship Id="rId61" Type="http://schemas.openxmlformats.org/officeDocument/2006/relationships/chart" Target="charts/chart6.xml"/><Relationship Id="rId60" Type="http://schemas.openxmlformats.org/officeDocument/2006/relationships/chart" Target="charts/chart5.xml"/><Relationship Id="rId6" Type="http://schemas.openxmlformats.org/officeDocument/2006/relationships/header" Target="header2.xml"/><Relationship Id="rId59" Type="http://schemas.openxmlformats.org/officeDocument/2006/relationships/image" Target="media/image21.jpeg"/><Relationship Id="rId58" Type="http://schemas.openxmlformats.org/officeDocument/2006/relationships/chart" Target="charts/chart4.xml"/><Relationship Id="rId57" Type="http://schemas.openxmlformats.org/officeDocument/2006/relationships/image" Target="media/image20.png"/><Relationship Id="rId56" Type="http://schemas.openxmlformats.org/officeDocument/2006/relationships/image" Target="media/image19.png"/><Relationship Id="rId55" Type="http://schemas.openxmlformats.org/officeDocument/2006/relationships/image" Target="media/image18.png"/><Relationship Id="rId54" Type="http://schemas.openxmlformats.org/officeDocument/2006/relationships/image" Target="media/image17.png"/><Relationship Id="rId53" Type="http://schemas.openxmlformats.org/officeDocument/2006/relationships/image" Target="media/image16.png"/><Relationship Id="rId52" Type="http://schemas.openxmlformats.org/officeDocument/2006/relationships/image" Target="media/image15.png"/><Relationship Id="rId51" Type="http://schemas.openxmlformats.org/officeDocument/2006/relationships/image" Target="media/image14.png"/><Relationship Id="rId50" Type="http://schemas.openxmlformats.org/officeDocument/2006/relationships/image" Target="media/image13.png"/><Relationship Id="rId5" Type="http://schemas.openxmlformats.org/officeDocument/2006/relationships/header" Target="header1.xml"/><Relationship Id="rId49" Type="http://schemas.openxmlformats.org/officeDocument/2006/relationships/image" Target="media/image12.png"/><Relationship Id="rId48" Type="http://schemas.openxmlformats.org/officeDocument/2006/relationships/image" Target="media/image11.png"/><Relationship Id="rId47" Type="http://schemas.openxmlformats.org/officeDocument/2006/relationships/image" Target="media/image10.png"/><Relationship Id="rId46" Type="http://schemas.openxmlformats.org/officeDocument/2006/relationships/image" Target="media/image9.png"/><Relationship Id="rId45" Type="http://schemas.openxmlformats.org/officeDocument/2006/relationships/image" Target="media/image8.png"/><Relationship Id="rId44" Type="http://schemas.openxmlformats.org/officeDocument/2006/relationships/image" Target="media/image7.png"/><Relationship Id="rId43" Type="http://schemas.openxmlformats.org/officeDocument/2006/relationships/image" Target="media/image6.png"/><Relationship Id="rId42" Type="http://schemas.openxmlformats.org/officeDocument/2006/relationships/image" Target="media/image5.png"/><Relationship Id="rId41" Type="http://schemas.openxmlformats.org/officeDocument/2006/relationships/chart" Target="charts/chart3.xml"/><Relationship Id="rId40" Type="http://schemas.openxmlformats.org/officeDocument/2006/relationships/chart" Target="charts/chart2.xml"/><Relationship Id="rId4" Type="http://schemas.openxmlformats.org/officeDocument/2006/relationships/endnotes" Target="endnotes.xml"/><Relationship Id="rId39" Type="http://schemas.openxmlformats.org/officeDocument/2006/relationships/chart" Target="charts/chart1.xml"/><Relationship Id="rId38" Type="http://schemas.openxmlformats.org/officeDocument/2006/relationships/image" Target="media/image4.jpeg"/><Relationship Id="rId37" Type="http://schemas.openxmlformats.org/officeDocument/2006/relationships/image" Target="media/image3.jpeg"/><Relationship Id="rId36" Type="http://schemas.openxmlformats.org/officeDocument/2006/relationships/theme" Target="theme/theme1.xml"/><Relationship Id="rId35" Type="http://schemas.openxmlformats.org/officeDocument/2006/relationships/footer" Target="footer16.xml"/><Relationship Id="rId34" Type="http://schemas.openxmlformats.org/officeDocument/2006/relationships/header" Target="header15.xml"/><Relationship Id="rId33" Type="http://schemas.openxmlformats.org/officeDocument/2006/relationships/footer" Target="footer15.xml"/><Relationship Id="rId32" Type="http://schemas.openxmlformats.org/officeDocument/2006/relationships/footer" Target="footer14.xml"/><Relationship Id="rId31" Type="http://schemas.openxmlformats.org/officeDocument/2006/relationships/header" Target="header14.xml"/><Relationship Id="rId30" Type="http://schemas.openxmlformats.org/officeDocument/2006/relationships/header" Target="header13.xml"/><Relationship Id="rId3" Type="http://schemas.openxmlformats.org/officeDocument/2006/relationships/footnotes" Target="footnotes.xml"/><Relationship Id="rId29" Type="http://schemas.openxmlformats.org/officeDocument/2006/relationships/footer" Target="footer13.xml"/><Relationship Id="rId28" Type="http://schemas.openxmlformats.org/officeDocument/2006/relationships/footer" Target="footer12.xml"/><Relationship Id="rId27" Type="http://schemas.openxmlformats.org/officeDocument/2006/relationships/header" Target="header12.xml"/><Relationship Id="rId26" Type="http://schemas.openxmlformats.org/officeDocument/2006/relationships/footer" Target="footer11.xml"/><Relationship Id="rId25" Type="http://schemas.openxmlformats.org/officeDocument/2006/relationships/footer" Target="footer10.xml"/><Relationship Id="rId24" Type="http://schemas.openxmlformats.org/officeDocument/2006/relationships/header" Target="header11.xml"/><Relationship Id="rId23" Type="http://schemas.openxmlformats.org/officeDocument/2006/relationships/footer" Target="footer9.xml"/><Relationship Id="rId22" Type="http://schemas.openxmlformats.org/officeDocument/2006/relationships/header" Target="header10.xml"/><Relationship Id="rId21" Type="http://schemas.openxmlformats.org/officeDocument/2006/relationships/header" Target="head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D:\&#23457;&#26680;&#32452;\2025&#24180;\&#24066;&#22330;&#20998;&#26512;\2025&#24180;1&#23395;&#24230;\&#25968;&#25454;&#27719;&#38598;&#20998;&#26512;&#65288;&#24635;&#34920;&#65289;.xlsx" TargetMode="External"/></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oleObject" Target="&#24037;&#20316;&#31807;1" TargetMode="External"/></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oleObject" Target="file:///D:\&#23457;&#26680;&#32452;\2025&#24180;\&#24066;&#22330;&#20998;&#26512;\2025&#24180;4&#23395;&#24230;\&#20303;&#23429;\&#20303;&#23429;&#22270;&#34920;2025Q4.xlsx" TargetMode="External"/></Relationships>
</file>

<file path=word/charts/_rels/chart4.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3.xml"/><Relationship Id="rId1" Type="http://schemas.openxmlformats.org/officeDocument/2006/relationships/oleObject" Target="file:///D:\&#23457;&#26680;&#32452;\2025&#24180;\&#24066;&#22330;&#20998;&#26512;\2025&#24180;4&#23395;&#24230;\&#20303;&#23429;\&#20303;&#23429;&#22270;&#34920;2025Q4.xlsx" TargetMode="External"/></Relationships>
</file>

<file path=word/charts/_rels/chart5.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file:///D:\&#23457;&#26680;&#32452;\2025&#24180;\&#24066;&#22330;&#20998;&#26512;\2025&#24180;1&#23395;&#24230;\&#25968;&#25454;&#27719;&#38598;&#20998;&#26512;&#65288;&#24635;&#34920;&#65289;.xlsx" TargetMode="External"/></Relationships>
</file>

<file path=word/charts/_rels/chart6.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oleObject" Target="&#24037;&#20316;&#31807;1" TargetMode="External"/></Relationships>
</file>

<file path=word/charts/_rels/chart7.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oleObject" Target="file:///D:\&#23457;&#26680;&#32452;\2025&#24180;\&#24066;&#22330;&#20998;&#26512;\2025&#24180;4&#23395;&#24230;\&#20303;&#23429;\&#20303;&#23429;&#22270;&#34920;2025Q4.xlsx" TargetMode="External"/></Relationships>
</file>

<file path=word/charts/_rels/chart8.xml.rels><?xml version="1.0" encoding="UTF-8" standalone="yes"?>
<Relationships xmlns="http://schemas.openxmlformats.org/package/2006/relationships"><Relationship Id="rId4" Type="http://schemas.microsoft.com/office/2011/relationships/chartColorStyle" Target="colors2.xml"/><Relationship Id="rId3" Type="http://schemas.microsoft.com/office/2011/relationships/chartStyle" Target="style2.xml"/><Relationship Id="rId2" Type="http://schemas.openxmlformats.org/officeDocument/2006/relationships/themeOverride" Target="../theme/themeOverride6.xml"/><Relationship Id="rId1" Type="http://schemas.openxmlformats.org/officeDocument/2006/relationships/oleObject" Target="file:///D:\&#23457;&#26680;&#32452;\2025&#24180;\&#24066;&#22330;&#20998;&#26512;\2025&#24180;4&#23395;&#24230;\&#20303;&#23429;\&#20303;&#23429;&#22270;&#34920;2025Q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54582239720035"/>
          <c:y val="0.0902062352338116"/>
          <c:w val="0.784083552055993"/>
          <c:h val="0.694440012179094"/>
        </c:manualLayout>
      </c:layout>
      <c:barChart>
        <c:barDir val="col"/>
        <c:grouping val="clustered"/>
        <c:varyColors val="0"/>
        <c:ser>
          <c:idx val="0"/>
          <c:order val="0"/>
          <c:tx>
            <c:strRef>
              <c:f>人口!$D$92</c:f>
              <c:strCache>
                <c:ptCount val="1"/>
                <c:pt idx="0">
                  <c:v>常住人口总量</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trendline>
            <c:trendlineType val="linear"/>
            <c:dispRSqr val="0"/>
            <c:dispEq val="0"/>
          </c:trendline>
          <c:cat>
            <c:strRef>
              <c:f>人口!$A$87:$A$91</c:f>
              <c:strCache>
                <c:ptCount val="5"/>
                <c:pt idx="0">
                  <c:v>2020年</c:v>
                </c:pt>
                <c:pt idx="1">
                  <c:v>2021年</c:v>
                </c:pt>
                <c:pt idx="2">
                  <c:v>2022年</c:v>
                </c:pt>
                <c:pt idx="3">
                  <c:v>2023年</c:v>
                </c:pt>
                <c:pt idx="4">
                  <c:v>2024年</c:v>
                </c:pt>
              </c:strCache>
            </c:strRef>
          </c:cat>
          <c:val>
            <c:numRef>
              <c:f>人口!$D$87:$D$91</c:f>
              <c:numCache>
                <c:formatCode>General</c:formatCode>
                <c:ptCount val="5"/>
                <c:pt idx="0">
                  <c:v>2189.3</c:v>
                </c:pt>
                <c:pt idx="1">
                  <c:v>2188.6</c:v>
                </c:pt>
                <c:pt idx="2">
                  <c:v>2184.3</c:v>
                </c:pt>
                <c:pt idx="3">
                  <c:v>2185.8</c:v>
                </c:pt>
                <c:pt idx="4">
                  <c:v>2183.2</c:v>
                </c:pt>
              </c:numCache>
            </c:numRef>
          </c:val>
        </c:ser>
        <c:dLbls>
          <c:showLegendKey val="0"/>
          <c:showVal val="0"/>
          <c:showCatName val="0"/>
          <c:showSerName val="0"/>
          <c:showPercent val="0"/>
          <c:showBubbleSize val="0"/>
        </c:dLbls>
        <c:gapWidth val="150"/>
        <c:axId val="380588416"/>
        <c:axId val="380589952"/>
      </c:barChart>
      <c:lineChart>
        <c:grouping val="standard"/>
        <c:varyColors val="0"/>
        <c:ser>
          <c:idx val="1"/>
          <c:order val="1"/>
          <c:tx>
            <c:strRef>
              <c:f>人口!$M$92</c:f>
              <c:strCache>
                <c:ptCount val="1"/>
                <c:pt idx="0">
                  <c:v>比上年增长</c:v>
                </c:pt>
              </c:strCache>
            </c:strRef>
          </c:tx>
          <c:marker>
            <c:symbol val="none"/>
          </c:marker>
          <c:dLbls>
            <c:dLbl>
              <c:idx val="0"/>
              <c:layout>
                <c:manualLayout>
                  <c:x val="-0.0472222222222222"/>
                  <c:y val="-0.032407407407407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527777777777778"/>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27777777777778"/>
                  <c:y val="-0.03703703703703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55555555555556"/>
                  <c:y val="-0.027777777777777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55555555555555"/>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人口!$A$86:$A$90</c:f>
              <c:strCache>
                <c:ptCount val="5"/>
                <c:pt idx="0">
                  <c:v>2019年</c:v>
                </c:pt>
                <c:pt idx="1">
                  <c:v>2020年</c:v>
                </c:pt>
                <c:pt idx="2">
                  <c:v>2021年</c:v>
                </c:pt>
                <c:pt idx="3">
                  <c:v>2022年</c:v>
                </c:pt>
                <c:pt idx="4">
                  <c:v>2023年</c:v>
                </c:pt>
              </c:strCache>
            </c:strRef>
          </c:cat>
          <c:val>
            <c:numRef>
              <c:f>人口!$M$87:$M$91</c:f>
              <c:numCache>
                <c:formatCode>0.00%</c:formatCode>
                <c:ptCount val="5"/>
                <c:pt idx="0">
                  <c:v>0.0165768945022289</c:v>
                </c:pt>
                <c:pt idx="1">
                  <c:v>-0.000319736902206325</c:v>
                </c:pt>
                <c:pt idx="2">
                  <c:v>-0.00196472630905586</c:v>
                </c:pt>
                <c:pt idx="3">
                  <c:v>0.000686718857299873</c:v>
                </c:pt>
                <c:pt idx="4">
                  <c:v>-0.00118949583676475</c:v>
                </c:pt>
              </c:numCache>
            </c:numRef>
          </c:val>
          <c:smooth val="0"/>
        </c:ser>
        <c:dLbls>
          <c:showLegendKey val="0"/>
          <c:showVal val="0"/>
          <c:showCatName val="0"/>
          <c:showSerName val="0"/>
          <c:showPercent val="0"/>
          <c:showBubbleSize val="0"/>
        </c:dLbls>
        <c:marker val="0"/>
        <c:smooth val="0"/>
        <c:axId val="380617856"/>
        <c:axId val="380591488"/>
      </c:lineChart>
      <c:catAx>
        <c:axId val="380588416"/>
        <c:scaling>
          <c:orientation val="minMax"/>
        </c:scaling>
        <c:delete val="0"/>
        <c:axPos val="b"/>
        <c:numFmt formatCode="General" sourceLinked="1"/>
        <c:majorTickMark val="none"/>
        <c:minorTickMark val="none"/>
        <c:tickLblPos val="low"/>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589952"/>
        <c:crosses val="autoZero"/>
        <c:auto val="1"/>
        <c:lblAlgn val="ctr"/>
        <c:lblOffset val="100"/>
        <c:noMultiLvlLbl val="0"/>
      </c:catAx>
      <c:valAx>
        <c:axId val="380589952"/>
        <c:scaling>
          <c:orientation val="minMax"/>
          <c:max val="2500"/>
          <c:min val="-500"/>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588416"/>
        <c:crosses val="autoZero"/>
        <c:crossBetween val="between"/>
        <c:majorUnit val="500"/>
      </c:valAx>
      <c:catAx>
        <c:axId val="380617856"/>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591488"/>
        <c:crosses val="autoZero"/>
        <c:auto val="1"/>
        <c:lblAlgn val="ctr"/>
        <c:lblOffset val="100"/>
        <c:noMultiLvlLbl val="0"/>
      </c:catAx>
      <c:valAx>
        <c:axId val="380591488"/>
        <c:scaling>
          <c:orientation val="minMax"/>
          <c:max val="0.05"/>
          <c:min val="-0.01"/>
        </c:scaling>
        <c:delete val="0"/>
        <c:axPos val="r"/>
        <c:numFmt formatCode="0.00%"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617856"/>
        <c:crosses val="max"/>
        <c:crossBetween val="between"/>
      </c:valAx>
    </c:plotArea>
    <c:legend>
      <c:legendPos val="r"/>
      <c:legendEntry>
        <c:idx val="2"/>
        <c:delete val="1"/>
      </c:legendEntry>
      <c:layout>
        <c:manualLayout>
          <c:xMode val="edge"/>
          <c:yMode val="edge"/>
          <c:x val="0.111111111111111"/>
          <c:y val="0.893981481481481"/>
          <c:w val="0.744444444444444"/>
          <c:h val="0.087037037037037"/>
        </c:manualLayout>
      </c:layout>
      <c:overlay val="0"/>
      <c:txPr>
        <a:bodyPr rot="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legend>
    <c:plotVisOnly val="1"/>
    <c:dispBlanksAs val="gap"/>
    <c:showDLblsOverMax val="0"/>
    <c:extLst>
      <c:ext uri="{0b15fc19-7d7d-44ad-8c2d-2c3a37ce22c3}">
        <chartProps xmlns="https://web.wps.cn/et/2018/main" chartId="{2a11ba9c-f990-4afe-a339-1e7a48049335}"/>
      </c:ext>
    </c:extLst>
  </c:chart>
  <c:txPr>
    <a:bodyPr/>
    <a:lstStyle/>
    <a:p>
      <a:pPr>
        <a:defRPr lang="zh-CN" sz="800">
          <a:latin typeface="Arial" panose="020B0604020202020204" pitchFamily="34" charset="0"/>
          <a:cs typeface="Arial" panose="020B0604020202020204" pitchFamily="34"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invertIfNegative val="0"/>
          <c:dLbls>
            <c:dLbl>
              <c:idx val="0"/>
              <c:delete val="1"/>
            </c:dLbl>
            <c:dLbl>
              <c:idx val="1"/>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46981420629508"/>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249343832021"/>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62992125984252"/>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338582677165354"/>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971128608923884"/>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083989501312336"/>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Sheet1!$A$8:$A$16</c:f>
              <c:strCache>
                <c:ptCount val="9"/>
                <c:pt idx="0">
                  <c:v>其他土地</c:v>
                </c:pt>
                <c:pt idx="1">
                  <c:v>水域及水利设施用地</c:v>
                </c:pt>
                <c:pt idx="2">
                  <c:v>交通运输用地</c:v>
                </c:pt>
                <c:pt idx="3">
                  <c:v>城镇村及工矿用地</c:v>
                </c:pt>
                <c:pt idx="4">
                  <c:v>湿地</c:v>
                </c:pt>
                <c:pt idx="5">
                  <c:v>草地</c:v>
                </c:pt>
                <c:pt idx="6">
                  <c:v>林地</c:v>
                </c:pt>
                <c:pt idx="7">
                  <c:v>园地</c:v>
                </c:pt>
                <c:pt idx="8">
                  <c:v>耕地</c:v>
                </c:pt>
              </c:strCache>
            </c:strRef>
          </c:cat>
          <c:val>
            <c:numRef>
              <c:f>Sheet1!$B$8:$B$16</c:f>
              <c:numCache>
                <c:formatCode>0.00_ </c:formatCode>
                <c:ptCount val="9"/>
                <c:pt idx="0">
                  <c:v>11351.2600000001</c:v>
                </c:pt>
                <c:pt idx="1">
                  <c:v>61704</c:v>
                </c:pt>
                <c:pt idx="2">
                  <c:v>49281.38</c:v>
                </c:pt>
                <c:pt idx="3">
                  <c:v>313643.87</c:v>
                </c:pt>
                <c:pt idx="4">
                  <c:v>3107.98</c:v>
                </c:pt>
                <c:pt idx="5">
                  <c:v>14460.44</c:v>
                </c:pt>
                <c:pt idx="6">
                  <c:v>967628.62</c:v>
                </c:pt>
                <c:pt idx="7">
                  <c:v>126274.55</c:v>
                </c:pt>
                <c:pt idx="8">
                  <c:v>93547.9</c:v>
                </c:pt>
              </c:numCache>
            </c:numRef>
          </c:val>
        </c:ser>
        <c:dLbls>
          <c:showLegendKey val="0"/>
          <c:showVal val="0"/>
          <c:showCatName val="0"/>
          <c:showSerName val="0"/>
          <c:showPercent val="0"/>
          <c:showBubbleSize val="0"/>
        </c:dLbls>
        <c:gapWidth val="130"/>
        <c:overlap val="100"/>
        <c:serLines/>
        <c:axId val="264193920"/>
        <c:axId val="264192384"/>
      </c:barChart>
      <c:catAx>
        <c:axId val="264193920"/>
        <c:scaling>
          <c:orientation val="minMax"/>
        </c:scaling>
        <c:delete val="0"/>
        <c:axPos val="l"/>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华文细黑" panose="02010600040101010101" charset="-122"/>
                <a:ea typeface="华文细黑" panose="02010600040101010101" charset="-122"/>
                <a:cs typeface="+mn-cs"/>
              </a:defRPr>
            </a:pPr>
          </a:p>
        </c:txPr>
        <c:crossAx val="264192384"/>
        <c:crosses val="autoZero"/>
        <c:auto val="1"/>
        <c:lblAlgn val="ctr"/>
        <c:lblOffset val="100"/>
        <c:noMultiLvlLbl val="0"/>
      </c:catAx>
      <c:valAx>
        <c:axId val="264192384"/>
        <c:scaling>
          <c:orientation val="minMax"/>
          <c:max val="1200000"/>
        </c:scaling>
        <c:delete val="0"/>
        <c:axPos val="b"/>
        <c:majorGridlines/>
        <c:numFmt formatCode="0_ "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264193920"/>
        <c:crosses val="autoZero"/>
        <c:crossBetween val="between"/>
        <c:minorUnit val="60000"/>
      </c:valAx>
    </c:plotArea>
    <c:plotVisOnly val="1"/>
    <c:dispBlanksAs val="gap"/>
    <c:showDLblsOverMax val="0"/>
    <c:extLst>
      <c:ext uri="{0b15fc19-7d7d-44ad-8c2d-2c3a37ce22c3}">
        <chartProps xmlns="https://web.wps.cn/et/2018/main" chartId="{56ba4f40-44c1-4b78-9f18-53b2d8757b72}"/>
      </c:ext>
    </c:extLst>
  </c:chart>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200"/>
              <a:t>北京市土地供求走势</a:t>
            </a:r>
            <a:endParaRPr lang="zh-CN" altLang="en-US" sz="1200"/>
          </a:p>
        </c:rich>
      </c:tx>
      <c:layout>
        <c:manualLayout>
          <c:xMode val="edge"/>
          <c:yMode val="edge"/>
          <c:x val="0.352597971167599"/>
          <c:y val="0.0138888888888889"/>
        </c:manualLayout>
      </c:layout>
      <c:overlay val="1"/>
    </c:title>
    <c:autoTitleDeleted val="0"/>
    <c:plotArea>
      <c:layout>
        <c:manualLayout>
          <c:layoutTarget val="inner"/>
          <c:xMode val="edge"/>
          <c:yMode val="edge"/>
          <c:x val="0.0808475990335805"/>
          <c:y val="0.130104257801108"/>
          <c:w val="0.89219162185587"/>
          <c:h val="0.642420895304754"/>
        </c:manualLayout>
      </c:layout>
      <c:barChart>
        <c:barDir val="col"/>
        <c:grouping val="clustered"/>
        <c:varyColors val="0"/>
        <c:ser>
          <c:idx val="0"/>
          <c:order val="0"/>
          <c:tx>
            <c:strRef>
              <c:f>推出成交!$B$2</c:f>
              <c:strCache>
                <c:ptCount val="1"/>
                <c:pt idx="0">
                  <c:v>推出规划建面（万㎡）</c:v>
                </c:pt>
              </c:strCache>
            </c:strRef>
          </c:tx>
          <c:invertIfNegative val="0"/>
          <c:dLbls>
            <c:dLbl>
              <c:idx val="4"/>
              <c:layout>
                <c:manualLayout>
                  <c:x val="-0.0049019598382817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推出成交!$B$3:$B$8</c:f>
              <c:numCache>
                <c:formatCode>0_ </c:formatCode>
                <c:ptCount val="6"/>
                <c:pt idx="0">
                  <c:v>620.38</c:v>
                </c:pt>
                <c:pt idx="1">
                  <c:v>959.72</c:v>
                </c:pt>
                <c:pt idx="2">
                  <c:v>576.72</c:v>
                </c:pt>
                <c:pt idx="3">
                  <c:v>621.01</c:v>
                </c:pt>
                <c:pt idx="4">
                  <c:v>492</c:v>
                </c:pt>
                <c:pt idx="5">
                  <c:v>307</c:v>
                </c:pt>
              </c:numCache>
            </c:numRef>
          </c:val>
        </c:ser>
        <c:ser>
          <c:idx val="1"/>
          <c:order val="1"/>
          <c:tx>
            <c:strRef>
              <c:f>推出成交!$C$2</c:f>
              <c:strCache>
                <c:ptCount val="1"/>
                <c:pt idx="0">
                  <c:v>成交规划建面（万㎡）</c:v>
                </c:pt>
              </c:strCache>
            </c:strRef>
          </c:tx>
          <c:invertIfNegative val="0"/>
          <c:dLbls>
            <c:dLbl>
              <c:idx val="0"/>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推出成交!$C$3:$C$8</c:f>
              <c:numCache>
                <c:formatCode>0_ </c:formatCode>
                <c:ptCount val="6"/>
                <c:pt idx="0">
                  <c:v>624.28</c:v>
                </c:pt>
                <c:pt idx="1">
                  <c:v>688.57</c:v>
                </c:pt>
                <c:pt idx="2">
                  <c:v>484.71</c:v>
                </c:pt>
                <c:pt idx="3">
                  <c:v>582.25</c:v>
                </c:pt>
                <c:pt idx="4">
                  <c:v>470.38</c:v>
                </c:pt>
                <c:pt idx="5">
                  <c:v>359</c:v>
                </c:pt>
              </c:numCache>
            </c:numRef>
          </c:val>
        </c:ser>
        <c:dLbls>
          <c:showLegendKey val="0"/>
          <c:showVal val="0"/>
          <c:showCatName val="0"/>
          <c:showSerName val="0"/>
          <c:showPercent val="0"/>
          <c:showBubbleSize val="0"/>
        </c:dLbls>
        <c:gapWidth val="150"/>
        <c:axId val="412522496"/>
        <c:axId val="49787392"/>
      </c:barChart>
      <c:catAx>
        <c:axId val="41252249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9787392"/>
        <c:crosses val="autoZero"/>
        <c:auto val="1"/>
        <c:lblAlgn val="ctr"/>
        <c:lblOffset val="100"/>
        <c:noMultiLvlLbl val="0"/>
      </c:catAx>
      <c:valAx>
        <c:axId val="49787392"/>
        <c:scaling>
          <c:orientation val="minMax"/>
        </c:scaling>
        <c:delete val="0"/>
        <c:axPos val="l"/>
        <c:majorGridlines/>
        <c:numFmt formatCode="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12522496"/>
        <c:crosses val="autoZero"/>
        <c:crossBetween val="between"/>
      </c:valAx>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63d25d7e-0137-4c84-8b9d-8c29999dd3b0}"/>
      </c:ext>
    </c:extLst>
  </c:chart>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sz="1200" b="1">
                <a:latin typeface="汉仪中黑 197" panose="00020600040101010101" pitchFamily="18" charset="-122"/>
                <a:ea typeface="汉仪中黑 197" panose="00020600040101010101" pitchFamily="18" charset="-122"/>
              </a:rPr>
              <a:t>近年来北京存量商品住宅成交套数占比变化</a:t>
            </a:r>
            <a:endParaRPr lang="zh-CN" altLang="en-US" sz="1200" b="1">
              <a:latin typeface="汉仪中黑 197" panose="00020600040101010101" pitchFamily="18" charset="-122"/>
              <a:ea typeface="汉仪中黑 197" panose="00020600040101010101" pitchFamily="18" charset="-122"/>
            </a:endParaRPr>
          </a:p>
        </c:rich>
      </c:tx>
      <c:layout/>
      <c:overlay val="0"/>
      <c:spPr>
        <a:noFill/>
        <a:ln>
          <a:noFill/>
        </a:ln>
        <a:effectLst/>
      </c:spPr>
    </c:title>
    <c:autoTitleDeleted val="0"/>
    <c:plotArea>
      <c:layout/>
      <c:lineChart>
        <c:grouping val="standard"/>
        <c:varyColors val="0"/>
        <c:ser>
          <c:idx val="0"/>
          <c:order val="0"/>
          <c:tx>
            <c:strRef>
              <c:f>存量房占比!$B$1</c:f>
              <c:strCache>
                <c:ptCount val="1"/>
                <c:pt idx="0">
                  <c:v>近年来北京存量商品住宅成交套数占比变化</c:v>
                </c:pt>
              </c:strCache>
            </c:strRef>
          </c:tx>
          <c:spPr>
            <a:ln w="28575" cap="rnd">
              <a:solidFill>
                <a:schemeClr val="accent1"/>
              </a:solidFill>
              <a:round/>
            </a:ln>
            <a:effectLst/>
          </c:spPr>
          <c:marker>
            <c:symbol val="none"/>
          </c:marker>
          <c:dLbls>
            <c:dLbl>
              <c:idx val="6"/>
              <c:layout>
                <c:manualLayout>
                  <c:x val="-0.0333333333333334"/>
                  <c:y val="0.046296296296296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存量房占比!$A$2:$A$12</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存量房占比!$B$2:$B$12</c:f>
              <c:numCache>
                <c:formatCode>0%</c:formatCode>
                <c:ptCount val="11"/>
                <c:pt idx="0">
                  <c:v>0.67</c:v>
                </c:pt>
                <c:pt idx="1">
                  <c:v>0.77</c:v>
                </c:pt>
                <c:pt idx="2">
                  <c:v>0.72</c:v>
                </c:pt>
                <c:pt idx="3">
                  <c:v>0.8</c:v>
                </c:pt>
                <c:pt idx="4">
                  <c:v>0.69</c:v>
                </c:pt>
                <c:pt idx="5">
                  <c:v>0.71</c:v>
                </c:pt>
                <c:pt idx="6">
                  <c:v>0.68</c:v>
                </c:pt>
                <c:pt idx="7">
                  <c:v>0.68</c:v>
                </c:pt>
                <c:pt idx="8">
                  <c:v>0.7</c:v>
                </c:pt>
                <c:pt idx="9">
                  <c:v>0.78</c:v>
                </c:pt>
                <c:pt idx="10">
                  <c:v>0.81</c:v>
                </c:pt>
              </c:numCache>
            </c:numRef>
          </c:val>
          <c:smooth val="0"/>
        </c:ser>
        <c:dLbls>
          <c:showLegendKey val="0"/>
          <c:showVal val="0"/>
          <c:showCatName val="0"/>
          <c:showSerName val="0"/>
          <c:showPercent val="0"/>
          <c:showBubbleSize val="0"/>
        </c:dLbls>
        <c:marker val="0"/>
        <c:smooth val="0"/>
        <c:axId val="780246832"/>
        <c:axId val="780247192"/>
      </c:lineChart>
      <c:catAx>
        <c:axId val="78024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0247192"/>
        <c:crosses val="autoZero"/>
        <c:auto val="1"/>
        <c:lblAlgn val="ctr"/>
        <c:lblOffset val="100"/>
        <c:noMultiLvlLbl val="0"/>
      </c:catAx>
      <c:valAx>
        <c:axId val="780247192"/>
        <c:scaling>
          <c:orientation val="minMax"/>
          <c:min val="0.6"/>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0246832"/>
        <c:crosses val="autoZero"/>
        <c:crossBetween val="between"/>
      </c:valAx>
      <c:spPr>
        <a:noFill/>
        <a:ln>
          <a:noFill/>
        </a:ln>
        <a:effectLst/>
      </c:spPr>
    </c:plotArea>
    <c:plotVisOnly val="1"/>
    <c:dispBlanksAs val="gap"/>
    <c:showDLblsOverMax val="0"/>
    <c:extLst>
      <c:ext uri="{0b15fc19-7d7d-44ad-8c2d-2c3a37ce22c3}">
        <chartProps xmlns="https://web.wps.cn/et/2018/main" chartId="{a90a012c-d162-41a0-a6ac-9a7c896627a8}"/>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954582239720035"/>
          <c:y val="0.0902062352338116"/>
          <c:w val="0.784083552055993"/>
          <c:h val="0.694440012179094"/>
        </c:manualLayout>
      </c:layout>
      <c:barChart>
        <c:barDir val="col"/>
        <c:grouping val="clustered"/>
        <c:varyColors val="0"/>
        <c:ser>
          <c:idx val="0"/>
          <c:order val="0"/>
          <c:tx>
            <c:strRef>
              <c:f>人口!$D$92</c:f>
              <c:strCache>
                <c:ptCount val="1"/>
                <c:pt idx="0">
                  <c:v>常住人口总量</c:v>
                </c:pt>
              </c:strCache>
            </c:strRef>
          </c:tx>
          <c:invertIfNegative val="0"/>
          <c:dLbls>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trendline>
            <c:trendlineType val="linear"/>
            <c:dispRSqr val="0"/>
            <c:dispEq val="0"/>
          </c:trendline>
          <c:cat>
            <c:strRef>
              <c:f>人口!$A$87:$A$91</c:f>
              <c:strCache>
                <c:ptCount val="5"/>
                <c:pt idx="0">
                  <c:v>2020年</c:v>
                </c:pt>
                <c:pt idx="1">
                  <c:v>2021年</c:v>
                </c:pt>
                <c:pt idx="2">
                  <c:v>2022年</c:v>
                </c:pt>
                <c:pt idx="3">
                  <c:v>2023年</c:v>
                </c:pt>
                <c:pt idx="4">
                  <c:v>2024年</c:v>
                </c:pt>
              </c:strCache>
            </c:strRef>
          </c:cat>
          <c:val>
            <c:numRef>
              <c:f>人口!$D$87:$D$91</c:f>
              <c:numCache>
                <c:formatCode>General</c:formatCode>
                <c:ptCount val="5"/>
                <c:pt idx="0">
                  <c:v>2189.3</c:v>
                </c:pt>
                <c:pt idx="1">
                  <c:v>2188.6</c:v>
                </c:pt>
                <c:pt idx="2">
                  <c:v>2184.3</c:v>
                </c:pt>
                <c:pt idx="3">
                  <c:v>2185.8</c:v>
                </c:pt>
                <c:pt idx="4">
                  <c:v>2183.2</c:v>
                </c:pt>
              </c:numCache>
            </c:numRef>
          </c:val>
        </c:ser>
        <c:dLbls>
          <c:showLegendKey val="0"/>
          <c:showVal val="0"/>
          <c:showCatName val="0"/>
          <c:showSerName val="0"/>
          <c:showPercent val="0"/>
          <c:showBubbleSize val="0"/>
        </c:dLbls>
        <c:gapWidth val="150"/>
        <c:axId val="380588416"/>
        <c:axId val="380589952"/>
      </c:barChart>
      <c:lineChart>
        <c:grouping val="standard"/>
        <c:varyColors val="0"/>
        <c:ser>
          <c:idx val="1"/>
          <c:order val="1"/>
          <c:tx>
            <c:strRef>
              <c:f>人口!$M$92</c:f>
              <c:strCache>
                <c:ptCount val="1"/>
                <c:pt idx="0">
                  <c:v>比上年增长</c:v>
                </c:pt>
              </c:strCache>
            </c:strRef>
          </c:tx>
          <c:marker>
            <c:symbol val="none"/>
          </c:marker>
          <c:dLbls>
            <c:dLbl>
              <c:idx val="0"/>
              <c:layout>
                <c:manualLayout>
                  <c:x val="-0.0472222222222222"/>
                  <c:y val="-0.0324074074074074"/>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527777777777778"/>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527777777777778"/>
                  <c:y val="-0.03703703703703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555555555555556"/>
                  <c:y val="-0.027777777777777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55555555555555"/>
                  <c:y val="-0.0416666666666667"/>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人口!$A$86:$A$90</c:f>
              <c:strCache>
                <c:ptCount val="5"/>
                <c:pt idx="0">
                  <c:v>2019年</c:v>
                </c:pt>
                <c:pt idx="1">
                  <c:v>2020年</c:v>
                </c:pt>
                <c:pt idx="2">
                  <c:v>2021年</c:v>
                </c:pt>
                <c:pt idx="3">
                  <c:v>2022年</c:v>
                </c:pt>
                <c:pt idx="4">
                  <c:v>2023年</c:v>
                </c:pt>
              </c:strCache>
            </c:strRef>
          </c:cat>
          <c:val>
            <c:numRef>
              <c:f>人口!$M$87:$M$91</c:f>
              <c:numCache>
                <c:formatCode>0.00%</c:formatCode>
                <c:ptCount val="5"/>
                <c:pt idx="0">
                  <c:v>0.0165768945022289</c:v>
                </c:pt>
                <c:pt idx="1">
                  <c:v>-0.000319736902206325</c:v>
                </c:pt>
                <c:pt idx="2">
                  <c:v>-0.00196472630905586</c:v>
                </c:pt>
                <c:pt idx="3">
                  <c:v>0.000686718857299873</c:v>
                </c:pt>
                <c:pt idx="4">
                  <c:v>-0.00118949583676475</c:v>
                </c:pt>
              </c:numCache>
            </c:numRef>
          </c:val>
          <c:smooth val="0"/>
        </c:ser>
        <c:dLbls>
          <c:showLegendKey val="0"/>
          <c:showVal val="0"/>
          <c:showCatName val="0"/>
          <c:showSerName val="0"/>
          <c:showPercent val="0"/>
          <c:showBubbleSize val="0"/>
        </c:dLbls>
        <c:marker val="0"/>
        <c:smooth val="0"/>
        <c:axId val="380617856"/>
        <c:axId val="380591488"/>
      </c:lineChart>
      <c:catAx>
        <c:axId val="380588416"/>
        <c:scaling>
          <c:orientation val="minMax"/>
        </c:scaling>
        <c:delete val="0"/>
        <c:axPos val="b"/>
        <c:numFmt formatCode="General" sourceLinked="1"/>
        <c:majorTickMark val="none"/>
        <c:minorTickMark val="none"/>
        <c:tickLblPos val="low"/>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589952"/>
        <c:crosses val="autoZero"/>
        <c:auto val="1"/>
        <c:lblAlgn val="ctr"/>
        <c:lblOffset val="100"/>
        <c:noMultiLvlLbl val="0"/>
      </c:catAx>
      <c:valAx>
        <c:axId val="380589952"/>
        <c:scaling>
          <c:orientation val="minMax"/>
          <c:max val="2500"/>
          <c:min val="-500"/>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588416"/>
        <c:crosses val="autoZero"/>
        <c:crossBetween val="between"/>
        <c:majorUnit val="500"/>
      </c:valAx>
      <c:catAx>
        <c:axId val="380617856"/>
        <c:scaling>
          <c:orientation val="minMax"/>
        </c:scaling>
        <c:delete val="1"/>
        <c:axPos val="b"/>
        <c:numFmt formatCode="General"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591488"/>
        <c:crosses val="autoZero"/>
        <c:auto val="1"/>
        <c:lblAlgn val="ctr"/>
        <c:lblOffset val="100"/>
        <c:noMultiLvlLbl val="0"/>
      </c:catAx>
      <c:valAx>
        <c:axId val="380591488"/>
        <c:scaling>
          <c:orientation val="minMax"/>
          <c:max val="0.05"/>
          <c:min val="-0.01"/>
        </c:scaling>
        <c:delete val="0"/>
        <c:axPos val="r"/>
        <c:numFmt formatCode="0.00%" sourceLinked="1"/>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380617856"/>
        <c:crosses val="max"/>
        <c:crossBetween val="between"/>
      </c:valAx>
    </c:plotArea>
    <c:legend>
      <c:legendPos val="r"/>
      <c:legendEntry>
        <c:idx val="2"/>
        <c:delete val="1"/>
      </c:legendEntry>
      <c:layout>
        <c:manualLayout>
          <c:xMode val="edge"/>
          <c:yMode val="edge"/>
          <c:x val="0.111111111111111"/>
          <c:y val="0.893981481481481"/>
          <c:w val="0.744444444444444"/>
          <c:h val="0.087037037037037"/>
        </c:manualLayout>
      </c:layout>
      <c:overlay val="0"/>
      <c:txPr>
        <a:bodyPr rot="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legend>
    <c:plotVisOnly val="1"/>
    <c:dispBlanksAs val="gap"/>
    <c:showDLblsOverMax val="0"/>
    <c:extLst>
      <c:ext uri="{0b15fc19-7d7d-44ad-8c2d-2c3a37ce22c3}">
        <chartProps xmlns="https://web.wps.cn/et/2018/main" chartId="{2a11ba9c-f990-4afe-a339-1e7a48049335}"/>
      </c:ext>
    </c:extLst>
  </c:chart>
  <c:txPr>
    <a:bodyPr/>
    <a:lstStyle/>
    <a:p>
      <a:pPr>
        <a:defRPr lang="zh-CN" sz="800">
          <a:latin typeface="Arial" panose="020B0604020202020204" pitchFamily="34" charset="0"/>
          <a:cs typeface="Arial" panose="020B0604020202020204" pitchFamily="34" charset="0"/>
        </a:defRPr>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invertIfNegative val="0"/>
          <c:dLbls>
            <c:dLbl>
              <c:idx val="0"/>
              <c:delete val="1"/>
            </c:dLbl>
            <c:dLbl>
              <c:idx val="1"/>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68241469816273"/>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146981420629508"/>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05249343832021"/>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0.062992125984252"/>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0.338582677165354"/>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0.0971128608923884"/>
                  <c:y val="0.0046296296296296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dLbl>
              <c:idx val="8"/>
              <c:layout>
                <c:manualLayout>
                  <c:x val="0.083989501312336"/>
                  <c:y val="0"/>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strRef>
              <c:f>Sheet1!$A$8:$A$16</c:f>
              <c:strCache>
                <c:ptCount val="9"/>
                <c:pt idx="0">
                  <c:v>其他土地</c:v>
                </c:pt>
                <c:pt idx="1">
                  <c:v>水域及水利设施用地</c:v>
                </c:pt>
                <c:pt idx="2">
                  <c:v>交通运输用地</c:v>
                </c:pt>
                <c:pt idx="3">
                  <c:v>城镇村及工矿用地</c:v>
                </c:pt>
                <c:pt idx="4">
                  <c:v>湿地</c:v>
                </c:pt>
                <c:pt idx="5">
                  <c:v>草地</c:v>
                </c:pt>
                <c:pt idx="6">
                  <c:v>林地</c:v>
                </c:pt>
                <c:pt idx="7">
                  <c:v>园地</c:v>
                </c:pt>
                <c:pt idx="8">
                  <c:v>耕地</c:v>
                </c:pt>
              </c:strCache>
            </c:strRef>
          </c:cat>
          <c:val>
            <c:numRef>
              <c:f>Sheet1!$B$8:$B$16</c:f>
              <c:numCache>
                <c:formatCode>0.00_ </c:formatCode>
                <c:ptCount val="9"/>
                <c:pt idx="0">
                  <c:v>11351.2600000001</c:v>
                </c:pt>
                <c:pt idx="1">
                  <c:v>61704</c:v>
                </c:pt>
                <c:pt idx="2">
                  <c:v>49281.38</c:v>
                </c:pt>
                <c:pt idx="3">
                  <c:v>313643.87</c:v>
                </c:pt>
                <c:pt idx="4">
                  <c:v>3107.98</c:v>
                </c:pt>
                <c:pt idx="5">
                  <c:v>14460.44</c:v>
                </c:pt>
                <c:pt idx="6">
                  <c:v>967628.62</c:v>
                </c:pt>
                <c:pt idx="7">
                  <c:v>126274.55</c:v>
                </c:pt>
                <c:pt idx="8">
                  <c:v>93547.9</c:v>
                </c:pt>
              </c:numCache>
            </c:numRef>
          </c:val>
        </c:ser>
        <c:dLbls>
          <c:showLegendKey val="0"/>
          <c:showVal val="0"/>
          <c:showCatName val="0"/>
          <c:showSerName val="0"/>
          <c:showPercent val="0"/>
          <c:showBubbleSize val="0"/>
        </c:dLbls>
        <c:gapWidth val="130"/>
        <c:overlap val="100"/>
        <c:serLines/>
        <c:axId val="264193920"/>
        <c:axId val="264192384"/>
      </c:barChart>
      <c:catAx>
        <c:axId val="264193920"/>
        <c:scaling>
          <c:orientation val="minMax"/>
        </c:scaling>
        <c:delete val="0"/>
        <c:axPos val="l"/>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华文细黑" panose="02010600040101010101" charset="-122"/>
                <a:ea typeface="华文细黑" panose="02010600040101010101" charset="-122"/>
                <a:cs typeface="+mn-cs"/>
              </a:defRPr>
            </a:pPr>
          </a:p>
        </c:txPr>
        <c:crossAx val="264192384"/>
        <c:crosses val="autoZero"/>
        <c:auto val="1"/>
        <c:lblAlgn val="ctr"/>
        <c:lblOffset val="100"/>
        <c:noMultiLvlLbl val="0"/>
      </c:catAx>
      <c:valAx>
        <c:axId val="264192384"/>
        <c:scaling>
          <c:orientation val="minMax"/>
          <c:max val="1200000"/>
        </c:scaling>
        <c:delete val="0"/>
        <c:axPos val="b"/>
        <c:majorGridlines/>
        <c:numFmt formatCode="0_ "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Arial" panose="020B0604020202020204" pitchFamily="34" charset="0"/>
                <a:ea typeface="+mn-ea"/>
                <a:cs typeface="Arial" panose="020B0604020202020204" pitchFamily="34" charset="0"/>
              </a:defRPr>
            </a:pPr>
          </a:p>
        </c:txPr>
        <c:crossAx val="264193920"/>
        <c:crosses val="autoZero"/>
        <c:crossBetween val="between"/>
        <c:minorUnit val="60000"/>
      </c:valAx>
    </c:plotArea>
    <c:plotVisOnly val="1"/>
    <c:dispBlanksAs val="gap"/>
    <c:showDLblsOverMax val="0"/>
    <c:extLst>
      <c:ext uri="{0b15fc19-7d7d-44ad-8c2d-2c3a37ce22c3}">
        <chartProps xmlns="https://web.wps.cn/et/2018/main" chartId="{56ba4f40-44c1-4b78-9f18-53b2d8757b72}"/>
      </c:ext>
    </c:extLst>
  </c:chart>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200"/>
              <a:t>北京市土地供求走势</a:t>
            </a:r>
            <a:endParaRPr lang="zh-CN" altLang="en-US" sz="1200"/>
          </a:p>
        </c:rich>
      </c:tx>
      <c:layout>
        <c:manualLayout>
          <c:xMode val="edge"/>
          <c:yMode val="edge"/>
          <c:x val="0.352597971167599"/>
          <c:y val="0.0138888888888889"/>
        </c:manualLayout>
      </c:layout>
      <c:overlay val="1"/>
    </c:title>
    <c:autoTitleDeleted val="0"/>
    <c:plotArea>
      <c:layout>
        <c:manualLayout>
          <c:layoutTarget val="inner"/>
          <c:xMode val="edge"/>
          <c:yMode val="edge"/>
          <c:x val="0.0808475990335805"/>
          <c:y val="0.130104257801108"/>
          <c:w val="0.89219162185587"/>
          <c:h val="0.642420895304754"/>
        </c:manualLayout>
      </c:layout>
      <c:barChart>
        <c:barDir val="col"/>
        <c:grouping val="clustered"/>
        <c:varyColors val="0"/>
        <c:ser>
          <c:idx val="0"/>
          <c:order val="0"/>
          <c:tx>
            <c:strRef>
              <c:f>推出成交!$B$2</c:f>
              <c:strCache>
                <c:ptCount val="1"/>
                <c:pt idx="0">
                  <c:v>推出规划建面（万㎡）</c:v>
                </c:pt>
              </c:strCache>
            </c:strRef>
          </c:tx>
          <c:invertIfNegative val="0"/>
          <c:dLbls>
            <c:dLbl>
              <c:idx val="4"/>
              <c:layout>
                <c:manualLayout>
                  <c:x val="-0.0049019598382817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推出成交!$B$3:$B$8</c:f>
              <c:numCache>
                <c:formatCode>0_ </c:formatCode>
                <c:ptCount val="6"/>
                <c:pt idx="0">
                  <c:v>620.38</c:v>
                </c:pt>
                <c:pt idx="1">
                  <c:v>959.72</c:v>
                </c:pt>
                <c:pt idx="2">
                  <c:v>576.72</c:v>
                </c:pt>
                <c:pt idx="3">
                  <c:v>621.01</c:v>
                </c:pt>
                <c:pt idx="4">
                  <c:v>492</c:v>
                </c:pt>
                <c:pt idx="5">
                  <c:v>307</c:v>
                </c:pt>
              </c:numCache>
            </c:numRef>
          </c:val>
        </c:ser>
        <c:ser>
          <c:idx val="1"/>
          <c:order val="1"/>
          <c:tx>
            <c:strRef>
              <c:f>推出成交!$C$2</c:f>
              <c:strCache>
                <c:ptCount val="1"/>
                <c:pt idx="0">
                  <c:v>成交规划建面（万㎡）</c:v>
                </c:pt>
              </c:strCache>
            </c:strRef>
          </c:tx>
          <c:invertIfNegative val="0"/>
          <c:dLbls>
            <c:dLbl>
              <c:idx val="0"/>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0.0147058795148449"/>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ext>
            </c:extLst>
          </c:dLbls>
          <c:cat>
            <c:numRef>
              <c:f>推出成交!$A$3:$A$8</c:f>
              <c:numCache>
                <c:formatCode>General</c:formatCode>
                <c:ptCount val="6"/>
                <c:pt idx="0">
                  <c:v>2020</c:v>
                </c:pt>
                <c:pt idx="1">
                  <c:v>2021</c:v>
                </c:pt>
                <c:pt idx="2">
                  <c:v>2022</c:v>
                </c:pt>
                <c:pt idx="3">
                  <c:v>2023</c:v>
                </c:pt>
                <c:pt idx="4">
                  <c:v>2024</c:v>
                </c:pt>
                <c:pt idx="5">
                  <c:v>2025</c:v>
                </c:pt>
              </c:numCache>
            </c:numRef>
          </c:cat>
          <c:val>
            <c:numRef>
              <c:f>推出成交!$C$3:$C$8</c:f>
              <c:numCache>
                <c:formatCode>0_ </c:formatCode>
                <c:ptCount val="6"/>
                <c:pt idx="0">
                  <c:v>624.28</c:v>
                </c:pt>
                <c:pt idx="1">
                  <c:v>688.57</c:v>
                </c:pt>
                <c:pt idx="2">
                  <c:v>484.71</c:v>
                </c:pt>
                <c:pt idx="3">
                  <c:v>582.25</c:v>
                </c:pt>
                <c:pt idx="4">
                  <c:v>470.38</c:v>
                </c:pt>
                <c:pt idx="5">
                  <c:v>359</c:v>
                </c:pt>
              </c:numCache>
            </c:numRef>
          </c:val>
        </c:ser>
        <c:dLbls>
          <c:showLegendKey val="0"/>
          <c:showVal val="0"/>
          <c:showCatName val="0"/>
          <c:showSerName val="0"/>
          <c:showPercent val="0"/>
          <c:showBubbleSize val="0"/>
        </c:dLbls>
        <c:gapWidth val="150"/>
        <c:axId val="412522496"/>
        <c:axId val="49787392"/>
      </c:barChart>
      <c:catAx>
        <c:axId val="412522496"/>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9787392"/>
        <c:crosses val="autoZero"/>
        <c:auto val="1"/>
        <c:lblAlgn val="ctr"/>
        <c:lblOffset val="100"/>
        <c:noMultiLvlLbl val="0"/>
      </c:catAx>
      <c:valAx>
        <c:axId val="49787392"/>
        <c:scaling>
          <c:orientation val="minMax"/>
        </c:scaling>
        <c:delete val="0"/>
        <c:axPos val="l"/>
        <c:majorGridlines/>
        <c:numFmt formatCode="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412522496"/>
        <c:crosses val="autoZero"/>
        <c:crossBetween val="between"/>
      </c:valAx>
    </c:plotArea>
    <c:legend>
      <c:legendPos val="b"/>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63d25d7e-0137-4c84-8b9d-8c29999dd3b0}"/>
      </c:ext>
    </c:extLst>
  </c:chart>
  <c:txPr>
    <a:bodyPr/>
    <a:lstStyle/>
    <a:p>
      <a:pPr>
        <a:defRPr lang="zh-CN"/>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sz="1200" b="1">
                <a:latin typeface="汉仪中黑 197" panose="00020600040101010101" pitchFamily="18" charset="-122"/>
                <a:ea typeface="汉仪中黑 197" panose="00020600040101010101" pitchFamily="18" charset="-122"/>
              </a:rPr>
              <a:t>近年来北京存量商品住宅成交套数占比变化</a:t>
            </a:r>
            <a:endParaRPr lang="zh-CN" altLang="en-US" sz="1200" b="1">
              <a:latin typeface="汉仪中黑 197" panose="00020600040101010101" pitchFamily="18" charset="-122"/>
              <a:ea typeface="汉仪中黑 197" panose="00020600040101010101" pitchFamily="18" charset="-122"/>
            </a:endParaRPr>
          </a:p>
        </c:rich>
      </c:tx>
      <c:layout/>
      <c:overlay val="0"/>
      <c:spPr>
        <a:noFill/>
        <a:ln>
          <a:noFill/>
        </a:ln>
        <a:effectLst/>
      </c:spPr>
    </c:title>
    <c:autoTitleDeleted val="0"/>
    <c:plotArea>
      <c:layout/>
      <c:lineChart>
        <c:grouping val="standard"/>
        <c:varyColors val="0"/>
        <c:ser>
          <c:idx val="0"/>
          <c:order val="0"/>
          <c:tx>
            <c:strRef>
              <c:f>存量房占比!$B$1</c:f>
              <c:strCache>
                <c:ptCount val="1"/>
                <c:pt idx="0">
                  <c:v>近年来北京存量商品住宅成交套数占比变化</c:v>
                </c:pt>
              </c:strCache>
            </c:strRef>
          </c:tx>
          <c:spPr>
            <a:ln w="28575" cap="rnd">
              <a:solidFill>
                <a:schemeClr val="accent1"/>
              </a:solidFill>
              <a:round/>
            </a:ln>
            <a:effectLst/>
          </c:spPr>
          <c:marker>
            <c:symbol val="none"/>
          </c:marker>
          <c:dLbls>
            <c:dLbl>
              <c:idx val="6"/>
              <c:layout>
                <c:manualLayout>
                  <c:x val="-0.0333333333333334"/>
                  <c:y val="0.0462962962962962"/>
                </c:manualLayout>
              </c:layout>
              <c:dLblPos val="r"/>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存量房占比!$A$2:$A$12</c:f>
              <c:numCache>
                <c:formatCode>General</c:formatCode>
                <c:ptCount val="11"/>
                <c:pt idx="0">
                  <c:v>2015</c:v>
                </c:pt>
                <c:pt idx="1">
                  <c:v>2016</c:v>
                </c:pt>
                <c:pt idx="2">
                  <c:v>2017</c:v>
                </c:pt>
                <c:pt idx="3">
                  <c:v>2018</c:v>
                </c:pt>
                <c:pt idx="4">
                  <c:v>2019</c:v>
                </c:pt>
                <c:pt idx="5">
                  <c:v>2020</c:v>
                </c:pt>
                <c:pt idx="6">
                  <c:v>2021</c:v>
                </c:pt>
                <c:pt idx="7">
                  <c:v>2022</c:v>
                </c:pt>
                <c:pt idx="8">
                  <c:v>2023</c:v>
                </c:pt>
                <c:pt idx="9">
                  <c:v>2024</c:v>
                </c:pt>
                <c:pt idx="10">
                  <c:v>2025</c:v>
                </c:pt>
              </c:numCache>
            </c:numRef>
          </c:cat>
          <c:val>
            <c:numRef>
              <c:f>存量房占比!$B$2:$B$12</c:f>
              <c:numCache>
                <c:formatCode>0%</c:formatCode>
                <c:ptCount val="11"/>
                <c:pt idx="0">
                  <c:v>0.67</c:v>
                </c:pt>
                <c:pt idx="1">
                  <c:v>0.77</c:v>
                </c:pt>
                <c:pt idx="2">
                  <c:v>0.72</c:v>
                </c:pt>
                <c:pt idx="3">
                  <c:v>0.8</c:v>
                </c:pt>
                <c:pt idx="4">
                  <c:v>0.69</c:v>
                </c:pt>
                <c:pt idx="5">
                  <c:v>0.71</c:v>
                </c:pt>
                <c:pt idx="6">
                  <c:v>0.68</c:v>
                </c:pt>
                <c:pt idx="7">
                  <c:v>0.68</c:v>
                </c:pt>
                <c:pt idx="8">
                  <c:v>0.7</c:v>
                </c:pt>
                <c:pt idx="9">
                  <c:v>0.78</c:v>
                </c:pt>
                <c:pt idx="10">
                  <c:v>0.81</c:v>
                </c:pt>
              </c:numCache>
            </c:numRef>
          </c:val>
          <c:smooth val="0"/>
        </c:ser>
        <c:dLbls>
          <c:showLegendKey val="0"/>
          <c:showVal val="0"/>
          <c:showCatName val="0"/>
          <c:showSerName val="0"/>
          <c:showPercent val="0"/>
          <c:showBubbleSize val="0"/>
        </c:dLbls>
        <c:marker val="0"/>
        <c:smooth val="0"/>
        <c:axId val="780246832"/>
        <c:axId val="780247192"/>
      </c:lineChart>
      <c:catAx>
        <c:axId val="78024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0247192"/>
        <c:crosses val="autoZero"/>
        <c:auto val="1"/>
        <c:lblAlgn val="ctr"/>
        <c:lblOffset val="100"/>
        <c:noMultiLvlLbl val="0"/>
      </c:catAx>
      <c:valAx>
        <c:axId val="780247192"/>
        <c:scaling>
          <c:orientation val="minMax"/>
          <c:min val="0.6"/>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80246832"/>
        <c:crosses val="autoZero"/>
        <c:crossBetween val="between"/>
      </c:valAx>
      <c:spPr>
        <a:noFill/>
        <a:ln>
          <a:noFill/>
        </a:ln>
        <a:effectLst/>
      </c:spPr>
    </c:plotArea>
    <c:plotVisOnly val="1"/>
    <c:dispBlanksAs val="gap"/>
    <c:showDLblsOverMax val="0"/>
    <c:extLst>
      <c:ext uri="{0b15fc19-7d7d-44ad-8c2d-2c3a37ce22c3}">
        <chartProps xmlns="https://web.wps.cn/et/2018/main" chartId="{a90a012c-d162-41a0-a6ac-9a7c896627a8}"/>
      </c:ext>
    </c:extLst>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黑体"/>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宋体"/>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BC30E77-08E9-4498-A7D8-0A7D25C7E8CB}">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241</Pages>
  <Words>3889</Words>
  <Characters>4356</Characters>
  <Lines>1020</Lines>
  <Paragraphs>287</Paragraphs>
  <TotalTime>19</TotalTime>
  <ScaleCrop>false</ScaleCrop>
  <LinksUpToDate>false</LinksUpToDate>
  <CharactersWithSpaces>4433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2023-06-20T19:19:00Z</dcterms:created>
  <dc:creator>Administrator</dc:creator>
  <cp:lastModifiedBy>诗霖</cp:lastModifiedBy>
  <cp:lastPrinted>2023-06-27T04:10:00Z</cp:lastPrinted>
  <dcterms:modified xsi:type="dcterms:W3CDTF">2026-03-30T09:34:10Z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A4BC926A6D6F449BB1F4343E7D1AC9E5_13</vt:lpwstr>
  </property>
  <property fmtid="{D5CDD505-2E9C-101B-9397-08002B2CF9AE}" pid="4" name="KSOTemplateDocerSaveRecord">
    <vt:lpwstr>eyJoZGlkIjoiMDdlZmQwYWM0MmRiNGMxZDA3YWY5YzJiY2QxOTlhYTMiLCJ1c2VySWQiOiIyMDkxMDc5NzUifQ==</vt:lpwstr>
  </property>
</Properties>
</file>