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rPr>
      </w:pPr>
      <w:r>
        <w:rPr>
          <w:rFonts w:hint="eastAsia" w:ascii="Arial" w:hAnsi="Arial" w:eastAsia="宋体" w:cs="宋体"/>
          <w:b/>
          <w:bCs/>
          <w:kern w:val="0"/>
          <w:sz w:val="40"/>
          <w:szCs w:val="40"/>
        </w:rPr>
        <w:t>房地产抵押评估复估单</w:t>
      </w:r>
    </w:p>
    <w:p>
      <w:pPr>
        <w:jc w:val="right"/>
        <w:rPr>
          <w:rFonts w:ascii="Arial" w:hAnsi="Arial"/>
        </w:rPr>
      </w:pPr>
      <w:r>
        <w:rPr>
          <w:rFonts w:hint="eastAsia" w:ascii="Arial" w:hAnsi="Arial" w:eastAsia="宋体" w:cs="宋体"/>
          <w:kern w:val="0"/>
          <w:sz w:val="20"/>
          <w:szCs w:val="20"/>
        </w:rPr>
        <w:t>报告编号：康正评字</w:t>
      </w:r>
      <w:r>
        <w:rPr>
          <w:rFonts w:ascii="Arial" w:hAnsi="Arial" w:eastAsia="宋体" w:cs="宋体"/>
          <w:kern w:val="0"/>
          <w:sz w:val="20"/>
          <w:szCs w:val="20"/>
        </w:rPr>
        <w:t>2023-1-0831-P01DYGJ1</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北京市西城区广安门外大街168号1幢11层1-1203</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2023年11月22日</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朗琴国际</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246.81平方米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22（-3）</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11</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商务公寓</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钢筋混凝土结构</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估价对象于咨询时点存在抵押权，本次评估以原有的抵押权注销后再设立新的抵押权为假设前提，故不考虑此项优先受偿权。</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bookmarkStart w:id="0" w:name="_GoBack" w:colFirst="2" w:colLast="4"/>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highlight w:val="yellow"/>
              </w:rPr>
            </w:pPr>
            <w:r>
              <w:rPr>
                <w:rFonts w:hint="eastAsia" w:ascii="Arial" w:hAnsi="Arial" w:eastAsia="宋体" w:cs="宋体"/>
                <w:b/>
                <w:bCs/>
                <w:kern w:val="0"/>
                <w:sz w:val="20"/>
                <w:szCs w:val="20"/>
                <w:highlight w:val="yellow"/>
              </w:rPr>
              <w:t>46063元/平方米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highlight w:val="yellow"/>
              </w:rPr>
            </w:pPr>
            <w:r>
              <w:rPr>
                <w:rFonts w:hint="eastAsia" w:ascii="Arial" w:hAnsi="Arial" w:eastAsia="宋体" w:cs="宋体"/>
                <w:b/>
                <w:bCs/>
                <w:kern w:val="0"/>
                <w:sz w:val="20"/>
                <w:szCs w:val="20"/>
                <w:highlight w:val="yellow"/>
              </w:rPr>
              <w:t>1137万元</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highlight w:val="yellow"/>
              </w:rPr>
            </w:pPr>
            <w:r>
              <w:rPr>
                <w:rFonts w:hint="eastAsia" w:ascii="Arial" w:hAnsi="Arial" w:eastAsia="宋体" w:cs="宋体"/>
                <w:b/>
                <w:bCs/>
                <w:kern w:val="0"/>
                <w:sz w:val="20"/>
                <w:szCs w:val="20"/>
                <w:highlight w:val="yellow"/>
              </w:rPr>
              <w:t>壹仟壹佰叁拾柒万元整</w:t>
            </w:r>
          </w:p>
        </w:tc>
      </w:tr>
      <w:bookmarkEnd w:id="0"/>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3、本次复估未对估价对象进行实地勘查，若实际情况与估价委托人提供的信息有所差异时，会对估价结果产生影响，相关数据会发生变化，估价结果需做相应调整。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pPr>
        <w:rPr>
          <w:rFonts w:ascii="Arial" w:hAnsi="Arial"/>
        </w:rPr>
      </w:pPr>
    </w:p>
    <w:p>
      <w:pPr>
        <w:jc w:val="right"/>
        <w:rPr>
          <w:rFonts w:ascii="Arial" w:hAnsi="Arial"/>
        </w:rPr>
      </w:pPr>
      <w:r>
        <w:rPr>
          <w:rFonts w:hint="eastAsia" w:ascii="Arial" w:hAnsi="Arial" w:eastAsia="宋体" w:cs="宋体"/>
          <w:kern w:val="0"/>
          <w:sz w:val="20"/>
          <w:szCs w:val="20"/>
        </w:rPr>
        <w:t>北京康正宏基房地产评估有限公司</w:t>
      </w:r>
    </w:p>
    <w:p>
      <w:pPr>
        <w:jc w:val="right"/>
      </w:pPr>
      <w:r>
        <w:rPr>
          <w:rFonts w:hint="eastAsia" w:ascii="Arial" w:hAnsi="Arial" w:eastAsia="宋体" w:cs="宋体"/>
          <w:kern w:val="0"/>
          <w:sz w:val="20"/>
          <w:szCs w:val="20"/>
        </w:rPr>
        <w:t>二○二三年十一月二十七</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DAxZDNiNGFlNGJiNTVhMjcwMzExOWFlNjVlZmEifQ=="/>
  </w:docVars>
  <w:rsids>
    <w:rsidRoot w:val="00BF20BE"/>
    <w:rsid w:val="002930CF"/>
    <w:rsid w:val="0046333F"/>
    <w:rsid w:val="004C3F09"/>
    <w:rsid w:val="007203D6"/>
    <w:rsid w:val="00795B85"/>
    <w:rsid w:val="00863392"/>
    <w:rsid w:val="00876164"/>
    <w:rsid w:val="00881FD2"/>
    <w:rsid w:val="009839FF"/>
    <w:rsid w:val="00A92DEB"/>
    <w:rsid w:val="00BF20BE"/>
    <w:rsid w:val="00E95130"/>
    <w:rsid w:val="13D9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154</Words>
  <Characters>878</Characters>
  <Lines>7</Lines>
  <Paragraphs>2</Paragraphs>
  <TotalTime>50</TotalTime>
  <ScaleCrop>false</ScaleCrop>
  <LinksUpToDate>false</LinksUpToDate>
  <CharactersWithSpaces>1030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黄猛</cp:lastModifiedBy>
  <dcterms:modified xsi:type="dcterms:W3CDTF">2023-11-27T12:23:27Z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8890F86220FC4DD7BE2F46447BD79BD7_12</vt:lpwstr>
  </property>
</Properties>
</file>