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40" w:afterLines="100"/>
        <w:jc w:val="right"/>
        <w:rPr>
          <w:rFonts w:ascii="Arial" w:hAnsi="Arial" w:cs="Arial"/>
          <w:snapToGrid w:val="0"/>
        </w:rPr>
      </w:pPr>
      <w:permStart w:id="0" w:edGrp="everyone"/>
      <w:permEnd w:id="0"/>
    </w:p>
    <w:p>
      <w:pPr>
        <w:jc w:val="center"/>
        <w:rPr>
          <w:rFonts w:ascii="Arial" w:hAnsi="Arial" w:eastAsia="隶书" w:cs="Arial"/>
          <w:b/>
          <w:bCs/>
          <w:color w:val="000000"/>
          <w:spacing w:val="20"/>
          <w:sz w:val="48"/>
        </w:rPr>
      </w:pPr>
    </w:p>
    <w:p>
      <w:pPr>
        <w:jc w:val="center"/>
        <w:rPr>
          <w:rFonts w:ascii="Arial" w:hAnsi="Arial" w:eastAsia="隶书" w:cs="Arial"/>
          <w:b/>
          <w:bCs/>
          <w:color w:val="000000"/>
          <w:spacing w:val="20"/>
          <w:sz w:val="48"/>
        </w:rPr>
      </w:pPr>
    </w:p>
    <w:p>
      <w:pPr>
        <w:jc w:val="center"/>
        <w:rPr>
          <w:rFonts w:ascii="Arial" w:hAnsi="Arial" w:eastAsia="隶书" w:cs="Arial"/>
          <w:b/>
          <w:bCs/>
          <w:color w:val="000000"/>
          <w:spacing w:val="20"/>
          <w:sz w:val="48"/>
        </w:rPr>
      </w:pPr>
    </w:p>
    <w:p>
      <w:pPr>
        <w:jc w:val="center"/>
        <w:rPr>
          <w:rFonts w:ascii="Arial" w:hAnsi="Arial" w:eastAsia="隶书" w:cs="Arial"/>
          <w:b/>
          <w:bCs/>
          <w:color w:val="000000"/>
          <w:spacing w:val="20"/>
          <w:sz w:val="48"/>
        </w:rPr>
      </w:pPr>
    </w:p>
    <w:p>
      <w:pPr>
        <w:jc w:val="center"/>
        <w:rPr>
          <w:rFonts w:ascii="Arial" w:hAnsi="Arial" w:eastAsia="隶书" w:cs="Arial"/>
          <w:b/>
          <w:bCs/>
          <w:color w:val="000000"/>
          <w:spacing w:val="20"/>
          <w:sz w:val="48"/>
        </w:rPr>
      </w:pPr>
    </w:p>
    <w:p>
      <w:pPr>
        <w:snapToGrid w:val="0"/>
        <w:rPr>
          <w:rFonts w:ascii="Arial" w:hAnsi="Arial" w:eastAsia="隶书" w:cs="Arial"/>
          <w:b/>
          <w:bCs/>
          <w:color w:val="000000"/>
          <w:spacing w:val="20"/>
          <w:sz w:val="28"/>
          <w:szCs w:val="28"/>
        </w:rPr>
      </w:pPr>
    </w:p>
    <w:p>
      <w:pPr>
        <w:jc w:val="center"/>
        <w:rPr>
          <w:rFonts w:ascii="Arial" w:hAnsi="Arial" w:eastAsia="黑体" w:cs="Arial"/>
          <w:bCs/>
          <w:color w:val="000000"/>
          <w:spacing w:val="20"/>
          <w:sz w:val="52"/>
          <w:szCs w:val="52"/>
        </w:rPr>
      </w:pPr>
      <w:r>
        <w:rPr>
          <w:rFonts w:hint="eastAsia" w:ascii="Arial" w:hAnsi="Arial" w:eastAsia="黑体" w:cs="Arial"/>
          <w:bCs/>
          <w:color w:val="000000"/>
          <w:spacing w:val="20"/>
          <w:sz w:val="52"/>
          <w:szCs w:val="52"/>
        </w:rPr>
        <w:t>邢台华昱房地产开发有限公司</w:t>
      </w:r>
    </w:p>
    <w:p>
      <w:pPr>
        <w:jc w:val="center"/>
        <w:outlineLvl w:val="0"/>
        <w:rPr>
          <w:rFonts w:ascii="Arial" w:hAnsi="Arial" w:eastAsia="黑体" w:cs="Arial"/>
          <w:bCs/>
          <w:color w:val="000000"/>
          <w:spacing w:val="20"/>
          <w:sz w:val="52"/>
          <w:szCs w:val="52"/>
        </w:rPr>
      </w:pPr>
      <w:bookmarkStart w:id="0" w:name="_Toc11849"/>
      <w:bookmarkStart w:id="1" w:name="_Toc10825"/>
      <w:bookmarkStart w:id="2" w:name="_Toc7542"/>
      <w:bookmarkStart w:id="3" w:name="_Toc12485"/>
      <w:bookmarkStart w:id="4" w:name="_Toc19458"/>
      <w:bookmarkStart w:id="5" w:name="_Toc26806"/>
      <w:bookmarkStart w:id="6" w:name="_Toc27918"/>
      <w:r>
        <w:rPr>
          <w:rFonts w:hint="eastAsia" w:ascii="Arial" w:hAnsi="Arial" w:eastAsia="黑体" w:cs="Arial"/>
          <w:bCs/>
          <w:color w:val="000000"/>
          <w:spacing w:val="20"/>
          <w:sz w:val="52"/>
          <w:szCs w:val="52"/>
        </w:rPr>
        <w:t>邢台市七里河房地产开发项目</w:t>
      </w:r>
      <w:bookmarkEnd w:id="0"/>
      <w:bookmarkEnd w:id="1"/>
      <w:bookmarkEnd w:id="2"/>
      <w:bookmarkEnd w:id="3"/>
      <w:bookmarkEnd w:id="4"/>
      <w:bookmarkEnd w:id="5"/>
      <w:bookmarkEnd w:id="6"/>
    </w:p>
    <w:p>
      <w:pPr>
        <w:jc w:val="center"/>
        <w:rPr>
          <w:rFonts w:ascii="Arial" w:hAnsi="Arial" w:eastAsia="黑体" w:cs="Arial"/>
          <w:bCs/>
          <w:color w:val="000000"/>
          <w:spacing w:val="20"/>
          <w:sz w:val="52"/>
          <w:szCs w:val="52"/>
        </w:rPr>
      </w:pPr>
      <w:r>
        <w:rPr>
          <w:rFonts w:hint="eastAsia" w:ascii="Arial" w:hAnsi="Arial" w:eastAsia="黑体" w:cs="Arial"/>
          <w:bCs/>
          <w:color w:val="000000"/>
          <w:spacing w:val="20"/>
          <w:sz w:val="52"/>
          <w:szCs w:val="52"/>
        </w:rPr>
        <w:t>合同调查分析</w:t>
      </w:r>
      <w:r>
        <w:rPr>
          <w:rFonts w:ascii="Arial" w:hAnsi="Arial" w:eastAsia="黑体" w:cs="Arial"/>
          <w:bCs/>
          <w:color w:val="000000"/>
          <w:spacing w:val="20"/>
          <w:sz w:val="52"/>
          <w:szCs w:val="52"/>
        </w:rPr>
        <w:t>报告</w:t>
      </w:r>
    </w:p>
    <w:p>
      <w:pPr>
        <w:spacing w:line="280" w:lineRule="exact"/>
        <w:jc w:val="center"/>
        <w:rPr>
          <w:rFonts w:ascii="Arial" w:hAnsi="Arial" w:eastAsia="黑体" w:cs="Arial"/>
          <w:b/>
          <w:bCs/>
          <w:color w:val="000000"/>
          <w:spacing w:val="20"/>
          <w:sz w:val="52"/>
          <w:szCs w:val="52"/>
        </w:rPr>
      </w:pPr>
    </w:p>
    <w:p>
      <w:pPr>
        <w:spacing w:line="280" w:lineRule="exact"/>
        <w:jc w:val="center"/>
        <w:rPr>
          <w:rFonts w:ascii="Arial" w:hAnsi="Arial" w:eastAsia="黑体" w:cs="Arial"/>
          <w:b/>
          <w:bCs/>
          <w:color w:val="000000"/>
          <w:spacing w:val="20"/>
          <w:sz w:val="52"/>
          <w:szCs w:val="52"/>
        </w:rPr>
      </w:pPr>
    </w:p>
    <w:p>
      <w:pPr>
        <w:spacing w:line="280" w:lineRule="exact"/>
        <w:jc w:val="center"/>
        <w:rPr>
          <w:rFonts w:ascii="Arial" w:hAnsi="Arial" w:eastAsia="黑体" w:cs="Arial"/>
          <w:b/>
          <w:bCs/>
          <w:color w:val="000000"/>
          <w:spacing w:val="20"/>
          <w:sz w:val="52"/>
          <w:szCs w:val="52"/>
        </w:rPr>
      </w:pPr>
    </w:p>
    <w:p>
      <w:pPr>
        <w:spacing w:line="280" w:lineRule="exact"/>
        <w:jc w:val="center"/>
        <w:rPr>
          <w:rFonts w:ascii="Arial" w:hAnsi="Arial" w:eastAsia="黑体" w:cs="Arial"/>
          <w:b/>
          <w:bCs/>
          <w:color w:val="000000"/>
          <w:spacing w:val="20"/>
          <w:sz w:val="52"/>
          <w:szCs w:val="52"/>
        </w:rPr>
      </w:pPr>
    </w:p>
    <w:p>
      <w:pPr>
        <w:spacing w:line="280" w:lineRule="exact"/>
        <w:jc w:val="center"/>
        <w:rPr>
          <w:rFonts w:ascii="Arial" w:hAnsi="Arial" w:eastAsia="黑体" w:cs="Arial"/>
          <w:b/>
          <w:bCs/>
          <w:color w:val="000000"/>
          <w:spacing w:val="20"/>
          <w:sz w:val="52"/>
          <w:szCs w:val="52"/>
        </w:rPr>
      </w:pPr>
    </w:p>
    <w:p>
      <w:pPr>
        <w:spacing w:line="280" w:lineRule="exact"/>
        <w:jc w:val="center"/>
        <w:rPr>
          <w:rFonts w:ascii="Arial" w:hAnsi="Arial" w:eastAsia="黑体" w:cs="Arial"/>
          <w:b/>
          <w:bCs/>
          <w:color w:val="000000"/>
          <w:spacing w:val="20"/>
          <w:sz w:val="52"/>
          <w:szCs w:val="52"/>
        </w:rPr>
      </w:pPr>
    </w:p>
    <w:p>
      <w:pPr>
        <w:spacing w:line="280" w:lineRule="exact"/>
        <w:jc w:val="center"/>
        <w:rPr>
          <w:rFonts w:ascii="Arial" w:hAnsi="Arial" w:eastAsia="Adobe 黑体 Std R" w:cs="Arial"/>
          <w:b/>
          <w:bCs/>
          <w:color w:val="000000"/>
          <w:szCs w:val="21"/>
        </w:rPr>
      </w:pPr>
    </w:p>
    <w:p>
      <w:pPr>
        <w:spacing w:line="280" w:lineRule="exact"/>
        <w:jc w:val="center"/>
        <w:rPr>
          <w:rFonts w:ascii="Arial" w:hAnsi="Arial" w:eastAsia="Adobe 黑体 Std R" w:cs="Arial"/>
          <w:b/>
          <w:bCs/>
          <w:color w:val="000000"/>
          <w:szCs w:val="21"/>
        </w:rPr>
      </w:pPr>
    </w:p>
    <w:p>
      <w:pPr>
        <w:spacing w:line="280" w:lineRule="exact"/>
        <w:jc w:val="both"/>
        <w:rPr>
          <w:rFonts w:ascii="Arial" w:hAnsi="Arial" w:eastAsia="Adobe 黑体 Std R" w:cs="Arial"/>
          <w:b/>
          <w:bCs/>
          <w:snapToGrid w:val="0"/>
        </w:rPr>
      </w:pPr>
    </w:p>
    <w:p>
      <w:pPr>
        <w:spacing w:line="280" w:lineRule="exact"/>
        <w:jc w:val="center"/>
        <w:rPr>
          <w:rFonts w:ascii="Arial" w:hAnsi="Arial" w:eastAsia="Adobe 黑体 Std R" w:cs="Arial"/>
          <w:b/>
          <w:bCs/>
          <w:snapToGrid w:val="0"/>
        </w:rPr>
      </w:pPr>
    </w:p>
    <w:p>
      <w:pPr>
        <w:spacing w:line="280" w:lineRule="exact"/>
        <w:jc w:val="center"/>
        <w:rPr>
          <w:rFonts w:ascii="Arial" w:hAnsi="Arial" w:eastAsia="Adobe 黑体 Std R" w:cs="Arial"/>
          <w:b/>
          <w:bCs/>
          <w:snapToGrid w:val="0"/>
        </w:rPr>
      </w:pPr>
    </w:p>
    <w:p>
      <w:pPr>
        <w:spacing w:line="280" w:lineRule="exact"/>
        <w:jc w:val="center"/>
        <w:outlineLvl w:val="0"/>
        <w:rPr>
          <w:rFonts w:ascii="Arial" w:hAnsi="Arial" w:eastAsia="Adobe 黑体 Std R" w:cs="Arial"/>
        </w:rPr>
      </w:pPr>
      <w:bookmarkStart w:id="7" w:name="_Toc10280"/>
      <w:bookmarkStart w:id="8" w:name="_Toc19993"/>
      <w:bookmarkStart w:id="9" w:name="_Toc10508"/>
      <w:bookmarkStart w:id="10" w:name="_Toc5520"/>
      <w:bookmarkStart w:id="11" w:name="_Toc26689"/>
      <w:bookmarkStart w:id="12" w:name="_Toc15698"/>
      <w:bookmarkStart w:id="13" w:name="_Toc15892"/>
      <w:r>
        <w:rPr>
          <w:rFonts w:ascii="Arial" w:hAnsi="Arial" w:eastAsia="Adobe 黑体 Std R" w:cs="Arial"/>
        </w:rPr>
        <w:t>北京康正宏基房地产评估有限公司</w:t>
      </w:r>
      <w:bookmarkEnd w:id="7"/>
      <w:bookmarkEnd w:id="8"/>
      <w:bookmarkEnd w:id="9"/>
      <w:bookmarkEnd w:id="10"/>
      <w:bookmarkEnd w:id="11"/>
      <w:bookmarkEnd w:id="12"/>
      <w:bookmarkEnd w:id="13"/>
    </w:p>
    <w:p>
      <w:pPr>
        <w:spacing w:line="280" w:lineRule="exact"/>
        <w:jc w:val="center"/>
        <w:rPr>
          <w:rFonts w:ascii="Arial" w:hAnsi="Arial" w:eastAsia="Adobe 黑体 Std R" w:cs="Arial"/>
        </w:rPr>
      </w:pPr>
    </w:p>
    <w:p>
      <w:pPr>
        <w:spacing w:line="280" w:lineRule="exact"/>
        <w:jc w:val="center"/>
        <w:rPr>
          <w:rFonts w:ascii="Arial" w:hAnsi="Arial" w:eastAsia="Adobe 黑体 Std R" w:cs="Arial"/>
        </w:rPr>
      </w:pPr>
    </w:p>
    <w:p>
      <w:pPr>
        <w:spacing w:line="280" w:lineRule="exact"/>
        <w:jc w:val="center"/>
        <w:rPr>
          <w:rFonts w:ascii="Arial" w:hAnsi="Arial" w:eastAsia="Adobe 黑体 Std R" w:cs="Arial"/>
        </w:rPr>
      </w:pPr>
    </w:p>
    <w:p>
      <w:pPr>
        <w:spacing w:line="280" w:lineRule="exact"/>
        <w:jc w:val="center"/>
        <w:rPr>
          <w:rFonts w:ascii="Arial" w:hAnsi="Arial" w:eastAsia="Adobe 黑体 Std R" w:cs="Arial"/>
        </w:rPr>
      </w:pPr>
      <w:r>
        <w:rPr>
          <w:rFonts w:ascii="Arial" w:hAnsi="Arial" w:eastAsia="Adobe 黑体 Std R" w:cs="Arial"/>
        </w:rPr>
        <w:t>202</w:t>
      </w:r>
      <w:r>
        <w:rPr>
          <w:rFonts w:hint="eastAsia" w:ascii="Arial" w:hAnsi="Arial" w:eastAsia="Adobe 黑体 Std R" w:cs="Arial"/>
        </w:rPr>
        <w:t>3</w:t>
      </w:r>
      <w:r>
        <w:rPr>
          <w:rFonts w:ascii="Arial" w:hAnsi="Arial" w:eastAsia="Adobe 黑体 Std R" w:cs="Arial"/>
        </w:rPr>
        <w:t>年</w:t>
      </w:r>
      <w:r>
        <w:rPr>
          <w:rFonts w:hint="eastAsia" w:ascii="Arial" w:hAnsi="Arial" w:eastAsia="Adobe 黑体 Std R" w:cs="Arial"/>
        </w:rPr>
        <w:t>8</w:t>
      </w:r>
      <w:r>
        <w:rPr>
          <w:rFonts w:ascii="Arial" w:hAnsi="Arial" w:eastAsia="Adobe 黑体 Std R" w:cs="Arial"/>
        </w:rPr>
        <w:t>月</w:t>
      </w:r>
    </w:p>
    <w:p>
      <w:pPr>
        <w:spacing w:line="280" w:lineRule="exact"/>
        <w:jc w:val="center"/>
        <w:rPr>
          <w:rFonts w:ascii="Arial" w:hAnsi="Arial" w:cs="Arial"/>
          <w:color w:val="000000"/>
          <w:sz w:val="30"/>
        </w:rPr>
      </w:pPr>
    </w:p>
    <w:p>
      <w:pPr>
        <w:spacing w:line="280" w:lineRule="exact"/>
        <w:jc w:val="center"/>
        <w:rPr>
          <w:rFonts w:ascii="Arial" w:hAnsi="Arial" w:eastAsia="Adobe 黑体 Std R" w:cs="Arial"/>
          <w:bCs/>
          <w:snapToGrid w:val="0"/>
        </w:rPr>
      </w:pPr>
      <w:r>
        <w:rPr>
          <w:rFonts w:ascii="Arial" w:hAnsi="Arial" w:eastAsia="Adobe 黑体 Std R" w:cs="Arial"/>
          <w:bCs/>
          <w:snapToGrid w:val="0"/>
        </w:rPr>
        <w:t>康正评字2023-1-0570-F01KXYJ5号</w:t>
      </w:r>
    </w:p>
    <w:p>
      <w:pPr>
        <w:spacing w:before="240" w:line="312" w:lineRule="auto"/>
        <w:ind w:firstLine="600"/>
        <w:rPr>
          <w:rFonts w:ascii="Arial" w:hAnsi="Arial" w:cs="Arial"/>
          <w:color w:val="000000"/>
          <w:sz w:val="30"/>
        </w:rPr>
      </w:pPr>
    </w:p>
    <w:p>
      <w:pPr>
        <w:spacing w:before="240" w:line="312" w:lineRule="auto"/>
        <w:ind w:firstLine="600"/>
        <w:rPr>
          <w:rFonts w:ascii="Arial" w:hAnsi="Arial" w:cs="Arial"/>
          <w:color w:val="000000"/>
          <w:szCs w:val="21"/>
        </w:rPr>
      </w:pPr>
    </w:p>
    <w:p>
      <w:pPr>
        <w:spacing w:before="240" w:line="312" w:lineRule="auto"/>
        <w:ind w:firstLine="600"/>
        <w:rPr>
          <w:rFonts w:ascii="Arial" w:hAnsi="Arial" w:cs="Arial"/>
          <w:color w:val="000000"/>
          <w:szCs w:val="21"/>
        </w:rPr>
      </w:pPr>
    </w:p>
    <w:p>
      <w:pPr>
        <w:spacing w:line="280" w:lineRule="exact"/>
        <w:jc w:val="center"/>
        <w:rPr>
          <w:rFonts w:hint="eastAsia" w:ascii="Arial" w:hAnsi="Arial" w:eastAsia="Adobe 黑体 Std R" w:cs="Arial"/>
          <w:bCs/>
          <w:snapToGrid w:val="0"/>
        </w:rPr>
      </w:pPr>
    </w:p>
    <w:p>
      <w:pPr>
        <w:spacing w:line="280" w:lineRule="exact"/>
        <w:jc w:val="center"/>
        <w:rPr>
          <w:rFonts w:hint="eastAsia" w:ascii="Arial" w:hAnsi="Arial" w:eastAsia="Adobe 黑体 Std R" w:cs="Arial"/>
          <w:bCs/>
          <w:snapToGrid w:val="0"/>
        </w:rPr>
      </w:pPr>
    </w:p>
    <w:p>
      <w:pPr>
        <w:spacing w:line="280" w:lineRule="exact"/>
        <w:jc w:val="center"/>
        <w:rPr>
          <w:rFonts w:hint="eastAsia" w:ascii="Arial" w:hAnsi="Arial" w:eastAsia="Adobe 黑体 Std R" w:cs="Arial"/>
          <w:bCs/>
          <w:snapToGrid w:val="0"/>
        </w:rPr>
      </w:pPr>
    </w:p>
    <w:p>
      <w:pPr>
        <w:spacing w:line="280" w:lineRule="exact"/>
        <w:jc w:val="center"/>
        <w:rPr>
          <w:rFonts w:hint="eastAsia" w:ascii="Arial" w:hAnsi="Arial" w:eastAsia="Adobe 黑体 Std R" w:cs="Arial"/>
          <w:bCs/>
          <w:snapToGrid w:val="0"/>
        </w:rPr>
      </w:pPr>
    </w:p>
    <w:p>
      <w:pPr>
        <w:spacing w:before="240" w:line="312" w:lineRule="auto"/>
        <w:ind w:firstLine="600"/>
        <w:rPr>
          <w:rFonts w:hint="eastAsia" w:ascii="Arial" w:hAnsi="Arial" w:cs="Arial"/>
          <w:color w:val="000000"/>
          <w:szCs w:val="21"/>
        </w:rPr>
      </w:pPr>
      <w:r>
        <w:rPr>
          <w:rFonts w:hint="eastAsia" w:ascii="Arial" w:hAnsi="Arial" w:cs="Arial"/>
          <w:color w:val="000000"/>
          <w:szCs w:val="21"/>
        </w:rPr>
        <w:t>报告编制单位:北京康正宏基房地产评估有限公司</w:t>
      </w:r>
    </w:p>
    <w:p>
      <w:pPr>
        <w:spacing w:before="240" w:line="312" w:lineRule="auto"/>
        <w:ind w:firstLine="600"/>
        <w:rPr>
          <w:rFonts w:hint="eastAsia" w:ascii="Arial" w:hAnsi="Arial" w:cs="Arial"/>
          <w:color w:val="000000"/>
          <w:szCs w:val="21"/>
        </w:rPr>
      </w:pPr>
    </w:p>
    <w:p>
      <w:pPr>
        <w:spacing w:before="240" w:line="312" w:lineRule="auto"/>
        <w:ind w:firstLine="600"/>
        <w:rPr>
          <w:rFonts w:hint="eastAsia" w:ascii="Arial" w:hAnsi="Arial" w:cs="Arial"/>
          <w:color w:val="000000"/>
          <w:szCs w:val="21"/>
        </w:rPr>
      </w:pPr>
      <w:r>
        <w:rPr>
          <w:rFonts w:hint="eastAsia" w:ascii="Arial" w:hAnsi="Arial" w:cs="Arial"/>
          <w:color w:val="000000"/>
          <w:szCs w:val="21"/>
        </w:rPr>
        <w:t xml:space="preserve"> </w:t>
      </w:r>
    </w:p>
    <w:p>
      <w:pPr>
        <w:spacing w:before="240" w:line="312" w:lineRule="auto"/>
        <w:ind w:firstLine="600"/>
        <w:rPr>
          <w:rFonts w:hint="eastAsia" w:ascii="Arial" w:hAnsi="Arial" w:cs="Arial"/>
          <w:color w:val="000000"/>
          <w:szCs w:val="21"/>
        </w:rPr>
      </w:pPr>
      <w:r>
        <w:rPr>
          <w:rFonts w:hint="eastAsia" w:ascii="Arial" w:hAnsi="Arial" w:cs="Arial"/>
          <w:color w:val="000000"/>
          <w:szCs w:val="21"/>
        </w:rPr>
        <w:t>法</w:t>
      </w:r>
      <w:r>
        <w:rPr>
          <w:rFonts w:hint="eastAsia" w:ascii="Arial" w:hAnsi="Arial" w:cs="Arial"/>
          <w:color w:val="000000"/>
          <w:szCs w:val="21"/>
          <w:lang w:val="en-US" w:eastAsia="zh-CN"/>
        </w:rPr>
        <w:t>定</w:t>
      </w:r>
      <w:r>
        <w:rPr>
          <w:rFonts w:hint="eastAsia" w:ascii="Arial" w:hAnsi="Arial" w:cs="Arial"/>
          <w:color w:val="000000"/>
          <w:szCs w:val="21"/>
        </w:rPr>
        <w:t xml:space="preserve">代表:     齐   宏       </w:t>
      </w:r>
      <w:r>
        <w:rPr>
          <w:rFonts w:hint="eastAsia" w:ascii="Arial" w:hAnsi="Arial" w:cs="Arial"/>
          <w:color w:val="000000"/>
          <w:szCs w:val="21"/>
          <w:lang w:val="en-US" w:eastAsia="zh-CN"/>
        </w:rPr>
        <w:t xml:space="preserve">   </w:t>
      </w:r>
      <w:r>
        <w:rPr>
          <w:rFonts w:hint="eastAsia" w:ascii="Arial" w:hAnsi="Arial" w:cs="Arial"/>
          <w:color w:val="000000"/>
          <w:szCs w:val="21"/>
        </w:rPr>
        <w:t>高级经济师</w:t>
      </w:r>
    </w:p>
    <w:p>
      <w:pPr>
        <w:spacing w:before="240" w:line="312" w:lineRule="auto"/>
        <w:ind w:firstLine="4320" w:firstLineChars="1800"/>
        <w:rPr>
          <w:rFonts w:hint="eastAsia" w:ascii="Arial" w:hAnsi="Arial" w:cs="Arial"/>
          <w:color w:val="000000"/>
          <w:szCs w:val="21"/>
        </w:rPr>
      </w:pPr>
      <w:r>
        <w:rPr>
          <w:rFonts w:hint="eastAsia" w:ascii="Arial" w:hAnsi="Arial" w:cs="Arial"/>
          <w:color w:val="000000"/>
          <w:szCs w:val="21"/>
        </w:rPr>
        <w:t>注册房地产估价师</w:t>
      </w:r>
    </w:p>
    <w:p>
      <w:pPr>
        <w:spacing w:before="240" w:line="312" w:lineRule="auto"/>
        <w:ind w:firstLine="600"/>
        <w:rPr>
          <w:rFonts w:hint="eastAsia" w:ascii="Arial" w:hAnsi="Arial" w:cs="Arial"/>
          <w:color w:val="000000"/>
          <w:szCs w:val="21"/>
        </w:rPr>
      </w:pPr>
    </w:p>
    <w:p>
      <w:pPr>
        <w:spacing w:before="240" w:line="312" w:lineRule="auto"/>
        <w:ind w:firstLine="600"/>
        <w:rPr>
          <w:rFonts w:hint="eastAsia" w:ascii="Arial" w:hAnsi="Arial" w:cs="Arial"/>
          <w:color w:val="000000"/>
          <w:szCs w:val="21"/>
        </w:rPr>
      </w:pPr>
      <w:r>
        <w:rPr>
          <w:rFonts w:hint="eastAsia" w:ascii="Arial" w:hAnsi="Arial" w:cs="Arial"/>
          <w:color w:val="000000"/>
          <w:szCs w:val="21"/>
        </w:rPr>
        <w:t xml:space="preserve">项目负责人:   刘俊财       </w:t>
      </w:r>
      <w:r>
        <w:rPr>
          <w:rFonts w:hint="eastAsia" w:ascii="Arial" w:hAnsi="Arial" w:cs="Arial"/>
          <w:color w:val="000000"/>
          <w:szCs w:val="21"/>
          <w:lang w:val="en-US" w:eastAsia="zh-CN"/>
        </w:rPr>
        <w:t xml:space="preserve">    注册</w:t>
      </w:r>
      <w:r>
        <w:rPr>
          <w:rFonts w:hint="eastAsia" w:ascii="Arial" w:hAnsi="Arial" w:cs="Arial"/>
          <w:color w:val="000000"/>
          <w:szCs w:val="21"/>
        </w:rPr>
        <w:t>房地产估价师</w:t>
      </w:r>
    </w:p>
    <w:p>
      <w:pPr>
        <w:spacing w:before="240" w:line="312" w:lineRule="auto"/>
        <w:ind w:firstLine="4320" w:firstLineChars="1800"/>
        <w:outlineLvl w:val="0"/>
        <w:rPr>
          <w:rFonts w:hint="eastAsia" w:ascii="Arial" w:hAnsi="Arial" w:cs="Arial"/>
          <w:color w:val="000000"/>
          <w:szCs w:val="21"/>
        </w:rPr>
      </w:pPr>
      <w:bookmarkStart w:id="14" w:name="_Toc3383"/>
      <w:bookmarkStart w:id="15" w:name="_Toc11616"/>
      <w:r>
        <w:rPr>
          <w:rFonts w:hint="eastAsia" w:ascii="Arial" w:hAnsi="Arial" w:cs="Arial"/>
          <w:color w:val="000000"/>
          <w:szCs w:val="21"/>
          <w:lang w:val="en-US" w:eastAsia="zh-CN"/>
        </w:rPr>
        <w:t>注册</w:t>
      </w:r>
      <w:r>
        <w:rPr>
          <w:rFonts w:hint="eastAsia" w:ascii="Arial" w:hAnsi="Arial" w:cs="Arial"/>
          <w:color w:val="000000"/>
          <w:szCs w:val="21"/>
        </w:rPr>
        <w:t>土地估价师</w:t>
      </w:r>
      <w:bookmarkEnd w:id="14"/>
      <w:bookmarkEnd w:id="15"/>
    </w:p>
    <w:p>
      <w:pPr>
        <w:spacing w:before="240" w:line="312" w:lineRule="auto"/>
        <w:ind w:firstLine="600"/>
        <w:rPr>
          <w:rFonts w:hint="eastAsia" w:ascii="Arial" w:hAnsi="Arial" w:cs="Arial"/>
          <w:color w:val="000000"/>
          <w:szCs w:val="21"/>
        </w:rPr>
      </w:pPr>
    </w:p>
    <w:p>
      <w:pPr>
        <w:spacing w:before="240" w:line="312" w:lineRule="auto"/>
        <w:ind w:firstLine="600"/>
        <w:rPr>
          <w:rFonts w:hint="eastAsia" w:ascii="Arial" w:hAnsi="Arial" w:cs="Arial"/>
          <w:color w:val="000000"/>
          <w:szCs w:val="21"/>
        </w:rPr>
      </w:pPr>
    </w:p>
    <w:p>
      <w:pPr>
        <w:spacing w:before="240" w:line="312" w:lineRule="auto"/>
        <w:ind w:firstLine="600"/>
        <w:rPr>
          <w:rFonts w:hint="eastAsia" w:ascii="Arial" w:hAnsi="Arial" w:cs="Arial"/>
          <w:color w:val="000000"/>
          <w:szCs w:val="21"/>
        </w:rPr>
      </w:pPr>
      <w:r>
        <w:rPr>
          <w:rFonts w:hint="eastAsia" w:ascii="Arial" w:hAnsi="Arial" w:cs="Arial"/>
          <w:color w:val="000000"/>
          <w:szCs w:val="21"/>
        </w:rPr>
        <w:t xml:space="preserve">项目参加人员:  李磊    朱莉     李贺鹏    门麒 </w:t>
      </w:r>
      <w:r>
        <w:rPr>
          <w:rFonts w:hint="eastAsia" w:ascii="Arial" w:hAnsi="Arial" w:cs="Arial"/>
          <w:color w:val="000000"/>
          <w:szCs w:val="21"/>
          <w:lang w:val="en-US" w:eastAsia="zh-CN"/>
        </w:rPr>
        <w:t xml:space="preserve"> </w:t>
      </w:r>
      <w:r>
        <w:rPr>
          <w:rFonts w:hint="eastAsia" w:ascii="Arial" w:hAnsi="Arial" w:cs="Arial"/>
          <w:color w:val="000000"/>
          <w:szCs w:val="21"/>
        </w:rPr>
        <w:t xml:space="preserve"> 刘运韬  等 </w:t>
      </w:r>
    </w:p>
    <w:p>
      <w:pPr>
        <w:spacing w:before="240" w:line="480" w:lineRule="auto"/>
        <w:ind w:firstLine="2400" w:firstLineChars="1000"/>
        <w:rPr>
          <w:rFonts w:ascii="Arial" w:hAnsi="Arial" w:cs="Arial"/>
          <w:color w:val="000000"/>
          <w:szCs w:val="21"/>
        </w:rPr>
      </w:pPr>
      <w:r>
        <w:rPr>
          <w:rFonts w:hint="eastAsia" w:ascii="Arial" w:hAnsi="Arial" w:cs="Arial"/>
          <w:color w:val="000000"/>
          <w:szCs w:val="21"/>
        </w:rPr>
        <w:t xml:space="preserve"> </w:t>
      </w:r>
    </w:p>
    <w:p>
      <w:pPr>
        <w:spacing w:line="480" w:lineRule="auto"/>
        <w:rPr>
          <w:rFonts w:ascii="Arial" w:hAnsi="Arial" w:cs="Arial"/>
          <w:color w:val="000000"/>
          <w:szCs w:val="21"/>
        </w:rPr>
      </w:pPr>
      <w:r>
        <w:rPr>
          <w:rFonts w:hint="eastAsia" w:ascii="Arial" w:hAnsi="Arial" w:cs="Arial"/>
          <w:color w:val="000000"/>
          <w:szCs w:val="21"/>
        </w:rPr>
        <w:t xml:space="preserve">                      </w:t>
      </w:r>
      <w:r>
        <w:rPr>
          <w:rFonts w:ascii="Arial" w:hAnsi="Arial" w:cs="Arial"/>
          <w:color w:val="000000"/>
          <w:szCs w:val="21"/>
        </w:rPr>
        <w:t xml:space="preserve">   </w:t>
      </w:r>
    </w:p>
    <w:p>
      <w:pPr>
        <w:spacing w:line="480" w:lineRule="auto"/>
        <w:ind w:firstLine="432" w:firstLineChars="180"/>
        <w:rPr>
          <w:rFonts w:ascii="Arial" w:hAnsi="Arial" w:cs="Arial"/>
          <w:color w:val="000000"/>
          <w:szCs w:val="21"/>
        </w:rPr>
      </w:pPr>
    </w:p>
    <w:p>
      <w:pPr>
        <w:spacing w:line="480" w:lineRule="auto"/>
        <w:ind w:firstLine="432" w:firstLineChars="180"/>
        <w:rPr>
          <w:rFonts w:ascii="Arial" w:hAnsi="Arial" w:cs="Arial"/>
          <w:color w:val="000000"/>
          <w:szCs w:val="21"/>
        </w:rPr>
      </w:pPr>
    </w:p>
    <w:p>
      <w:pPr>
        <w:spacing w:line="480" w:lineRule="auto"/>
        <w:ind w:firstLine="432" w:firstLineChars="180"/>
        <w:rPr>
          <w:rFonts w:ascii="Arial" w:hAnsi="Arial" w:cs="Arial"/>
          <w:color w:val="000000"/>
          <w:szCs w:val="21"/>
        </w:rPr>
      </w:pPr>
    </w:p>
    <w:p>
      <w:pPr>
        <w:spacing w:line="480" w:lineRule="auto"/>
        <w:ind w:firstLine="432" w:firstLineChars="180"/>
        <w:rPr>
          <w:rFonts w:ascii="Arial" w:hAnsi="Arial" w:cs="Arial"/>
          <w:color w:val="000000"/>
          <w:szCs w:val="21"/>
        </w:rPr>
      </w:pPr>
    </w:p>
    <w:p>
      <w:pPr>
        <w:pStyle w:val="8"/>
        <w:sectPr>
          <w:headerReference r:id="rId4" w:type="first"/>
          <w:footerReference r:id="rId6" w:type="first"/>
          <w:headerReference r:id="rId3" w:type="default"/>
          <w:footerReference r:id="rId5" w:type="default"/>
          <w:pgSz w:w="11906" w:h="16838"/>
          <w:pgMar w:top="1843" w:right="1304" w:bottom="1134" w:left="1304" w:header="1134" w:footer="907" w:gutter="0"/>
          <w:pgBorders>
            <w:top w:val="none" w:sz="0" w:space="0"/>
            <w:left w:val="none" w:sz="0" w:space="0"/>
            <w:bottom w:val="none" w:sz="0" w:space="0"/>
            <w:right w:val="none" w:sz="0" w:space="0"/>
          </w:pgBorders>
          <w:cols w:space="425" w:num="1"/>
          <w:titlePg/>
          <w:docGrid w:linePitch="312" w:charSpace="0"/>
        </w:sectPr>
      </w:pPr>
      <w:bookmarkStart w:id="16" w:name="_Toc118794435"/>
      <w:bookmarkStart w:id="17" w:name="_Toc118513505"/>
      <w:bookmarkStart w:id="18" w:name="_Toc118196874"/>
      <w:bookmarkStart w:id="19" w:name="_Toc118196995"/>
    </w:p>
    <w:bookmarkEnd w:id="16"/>
    <w:bookmarkEnd w:id="17"/>
    <w:bookmarkEnd w:id="18"/>
    <w:bookmarkEnd w:id="19"/>
    <w:p/>
    <w:sdt>
      <w:sdtPr>
        <w:rPr>
          <w:rFonts w:ascii="宋体" w:hAnsi="宋体" w:eastAsia="宋体" w:cs="宋体"/>
          <w:b/>
          <w:bCs/>
          <w:sz w:val="36"/>
          <w:szCs w:val="36"/>
          <w:lang w:val="en-US" w:eastAsia="zh-CN" w:bidi="ar-SA"/>
        </w:rPr>
        <w:id w:val="147453202"/>
        <w15:color w:val="DBDBDB"/>
        <w:docPartObj>
          <w:docPartGallery w:val="Table of Contents"/>
          <w:docPartUnique/>
        </w:docPartObj>
      </w:sdtPr>
      <w:sdtEndPr>
        <w:rPr>
          <w:rFonts w:ascii="Arial" w:hAnsi="Arial" w:eastAsia="宋体" w:cs="Arial"/>
          <w:b/>
          <w:bCs/>
          <w:sz w:val="24"/>
          <w:szCs w:val="36"/>
          <w:lang w:val="en-US" w:eastAsia="zh-CN" w:bidi="ar-SA"/>
        </w:rPr>
      </w:sdtEndPr>
      <w:sdtContent>
        <w:p>
          <w:pPr>
            <w:spacing w:before="0" w:beforeLines="0" w:after="0" w:afterLines="0" w:line="240" w:lineRule="auto"/>
            <w:ind w:left="0" w:leftChars="0" w:right="0" w:rightChars="0" w:firstLine="0" w:firstLineChars="0"/>
            <w:jc w:val="center"/>
            <w:rPr>
              <w:b/>
              <w:bCs/>
              <w:sz w:val="36"/>
              <w:szCs w:val="36"/>
            </w:rPr>
          </w:pPr>
          <w:r>
            <w:rPr>
              <w:rFonts w:ascii="宋体" w:hAnsi="宋体" w:eastAsia="宋体"/>
              <w:b/>
              <w:bCs/>
              <w:sz w:val="36"/>
              <w:szCs w:val="36"/>
            </w:rPr>
            <w:t>目</w:t>
          </w:r>
          <w:r>
            <w:rPr>
              <w:rFonts w:hint="eastAsia"/>
              <w:b/>
              <w:bCs/>
              <w:sz w:val="36"/>
              <w:szCs w:val="36"/>
              <w:lang w:val="en-US" w:eastAsia="zh-CN"/>
            </w:rPr>
            <w:t xml:space="preserve">  </w:t>
          </w:r>
          <w:r>
            <w:rPr>
              <w:rFonts w:ascii="宋体" w:hAnsi="宋体" w:eastAsia="宋体"/>
              <w:b/>
              <w:bCs/>
              <w:sz w:val="36"/>
              <w:szCs w:val="36"/>
            </w:rPr>
            <w:t>录</w:t>
          </w:r>
          <w:bookmarkStart w:id="215" w:name="_GoBack"/>
          <w:bookmarkEnd w:id="215"/>
        </w:p>
        <w:p>
          <w:pPr>
            <w:pStyle w:val="14"/>
            <w:tabs>
              <w:tab w:val="right" w:leader="dot" w:pos="9298"/>
            </w:tabs>
            <w:rPr>
              <w:b/>
            </w:rPr>
          </w:pPr>
          <w:r>
            <w:rPr>
              <w:rFonts w:ascii="Arial" w:hAnsi="Arial" w:cs="Arial"/>
              <w:b/>
              <w:bCs/>
              <w:sz w:val="36"/>
              <w:szCs w:val="36"/>
            </w:rPr>
            <w:fldChar w:fldCharType="begin"/>
          </w:r>
          <w:r>
            <w:rPr>
              <w:rFonts w:ascii="Arial" w:hAnsi="Arial" w:cs="Arial"/>
              <w:b/>
              <w:bCs/>
              <w:sz w:val="36"/>
              <w:szCs w:val="36"/>
            </w:rPr>
            <w:instrText xml:space="preserve">TOC \o "1-2" \h \u </w:instrText>
          </w:r>
          <w:r>
            <w:rPr>
              <w:rFonts w:ascii="Arial" w:hAnsi="Arial" w:cs="Arial"/>
              <w:b/>
              <w:bCs/>
              <w:sz w:val="36"/>
              <w:szCs w:val="36"/>
            </w:rPr>
            <w:fldChar w:fldCharType="separate"/>
          </w:r>
        </w:p>
        <w:p>
          <w:pPr>
            <w:pStyle w:val="14"/>
            <w:tabs>
              <w:tab w:val="right" w:leader="dot" w:pos="9298"/>
            </w:tabs>
            <w:rPr>
              <w:b/>
            </w:rPr>
          </w:pPr>
          <w:r>
            <w:rPr>
              <w:rFonts w:ascii="Arial" w:hAnsi="Arial" w:cs="Arial"/>
              <w:b/>
              <w:bCs/>
              <w:szCs w:val="36"/>
            </w:rPr>
            <w:fldChar w:fldCharType="begin"/>
          </w:r>
          <w:r>
            <w:rPr>
              <w:rFonts w:ascii="Arial" w:hAnsi="Arial" w:cs="Arial"/>
              <w:b/>
              <w:bCs/>
              <w:szCs w:val="36"/>
            </w:rPr>
            <w:instrText xml:space="preserve"> HYPERLINK \l _Toc2846 </w:instrText>
          </w:r>
          <w:r>
            <w:rPr>
              <w:rFonts w:ascii="Arial" w:hAnsi="Arial" w:cs="Arial"/>
              <w:b/>
              <w:bCs/>
              <w:szCs w:val="36"/>
            </w:rPr>
            <w:fldChar w:fldCharType="separate"/>
          </w:r>
          <w:r>
            <w:rPr>
              <w:rFonts w:ascii="Arial" w:hAnsi="Arial" w:eastAsia="方正黑体简体" w:cs="Arial"/>
              <w:b/>
              <w:bCs/>
              <w:szCs w:val="32"/>
            </w:rPr>
            <w:t>〔内容提要〕</w:t>
          </w:r>
          <w:r>
            <w:rPr>
              <w:b/>
            </w:rPr>
            <w:tab/>
          </w:r>
          <w:r>
            <w:rPr>
              <w:b/>
            </w:rPr>
            <w:fldChar w:fldCharType="begin"/>
          </w:r>
          <w:r>
            <w:rPr>
              <w:b/>
            </w:rPr>
            <w:instrText xml:space="preserve"> PAGEREF _Toc2846 \h </w:instrText>
          </w:r>
          <w:r>
            <w:rPr>
              <w:b/>
            </w:rPr>
            <w:fldChar w:fldCharType="separate"/>
          </w:r>
          <w:r>
            <w:rPr>
              <w:b/>
            </w:rPr>
            <w:t>2</w:t>
          </w:r>
          <w:r>
            <w:rPr>
              <w:b/>
            </w:rPr>
            <w:fldChar w:fldCharType="end"/>
          </w:r>
          <w:r>
            <w:rPr>
              <w:rFonts w:ascii="Arial" w:hAnsi="Arial" w:cs="Arial"/>
              <w:b/>
              <w:bCs/>
              <w:szCs w:val="36"/>
            </w:rPr>
            <w:fldChar w:fldCharType="end"/>
          </w:r>
        </w:p>
        <w:p>
          <w:pPr>
            <w:pStyle w:val="14"/>
            <w:tabs>
              <w:tab w:val="right" w:leader="dot" w:pos="9298"/>
            </w:tabs>
            <w:rPr>
              <w:b/>
            </w:rPr>
          </w:pPr>
          <w:r>
            <w:rPr>
              <w:rFonts w:ascii="Arial" w:hAnsi="Arial" w:cs="Arial"/>
              <w:b/>
              <w:bCs/>
              <w:szCs w:val="36"/>
            </w:rPr>
            <w:fldChar w:fldCharType="begin"/>
          </w:r>
          <w:r>
            <w:rPr>
              <w:rFonts w:ascii="Arial" w:hAnsi="Arial" w:cs="Arial"/>
              <w:b/>
              <w:bCs/>
              <w:szCs w:val="36"/>
            </w:rPr>
            <w:instrText xml:space="preserve"> HYPERLINK \l _Toc21387 </w:instrText>
          </w:r>
          <w:r>
            <w:rPr>
              <w:rFonts w:ascii="Arial" w:hAnsi="Arial" w:cs="Arial"/>
              <w:b/>
              <w:bCs/>
              <w:szCs w:val="36"/>
            </w:rPr>
            <w:fldChar w:fldCharType="separate"/>
          </w:r>
          <w:r>
            <w:rPr>
              <w:rFonts w:ascii="Arial" w:hAnsi="Arial" w:eastAsia="方正黑体简体" w:cs="Arial"/>
              <w:b/>
              <w:bCs/>
              <w:szCs w:val="32"/>
            </w:rPr>
            <w:t xml:space="preserve">第一章  </w:t>
          </w:r>
          <w:r>
            <w:rPr>
              <w:rFonts w:hint="eastAsia" w:ascii="Arial" w:hAnsi="Arial" w:eastAsia="方正黑体简体" w:cs="Arial"/>
              <w:b/>
              <w:bCs/>
              <w:szCs w:val="32"/>
            </w:rPr>
            <w:t>调查分析</w:t>
          </w:r>
          <w:r>
            <w:rPr>
              <w:rFonts w:ascii="Arial" w:hAnsi="Arial" w:eastAsia="方正黑体简体" w:cs="Arial"/>
              <w:b/>
              <w:bCs/>
              <w:szCs w:val="32"/>
            </w:rPr>
            <w:t>说明</w:t>
          </w:r>
          <w:r>
            <w:rPr>
              <w:b/>
            </w:rPr>
            <w:tab/>
          </w:r>
          <w:r>
            <w:rPr>
              <w:b/>
            </w:rPr>
            <w:fldChar w:fldCharType="begin"/>
          </w:r>
          <w:r>
            <w:rPr>
              <w:b/>
            </w:rPr>
            <w:instrText xml:space="preserve"> PAGEREF _Toc21387 \h </w:instrText>
          </w:r>
          <w:r>
            <w:rPr>
              <w:b/>
            </w:rPr>
            <w:fldChar w:fldCharType="separate"/>
          </w:r>
          <w:r>
            <w:rPr>
              <w:b/>
            </w:rPr>
            <w:t>4</w:t>
          </w:r>
          <w:r>
            <w:rPr>
              <w:b/>
            </w:rPr>
            <w:fldChar w:fldCharType="end"/>
          </w:r>
          <w:r>
            <w:rPr>
              <w:rFonts w:ascii="Arial" w:hAnsi="Arial" w:cs="Arial"/>
              <w:b/>
              <w:bCs/>
              <w:szCs w:val="36"/>
            </w:rPr>
            <w:fldChar w:fldCharType="end"/>
          </w:r>
        </w:p>
        <w:p>
          <w:pPr>
            <w:pStyle w:val="15"/>
            <w:tabs>
              <w:tab w:val="right" w:leader="dot" w:pos="9298"/>
            </w:tabs>
          </w:pPr>
          <w:r>
            <w:rPr>
              <w:rFonts w:ascii="Arial" w:hAnsi="Arial" w:cs="Arial"/>
              <w:bCs/>
              <w:szCs w:val="36"/>
            </w:rPr>
            <w:fldChar w:fldCharType="begin"/>
          </w:r>
          <w:r>
            <w:rPr>
              <w:rFonts w:ascii="Arial" w:hAnsi="Arial" w:cs="Arial"/>
              <w:bCs/>
              <w:szCs w:val="36"/>
            </w:rPr>
            <w:instrText xml:space="preserve"> HYPERLINK \l _Toc32567 </w:instrText>
          </w:r>
          <w:r>
            <w:rPr>
              <w:rFonts w:ascii="Arial" w:hAnsi="Arial" w:cs="Arial"/>
              <w:bCs/>
              <w:szCs w:val="36"/>
            </w:rPr>
            <w:fldChar w:fldCharType="separate"/>
          </w:r>
          <w:r>
            <w:rPr>
              <w:rFonts w:eastAsia="宋体" w:cs="Arial"/>
              <w:szCs w:val="21"/>
            </w:rPr>
            <w:t>一、委托单位</w:t>
          </w:r>
          <w:r>
            <w:rPr>
              <w:rFonts w:hint="eastAsia" w:eastAsia="宋体" w:cs="Arial"/>
              <w:szCs w:val="21"/>
            </w:rPr>
            <w:t>及建设单位</w:t>
          </w:r>
          <w:r>
            <w:tab/>
          </w:r>
          <w:r>
            <w:fldChar w:fldCharType="begin"/>
          </w:r>
          <w:r>
            <w:instrText xml:space="preserve"> PAGEREF _Toc32567 \h </w:instrText>
          </w:r>
          <w:r>
            <w:fldChar w:fldCharType="separate"/>
          </w:r>
          <w:r>
            <w:t>4</w:t>
          </w:r>
          <w:r>
            <w:fldChar w:fldCharType="end"/>
          </w:r>
          <w:r>
            <w:rPr>
              <w:rFonts w:ascii="Arial" w:hAnsi="Arial" w:cs="Arial"/>
              <w:bCs/>
              <w:szCs w:val="36"/>
            </w:rPr>
            <w:fldChar w:fldCharType="end"/>
          </w:r>
        </w:p>
        <w:p>
          <w:pPr>
            <w:pStyle w:val="15"/>
            <w:tabs>
              <w:tab w:val="right" w:leader="dot" w:pos="9298"/>
            </w:tabs>
          </w:pPr>
          <w:r>
            <w:rPr>
              <w:rFonts w:ascii="Arial" w:hAnsi="Arial" w:cs="Arial"/>
              <w:bCs/>
              <w:szCs w:val="36"/>
            </w:rPr>
            <w:fldChar w:fldCharType="begin"/>
          </w:r>
          <w:r>
            <w:rPr>
              <w:rFonts w:ascii="Arial" w:hAnsi="Arial" w:cs="Arial"/>
              <w:bCs/>
              <w:szCs w:val="36"/>
            </w:rPr>
            <w:instrText xml:space="preserve"> HYPERLINK \l _Toc29066 </w:instrText>
          </w:r>
          <w:r>
            <w:rPr>
              <w:rFonts w:ascii="Arial" w:hAnsi="Arial" w:cs="Arial"/>
              <w:bCs/>
              <w:szCs w:val="36"/>
            </w:rPr>
            <w:fldChar w:fldCharType="separate"/>
          </w:r>
          <w:r>
            <w:rPr>
              <w:rFonts w:eastAsia="宋体" w:cs="Arial"/>
              <w:szCs w:val="21"/>
            </w:rPr>
            <w:t>二、编制单位</w:t>
          </w:r>
          <w:r>
            <w:tab/>
          </w:r>
          <w:r>
            <w:fldChar w:fldCharType="begin"/>
          </w:r>
          <w:r>
            <w:instrText xml:space="preserve"> PAGEREF _Toc29066 \h </w:instrText>
          </w:r>
          <w:r>
            <w:fldChar w:fldCharType="separate"/>
          </w:r>
          <w:r>
            <w:t>4</w:t>
          </w:r>
          <w:r>
            <w:fldChar w:fldCharType="end"/>
          </w:r>
          <w:r>
            <w:rPr>
              <w:rFonts w:ascii="Arial" w:hAnsi="Arial" w:cs="Arial"/>
              <w:bCs/>
              <w:szCs w:val="36"/>
            </w:rPr>
            <w:fldChar w:fldCharType="end"/>
          </w:r>
        </w:p>
        <w:p>
          <w:pPr>
            <w:pStyle w:val="15"/>
            <w:tabs>
              <w:tab w:val="right" w:leader="dot" w:pos="9298"/>
            </w:tabs>
          </w:pPr>
          <w:r>
            <w:rPr>
              <w:rFonts w:ascii="Arial" w:hAnsi="Arial" w:cs="Arial"/>
              <w:bCs/>
              <w:szCs w:val="36"/>
            </w:rPr>
            <w:fldChar w:fldCharType="begin"/>
          </w:r>
          <w:r>
            <w:rPr>
              <w:rFonts w:ascii="Arial" w:hAnsi="Arial" w:cs="Arial"/>
              <w:bCs/>
              <w:szCs w:val="36"/>
            </w:rPr>
            <w:instrText xml:space="preserve"> HYPERLINK \l _Toc28159 </w:instrText>
          </w:r>
          <w:r>
            <w:rPr>
              <w:rFonts w:ascii="Arial" w:hAnsi="Arial" w:cs="Arial"/>
              <w:bCs/>
              <w:szCs w:val="36"/>
            </w:rPr>
            <w:fldChar w:fldCharType="separate"/>
          </w:r>
          <w:r>
            <w:rPr>
              <w:rFonts w:eastAsia="宋体" w:cs="Arial"/>
              <w:szCs w:val="21"/>
            </w:rPr>
            <w:t>三、编制目的</w:t>
          </w:r>
          <w:r>
            <w:tab/>
          </w:r>
          <w:r>
            <w:fldChar w:fldCharType="begin"/>
          </w:r>
          <w:r>
            <w:instrText xml:space="preserve"> PAGEREF _Toc28159 \h </w:instrText>
          </w:r>
          <w:r>
            <w:fldChar w:fldCharType="separate"/>
          </w:r>
          <w:r>
            <w:t>4</w:t>
          </w:r>
          <w:r>
            <w:fldChar w:fldCharType="end"/>
          </w:r>
          <w:r>
            <w:rPr>
              <w:rFonts w:ascii="Arial" w:hAnsi="Arial" w:cs="Arial"/>
              <w:bCs/>
              <w:szCs w:val="36"/>
            </w:rPr>
            <w:fldChar w:fldCharType="end"/>
          </w:r>
        </w:p>
        <w:p>
          <w:pPr>
            <w:pStyle w:val="15"/>
            <w:tabs>
              <w:tab w:val="right" w:leader="dot" w:pos="9298"/>
            </w:tabs>
          </w:pPr>
          <w:r>
            <w:rPr>
              <w:rFonts w:ascii="Arial" w:hAnsi="Arial" w:cs="Arial"/>
              <w:bCs/>
              <w:szCs w:val="36"/>
            </w:rPr>
            <w:fldChar w:fldCharType="begin"/>
          </w:r>
          <w:r>
            <w:rPr>
              <w:rFonts w:ascii="Arial" w:hAnsi="Arial" w:cs="Arial"/>
              <w:bCs/>
              <w:szCs w:val="36"/>
            </w:rPr>
            <w:instrText xml:space="preserve"> HYPERLINK \l _Toc9222 </w:instrText>
          </w:r>
          <w:r>
            <w:rPr>
              <w:rFonts w:ascii="Arial" w:hAnsi="Arial" w:cs="Arial"/>
              <w:bCs/>
              <w:szCs w:val="36"/>
            </w:rPr>
            <w:fldChar w:fldCharType="separate"/>
          </w:r>
          <w:r>
            <w:rPr>
              <w:rFonts w:eastAsia="宋体" w:cs="Arial"/>
              <w:szCs w:val="21"/>
            </w:rPr>
            <w:t>四、主要内容</w:t>
          </w:r>
          <w:r>
            <w:tab/>
          </w:r>
          <w:r>
            <w:fldChar w:fldCharType="begin"/>
          </w:r>
          <w:r>
            <w:instrText xml:space="preserve"> PAGEREF _Toc9222 \h </w:instrText>
          </w:r>
          <w:r>
            <w:fldChar w:fldCharType="separate"/>
          </w:r>
          <w:r>
            <w:t>4</w:t>
          </w:r>
          <w:r>
            <w:fldChar w:fldCharType="end"/>
          </w:r>
          <w:r>
            <w:rPr>
              <w:rFonts w:ascii="Arial" w:hAnsi="Arial" w:cs="Arial"/>
              <w:bCs/>
              <w:szCs w:val="36"/>
            </w:rPr>
            <w:fldChar w:fldCharType="end"/>
          </w:r>
        </w:p>
        <w:p>
          <w:pPr>
            <w:pStyle w:val="15"/>
            <w:tabs>
              <w:tab w:val="right" w:leader="dot" w:pos="9298"/>
            </w:tabs>
          </w:pPr>
          <w:r>
            <w:rPr>
              <w:rFonts w:ascii="Arial" w:hAnsi="Arial" w:cs="Arial"/>
              <w:bCs/>
              <w:szCs w:val="36"/>
            </w:rPr>
            <w:fldChar w:fldCharType="begin"/>
          </w:r>
          <w:r>
            <w:rPr>
              <w:rFonts w:ascii="Arial" w:hAnsi="Arial" w:cs="Arial"/>
              <w:bCs/>
              <w:szCs w:val="36"/>
            </w:rPr>
            <w:instrText xml:space="preserve"> HYPERLINK \l _Toc20140 </w:instrText>
          </w:r>
          <w:r>
            <w:rPr>
              <w:rFonts w:ascii="Arial" w:hAnsi="Arial" w:cs="Arial"/>
              <w:bCs/>
              <w:szCs w:val="36"/>
            </w:rPr>
            <w:fldChar w:fldCharType="separate"/>
          </w:r>
          <w:r>
            <w:rPr>
              <w:rFonts w:eastAsia="宋体" w:cs="Arial"/>
              <w:szCs w:val="21"/>
            </w:rPr>
            <w:t>五、编制日期</w:t>
          </w:r>
          <w:r>
            <w:tab/>
          </w:r>
          <w:r>
            <w:fldChar w:fldCharType="begin"/>
          </w:r>
          <w:r>
            <w:instrText xml:space="preserve"> PAGEREF _Toc20140 \h </w:instrText>
          </w:r>
          <w:r>
            <w:fldChar w:fldCharType="separate"/>
          </w:r>
          <w:r>
            <w:t>4</w:t>
          </w:r>
          <w:r>
            <w:fldChar w:fldCharType="end"/>
          </w:r>
          <w:r>
            <w:rPr>
              <w:rFonts w:ascii="Arial" w:hAnsi="Arial" w:cs="Arial"/>
              <w:bCs/>
              <w:szCs w:val="36"/>
            </w:rPr>
            <w:fldChar w:fldCharType="end"/>
          </w:r>
        </w:p>
        <w:p>
          <w:pPr>
            <w:pStyle w:val="15"/>
            <w:tabs>
              <w:tab w:val="right" w:leader="dot" w:pos="9298"/>
            </w:tabs>
          </w:pPr>
          <w:r>
            <w:rPr>
              <w:rFonts w:ascii="Arial" w:hAnsi="Arial" w:cs="Arial"/>
              <w:bCs/>
              <w:szCs w:val="36"/>
            </w:rPr>
            <w:fldChar w:fldCharType="begin"/>
          </w:r>
          <w:r>
            <w:rPr>
              <w:rFonts w:ascii="Arial" w:hAnsi="Arial" w:cs="Arial"/>
              <w:bCs/>
              <w:szCs w:val="36"/>
            </w:rPr>
            <w:instrText xml:space="preserve"> HYPERLINK \l _Toc15289 </w:instrText>
          </w:r>
          <w:r>
            <w:rPr>
              <w:rFonts w:ascii="Arial" w:hAnsi="Arial" w:cs="Arial"/>
              <w:bCs/>
              <w:szCs w:val="36"/>
            </w:rPr>
            <w:fldChar w:fldCharType="separate"/>
          </w:r>
          <w:r>
            <w:rPr>
              <w:rFonts w:eastAsia="宋体" w:cs="Arial"/>
              <w:szCs w:val="21"/>
            </w:rPr>
            <w:t>六、本报告编制依据和说明</w:t>
          </w:r>
          <w:r>
            <w:tab/>
          </w:r>
          <w:r>
            <w:fldChar w:fldCharType="begin"/>
          </w:r>
          <w:r>
            <w:instrText xml:space="preserve"> PAGEREF _Toc15289 \h </w:instrText>
          </w:r>
          <w:r>
            <w:fldChar w:fldCharType="separate"/>
          </w:r>
          <w:r>
            <w:t>4</w:t>
          </w:r>
          <w:r>
            <w:fldChar w:fldCharType="end"/>
          </w:r>
          <w:r>
            <w:rPr>
              <w:rFonts w:ascii="Arial" w:hAnsi="Arial" w:cs="Arial"/>
              <w:bCs/>
              <w:szCs w:val="36"/>
            </w:rPr>
            <w:fldChar w:fldCharType="end"/>
          </w:r>
        </w:p>
        <w:p>
          <w:pPr>
            <w:pStyle w:val="15"/>
            <w:tabs>
              <w:tab w:val="right" w:leader="dot" w:pos="9298"/>
            </w:tabs>
            <w:rPr>
              <w:b/>
            </w:rPr>
          </w:pPr>
          <w:r>
            <w:rPr>
              <w:rFonts w:ascii="Arial" w:hAnsi="Arial" w:cs="Arial"/>
              <w:bCs/>
              <w:szCs w:val="36"/>
            </w:rPr>
            <w:fldChar w:fldCharType="begin"/>
          </w:r>
          <w:r>
            <w:rPr>
              <w:rFonts w:ascii="Arial" w:hAnsi="Arial" w:cs="Arial"/>
              <w:bCs/>
              <w:szCs w:val="36"/>
            </w:rPr>
            <w:instrText xml:space="preserve"> HYPERLINK \l _Toc29702 </w:instrText>
          </w:r>
          <w:r>
            <w:rPr>
              <w:rFonts w:ascii="Arial" w:hAnsi="Arial" w:cs="Arial"/>
              <w:bCs/>
              <w:szCs w:val="36"/>
            </w:rPr>
            <w:fldChar w:fldCharType="separate"/>
          </w:r>
          <w:r>
            <w:rPr>
              <w:rFonts w:eastAsia="宋体" w:cs="Arial"/>
              <w:szCs w:val="21"/>
            </w:rPr>
            <w:t>七、本报告使用说明</w:t>
          </w:r>
          <w:r>
            <w:tab/>
          </w:r>
          <w:r>
            <w:fldChar w:fldCharType="begin"/>
          </w:r>
          <w:r>
            <w:instrText xml:space="preserve"> PAGEREF _Toc29702 \h </w:instrText>
          </w:r>
          <w:r>
            <w:fldChar w:fldCharType="separate"/>
          </w:r>
          <w:r>
            <w:t>5</w:t>
          </w:r>
          <w:r>
            <w:fldChar w:fldCharType="end"/>
          </w:r>
          <w:r>
            <w:rPr>
              <w:rFonts w:ascii="Arial" w:hAnsi="Arial" w:cs="Arial"/>
              <w:bCs/>
              <w:szCs w:val="36"/>
            </w:rPr>
            <w:fldChar w:fldCharType="end"/>
          </w:r>
        </w:p>
        <w:p>
          <w:pPr>
            <w:pStyle w:val="14"/>
            <w:tabs>
              <w:tab w:val="right" w:leader="dot" w:pos="9298"/>
            </w:tabs>
            <w:rPr>
              <w:b/>
            </w:rPr>
          </w:pPr>
          <w:r>
            <w:rPr>
              <w:rFonts w:ascii="Arial" w:hAnsi="Arial" w:cs="Arial"/>
              <w:b/>
              <w:bCs/>
              <w:szCs w:val="36"/>
            </w:rPr>
            <w:fldChar w:fldCharType="begin"/>
          </w:r>
          <w:r>
            <w:rPr>
              <w:rFonts w:ascii="Arial" w:hAnsi="Arial" w:cs="Arial"/>
              <w:b/>
              <w:bCs/>
              <w:szCs w:val="36"/>
            </w:rPr>
            <w:instrText xml:space="preserve"> HYPERLINK \l _Toc16772 </w:instrText>
          </w:r>
          <w:r>
            <w:rPr>
              <w:rFonts w:ascii="Arial" w:hAnsi="Arial" w:cs="Arial"/>
              <w:b/>
              <w:bCs/>
              <w:szCs w:val="36"/>
            </w:rPr>
            <w:fldChar w:fldCharType="separate"/>
          </w:r>
          <w:r>
            <w:rPr>
              <w:rFonts w:ascii="Arial" w:hAnsi="Arial" w:eastAsia="方正黑体简体" w:cs="Arial"/>
              <w:b/>
              <w:bCs/>
              <w:szCs w:val="32"/>
            </w:rPr>
            <w:t xml:space="preserve">第二章  </w:t>
          </w:r>
          <w:r>
            <w:rPr>
              <w:rFonts w:hint="eastAsia" w:ascii="Arial" w:hAnsi="Arial" w:eastAsia="方正黑体简体" w:cs="Arial"/>
              <w:b/>
              <w:bCs/>
              <w:szCs w:val="32"/>
            </w:rPr>
            <w:t>项目基本情况介绍</w:t>
          </w:r>
          <w:r>
            <w:rPr>
              <w:b/>
            </w:rPr>
            <w:tab/>
          </w:r>
          <w:r>
            <w:rPr>
              <w:b/>
            </w:rPr>
            <w:fldChar w:fldCharType="begin"/>
          </w:r>
          <w:r>
            <w:rPr>
              <w:b/>
            </w:rPr>
            <w:instrText xml:space="preserve"> PAGEREF _Toc16772 \h </w:instrText>
          </w:r>
          <w:r>
            <w:rPr>
              <w:b/>
            </w:rPr>
            <w:fldChar w:fldCharType="separate"/>
          </w:r>
          <w:r>
            <w:rPr>
              <w:b/>
            </w:rPr>
            <w:t>6</w:t>
          </w:r>
          <w:r>
            <w:rPr>
              <w:b/>
            </w:rPr>
            <w:fldChar w:fldCharType="end"/>
          </w:r>
          <w:r>
            <w:rPr>
              <w:rFonts w:ascii="Arial" w:hAnsi="Arial" w:cs="Arial"/>
              <w:b/>
              <w:bCs/>
              <w:szCs w:val="36"/>
            </w:rPr>
            <w:fldChar w:fldCharType="end"/>
          </w:r>
        </w:p>
        <w:p>
          <w:pPr>
            <w:pStyle w:val="15"/>
            <w:tabs>
              <w:tab w:val="right" w:leader="dot" w:pos="9298"/>
            </w:tabs>
          </w:pPr>
          <w:r>
            <w:rPr>
              <w:rFonts w:ascii="Arial" w:hAnsi="Arial" w:cs="Arial"/>
              <w:bCs/>
              <w:szCs w:val="36"/>
            </w:rPr>
            <w:fldChar w:fldCharType="begin"/>
          </w:r>
          <w:r>
            <w:rPr>
              <w:rFonts w:ascii="Arial" w:hAnsi="Arial" w:cs="Arial"/>
              <w:bCs/>
              <w:szCs w:val="36"/>
            </w:rPr>
            <w:instrText xml:space="preserve"> HYPERLINK \l _Toc16019 </w:instrText>
          </w:r>
          <w:r>
            <w:rPr>
              <w:rFonts w:ascii="Arial" w:hAnsi="Arial" w:cs="Arial"/>
              <w:bCs/>
              <w:szCs w:val="36"/>
            </w:rPr>
            <w:fldChar w:fldCharType="separate"/>
          </w:r>
          <w:r>
            <w:rPr>
              <w:rFonts w:hint="eastAsia" w:eastAsia="宋体" w:cs="Arial"/>
              <w:bCs/>
              <w:szCs w:val="21"/>
            </w:rPr>
            <w:t>一、</w:t>
          </w:r>
          <w:r>
            <w:rPr>
              <w:rFonts w:hint="eastAsia" w:ascii="Arial" w:hAnsi="Arial" w:cs="Arial"/>
              <w:bCs/>
              <w:szCs w:val="21"/>
            </w:rPr>
            <w:t>项目建设地点</w:t>
          </w:r>
          <w:r>
            <w:tab/>
          </w:r>
          <w:r>
            <w:fldChar w:fldCharType="begin"/>
          </w:r>
          <w:r>
            <w:instrText xml:space="preserve"> PAGEREF _Toc16019 \h </w:instrText>
          </w:r>
          <w:r>
            <w:fldChar w:fldCharType="separate"/>
          </w:r>
          <w:r>
            <w:t>6</w:t>
          </w:r>
          <w:r>
            <w:fldChar w:fldCharType="end"/>
          </w:r>
          <w:r>
            <w:rPr>
              <w:rFonts w:ascii="Arial" w:hAnsi="Arial" w:cs="Arial"/>
              <w:bCs/>
              <w:szCs w:val="36"/>
            </w:rPr>
            <w:fldChar w:fldCharType="end"/>
          </w:r>
        </w:p>
        <w:p>
          <w:pPr>
            <w:pStyle w:val="15"/>
            <w:tabs>
              <w:tab w:val="right" w:leader="dot" w:pos="9298"/>
            </w:tabs>
          </w:pPr>
          <w:r>
            <w:rPr>
              <w:rFonts w:ascii="Arial" w:hAnsi="Arial" w:cs="Arial"/>
              <w:bCs/>
              <w:szCs w:val="36"/>
            </w:rPr>
            <w:fldChar w:fldCharType="begin"/>
          </w:r>
          <w:r>
            <w:rPr>
              <w:rFonts w:ascii="Arial" w:hAnsi="Arial" w:cs="Arial"/>
              <w:bCs/>
              <w:szCs w:val="36"/>
            </w:rPr>
            <w:instrText xml:space="preserve"> HYPERLINK \l _Toc16198 </w:instrText>
          </w:r>
          <w:r>
            <w:rPr>
              <w:rFonts w:ascii="Arial" w:hAnsi="Arial" w:cs="Arial"/>
              <w:bCs/>
              <w:szCs w:val="36"/>
            </w:rPr>
            <w:fldChar w:fldCharType="separate"/>
          </w:r>
          <w:r>
            <w:rPr>
              <w:rFonts w:hint="eastAsia" w:eastAsia="宋体" w:cs="Arial"/>
              <w:szCs w:val="21"/>
            </w:rPr>
            <w:t>二、项目建设规模及现场情况</w:t>
          </w:r>
          <w:r>
            <w:tab/>
          </w:r>
          <w:r>
            <w:fldChar w:fldCharType="begin"/>
          </w:r>
          <w:r>
            <w:instrText xml:space="preserve"> PAGEREF _Toc16198 \h </w:instrText>
          </w:r>
          <w:r>
            <w:fldChar w:fldCharType="separate"/>
          </w:r>
          <w:r>
            <w:t>9</w:t>
          </w:r>
          <w:r>
            <w:fldChar w:fldCharType="end"/>
          </w:r>
          <w:r>
            <w:rPr>
              <w:rFonts w:ascii="Arial" w:hAnsi="Arial" w:cs="Arial"/>
              <w:bCs/>
              <w:szCs w:val="36"/>
            </w:rPr>
            <w:fldChar w:fldCharType="end"/>
          </w:r>
        </w:p>
        <w:p>
          <w:pPr>
            <w:pStyle w:val="15"/>
            <w:tabs>
              <w:tab w:val="right" w:leader="dot" w:pos="9298"/>
            </w:tabs>
          </w:pPr>
          <w:r>
            <w:rPr>
              <w:rFonts w:ascii="Arial" w:hAnsi="Arial" w:cs="Arial"/>
              <w:bCs/>
              <w:szCs w:val="36"/>
            </w:rPr>
            <w:fldChar w:fldCharType="begin"/>
          </w:r>
          <w:r>
            <w:rPr>
              <w:rFonts w:ascii="Arial" w:hAnsi="Arial" w:cs="Arial"/>
              <w:bCs/>
              <w:szCs w:val="36"/>
            </w:rPr>
            <w:instrText xml:space="preserve"> HYPERLINK \l _Toc27259 </w:instrText>
          </w:r>
          <w:r>
            <w:rPr>
              <w:rFonts w:ascii="Arial" w:hAnsi="Arial" w:cs="Arial"/>
              <w:bCs/>
              <w:szCs w:val="36"/>
            </w:rPr>
            <w:fldChar w:fldCharType="separate"/>
          </w:r>
          <w:r>
            <w:rPr>
              <w:rFonts w:hint="eastAsia" w:eastAsia="宋体" w:cs="Arial"/>
              <w:szCs w:val="21"/>
            </w:rPr>
            <w:t>三</w:t>
          </w:r>
          <w:r>
            <w:rPr>
              <w:rFonts w:eastAsia="宋体" w:cs="Arial"/>
              <w:szCs w:val="21"/>
            </w:rPr>
            <w:t>、项目工程建设</w:t>
          </w:r>
          <w:r>
            <w:rPr>
              <w:rFonts w:hint="eastAsia" w:eastAsia="宋体" w:cs="Arial"/>
              <w:szCs w:val="21"/>
              <w:lang w:val="en-US" w:eastAsia="zh-CN"/>
            </w:rPr>
            <w:t>进展</w:t>
          </w:r>
          <w:r>
            <w:tab/>
          </w:r>
          <w:r>
            <w:fldChar w:fldCharType="begin"/>
          </w:r>
          <w:r>
            <w:instrText xml:space="preserve"> PAGEREF _Toc27259 \h </w:instrText>
          </w:r>
          <w:r>
            <w:fldChar w:fldCharType="separate"/>
          </w:r>
          <w:r>
            <w:t>10</w:t>
          </w:r>
          <w:r>
            <w:fldChar w:fldCharType="end"/>
          </w:r>
          <w:r>
            <w:rPr>
              <w:rFonts w:ascii="Arial" w:hAnsi="Arial" w:cs="Arial"/>
              <w:bCs/>
              <w:szCs w:val="36"/>
            </w:rPr>
            <w:fldChar w:fldCharType="end"/>
          </w:r>
        </w:p>
        <w:p>
          <w:pPr>
            <w:pStyle w:val="14"/>
            <w:tabs>
              <w:tab w:val="right" w:leader="dot" w:pos="9298"/>
            </w:tabs>
            <w:rPr>
              <w:b/>
            </w:rPr>
          </w:pPr>
          <w:r>
            <w:rPr>
              <w:rFonts w:ascii="Arial" w:hAnsi="Arial" w:cs="Arial"/>
              <w:b/>
              <w:bCs/>
              <w:szCs w:val="36"/>
            </w:rPr>
            <w:fldChar w:fldCharType="begin"/>
          </w:r>
          <w:r>
            <w:rPr>
              <w:rFonts w:ascii="Arial" w:hAnsi="Arial" w:cs="Arial"/>
              <w:b/>
              <w:bCs/>
              <w:szCs w:val="36"/>
            </w:rPr>
            <w:instrText xml:space="preserve"> HYPERLINK \l _Toc25119 </w:instrText>
          </w:r>
          <w:r>
            <w:rPr>
              <w:rFonts w:ascii="Arial" w:hAnsi="Arial" w:cs="Arial"/>
              <w:b/>
              <w:bCs/>
              <w:szCs w:val="36"/>
            </w:rPr>
            <w:fldChar w:fldCharType="separate"/>
          </w:r>
          <w:r>
            <w:rPr>
              <w:rFonts w:ascii="Arial" w:hAnsi="Arial" w:eastAsia="方正黑体简体" w:cs="Arial"/>
              <w:b/>
              <w:bCs/>
              <w:szCs w:val="32"/>
            </w:rPr>
            <w:t xml:space="preserve">第三章  </w:t>
          </w:r>
          <w:r>
            <w:rPr>
              <w:rFonts w:hint="eastAsia" w:ascii="Arial" w:hAnsi="Arial" w:eastAsia="方正黑体简体" w:cs="Arial"/>
              <w:b/>
              <w:bCs/>
              <w:szCs w:val="32"/>
            </w:rPr>
            <w:t>区域</w:t>
          </w:r>
          <w:r>
            <w:rPr>
              <w:rFonts w:ascii="Arial" w:hAnsi="Arial" w:eastAsia="方正黑体简体" w:cs="Arial"/>
              <w:b/>
              <w:bCs/>
              <w:szCs w:val="32"/>
            </w:rPr>
            <w:t>市场</w:t>
          </w:r>
          <w:r>
            <w:rPr>
              <w:rFonts w:hint="eastAsia" w:ascii="Arial" w:hAnsi="Arial" w:eastAsia="方正黑体简体" w:cs="Arial"/>
              <w:b/>
              <w:bCs/>
              <w:szCs w:val="32"/>
            </w:rPr>
            <w:t>分析</w:t>
          </w:r>
          <w:r>
            <w:rPr>
              <w:b/>
            </w:rPr>
            <w:tab/>
          </w:r>
          <w:r>
            <w:rPr>
              <w:b/>
            </w:rPr>
            <w:fldChar w:fldCharType="begin"/>
          </w:r>
          <w:r>
            <w:rPr>
              <w:b/>
            </w:rPr>
            <w:instrText xml:space="preserve"> PAGEREF _Toc25119 \h </w:instrText>
          </w:r>
          <w:r>
            <w:rPr>
              <w:b/>
            </w:rPr>
            <w:fldChar w:fldCharType="separate"/>
          </w:r>
          <w:r>
            <w:rPr>
              <w:b/>
            </w:rPr>
            <w:t>11</w:t>
          </w:r>
          <w:r>
            <w:rPr>
              <w:b/>
            </w:rPr>
            <w:fldChar w:fldCharType="end"/>
          </w:r>
          <w:r>
            <w:rPr>
              <w:rFonts w:ascii="Arial" w:hAnsi="Arial" w:cs="Arial"/>
              <w:b/>
              <w:bCs/>
              <w:szCs w:val="36"/>
            </w:rPr>
            <w:fldChar w:fldCharType="end"/>
          </w:r>
        </w:p>
        <w:p>
          <w:pPr>
            <w:pStyle w:val="15"/>
            <w:tabs>
              <w:tab w:val="right" w:leader="dot" w:pos="9298"/>
            </w:tabs>
          </w:pPr>
          <w:r>
            <w:rPr>
              <w:rFonts w:ascii="Arial" w:hAnsi="Arial" w:cs="Arial"/>
              <w:bCs/>
              <w:szCs w:val="36"/>
            </w:rPr>
            <w:fldChar w:fldCharType="begin"/>
          </w:r>
          <w:r>
            <w:rPr>
              <w:rFonts w:ascii="Arial" w:hAnsi="Arial" w:cs="Arial"/>
              <w:bCs/>
              <w:szCs w:val="36"/>
            </w:rPr>
            <w:instrText xml:space="preserve"> HYPERLINK \l _Toc19414 </w:instrText>
          </w:r>
          <w:r>
            <w:rPr>
              <w:rFonts w:ascii="Arial" w:hAnsi="Arial" w:cs="Arial"/>
              <w:bCs/>
              <w:szCs w:val="36"/>
            </w:rPr>
            <w:fldChar w:fldCharType="separate"/>
          </w:r>
          <w:r>
            <w:rPr>
              <w:rFonts w:hint="eastAsia" w:eastAsia="宋体" w:cs="Arial"/>
              <w:szCs w:val="21"/>
            </w:rPr>
            <w:t>一、土地市场概况</w:t>
          </w:r>
          <w:r>
            <w:tab/>
          </w:r>
          <w:r>
            <w:fldChar w:fldCharType="begin"/>
          </w:r>
          <w:r>
            <w:instrText xml:space="preserve"> PAGEREF _Toc19414 \h </w:instrText>
          </w:r>
          <w:r>
            <w:fldChar w:fldCharType="separate"/>
          </w:r>
          <w:r>
            <w:t>11</w:t>
          </w:r>
          <w:r>
            <w:fldChar w:fldCharType="end"/>
          </w:r>
          <w:r>
            <w:rPr>
              <w:rFonts w:ascii="Arial" w:hAnsi="Arial" w:cs="Arial"/>
              <w:bCs/>
              <w:szCs w:val="36"/>
            </w:rPr>
            <w:fldChar w:fldCharType="end"/>
          </w:r>
        </w:p>
        <w:p>
          <w:pPr>
            <w:pStyle w:val="15"/>
            <w:tabs>
              <w:tab w:val="right" w:leader="dot" w:pos="9298"/>
            </w:tabs>
          </w:pPr>
          <w:r>
            <w:rPr>
              <w:rFonts w:ascii="Arial" w:hAnsi="Arial" w:cs="Arial"/>
              <w:bCs/>
              <w:szCs w:val="36"/>
            </w:rPr>
            <w:fldChar w:fldCharType="begin"/>
          </w:r>
          <w:r>
            <w:rPr>
              <w:rFonts w:ascii="Arial" w:hAnsi="Arial" w:cs="Arial"/>
              <w:bCs/>
              <w:szCs w:val="36"/>
            </w:rPr>
            <w:instrText xml:space="preserve"> HYPERLINK \l _Toc10105 </w:instrText>
          </w:r>
          <w:r>
            <w:rPr>
              <w:rFonts w:ascii="Arial" w:hAnsi="Arial" w:cs="Arial"/>
              <w:bCs/>
              <w:szCs w:val="36"/>
            </w:rPr>
            <w:fldChar w:fldCharType="separate"/>
          </w:r>
          <w:r>
            <w:rPr>
              <w:rFonts w:hint="eastAsia" w:eastAsia="宋体" w:cs="Arial"/>
              <w:szCs w:val="21"/>
            </w:rPr>
            <w:t>二、房地产政策</w:t>
          </w:r>
          <w:r>
            <w:tab/>
          </w:r>
          <w:r>
            <w:fldChar w:fldCharType="begin"/>
          </w:r>
          <w:r>
            <w:instrText xml:space="preserve"> PAGEREF _Toc10105 \h </w:instrText>
          </w:r>
          <w:r>
            <w:fldChar w:fldCharType="separate"/>
          </w:r>
          <w:r>
            <w:t>11</w:t>
          </w:r>
          <w:r>
            <w:fldChar w:fldCharType="end"/>
          </w:r>
          <w:r>
            <w:rPr>
              <w:rFonts w:ascii="Arial" w:hAnsi="Arial" w:cs="Arial"/>
              <w:bCs/>
              <w:szCs w:val="36"/>
            </w:rPr>
            <w:fldChar w:fldCharType="end"/>
          </w:r>
        </w:p>
        <w:p>
          <w:pPr>
            <w:pStyle w:val="14"/>
            <w:tabs>
              <w:tab w:val="right" w:leader="dot" w:pos="9298"/>
            </w:tabs>
            <w:rPr>
              <w:b/>
            </w:rPr>
          </w:pPr>
          <w:r>
            <w:rPr>
              <w:rFonts w:ascii="Arial" w:hAnsi="Arial" w:cs="Arial"/>
              <w:b/>
              <w:bCs/>
              <w:szCs w:val="36"/>
            </w:rPr>
            <w:fldChar w:fldCharType="begin"/>
          </w:r>
          <w:r>
            <w:rPr>
              <w:rFonts w:ascii="Arial" w:hAnsi="Arial" w:cs="Arial"/>
              <w:b/>
              <w:bCs/>
              <w:szCs w:val="36"/>
            </w:rPr>
            <w:instrText xml:space="preserve"> HYPERLINK \l _Toc27178 </w:instrText>
          </w:r>
          <w:r>
            <w:rPr>
              <w:rFonts w:ascii="Arial" w:hAnsi="Arial" w:cs="Arial"/>
              <w:b/>
              <w:bCs/>
              <w:szCs w:val="36"/>
            </w:rPr>
            <w:fldChar w:fldCharType="separate"/>
          </w:r>
          <w:r>
            <w:rPr>
              <w:rFonts w:ascii="Arial" w:hAnsi="Arial" w:eastAsia="方正黑体简体" w:cs="Arial"/>
              <w:b/>
              <w:bCs/>
              <w:szCs w:val="32"/>
            </w:rPr>
            <w:t xml:space="preserve">第四章  </w:t>
          </w:r>
          <w:r>
            <w:rPr>
              <w:rFonts w:hint="eastAsia" w:ascii="Arial" w:hAnsi="Arial" w:eastAsia="方正黑体简体" w:cs="Arial"/>
              <w:b/>
              <w:bCs/>
              <w:szCs w:val="32"/>
            </w:rPr>
            <w:t>合同核查分析</w:t>
          </w:r>
          <w:r>
            <w:rPr>
              <w:b/>
            </w:rPr>
            <w:tab/>
          </w:r>
          <w:r>
            <w:rPr>
              <w:b/>
            </w:rPr>
            <w:fldChar w:fldCharType="begin"/>
          </w:r>
          <w:r>
            <w:rPr>
              <w:b/>
            </w:rPr>
            <w:instrText xml:space="preserve"> PAGEREF _Toc27178 \h </w:instrText>
          </w:r>
          <w:r>
            <w:rPr>
              <w:b/>
            </w:rPr>
            <w:fldChar w:fldCharType="separate"/>
          </w:r>
          <w:r>
            <w:rPr>
              <w:b/>
            </w:rPr>
            <w:t>12</w:t>
          </w:r>
          <w:r>
            <w:rPr>
              <w:b/>
            </w:rPr>
            <w:fldChar w:fldCharType="end"/>
          </w:r>
          <w:r>
            <w:rPr>
              <w:rFonts w:ascii="Arial" w:hAnsi="Arial" w:cs="Arial"/>
              <w:b/>
              <w:bCs/>
              <w:szCs w:val="36"/>
            </w:rPr>
            <w:fldChar w:fldCharType="end"/>
          </w:r>
        </w:p>
        <w:p>
          <w:pPr>
            <w:pStyle w:val="15"/>
            <w:tabs>
              <w:tab w:val="right" w:leader="dot" w:pos="9298"/>
            </w:tabs>
          </w:pPr>
          <w:r>
            <w:rPr>
              <w:rFonts w:ascii="Arial" w:hAnsi="Arial" w:cs="Arial"/>
              <w:bCs/>
              <w:szCs w:val="36"/>
            </w:rPr>
            <w:fldChar w:fldCharType="begin"/>
          </w:r>
          <w:r>
            <w:rPr>
              <w:rFonts w:ascii="Arial" w:hAnsi="Arial" w:cs="Arial"/>
              <w:bCs/>
              <w:szCs w:val="36"/>
            </w:rPr>
            <w:instrText xml:space="preserve"> HYPERLINK \l _Toc377 </w:instrText>
          </w:r>
          <w:r>
            <w:rPr>
              <w:rFonts w:ascii="Arial" w:hAnsi="Arial" w:cs="Arial"/>
              <w:bCs/>
              <w:szCs w:val="36"/>
            </w:rPr>
            <w:fldChar w:fldCharType="separate"/>
          </w:r>
          <w:r>
            <w:rPr>
              <w:rFonts w:eastAsia="宋体" w:cs="Arial"/>
              <w:szCs w:val="21"/>
            </w:rPr>
            <w:t>一、</w:t>
          </w:r>
          <w:r>
            <w:rPr>
              <w:rFonts w:hint="eastAsia" w:eastAsia="宋体" w:cs="Arial"/>
              <w:szCs w:val="21"/>
            </w:rPr>
            <w:t>核查基础</w:t>
          </w:r>
          <w:r>
            <w:tab/>
          </w:r>
          <w:r>
            <w:fldChar w:fldCharType="begin"/>
          </w:r>
          <w:r>
            <w:instrText xml:space="preserve"> PAGEREF _Toc377 \h </w:instrText>
          </w:r>
          <w:r>
            <w:fldChar w:fldCharType="separate"/>
          </w:r>
          <w:r>
            <w:t>12</w:t>
          </w:r>
          <w:r>
            <w:fldChar w:fldCharType="end"/>
          </w:r>
          <w:r>
            <w:rPr>
              <w:rFonts w:ascii="Arial" w:hAnsi="Arial" w:cs="Arial"/>
              <w:bCs/>
              <w:szCs w:val="36"/>
            </w:rPr>
            <w:fldChar w:fldCharType="end"/>
          </w:r>
        </w:p>
        <w:p>
          <w:pPr>
            <w:pStyle w:val="15"/>
            <w:tabs>
              <w:tab w:val="right" w:leader="dot" w:pos="9298"/>
            </w:tabs>
          </w:pPr>
          <w:r>
            <w:rPr>
              <w:rFonts w:ascii="Arial" w:hAnsi="Arial" w:cs="Arial"/>
              <w:bCs/>
              <w:szCs w:val="36"/>
            </w:rPr>
            <w:fldChar w:fldCharType="begin"/>
          </w:r>
          <w:r>
            <w:rPr>
              <w:rFonts w:ascii="Arial" w:hAnsi="Arial" w:cs="Arial"/>
              <w:bCs/>
              <w:szCs w:val="36"/>
            </w:rPr>
            <w:instrText xml:space="preserve"> HYPERLINK \l _Toc15577 </w:instrText>
          </w:r>
          <w:r>
            <w:rPr>
              <w:rFonts w:ascii="Arial" w:hAnsi="Arial" w:cs="Arial"/>
              <w:bCs/>
              <w:szCs w:val="36"/>
            </w:rPr>
            <w:fldChar w:fldCharType="separate"/>
          </w:r>
          <w:r>
            <w:rPr>
              <w:rFonts w:eastAsia="宋体" w:cs="Arial"/>
              <w:szCs w:val="21"/>
            </w:rPr>
            <w:t>二、</w:t>
          </w:r>
          <w:r>
            <w:rPr>
              <w:rFonts w:hint="eastAsia" w:eastAsia="宋体" w:cs="Arial"/>
              <w:szCs w:val="21"/>
            </w:rPr>
            <w:t>项目现场调查情况</w:t>
          </w:r>
          <w:r>
            <w:tab/>
          </w:r>
          <w:r>
            <w:fldChar w:fldCharType="begin"/>
          </w:r>
          <w:r>
            <w:instrText xml:space="preserve"> PAGEREF _Toc15577 \h </w:instrText>
          </w:r>
          <w:r>
            <w:fldChar w:fldCharType="separate"/>
          </w:r>
          <w:r>
            <w:t>12</w:t>
          </w:r>
          <w:r>
            <w:fldChar w:fldCharType="end"/>
          </w:r>
          <w:r>
            <w:rPr>
              <w:rFonts w:ascii="Arial" w:hAnsi="Arial" w:cs="Arial"/>
              <w:bCs/>
              <w:szCs w:val="36"/>
            </w:rPr>
            <w:fldChar w:fldCharType="end"/>
          </w:r>
        </w:p>
        <w:p>
          <w:pPr>
            <w:pStyle w:val="15"/>
            <w:tabs>
              <w:tab w:val="right" w:leader="dot" w:pos="9298"/>
            </w:tabs>
          </w:pPr>
          <w:r>
            <w:rPr>
              <w:rFonts w:ascii="Arial" w:hAnsi="Arial" w:cs="Arial"/>
              <w:bCs/>
              <w:szCs w:val="36"/>
            </w:rPr>
            <w:fldChar w:fldCharType="begin"/>
          </w:r>
          <w:r>
            <w:rPr>
              <w:rFonts w:ascii="Arial" w:hAnsi="Arial" w:cs="Arial"/>
              <w:bCs/>
              <w:szCs w:val="36"/>
            </w:rPr>
            <w:instrText xml:space="preserve"> HYPERLINK \l _Toc26754 </w:instrText>
          </w:r>
          <w:r>
            <w:rPr>
              <w:rFonts w:ascii="Arial" w:hAnsi="Arial" w:cs="Arial"/>
              <w:bCs/>
              <w:szCs w:val="36"/>
            </w:rPr>
            <w:fldChar w:fldCharType="separate"/>
          </w:r>
          <w:r>
            <w:rPr>
              <w:rFonts w:hint="eastAsia" w:eastAsia="宋体" w:cs="Arial"/>
              <w:szCs w:val="21"/>
            </w:rPr>
            <w:t>三、合同内容梳理分析</w:t>
          </w:r>
          <w:r>
            <w:tab/>
          </w:r>
          <w:r>
            <w:fldChar w:fldCharType="begin"/>
          </w:r>
          <w:r>
            <w:instrText xml:space="preserve"> PAGEREF _Toc26754 \h </w:instrText>
          </w:r>
          <w:r>
            <w:fldChar w:fldCharType="separate"/>
          </w:r>
          <w:r>
            <w:t>13</w:t>
          </w:r>
          <w:r>
            <w:fldChar w:fldCharType="end"/>
          </w:r>
          <w:r>
            <w:rPr>
              <w:rFonts w:ascii="Arial" w:hAnsi="Arial" w:cs="Arial"/>
              <w:bCs/>
              <w:szCs w:val="36"/>
            </w:rPr>
            <w:fldChar w:fldCharType="end"/>
          </w:r>
        </w:p>
        <w:p>
          <w:pPr>
            <w:pStyle w:val="15"/>
            <w:tabs>
              <w:tab w:val="right" w:leader="dot" w:pos="9298"/>
            </w:tabs>
          </w:pPr>
          <w:r>
            <w:rPr>
              <w:rFonts w:ascii="Arial" w:hAnsi="Arial" w:cs="Arial"/>
              <w:bCs/>
              <w:szCs w:val="36"/>
            </w:rPr>
            <w:fldChar w:fldCharType="begin"/>
          </w:r>
          <w:r>
            <w:rPr>
              <w:rFonts w:ascii="Arial" w:hAnsi="Arial" w:cs="Arial"/>
              <w:bCs/>
              <w:szCs w:val="36"/>
            </w:rPr>
            <w:instrText xml:space="preserve"> HYPERLINK \l _Toc26395 </w:instrText>
          </w:r>
          <w:r>
            <w:rPr>
              <w:rFonts w:ascii="Arial" w:hAnsi="Arial" w:cs="Arial"/>
              <w:bCs/>
              <w:szCs w:val="36"/>
            </w:rPr>
            <w:fldChar w:fldCharType="separate"/>
          </w:r>
          <w:r>
            <w:rPr>
              <w:rFonts w:hint="eastAsia" w:eastAsia="宋体" w:cs="Arial"/>
              <w:szCs w:val="21"/>
            </w:rPr>
            <w:t>四、 合同签订履行状况</w:t>
          </w:r>
          <w:r>
            <w:tab/>
          </w:r>
          <w:r>
            <w:fldChar w:fldCharType="begin"/>
          </w:r>
          <w:r>
            <w:instrText xml:space="preserve"> PAGEREF _Toc26395 \h </w:instrText>
          </w:r>
          <w:r>
            <w:fldChar w:fldCharType="separate"/>
          </w:r>
          <w:r>
            <w:t>14</w:t>
          </w:r>
          <w:r>
            <w:fldChar w:fldCharType="end"/>
          </w:r>
          <w:r>
            <w:rPr>
              <w:rFonts w:ascii="Arial" w:hAnsi="Arial" w:cs="Arial"/>
              <w:bCs/>
              <w:szCs w:val="36"/>
            </w:rPr>
            <w:fldChar w:fldCharType="end"/>
          </w:r>
        </w:p>
        <w:p>
          <w:pPr>
            <w:pStyle w:val="15"/>
            <w:tabs>
              <w:tab w:val="right" w:leader="dot" w:pos="9298"/>
            </w:tabs>
          </w:pPr>
          <w:r>
            <w:rPr>
              <w:rFonts w:ascii="Arial" w:hAnsi="Arial" w:cs="Arial"/>
              <w:bCs/>
              <w:szCs w:val="36"/>
            </w:rPr>
            <w:fldChar w:fldCharType="begin"/>
          </w:r>
          <w:r>
            <w:rPr>
              <w:rFonts w:ascii="Arial" w:hAnsi="Arial" w:cs="Arial"/>
              <w:bCs/>
              <w:szCs w:val="36"/>
            </w:rPr>
            <w:instrText xml:space="preserve"> HYPERLINK \l _Toc15553 </w:instrText>
          </w:r>
          <w:r>
            <w:rPr>
              <w:rFonts w:ascii="Arial" w:hAnsi="Arial" w:cs="Arial"/>
              <w:bCs/>
              <w:szCs w:val="36"/>
            </w:rPr>
            <w:fldChar w:fldCharType="separate"/>
          </w:r>
          <w:r>
            <w:rPr>
              <w:rFonts w:hint="eastAsia" w:cs="Arial"/>
              <w:bCs/>
              <w:szCs w:val="21"/>
              <w:lang w:val="en-US" w:eastAsia="zh-CN"/>
            </w:rPr>
            <w:t>五</w:t>
          </w:r>
          <w:r>
            <w:rPr>
              <w:rFonts w:hint="eastAsia" w:cs="Arial"/>
              <w:bCs/>
              <w:szCs w:val="21"/>
            </w:rPr>
            <w:t>、合同执行调查分析</w:t>
          </w:r>
          <w:r>
            <w:tab/>
          </w:r>
          <w:r>
            <w:fldChar w:fldCharType="begin"/>
          </w:r>
          <w:r>
            <w:instrText xml:space="preserve"> PAGEREF _Toc15553 \h </w:instrText>
          </w:r>
          <w:r>
            <w:fldChar w:fldCharType="separate"/>
          </w:r>
          <w:r>
            <w:t>17</w:t>
          </w:r>
          <w:r>
            <w:fldChar w:fldCharType="end"/>
          </w:r>
          <w:r>
            <w:rPr>
              <w:rFonts w:ascii="Arial" w:hAnsi="Arial" w:cs="Arial"/>
              <w:bCs/>
              <w:szCs w:val="36"/>
            </w:rPr>
            <w:fldChar w:fldCharType="end"/>
          </w:r>
        </w:p>
        <w:p>
          <w:pPr>
            <w:pStyle w:val="14"/>
            <w:tabs>
              <w:tab w:val="right" w:leader="dot" w:pos="9298"/>
            </w:tabs>
            <w:rPr>
              <w:b/>
            </w:rPr>
          </w:pPr>
          <w:r>
            <w:rPr>
              <w:rFonts w:ascii="Arial" w:hAnsi="Arial" w:cs="Arial"/>
              <w:b/>
              <w:bCs/>
              <w:szCs w:val="36"/>
            </w:rPr>
            <w:fldChar w:fldCharType="begin"/>
          </w:r>
          <w:r>
            <w:rPr>
              <w:rFonts w:ascii="Arial" w:hAnsi="Arial" w:cs="Arial"/>
              <w:b/>
              <w:bCs/>
              <w:szCs w:val="36"/>
            </w:rPr>
            <w:instrText xml:space="preserve"> HYPERLINK \l _Toc22402 </w:instrText>
          </w:r>
          <w:r>
            <w:rPr>
              <w:rFonts w:ascii="Arial" w:hAnsi="Arial" w:cs="Arial"/>
              <w:b/>
              <w:bCs/>
              <w:szCs w:val="36"/>
            </w:rPr>
            <w:fldChar w:fldCharType="separate"/>
          </w:r>
          <w:r>
            <w:rPr>
              <w:rFonts w:ascii="Arial" w:hAnsi="Arial" w:eastAsia="方正黑体简体" w:cs="Arial"/>
              <w:b/>
              <w:bCs/>
              <w:szCs w:val="32"/>
            </w:rPr>
            <w:t xml:space="preserve">第五章  </w:t>
          </w:r>
          <w:r>
            <w:rPr>
              <w:rFonts w:hint="eastAsia" w:ascii="Arial" w:hAnsi="Arial" w:eastAsia="方正黑体简体" w:cs="Arial"/>
              <w:b/>
              <w:bCs/>
              <w:szCs w:val="32"/>
            </w:rPr>
            <w:t>合同审查意见汇总</w:t>
          </w:r>
          <w:r>
            <w:rPr>
              <w:b/>
            </w:rPr>
            <w:tab/>
          </w:r>
          <w:r>
            <w:rPr>
              <w:b/>
            </w:rPr>
            <w:fldChar w:fldCharType="begin"/>
          </w:r>
          <w:r>
            <w:rPr>
              <w:b/>
            </w:rPr>
            <w:instrText xml:space="preserve"> PAGEREF _Toc22402 \h </w:instrText>
          </w:r>
          <w:r>
            <w:rPr>
              <w:b/>
            </w:rPr>
            <w:fldChar w:fldCharType="separate"/>
          </w:r>
          <w:r>
            <w:rPr>
              <w:b/>
            </w:rPr>
            <w:t>21</w:t>
          </w:r>
          <w:r>
            <w:rPr>
              <w:b/>
            </w:rPr>
            <w:fldChar w:fldCharType="end"/>
          </w:r>
          <w:r>
            <w:rPr>
              <w:rFonts w:ascii="Arial" w:hAnsi="Arial" w:cs="Arial"/>
              <w:b/>
              <w:bCs/>
              <w:szCs w:val="36"/>
            </w:rPr>
            <w:fldChar w:fldCharType="end"/>
          </w:r>
        </w:p>
        <w:p>
          <w:pPr>
            <w:pStyle w:val="15"/>
            <w:tabs>
              <w:tab w:val="right" w:leader="dot" w:pos="9298"/>
            </w:tabs>
          </w:pPr>
          <w:r>
            <w:rPr>
              <w:rFonts w:ascii="Arial" w:hAnsi="Arial" w:cs="Arial"/>
              <w:bCs/>
              <w:szCs w:val="36"/>
            </w:rPr>
            <w:fldChar w:fldCharType="begin"/>
          </w:r>
          <w:r>
            <w:rPr>
              <w:rFonts w:ascii="Arial" w:hAnsi="Arial" w:cs="Arial"/>
              <w:bCs/>
              <w:szCs w:val="36"/>
            </w:rPr>
            <w:instrText xml:space="preserve"> HYPERLINK \l _Toc7733 </w:instrText>
          </w:r>
          <w:r>
            <w:rPr>
              <w:rFonts w:ascii="Arial" w:hAnsi="Arial" w:cs="Arial"/>
              <w:bCs/>
              <w:szCs w:val="36"/>
            </w:rPr>
            <w:fldChar w:fldCharType="separate"/>
          </w:r>
          <w:r>
            <w:rPr>
              <w:rFonts w:hint="eastAsia" w:ascii="宋体" w:hAnsi="宋体" w:eastAsia="宋体" w:cs="Arial"/>
              <w:bCs/>
              <w:szCs w:val="21"/>
              <w:lang w:val="en-US" w:eastAsia="zh-CN" w:bidi="ar-SA"/>
            </w:rPr>
            <w:t>一、设计类合同意见</w:t>
          </w:r>
          <w:r>
            <w:tab/>
          </w:r>
          <w:r>
            <w:fldChar w:fldCharType="begin"/>
          </w:r>
          <w:r>
            <w:instrText xml:space="preserve"> PAGEREF _Toc7733 \h </w:instrText>
          </w:r>
          <w:r>
            <w:fldChar w:fldCharType="separate"/>
          </w:r>
          <w:r>
            <w:t>21</w:t>
          </w:r>
          <w:r>
            <w:fldChar w:fldCharType="end"/>
          </w:r>
          <w:r>
            <w:rPr>
              <w:rFonts w:ascii="Arial" w:hAnsi="Arial" w:cs="Arial"/>
              <w:bCs/>
              <w:szCs w:val="36"/>
            </w:rPr>
            <w:fldChar w:fldCharType="end"/>
          </w:r>
        </w:p>
        <w:p>
          <w:pPr>
            <w:pStyle w:val="15"/>
            <w:tabs>
              <w:tab w:val="right" w:leader="dot" w:pos="9298"/>
            </w:tabs>
          </w:pPr>
          <w:r>
            <w:rPr>
              <w:rFonts w:ascii="Arial" w:hAnsi="Arial" w:cs="Arial"/>
              <w:bCs/>
              <w:szCs w:val="36"/>
            </w:rPr>
            <w:fldChar w:fldCharType="begin"/>
          </w:r>
          <w:r>
            <w:rPr>
              <w:rFonts w:ascii="Arial" w:hAnsi="Arial" w:cs="Arial"/>
              <w:bCs/>
              <w:szCs w:val="36"/>
            </w:rPr>
            <w:instrText xml:space="preserve"> HYPERLINK \l _Toc13161 </w:instrText>
          </w:r>
          <w:r>
            <w:rPr>
              <w:rFonts w:ascii="Arial" w:hAnsi="Arial" w:cs="Arial"/>
              <w:bCs/>
              <w:szCs w:val="36"/>
            </w:rPr>
            <w:fldChar w:fldCharType="separate"/>
          </w:r>
          <w:r>
            <w:rPr>
              <w:rFonts w:hint="eastAsia" w:cs="Arial"/>
              <w:bCs/>
              <w:szCs w:val="21"/>
              <w:lang w:val="en-US" w:eastAsia="zh-CN" w:bidi="ar-SA"/>
            </w:rPr>
            <w:t>二、</w:t>
          </w:r>
          <w:r>
            <w:rPr>
              <w:rFonts w:hint="eastAsia" w:ascii="宋体" w:hAnsi="宋体" w:eastAsia="宋体" w:cs="Arial"/>
              <w:bCs/>
              <w:szCs w:val="21"/>
              <w:lang w:val="en-US" w:eastAsia="zh-CN" w:bidi="ar-SA"/>
            </w:rPr>
            <w:t>前期类合同意见</w:t>
          </w:r>
          <w:r>
            <w:tab/>
          </w:r>
          <w:r>
            <w:fldChar w:fldCharType="begin"/>
          </w:r>
          <w:r>
            <w:instrText xml:space="preserve"> PAGEREF _Toc13161 \h </w:instrText>
          </w:r>
          <w:r>
            <w:fldChar w:fldCharType="separate"/>
          </w:r>
          <w:r>
            <w:t>22</w:t>
          </w:r>
          <w:r>
            <w:fldChar w:fldCharType="end"/>
          </w:r>
          <w:r>
            <w:rPr>
              <w:rFonts w:ascii="Arial" w:hAnsi="Arial" w:cs="Arial"/>
              <w:bCs/>
              <w:szCs w:val="36"/>
            </w:rPr>
            <w:fldChar w:fldCharType="end"/>
          </w:r>
        </w:p>
        <w:p>
          <w:pPr>
            <w:pStyle w:val="15"/>
            <w:tabs>
              <w:tab w:val="right" w:leader="dot" w:pos="9298"/>
            </w:tabs>
          </w:pPr>
          <w:r>
            <w:rPr>
              <w:rFonts w:ascii="Arial" w:hAnsi="Arial" w:cs="Arial"/>
              <w:bCs/>
              <w:szCs w:val="36"/>
            </w:rPr>
            <w:fldChar w:fldCharType="begin"/>
          </w:r>
          <w:r>
            <w:rPr>
              <w:rFonts w:ascii="Arial" w:hAnsi="Arial" w:cs="Arial"/>
              <w:bCs/>
              <w:szCs w:val="36"/>
            </w:rPr>
            <w:instrText xml:space="preserve"> HYPERLINK \l _Toc27985 </w:instrText>
          </w:r>
          <w:r>
            <w:rPr>
              <w:rFonts w:ascii="Arial" w:hAnsi="Arial" w:cs="Arial"/>
              <w:bCs/>
              <w:szCs w:val="36"/>
            </w:rPr>
            <w:fldChar w:fldCharType="separate"/>
          </w:r>
          <w:r>
            <w:rPr>
              <w:rFonts w:hint="eastAsia" w:cs="Arial"/>
              <w:bCs/>
              <w:szCs w:val="21"/>
              <w:lang w:val="en-US" w:eastAsia="zh-CN" w:bidi="ar-SA"/>
            </w:rPr>
            <w:t>三、</w:t>
          </w:r>
          <w:r>
            <w:rPr>
              <w:rFonts w:hint="eastAsia" w:ascii="宋体" w:hAnsi="宋体" w:eastAsia="宋体" w:cs="Arial"/>
              <w:bCs/>
              <w:szCs w:val="21"/>
              <w:lang w:val="en-US" w:eastAsia="zh-CN" w:bidi="ar-SA"/>
            </w:rPr>
            <w:t>综合类合同意见</w:t>
          </w:r>
          <w:r>
            <w:tab/>
          </w:r>
          <w:r>
            <w:fldChar w:fldCharType="begin"/>
          </w:r>
          <w:r>
            <w:instrText xml:space="preserve"> PAGEREF _Toc27985 \h </w:instrText>
          </w:r>
          <w:r>
            <w:fldChar w:fldCharType="separate"/>
          </w:r>
          <w:r>
            <w:t>22</w:t>
          </w:r>
          <w:r>
            <w:fldChar w:fldCharType="end"/>
          </w:r>
          <w:r>
            <w:rPr>
              <w:rFonts w:ascii="Arial" w:hAnsi="Arial" w:cs="Arial"/>
              <w:bCs/>
              <w:szCs w:val="36"/>
            </w:rPr>
            <w:fldChar w:fldCharType="end"/>
          </w:r>
        </w:p>
        <w:p>
          <w:pPr>
            <w:pStyle w:val="14"/>
            <w:tabs>
              <w:tab w:val="right" w:leader="dot" w:pos="9298"/>
            </w:tabs>
            <w:rPr>
              <w:b/>
            </w:rPr>
          </w:pPr>
          <w:r>
            <w:rPr>
              <w:rFonts w:ascii="Arial" w:hAnsi="Arial" w:cs="Arial"/>
              <w:b/>
              <w:bCs/>
              <w:szCs w:val="36"/>
            </w:rPr>
            <w:fldChar w:fldCharType="begin"/>
          </w:r>
          <w:r>
            <w:rPr>
              <w:rFonts w:ascii="Arial" w:hAnsi="Arial" w:cs="Arial"/>
              <w:b/>
              <w:bCs/>
              <w:szCs w:val="36"/>
            </w:rPr>
            <w:instrText xml:space="preserve"> HYPERLINK \l _Toc29375 </w:instrText>
          </w:r>
          <w:r>
            <w:rPr>
              <w:rFonts w:ascii="Arial" w:hAnsi="Arial" w:cs="Arial"/>
              <w:b/>
              <w:bCs/>
              <w:szCs w:val="36"/>
            </w:rPr>
            <w:fldChar w:fldCharType="separate"/>
          </w:r>
          <w:r>
            <w:rPr>
              <w:rFonts w:hint="eastAsia" w:ascii="Arial" w:hAnsi="Arial" w:eastAsia="方正黑体简体" w:cs="Arial"/>
              <w:b/>
              <w:bCs/>
              <w:szCs w:val="32"/>
            </w:rPr>
            <w:t>第六章 合理化建议</w:t>
          </w:r>
          <w:r>
            <w:rPr>
              <w:b/>
            </w:rPr>
            <w:tab/>
          </w:r>
          <w:r>
            <w:rPr>
              <w:b/>
            </w:rPr>
            <w:fldChar w:fldCharType="begin"/>
          </w:r>
          <w:r>
            <w:rPr>
              <w:b/>
            </w:rPr>
            <w:instrText xml:space="preserve"> PAGEREF _Toc29375 \h </w:instrText>
          </w:r>
          <w:r>
            <w:rPr>
              <w:b/>
            </w:rPr>
            <w:fldChar w:fldCharType="separate"/>
          </w:r>
          <w:r>
            <w:rPr>
              <w:b/>
            </w:rPr>
            <w:t>24</w:t>
          </w:r>
          <w:r>
            <w:rPr>
              <w:b/>
            </w:rPr>
            <w:fldChar w:fldCharType="end"/>
          </w:r>
          <w:r>
            <w:rPr>
              <w:rFonts w:ascii="Arial" w:hAnsi="Arial" w:cs="Arial"/>
              <w:b/>
              <w:bCs/>
              <w:szCs w:val="36"/>
            </w:rPr>
            <w:fldChar w:fldCharType="end"/>
          </w:r>
        </w:p>
        <w:p>
          <w:pPr>
            <w:pStyle w:val="15"/>
            <w:tabs>
              <w:tab w:val="right" w:leader="dot" w:pos="9298"/>
            </w:tabs>
          </w:pPr>
          <w:r>
            <w:rPr>
              <w:rFonts w:ascii="Arial" w:hAnsi="Arial" w:cs="Arial"/>
              <w:bCs/>
              <w:szCs w:val="36"/>
            </w:rPr>
            <w:fldChar w:fldCharType="begin"/>
          </w:r>
          <w:r>
            <w:rPr>
              <w:rFonts w:ascii="Arial" w:hAnsi="Arial" w:cs="Arial"/>
              <w:bCs/>
              <w:szCs w:val="36"/>
            </w:rPr>
            <w:instrText xml:space="preserve"> HYPERLINK \l _Toc10746 </w:instrText>
          </w:r>
          <w:r>
            <w:rPr>
              <w:rFonts w:ascii="Arial" w:hAnsi="Arial" w:cs="Arial"/>
              <w:bCs/>
              <w:szCs w:val="36"/>
            </w:rPr>
            <w:fldChar w:fldCharType="separate"/>
          </w:r>
          <w:r>
            <w:rPr>
              <w:rFonts w:hint="eastAsia" w:ascii="Arial" w:hAnsi="Arial" w:cs="Arial"/>
              <w:szCs w:val="21"/>
              <w:lang w:val="en-US" w:eastAsia="zh-CN"/>
            </w:rPr>
            <w:t>一</w:t>
          </w:r>
          <w:r>
            <w:rPr>
              <w:rFonts w:hint="eastAsia" w:ascii="Arial" w:hAnsi="Arial" w:cs="Arial"/>
              <w:szCs w:val="21"/>
            </w:rPr>
            <w:t>、资料完整性建议</w:t>
          </w:r>
          <w:r>
            <w:tab/>
          </w:r>
          <w:r>
            <w:fldChar w:fldCharType="begin"/>
          </w:r>
          <w:r>
            <w:instrText xml:space="preserve"> PAGEREF _Toc10746 \h </w:instrText>
          </w:r>
          <w:r>
            <w:fldChar w:fldCharType="separate"/>
          </w:r>
          <w:r>
            <w:t>24</w:t>
          </w:r>
          <w:r>
            <w:fldChar w:fldCharType="end"/>
          </w:r>
          <w:r>
            <w:rPr>
              <w:rFonts w:ascii="Arial" w:hAnsi="Arial" w:cs="Arial"/>
              <w:bCs/>
              <w:szCs w:val="36"/>
            </w:rPr>
            <w:fldChar w:fldCharType="end"/>
          </w:r>
        </w:p>
        <w:p>
          <w:pPr>
            <w:pStyle w:val="15"/>
            <w:tabs>
              <w:tab w:val="right" w:leader="dot" w:pos="9298"/>
            </w:tabs>
          </w:pPr>
          <w:r>
            <w:rPr>
              <w:rFonts w:ascii="Arial" w:hAnsi="Arial" w:cs="Arial"/>
              <w:bCs/>
              <w:szCs w:val="36"/>
            </w:rPr>
            <w:fldChar w:fldCharType="begin"/>
          </w:r>
          <w:r>
            <w:rPr>
              <w:rFonts w:ascii="Arial" w:hAnsi="Arial" w:cs="Arial"/>
              <w:bCs/>
              <w:szCs w:val="36"/>
            </w:rPr>
            <w:instrText xml:space="preserve"> HYPERLINK \l _Toc19176 </w:instrText>
          </w:r>
          <w:r>
            <w:rPr>
              <w:rFonts w:ascii="Arial" w:hAnsi="Arial" w:cs="Arial"/>
              <w:bCs/>
              <w:szCs w:val="36"/>
            </w:rPr>
            <w:fldChar w:fldCharType="separate"/>
          </w:r>
          <w:r>
            <w:rPr>
              <w:rFonts w:hint="eastAsia" w:ascii="Arial" w:hAnsi="Arial" w:cs="Arial"/>
              <w:szCs w:val="21"/>
              <w:lang w:val="en-US" w:eastAsia="zh-CN"/>
            </w:rPr>
            <w:t>二、</w:t>
          </w:r>
          <w:r>
            <w:rPr>
              <w:rFonts w:hint="eastAsia" w:ascii="Arial" w:hAnsi="Arial" w:cs="Arial"/>
              <w:szCs w:val="21"/>
            </w:rPr>
            <w:t>未履约合同建议</w:t>
          </w:r>
          <w:r>
            <w:tab/>
          </w:r>
          <w:r>
            <w:fldChar w:fldCharType="begin"/>
          </w:r>
          <w:r>
            <w:instrText xml:space="preserve"> PAGEREF _Toc19176 \h </w:instrText>
          </w:r>
          <w:r>
            <w:fldChar w:fldCharType="separate"/>
          </w:r>
          <w:r>
            <w:t>24</w:t>
          </w:r>
          <w:r>
            <w:fldChar w:fldCharType="end"/>
          </w:r>
          <w:r>
            <w:rPr>
              <w:rFonts w:ascii="Arial" w:hAnsi="Arial" w:cs="Arial"/>
              <w:bCs/>
              <w:szCs w:val="36"/>
            </w:rPr>
            <w:fldChar w:fldCharType="end"/>
          </w:r>
        </w:p>
        <w:p>
          <w:pPr>
            <w:pStyle w:val="15"/>
            <w:tabs>
              <w:tab w:val="right" w:leader="dot" w:pos="9298"/>
            </w:tabs>
          </w:pPr>
          <w:r>
            <w:rPr>
              <w:rFonts w:ascii="Arial" w:hAnsi="Arial" w:cs="Arial"/>
              <w:bCs/>
              <w:szCs w:val="36"/>
            </w:rPr>
            <w:fldChar w:fldCharType="begin"/>
          </w:r>
          <w:r>
            <w:rPr>
              <w:rFonts w:ascii="Arial" w:hAnsi="Arial" w:cs="Arial"/>
              <w:bCs/>
              <w:szCs w:val="36"/>
            </w:rPr>
            <w:instrText xml:space="preserve"> HYPERLINK \l _Toc31919 </w:instrText>
          </w:r>
          <w:r>
            <w:rPr>
              <w:rFonts w:ascii="Arial" w:hAnsi="Arial" w:cs="Arial"/>
              <w:bCs/>
              <w:szCs w:val="36"/>
            </w:rPr>
            <w:fldChar w:fldCharType="separate"/>
          </w:r>
          <w:r>
            <w:rPr>
              <w:rFonts w:hint="eastAsia" w:ascii="Arial" w:hAnsi="Arial" w:cs="Arial"/>
              <w:szCs w:val="21"/>
              <w:lang w:val="en-US" w:eastAsia="zh-CN"/>
            </w:rPr>
            <w:t>三</w:t>
          </w:r>
          <w:r>
            <w:rPr>
              <w:rFonts w:hint="eastAsia" w:ascii="Arial" w:hAnsi="Arial" w:cs="Arial"/>
              <w:szCs w:val="21"/>
            </w:rPr>
            <w:t>、 项目土地建议</w:t>
          </w:r>
          <w:r>
            <w:tab/>
          </w:r>
          <w:r>
            <w:fldChar w:fldCharType="begin"/>
          </w:r>
          <w:r>
            <w:instrText xml:space="preserve"> PAGEREF _Toc31919 \h </w:instrText>
          </w:r>
          <w:r>
            <w:fldChar w:fldCharType="separate"/>
          </w:r>
          <w:r>
            <w:t>24</w:t>
          </w:r>
          <w:r>
            <w:fldChar w:fldCharType="end"/>
          </w:r>
          <w:r>
            <w:rPr>
              <w:rFonts w:ascii="Arial" w:hAnsi="Arial" w:cs="Arial"/>
              <w:bCs/>
              <w:szCs w:val="36"/>
            </w:rPr>
            <w:fldChar w:fldCharType="end"/>
          </w:r>
        </w:p>
        <w:p>
          <w:pPr>
            <w:pStyle w:val="15"/>
            <w:tabs>
              <w:tab w:val="right" w:leader="dot" w:pos="9298"/>
            </w:tabs>
          </w:pPr>
          <w:r>
            <w:rPr>
              <w:rFonts w:ascii="Arial" w:hAnsi="Arial" w:cs="Arial"/>
              <w:bCs/>
              <w:szCs w:val="36"/>
            </w:rPr>
            <w:fldChar w:fldCharType="begin"/>
          </w:r>
          <w:r>
            <w:rPr>
              <w:rFonts w:ascii="Arial" w:hAnsi="Arial" w:cs="Arial"/>
              <w:bCs/>
              <w:szCs w:val="36"/>
            </w:rPr>
            <w:instrText xml:space="preserve"> HYPERLINK \l _Toc12372 </w:instrText>
          </w:r>
          <w:r>
            <w:rPr>
              <w:rFonts w:ascii="Arial" w:hAnsi="Arial" w:cs="Arial"/>
              <w:bCs/>
              <w:szCs w:val="36"/>
            </w:rPr>
            <w:fldChar w:fldCharType="separate"/>
          </w:r>
          <w:r>
            <w:rPr>
              <w:rFonts w:hint="eastAsia" w:ascii="Arial" w:hAnsi="Arial" w:cs="Arial"/>
              <w:szCs w:val="21"/>
              <w:lang w:val="en-US" w:eastAsia="zh-CN"/>
            </w:rPr>
            <w:t>四</w:t>
          </w:r>
          <w:r>
            <w:rPr>
              <w:rFonts w:hint="eastAsia" w:ascii="Arial" w:hAnsi="Arial" w:cs="Arial"/>
              <w:szCs w:val="21"/>
            </w:rPr>
            <w:t>、现场情况建议</w:t>
          </w:r>
          <w:r>
            <w:tab/>
          </w:r>
          <w:r>
            <w:fldChar w:fldCharType="begin"/>
          </w:r>
          <w:r>
            <w:instrText xml:space="preserve"> PAGEREF _Toc12372 \h </w:instrText>
          </w:r>
          <w:r>
            <w:fldChar w:fldCharType="separate"/>
          </w:r>
          <w:r>
            <w:t>24</w:t>
          </w:r>
          <w:r>
            <w:fldChar w:fldCharType="end"/>
          </w:r>
          <w:r>
            <w:rPr>
              <w:rFonts w:ascii="Arial" w:hAnsi="Arial" w:cs="Arial"/>
              <w:bCs/>
              <w:szCs w:val="36"/>
            </w:rPr>
            <w:fldChar w:fldCharType="end"/>
          </w:r>
        </w:p>
        <w:p>
          <w:pPr>
            <w:pStyle w:val="15"/>
            <w:tabs>
              <w:tab w:val="right" w:leader="dot" w:pos="9298"/>
            </w:tabs>
          </w:pPr>
          <w:r>
            <w:rPr>
              <w:rFonts w:ascii="Arial" w:hAnsi="Arial" w:cs="Arial"/>
              <w:bCs/>
              <w:szCs w:val="36"/>
            </w:rPr>
            <w:fldChar w:fldCharType="begin"/>
          </w:r>
          <w:r>
            <w:rPr>
              <w:rFonts w:ascii="Arial" w:hAnsi="Arial" w:cs="Arial"/>
              <w:bCs/>
              <w:szCs w:val="36"/>
            </w:rPr>
            <w:instrText xml:space="preserve"> HYPERLINK \l _Toc26215 </w:instrText>
          </w:r>
          <w:r>
            <w:rPr>
              <w:rFonts w:ascii="Arial" w:hAnsi="Arial" w:cs="Arial"/>
              <w:bCs/>
              <w:szCs w:val="36"/>
            </w:rPr>
            <w:fldChar w:fldCharType="separate"/>
          </w:r>
          <w:r>
            <w:rPr>
              <w:rFonts w:hint="eastAsia" w:ascii="Arial" w:hAnsi="Arial" w:cs="Arial"/>
              <w:szCs w:val="21"/>
              <w:lang w:val="en-US" w:eastAsia="zh-CN"/>
            </w:rPr>
            <w:t>五、</w:t>
          </w:r>
          <w:r>
            <w:rPr>
              <w:rFonts w:hint="eastAsia" w:ascii="Arial" w:hAnsi="Arial" w:cs="Arial"/>
              <w:szCs w:val="21"/>
            </w:rPr>
            <w:t>代建方选择建议</w:t>
          </w:r>
          <w:r>
            <w:tab/>
          </w:r>
          <w:r>
            <w:fldChar w:fldCharType="begin"/>
          </w:r>
          <w:r>
            <w:instrText xml:space="preserve"> PAGEREF _Toc26215 \h </w:instrText>
          </w:r>
          <w:r>
            <w:fldChar w:fldCharType="separate"/>
          </w:r>
          <w:r>
            <w:t>24</w:t>
          </w:r>
          <w:r>
            <w:fldChar w:fldCharType="end"/>
          </w:r>
          <w:r>
            <w:rPr>
              <w:rFonts w:ascii="Arial" w:hAnsi="Arial" w:cs="Arial"/>
              <w:bCs/>
              <w:szCs w:val="36"/>
            </w:rPr>
            <w:fldChar w:fldCharType="end"/>
          </w:r>
        </w:p>
        <w:p>
          <w:pPr>
            <w:pStyle w:val="15"/>
            <w:tabs>
              <w:tab w:val="right" w:leader="dot" w:pos="9298"/>
            </w:tabs>
          </w:pPr>
          <w:r>
            <w:rPr>
              <w:rFonts w:ascii="Arial" w:hAnsi="Arial" w:cs="Arial"/>
              <w:bCs/>
              <w:szCs w:val="36"/>
            </w:rPr>
            <w:fldChar w:fldCharType="begin"/>
          </w:r>
          <w:r>
            <w:rPr>
              <w:rFonts w:ascii="Arial" w:hAnsi="Arial" w:cs="Arial"/>
              <w:bCs/>
              <w:szCs w:val="36"/>
            </w:rPr>
            <w:instrText xml:space="preserve"> HYPERLINK \l _Toc3419 </w:instrText>
          </w:r>
          <w:r>
            <w:rPr>
              <w:rFonts w:ascii="Arial" w:hAnsi="Arial" w:cs="Arial"/>
              <w:bCs/>
              <w:szCs w:val="36"/>
            </w:rPr>
            <w:fldChar w:fldCharType="separate"/>
          </w:r>
          <w:r>
            <w:rPr>
              <w:rFonts w:hint="eastAsia" w:ascii="Arial" w:hAnsi="Arial" w:cs="Arial"/>
              <w:szCs w:val="21"/>
              <w:lang w:val="en-US" w:eastAsia="zh-CN"/>
            </w:rPr>
            <w:t>六、</w:t>
          </w:r>
          <w:r>
            <w:rPr>
              <w:rFonts w:hint="eastAsia" w:ascii="Arial" w:hAnsi="Arial" w:cs="Arial"/>
              <w:szCs w:val="21"/>
            </w:rPr>
            <w:t>异地报税建议</w:t>
          </w:r>
          <w:r>
            <w:tab/>
          </w:r>
          <w:r>
            <w:fldChar w:fldCharType="begin"/>
          </w:r>
          <w:r>
            <w:instrText xml:space="preserve"> PAGEREF _Toc3419 \h </w:instrText>
          </w:r>
          <w:r>
            <w:fldChar w:fldCharType="separate"/>
          </w:r>
          <w:r>
            <w:t>25</w:t>
          </w:r>
          <w:r>
            <w:fldChar w:fldCharType="end"/>
          </w:r>
          <w:r>
            <w:rPr>
              <w:rFonts w:ascii="Arial" w:hAnsi="Arial" w:cs="Arial"/>
              <w:bCs/>
              <w:szCs w:val="36"/>
            </w:rPr>
            <w:fldChar w:fldCharType="end"/>
          </w:r>
        </w:p>
        <w:p>
          <w:pPr>
            <w:pStyle w:val="14"/>
            <w:tabs>
              <w:tab w:val="right" w:leader="dot" w:pos="9298"/>
            </w:tabs>
            <w:rPr>
              <w:b/>
            </w:rPr>
          </w:pPr>
          <w:r>
            <w:rPr>
              <w:rFonts w:ascii="Arial" w:hAnsi="Arial" w:cs="Arial"/>
              <w:b/>
              <w:bCs/>
              <w:szCs w:val="36"/>
            </w:rPr>
            <w:fldChar w:fldCharType="begin"/>
          </w:r>
          <w:r>
            <w:rPr>
              <w:rFonts w:ascii="Arial" w:hAnsi="Arial" w:cs="Arial"/>
              <w:b/>
              <w:bCs/>
              <w:szCs w:val="36"/>
            </w:rPr>
            <w:instrText xml:space="preserve"> HYPERLINK \l _Toc18539 </w:instrText>
          </w:r>
          <w:r>
            <w:rPr>
              <w:rFonts w:ascii="Arial" w:hAnsi="Arial" w:cs="Arial"/>
              <w:b/>
              <w:bCs/>
              <w:szCs w:val="36"/>
            </w:rPr>
            <w:fldChar w:fldCharType="separate"/>
          </w:r>
          <w:r>
            <w:rPr>
              <w:rFonts w:hint="eastAsia" w:ascii="Arial" w:hAnsi="Arial" w:eastAsia="方正黑体简体" w:cs="Arial"/>
              <w:b/>
              <w:bCs/>
              <w:kern w:val="44"/>
              <w:szCs w:val="32"/>
              <w:lang w:val="en-US" w:eastAsia="zh-CN" w:bidi="ar-SA"/>
            </w:rPr>
            <w:t>第七章  房地产投资运作分析</w:t>
          </w:r>
          <w:r>
            <w:rPr>
              <w:b/>
            </w:rPr>
            <w:tab/>
          </w:r>
          <w:r>
            <w:rPr>
              <w:b/>
            </w:rPr>
            <w:fldChar w:fldCharType="begin"/>
          </w:r>
          <w:r>
            <w:rPr>
              <w:b/>
            </w:rPr>
            <w:instrText xml:space="preserve"> PAGEREF _Toc18539 \h </w:instrText>
          </w:r>
          <w:r>
            <w:rPr>
              <w:b/>
            </w:rPr>
            <w:fldChar w:fldCharType="separate"/>
          </w:r>
          <w:r>
            <w:rPr>
              <w:b/>
            </w:rPr>
            <w:t>26</w:t>
          </w:r>
          <w:r>
            <w:rPr>
              <w:b/>
            </w:rPr>
            <w:fldChar w:fldCharType="end"/>
          </w:r>
          <w:r>
            <w:rPr>
              <w:rFonts w:ascii="Arial" w:hAnsi="Arial" w:cs="Arial"/>
              <w:b/>
              <w:bCs/>
              <w:szCs w:val="36"/>
            </w:rPr>
            <w:fldChar w:fldCharType="end"/>
          </w:r>
        </w:p>
        <w:p>
          <w:pPr>
            <w:pStyle w:val="15"/>
            <w:tabs>
              <w:tab w:val="right" w:leader="dot" w:pos="9298"/>
            </w:tabs>
          </w:pPr>
          <w:r>
            <w:rPr>
              <w:rFonts w:ascii="Arial" w:hAnsi="Arial" w:cs="Arial"/>
              <w:bCs/>
              <w:szCs w:val="36"/>
            </w:rPr>
            <w:fldChar w:fldCharType="begin"/>
          </w:r>
          <w:r>
            <w:rPr>
              <w:rFonts w:ascii="Arial" w:hAnsi="Arial" w:cs="Arial"/>
              <w:bCs/>
              <w:szCs w:val="36"/>
            </w:rPr>
            <w:instrText xml:space="preserve"> HYPERLINK \l _Toc9511 </w:instrText>
          </w:r>
          <w:r>
            <w:rPr>
              <w:rFonts w:ascii="Arial" w:hAnsi="Arial" w:cs="Arial"/>
              <w:bCs/>
              <w:szCs w:val="36"/>
            </w:rPr>
            <w:fldChar w:fldCharType="separate"/>
          </w:r>
          <w:r>
            <w:rPr>
              <w:rFonts w:hint="eastAsia" w:ascii="Arial" w:hAnsi="Arial" w:cs="Arial"/>
              <w:bCs/>
              <w:szCs w:val="21"/>
            </w:rPr>
            <w:t>一、房地产投资一般步骤</w:t>
          </w:r>
          <w:r>
            <w:tab/>
          </w:r>
          <w:r>
            <w:fldChar w:fldCharType="begin"/>
          </w:r>
          <w:r>
            <w:instrText xml:space="preserve"> PAGEREF _Toc9511 \h </w:instrText>
          </w:r>
          <w:r>
            <w:fldChar w:fldCharType="separate"/>
          </w:r>
          <w:r>
            <w:t>26</w:t>
          </w:r>
          <w:r>
            <w:fldChar w:fldCharType="end"/>
          </w:r>
          <w:r>
            <w:rPr>
              <w:rFonts w:ascii="Arial" w:hAnsi="Arial" w:cs="Arial"/>
              <w:bCs/>
              <w:szCs w:val="36"/>
            </w:rPr>
            <w:fldChar w:fldCharType="end"/>
          </w:r>
        </w:p>
        <w:p>
          <w:pPr>
            <w:pStyle w:val="15"/>
            <w:tabs>
              <w:tab w:val="right" w:leader="dot" w:pos="9298"/>
            </w:tabs>
          </w:pPr>
          <w:r>
            <w:rPr>
              <w:rFonts w:ascii="Arial" w:hAnsi="Arial" w:cs="Arial"/>
              <w:bCs/>
              <w:szCs w:val="36"/>
            </w:rPr>
            <w:fldChar w:fldCharType="begin"/>
          </w:r>
          <w:r>
            <w:rPr>
              <w:rFonts w:ascii="Arial" w:hAnsi="Arial" w:cs="Arial"/>
              <w:bCs/>
              <w:szCs w:val="36"/>
            </w:rPr>
            <w:instrText xml:space="preserve"> HYPERLINK \l _Toc19483 </w:instrText>
          </w:r>
          <w:r>
            <w:rPr>
              <w:rFonts w:ascii="Arial" w:hAnsi="Arial" w:cs="Arial"/>
              <w:bCs/>
              <w:szCs w:val="36"/>
            </w:rPr>
            <w:fldChar w:fldCharType="separate"/>
          </w:r>
          <w:r>
            <w:rPr>
              <w:rFonts w:hint="eastAsia" w:ascii="Arial" w:hAnsi="Arial" w:cs="Arial"/>
              <w:bCs/>
              <w:szCs w:val="21"/>
              <w:lang w:val="en-US" w:eastAsia="zh-CN"/>
            </w:rPr>
            <w:t>二</w:t>
          </w:r>
          <w:r>
            <w:rPr>
              <w:rFonts w:hint="eastAsia" w:ascii="Arial" w:hAnsi="Arial" w:cs="Arial"/>
              <w:bCs/>
              <w:szCs w:val="21"/>
            </w:rPr>
            <w:t>、代建模式固有缺陷、影响及应对</w:t>
          </w:r>
          <w:r>
            <w:tab/>
          </w:r>
          <w:r>
            <w:fldChar w:fldCharType="begin"/>
          </w:r>
          <w:r>
            <w:instrText xml:space="preserve"> PAGEREF _Toc19483 \h </w:instrText>
          </w:r>
          <w:r>
            <w:fldChar w:fldCharType="separate"/>
          </w:r>
          <w:r>
            <w:t>27</w:t>
          </w:r>
          <w:r>
            <w:fldChar w:fldCharType="end"/>
          </w:r>
          <w:r>
            <w:rPr>
              <w:rFonts w:ascii="Arial" w:hAnsi="Arial" w:cs="Arial"/>
              <w:bCs/>
              <w:szCs w:val="36"/>
            </w:rPr>
            <w:fldChar w:fldCharType="end"/>
          </w:r>
        </w:p>
        <w:p>
          <w:pPr>
            <w:pStyle w:val="15"/>
            <w:tabs>
              <w:tab w:val="right" w:leader="dot" w:pos="9298"/>
            </w:tabs>
          </w:pPr>
          <w:r>
            <w:rPr>
              <w:rFonts w:ascii="Arial" w:hAnsi="Arial" w:cs="Arial"/>
              <w:bCs/>
              <w:szCs w:val="36"/>
            </w:rPr>
            <w:fldChar w:fldCharType="begin"/>
          </w:r>
          <w:r>
            <w:rPr>
              <w:rFonts w:ascii="Arial" w:hAnsi="Arial" w:cs="Arial"/>
              <w:bCs/>
              <w:szCs w:val="36"/>
            </w:rPr>
            <w:instrText xml:space="preserve"> HYPERLINK \l _Toc10995 </w:instrText>
          </w:r>
          <w:r>
            <w:rPr>
              <w:rFonts w:ascii="Arial" w:hAnsi="Arial" w:cs="Arial"/>
              <w:bCs/>
              <w:szCs w:val="36"/>
            </w:rPr>
            <w:fldChar w:fldCharType="separate"/>
          </w:r>
          <w:r>
            <w:rPr>
              <w:rFonts w:hint="eastAsia" w:ascii="Arial" w:hAnsi="Arial" w:cs="Arial"/>
              <w:bCs/>
              <w:szCs w:val="21"/>
              <w:lang w:val="en-US" w:eastAsia="zh-CN"/>
            </w:rPr>
            <w:t>三、房地产投资代建监管的重要性</w:t>
          </w:r>
          <w:r>
            <w:tab/>
          </w:r>
          <w:r>
            <w:fldChar w:fldCharType="begin"/>
          </w:r>
          <w:r>
            <w:instrText xml:space="preserve"> PAGEREF _Toc10995 \h </w:instrText>
          </w:r>
          <w:r>
            <w:fldChar w:fldCharType="separate"/>
          </w:r>
          <w:r>
            <w:t>28</w:t>
          </w:r>
          <w:r>
            <w:fldChar w:fldCharType="end"/>
          </w:r>
          <w:r>
            <w:rPr>
              <w:rFonts w:ascii="Arial" w:hAnsi="Arial" w:cs="Arial"/>
              <w:bCs/>
              <w:szCs w:val="36"/>
            </w:rPr>
            <w:fldChar w:fldCharType="end"/>
          </w:r>
        </w:p>
        <w:p>
          <w:pPr>
            <w:pStyle w:val="14"/>
            <w:tabs>
              <w:tab w:val="right" w:leader="dot" w:pos="9298"/>
            </w:tabs>
            <w:rPr>
              <w:b/>
            </w:rPr>
          </w:pPr>
          <w:r>
            <w:rPr>
              <w:rFonts w:ascii="Arial" w:hAnsi="Arial" w:cs="Arial"/>
              <w:b/>
              <w:bCs/>
              <w:szCs w:val="36"/>
            </w:rPr>
            <w:fldChar w:fldCharType="begin"/>
          </w:r>
          <w:r>
            <w:rPr>
              <w:rFonts w:ascii="Arial" w:hAnsi="Arial" w:cs="Arial"/>
              <w:b/>
              <w:bCs/>
              <w:szCs w:val="36"/>
            </w:rPr>
            <w:instrText xml:space="preserve"> HYPERLINK \l _Toc12733 </w:instrText>
          </w:r>
          <w:r>
            <w:rPr>
              <w:rFonts w:ascii="Arial" w:hAnsi="Arial" w:cs="Arial"/>
              <w:b/>
              <w:bCs/>
              <w:szCs w:val="36"/>
            </w:rPr>
            <w:fldChar w:fldCharType="separate"/>
          </w:r>
          <w:r>
            <w:rPr>
              <w:rFonts w:hint="eastAsia" w:ascii="Arial" w:hAnsi="Arial" w:eastAsia="方正黑体简体" w:cs="Arial"/>
              <w:b/>
              <w:bCs/>
              <w:kern w:val="44"/>
              <w:szCs w:val="32"/>
              <w:lang w:val="en-US" w:eastAsia="zh-CN" w:bidi="ar-SA"/>
            </w:rPr>
            <w:t>第八章 总结</w:t>
          </w:r>
          <w:r>
            <w:rPr>
              <w:b/>
            </w:rPr>
            <w:tab/>
          </w:r>
          <w:r>
            <w:rPr>
              <w:b/>
            </w:rPr>
            <w:fldChar w:fldCharType="begin"/>
          </w:r>
          <w:r>
            <w:rPr>
              <w:b/>
            </w:rPr>
            <w:instrText xml:space="preserve"> PAGEREF _Toc12733 \h </w:instrText>
          </w:r>
          <w:r>
            <w:rPr>
              <w:b/>
            </w:rPr>
            <w:fldChar w:fldCharType="separate"/>
          </w:r>
          <w:r>
            <w:rPr>
              <w:b/>
            </w:rPr>
            <w:t>30</w:t>
          </w:r>
          <w:r>
            <w:rPr>
              <w:b/>
            </w:rPr>
            <w:fldChar w:fldCharType="end"/>
          </w:r>
          <w:r>
            <w:rPr>
              <w:rFonts w:ascii="Arial" w:hAnsi="Arial" w:cs="Arial"/>
              <w:b/>
              <w:bCs/>
              <w:szCs w:val="36"/>
            </w:rPr>
            <w:fldChar w:fldCharType="end"/>
          </w:r>
        </w:p>
        <w:p>
          <w:pPr>
            <w:jc w:val="center"/>
            <w:outlineLvl w:val="9"/>
            <w:rPr>
              <w:rFonts w:ascii="Arial" w:hAnsi="Arial" w:cs="Arial"/>
              <w:b/>
              <w:bCs/>
              <w:sz w:val="36"/>
              <w:szCs w:val="36"/>
            </w:rPr>
          </w:pPr>
          <w:r>
            <w:rPr>
              <w:rFonts w:ascii="Arial" w:hAnsi="Arial" w:cs="Arial"/>
              <w:b/>
              <w:bCs/>
              <w:szCs w:val="36"/>
            </w:rPr>
            <w:fldChar w:fldCharType="end"/>
          </w:r>
        </w:p>
      </w:sdtContent>
    </w:sdt>
    <w:p>
      <w:pPr>
        <w:jc w:val="center"/>
        <w:outlineLvl w:val="9"/>
        <w:rPr>
          <w:rFonts w:ascii="Arial" w:hAnsi="Arial" w:cs="Arial"/>
          <w:b/>
          <w:bCs/>
          <w:sz w:val="36"/>
          <w:szCs w:val="36"/>
        </w:rPr>
      </w:pPr>
    </w:p>
    <w:p>
      <w:pPr>
        <w:jc w:val="center"/>
        <w:outlineLvl w:val="9"/>
        <w:rPr>
          <w:rFonts w:ascii="Arial" w:hAnsi="Arial" w:cs="Arial"/>
          <w:b/>
          <w:bCs/>
          <w:sz w:val="36"/>
          <w:szCs w:val="36"/>
        </w:rPr>
      </w:pPr>
    </w:p>
    <w:p>
      <w:pPr>
        <w:jc w:val="center"/>
        <w:outlineLvl w:val="9"/>
        <w:rPr>
          <w:rFonts w:ascii="Arial" w:hAnsi="Arial" w:cs="Arial"/>
          <w:b/>
          <w:bCs/>
          <w:sz w:val="36"/>
          <w:szCs w:val="36"/>
        </w:rPr>
      </w:pPr>
    </w:p>
    <w:p>
      <w:pPr>
        <w:jc w:val="center"/>
        <w:outlineLvl w:val="9"/>
        <w:rPr>
          <w:rFonts w:ascii="Arial" w:hAnsi="Arial" w:cs="Arial"/>
          <w:b/>
          <w:bCs/>
          <w:sz w:val="36"/>
          <w:szCs w:val="36"/>
        </w:rPr>
      </w:pPr>
    </w:p>
    <w:p>
      <w:pPr>
        <w:jc w:val="center"/>
        <w:outlineLvl w:val="0"/>
        <w:rPr>
          <w:rFonts w:ascii="Arial" w:hAnsi="Arial" w:cs="Arial"/>
          <w:b/>
          <w:bCs/>
          <w:sz w:val="36"/>
          <w:szCs w:val="36"/>
        </w:rPr>
      </w:pPr>
      <w:bookmarkStart w:id="20" w:name="_Toc18984"/>
      <w:bookmarkStart w:id="21" w:name="_Toc7415"/>
      <w:bookmarkStart w:id="22" w:name="_Toc30002"/>
      <w:bookmarkStart w:id="23" w:name="_Toc28408"/>
      <w:bookmarkStart w:id="24" w:name="_Toc338"/>
      <w:r>
        <w:rPr>
          <w:rFonts w:hint="eastAsia" w:ascii="Arial" w:hAnsi="Arial" w:cs="Arial"/>
          <w:b/>
          <w:bCs/>
          <w:sz w:val="36"/>
          <w:szCs w:val="36"/>
        </w:rPr>
        <w:t>邢台华昱房地产开发有限公司</w:t>
      </w:r>
      <w:bookmarkEnd w:id="20"/>
      <w:bookmarkEnd w:id="21"/>
      <w:bookmarkEnd w:id="22"/>
      <w:bookmarkEnd w:id="23"/>
      <w:bookmarkEnd w:id="24"/>
    </w:p>
    <w:p>
      <w:pPr>
        <w:jc w:val="center"/>
        <w:outlineLvl w:val="0"/>
        <w:rPr>
          <w:rFonts w:ascii="Arial" w:hAnsi="Arial" w:cs="Arial"/>
          <w:b/>
          <w:bCs/>
          <w:sz w:val="36"/>
          <w:szCs w:val="36"/>
        </w:rPr>
      </w:pPr>
      <w:bookmarkStart w:id="25" w:name="_Toc14783"/>
      <w:bookmarkStart w:id="26" w:name="_Toc11051"/>
      <w:bookmarkStart w:id="27" w:name="_Toc29995"/>
      <w:bookmarkStart w:id="28" w:name="_Toc6952"/>
      <w:bookmarkStart w:id="29" w:name="_Toc24219"/>
      <w:bookmarkStart w:id="30" w:name="_Toc9899"/>
      <w:bookmarkStart w:id="31" w:name="_Toc1318"/>
      <w:r>
        <w:rPr>
          <w:rFonts w:hint="eastAsia" w:ascii="Arial" w:hAnsi="Arial" w:cs="Arial"/>
          <w:b/>
          <w:bCs/>
          <w:sz w:val="36"/>
          <w:szCs w:val="36"/>
        </w:rPr>
        <w:t>邢台市七里河房地产开发项目</w:t>
      </w:r>
      <w:bookmarkEnd w:id="25"/>
      <w:bookmarkEnd w:id="26"/>
      <w:bookmarkEnd w:id="27"/>
      <w:bookmarkEnd w:id="28"/>
      <w:bookmarkEnd w:id="29"/>
      <w:bookmarkEnd w:id="30"/>
      <w:bookmarkEnd w:id="31"/>
    </w:p>
    <w:p>
      <w:pPr>
        <w:pStyle w:val="5"/>
        <w:adjustRightInd w:val="0"/>
        <w:spacing w:line="360" w:lineRule="auto"/>
        <w:jc w:val="center"/>
        <w:rPr>
          <w:rFonts w:ascii="Arial" w:hAnsi="Arial" w:cs="Arial"/>
          <w:b/>
          <w:bCs/>
          <w:sz w:val="36"/>
          <w:szCs w:val="36"/>
        </w:rPr>
      </w:pPr>
      <w:r>
        <w:rPr>
          <w:rFonts w:hint="eastAsia" w:ascii="Arial" w:hAnsi="Arial" w:cs="Arial"/>
          <w:b/>
          <w:bCs/>
          <w:sz w:val="36"/>
          <w:szCs w:val="36"/>
        </w:rPr>
        <w:t>合同调查分析报告</w:t>
      </w:r>
    </w:p>
    <w:p>
      <w:pPr>
        <w:pStyle w:val="2"/>
        <w:spacing w:before="240" w:line="240" w:lineRule="auto"/>
        <w:rPr>
          <w:rFonts w:ascii="Arial" w:hAnsi="Arial" w:eastAsia="方正黑体简体" w:cs="Arial"/>
          <w:b w:val="0"/>
          <w:bCs/>
          <w:sz w:val="32"/>
          <w:szCs w:val="32"/>
        </w:rPr>
      </w:pPr>
      <w:bookmarkStart w:id="32" w:name="_Toc27134"/>
      <w:bookmarkStart w:id="33" w:name="_Toc23442388"/>
      <w:bookmarkStart w:id="34" w:name="_Toc514917276"/>
      <w:bookmarkStart w:id="35" w:name="_Toc514769665"/>
      <w:bookmarkStart w:id="36" w:name="_Toc514916923"/>
      <w:bookmarkStart w:id="37" w:name="_Toc514917348"/>
      <w:bookmarkStart w:id="38" w:name="_Toc20525"/>
      <w:bookmarkStart w:id="39" w:name="_Toc74250048"/>
      <w:bookmarkStart w:id="40" w:name="_Toc2846"/>
      <w:r>
        <w:rPr>
          <w:rFonts w:ascii="Arial" w:hAnsi="Arial" w:eastAsia="方正黑体简体" w:cs="Arial"/>
          <w:b w:val="0"/>
          <w:bCs/>
          <w:sz w:val="32"/>
          <w:szCs w:val="32"/>
        </w:rPr>
        <w:t>〔内容提要〕</w:t>
      </w:r>
      <w:bookmarkEnd w:id="32"/>
      <w:bookmarkEnd w:id="33"/>
      <w:bookmarkEnd w:id="34"/>
      <w:bookmarkEnd w:id="35"/>
      <w:bookmarkEnd w:id="36"/>
      <w:bookmarkEnd w:id="37"/>
      <w:bookmarkEnd w:id="38"/>
      <w:bookmarkEnd w:id="39"/>
      <w:bookmarkEnd w:id="40"/>
    </w:p>
    <w:p>
      <w:pPr>
        <w:pStyle w:val="5"/>
        <w:spacing w:line="480" w:lineRule="auto"/>
        <w:rPr>
          <w:rFonts w:ascii="Arial" w:hAnsi="Arial" w:cs="Arial"/>
          <w:b/>
          <w:bCs/>
        </w:rPr>
      </w:pPr>
      <w:bookmarkStart w:id="41" w:name="_Toc133693353"/>
      <w:bookmarkStart w:id="42" w:name="_Toc415468956"/>
      <w:bookmarkStart w:id="43" w:name="_Toc111622538"/>
      <w:bookmarkStart w:id="44" w:name="_Toc76889704"/>
      <w:r>
        <w:rPr>
          <w:rFonts w:hint="eastAsia" w:hAnsi="宋体"/>
          <w:b/>
          <w:bCs/>
          <w:szCs w:val="24"/>
        </w:rPr>
        <w:t>北京乾成律师事务所</w:t>
      </w:r>
      <w:r>
        <w:rPr>
          <w:rFonts w:hint="eastAsia" w:ascii="Arial" w:hAnsi="Arial" w:cs="Arial"/>
          <w:b/>
          <w:bCs/>
        </w:rPr>
        <w:t>：</w:t>
      </w:r>
      <w:bookmarkEnd w:id="41"/>
    </w:p>
    <w:p>
      <w:pPr>
        <w:pStyle w:val="5"/>
        <w:adjustRightInd w:val="0"/>
        <w:snapToGrid w:val="0"/>
        <w:spacing w:line="480" w:lineRule="auto"/>
        <w:ind w:firstLine="472" w:firstLineChars="196"/>
        <w:jc w:val="both"/>
        <w:rPr>
          <w:rFonts w:ascii="Arial" w:hAnsi="Arial" w:cs="Arial"/>
          <w:b/>
          <w:bCs/>
          <w:szCs w:val="24"/>
        </w:rPr>
      </w:pPr>
      <w:r>
        <w:rPr>
          <w:rFonts w:hint="eastAsia" w:ascii="Arial" w:hAnsi="Arial" w:cs="Arial"/>
          <w:b/>
          <w:bCs/>
          <w:szCs w:val="24"/>
        </w:rPr>
        <w:t>受贵所委托，针对邢台华昱房地产开发有限公司（以下简称“ 华昱公司”</w:t>
      </w:r>
      <w:r>
        <w:rPr>
          <w:rFonts w:hint="eastAsia" w:ascii="Arial" w:hAnsi="Arial" w:cs="Arial"/>
          <w:b/>
          <w:bCs/>
          <w:szCs w:val="24"/>
          <w:lang w:val="en-US" w:eastAsia="zh-CN"/>
        </w:rPr>
        <w:t>或“项目公司”</w:t>
      </w:r>
      <w:r>
        <w:rPr>
          <w:rFonts w:hint="eastAsia" w:ascii="Arial" w:hAnsi="Arial" w:cs="Arial"/>
          <w:b/>
          <w:bCs/>
          <w:szCs w:val="24"/>
        </w:rPr>
        <w:t>）开发的邢台市七里河房地产开发项目（以下简称“七里河项目”）的合同进行分析。我司对七里河项目</w:t>
      </w:r>
      <w:r>
        <w:rPr>
          <w:rFonts w:ascii="Arial" w:hAnsi="Arial" w:cs="Arial"/>
          <w:b/>
          <w:bCs/>
          <w:szCs w:val="24"/>
        </w:rPr>
        <w:t>所涉及</w:t>
      </w:r>
      <w:r>
        <w:rPr>
          <w:rFonts w:hint="eastAsia" w:ascii="Arial" w:hAnsi="Arial" w:cs="Arial"/>
          <w:b/>
          <w:bCs/>
          <w:szCs w:val="24"/>
        </w:rPr>
        <w:t>的55份合同及相关资料进行了调查分析，形成了七里河项目合同审查分析报告。本</w:t>
      </w:r>
      <w:r>
        <w:rPr>
          <w:rFonts w:ascii="Arial" w:hAnsi="Arial" w:cs="Arial"/>
          <w:b/>
          <w:bCs/>
          <w:szCs w:val="24"/>
        </w:rPr>
        <w:t>报告从项目</w:t>
      </w:r>
      <w:r>
        <w:rPr>
          <w:rFonts w:hint="eastAsia" w:ascii="Arial" w:hAnsi="Arial" w:cs="Arial"/>
          <w:b/>
          <w:bCs/>
          <w:szCs w:val="24"/>
        </w:rPr>
        <w:t>情况</w:t>
      </w:r>
      <w:r>
        <w:rPr>
          <w:rFonts w:ascii="Arial" w:hAnsi="Arial" w:cs="Arial"/>
          <w:b/>
          <w:bCs/>
          <w:szCs w:val="24"/>
        </w:rPr>
        <w:t>概况、项目</w:t>
      </w:r>
      <w:r>
        <w:rPr>
          <w:rFonts w:hint="eastAsia" w:ascii="Arial" w:hAnsi="Arial" w:cs="Arial"/>
          <w:b/>
          <w:bCs/>
          <w:szCs w:val="24"/>
        </w:rPr>
        <w:t>现场调查</w:t>
      </w:r>
      <w:r>
        <w:rPr>
          <w:rFonts w:ascii="Arial" w:hAnsi="Arial" w:cs="Arial"/>
          <w:b/>
          <w:bCs/>
          <w:szCs w:val="24"/>
        </w:rPr>
        <w:t>、</w:t>
      </w:r>
      <w:r>
        <w:rPr>
          <w:rFonts w:hint="eastAsia" w:ascii="Arial" w:hAnsi="Arial" w:cs="Arial"/>
          <w:b/>
          <w:bCs/>
          <w:szCs w:val="24"/>
        </w:rPr>
        <w:t>合同签订履行状况、合同内容梳理分析</w:t>
      </w:r>
      <w:r>
        <w:rPr>
          <w:rFonts w:ascii="Arial" w:hAnsi="Arial" w:cs="Arial"/>
          <w:b/>
          <w:bCs/>
          <w:szCs w:val="24"/>
        </w:rPr>
        <w:t>、</w:t>
      </w:r>
      <w:r>
        <w:rPr>
          <w:rFonts w:hint="eastAsia" w:ascii="Arial" w:hAnsi="Arial" w:cs="Arial"/>
          <w:b/>
          <w:bCs/>
          <w:szCs w:val="24"/>
        </w:rPr>
        <w:t>合同执行调查分析</w:t>
      </w:r>
      <w:r>
        <w:rPr>
          <w:rFonts w:ascii="Arial" w:hAnsi="Arial" w:cs="Arial"/>
          <w:b/>
          <w:bCs/>
          <w:szCs w:val="24"/>
        </w:rPr>
        <w:t>、</w:t>
      </w:r>
      <w:r>
        <w:rPr>
          <w:rFonts w:hint="eastAsia" w:ascii="Arial" w:hAnsi="Arial" w:cs="Arial"/>
          <w:b/>
          <w:bCs/>
          <w:szCs w:val="24"/>
        </w:rPr>
        <w:t>合同审查风险提示及合理化建议</w:t>
      </w:r>
      <w:r>
        <w:rPr>
          <w:rFonts w:ascii="Arial" w:hAnsi="Arial" w:cs="Arial"/>
          <w:b/>
          <w:bCs/>
          <w:szCs w:val="24"/>
        </w:rPr>
        <w:t>等方面进行了较为全面的</w:t>
      </w:r>
      <w:r>
        <w:rPr>
          <w:rFonts w:hint="eastAsia" w:ascii="Arial" w:hAnsi="Arial" w:cs="Arial"/>
          <w:b/>
          <w:bCs/>
          <w:szCs w:val="24"/>
        </w:rPr>
        <w:t>调查分析</w:t>
      </w:r>
      <w:r>
        <w:rPr>
          <w:rFonts w:ascii="Arial" w:hAnsi="Arial" w:cs="Arial"/>
          <w:b/>
          <w:bCs/>
          <w:szCs w:val="24"/>
        </w:rPr>
        <w:t>，主要内容摘录如下：</w:t>
      </w:r>
    </w:p>
    <w:p>
      <w:pPr>
        <w:adjustRightInd w:val="0"/>
        <w:snapToGrid w:val="0"/>
        <w:spacing w:line="480" w:lineRule="auto"/>
        <w:ind w:firstLine="482" w:firstLineChars="200"/>
        <w:jc w:val="both"/>
        <w:rPr>
          <w:rFonts w:ascii="Arial" w:hAnsi="Arial" w:cs="Arial"/>
          <w:b/>
          <w:bCs/>
        </w:rPr>
      </w:pPr>
      <w:r>
        <w:rPr>
          <w:rFonts w:ascii="Arial" w:hAnsi="Arial" w:cs="Arial"/>
          <w:b/>
          <w:bCs/>
        </w:rPr>
        <w:t>建设项目为</w:t>
      </w:r>
      <w:r>
        <w:rPr>
          <w:rFonts w:hint="eastAsia" w:ascii="Arial" w:hAnsi="Arial" w:cs="Arial"/>
          <w:b/>
          <w:bCs/>
        </w:rPr>
        <w:t>邢台七里河</w:t>
      </w:r>
      <w:r>
        <w:rPr>
          <w:rFonts w:ascii="Arial" w:hAnsi="Arial" w:cs="Arial"/>
          <w:b/>
          <w:bCs/>
        </w:rPr>
        <w:t>居住项目</w:t>
      </w:r>
      <w:r>
        <w:rPr>
          <w:rFonts w:hint="eastAsia" w:ascii="Arial" w:hAnsi="Arial" w:cs="Arial"/>
          <w:b/>
          <w:bCs/>
        </w:rPr>
        <w:t>，北京海诚博信文化有限公司（以下简称“海诚公司”）全资子公司华昱公司于</w:t>
      </w:r>
      <w:r>
        <w:rPr>
          <w:rFonts w:ascii="Arial" w:hAnsi="Arial" w:cs="Arial"/>
          <w:b/>
          <w:bCs/>
        </w:rPr>
        <w:t xml:space="preserve"> 2020 年11月18日</w:t>
      </w:r>
      <w:r>
        <w:rPr>
          <w:rFonts w:hint="eastAsia" w:ascii="Arial" w:hAnsi="Arial" w:cs="Arial"/>
          <w:b/>
          <w:bCs/>
        </w:rPr>
        <w:t>通过公开挂牌拍卖方式竞得该项目</w:t>
      </w:r>
      <w:r>
        <w:rPr>
          <w:rFonts w:ascii="Arial" w:hAnsi="Arial" w:cs="Arial"/>
          <w:b/>
          <w:bCs/>
        </w:rPr>
        <w:t>地块</w:t>
      </w:r>
      <w:r>
        <w:rPr>
          <w:rFonts w:hint="eastAsia" w:ascii="Arial" w:hAnsi="Arial" w:cs="Arial"/>
          <w:b/>
          <w:bCs/>
        </w:rPr>
        <w:t>出让</w:t>
      </w:r>
      <w:r>
        <w:rPr>
          <w:rFonts w:ascii="Arial" w:hAnsi="Arial" w:cs="Arial"/>
          <w:b/>
          <w:bCs/>
        </w:rPr>
        <w:t>国有建设用地使用权</w:t>
      </w:r>
      <w:r>
        <w:rPr>
          <w:rFonts w:hint="eastAsia" w:ascii="Arial" w:hAnsi="Arial" w:cs="Arial"/>
          <w:b/>
          <w:bCs/>
        </w:rPr>
        <w:t>，并签订了</w:t>
      </w:r>
      <w:r>
        <w:rPr>
          <w:rFonts w:ascii="Arial" w:hAnsi="Arial" w:cs="Arial"/>
          <w:b/>
          <w:bCs/>
        </w:rPr>
        <w:t>《</w:t>
      </w:r>
      <w:r>
        <w:rPr>
          <w:rFonts w:hint="eastAsia" w:ascii="Arial" w:hAnsi="Arial" w:cs="Arial"/>
          <w:b/>
          <w:bCs/>
        </w:rPr>
        <w:t>国有建设用地使用权出让合同</w:t>
      </w:r>
      <w:r>
        <w:rPr>
          <w:rFonts w:ascii="Arial" w:hAnsi="Arial" w:cs="Arial"/>
          <w:b/>
          <w:bCs/>
        </w:rPr>
        <w:t>》</w:t>
      </w:r>
      <w:r>
        <w:rPr>
          <w:rFonts w:hint="eastAsia" w:ascii="Arial" w:hAnsi="Arial" w:cs="Arial"/>
          <w:b/>
          <w:bCs/>
        </w:rPr>
        <w:t>[电子监管号：1305212021B01536]，</w:t>
      </w:r>
      <w:r>
        <w:rPr>
          <w:rFonts w:ascii="Arial" w:hAnsi="Arial" w:cs="Arial"/>
          <w:b/>
          <w:bCs/>
        </w:rPr>
        <w:t>截至</w:t>
      </w:r>
      <w:r>
        <w:rPr>
          <w:rFonts w:hint="eastAsia" w:ascii="Arial" w:hAnsi="Arial" w:cs="Arial"/>
          <w:b/>
          <w:bCs/>
        </w:rPr>
        <w:t>本</w:t>
      </w:r>
      <w:r>
        <w:rPr>
          <w:rFonts w:ascii="Arial" w:hAnsi="Arial" w:cs="Arial"/>
          <w:b/>
          <w:bCs/>
        </w:rPr>
        <w:t>报告出具日，</w:t>
      </w:r>
      <w:r>
        <w:rPr>
          <w:rFonts w:hint="eastAsia" w:ascii="Arial" w:hAnsi="Arial" w:cs="Arial"/>
          <w:b/>
          <w:bCs/>
        </w:rPr>
        <w:t>已缴清全部土地价款及税费，但尚未</w:t>
      </w:r>
      <w:r>
        <w:rPr>
          <w:rFonts w:ascii="Arial" w:hAnsi="Arial" w:cs="Arial"/>
          <w:b/>
          <w:bCs/>
        </w:rPr>
        <w:t>取得</w:t>
      </w:r>
      <w:r>
        <w:rPr>
          <w:rFonts w:hint="eastAsia" w:ascii="Arial" w:hAnsi="Arial" w:cs="Arial"/>
          <w:b/>
          <w:bCs/>
        </w:rPr>
        <w:t>《不动产权证书》</w:t>
      </w:r>
      <w:r>
        <w:rPr>
          <w:rFonts w:ascii="Arial" w:hAnsi="Arial" w:cs="Arial"/>
          <w:b/>
          <w:bCs/>
        </w:rPr>
        <w:t>。</w:t>
      </w:r>
    </w:p>
    <w:p>
      <w:pPr>
        <w:widowControl w:val="0"/>
        <w:adjustRightInd w:val="0"/>
        <w:snapToGrid w:val="0"/>
        <w:spacing w:line="480" w:lineRule="auto"/>
        <w:ind w:firstLine="479" w:firstLineChars="199"/>
        <w:jc w:val="both"/>
        <w:rPr>
          <w:rFonts w:ascii="Arial" w:hAnsi="Arial" w:cs="Arial"/>
          <w:b/>
          <w:bCs/>
        </w:rPr>
      </w:pPr>
      <w:r>
        <w:rPr>
          <w:rFonts w:hint="eastAsia" w:ascii="Arial" w:hAnsi="Arial" w:cs="Arial"/>
          <w:b/>
          <w:bCs/>
        </w:rPr>
        <w:t>根据建设单位提供的资料，该项目位于邢台市信都区百泉大道以北、七里河西侧。根据《国有建设用地使用权出让合同》[电子监管号：1305212021B01536]及附件，该项目土地用途为居住用地，土地面积53101平方米，项目计容建筑面积≤69031平方米，容积率≤1.3，绿地率≥35%，建筑密度≤28%，建筑限高不超过21米，限低4层。根据项目组提供的</w:t>
      </w:r>
      <w:r>
        <w:rPr>
          <w:rFonts w:hint="eastAsia" w:ascii="Arial" w:hAnsi="Arial" w:cs="Arial"/>
          <w:b/>
          <w:bCs/>
          <w:lang w:val="en-US" w:eastAsia="zh-CN"/>
        </w:rPr>
        <w:t>项目</w:t>
      </w:r>
      <w:r>
        <w:rPr>
          <w:rFonts w:hint="eastAsia" w:ascii="Arial" w:hAnsi="Arial" w:cs="Arial"/>
          <w:b/>
          <w:bCs/>
        </w:rPr>
        <w:t>公司预报规资料，项目规划总建筑面积为84851平方米，其中地上总建筑面积为59736平方米，规划为住宅、居住街坊配套、五分钟生活圈配套；地下总建筑面积为25115平方米，规划为地下车库、物管用房、设备及人防。截至报告出具日开发方案尚未确定。</w:t>
      </w:r>
    </w:p>
    <w:p>
      <w:pPr>
        <w:widowControl w:val="0"/>
        <w:adjustRightInd w:val="0"/>
        <w:snapToGrid w:val="0"/>
        <w:spacing w:line="480" w:lineRule="auto"/>
        <w:ind w:firstLine="479" w:firstLineChars="199"/>
        <w:jc w:val="both"/>
        <w:rPr>
          <w:rFonts w:ascii="Arial" w:hAnsi="Arial" w:cs="Arial"/>
          <w:b/>
          <w:bCs/>
          <w:color w:val="000000"/>
        </w:rPr>
      </w:pPr>
      <w:r>
        <w:rPr>
          <w:rFonts w:hint="eastAsia" w:ascii="Arial" w:hAnsi="Arial" w:cs="Arial"/>
          <w:b/>
          <w:bCs/>
          <w:color w:val="000000"/>
        </w:rPr>
        <w:t>本次咨询截止日内，建设单位提供的合同类型包括：设计类、前期类、财务类及综管类；合同数量55份；我司实际核查合同数量55份，并含合同对应相关流程文件和财务</w:t>
      </w:r>
      <w:r>
        <w:rPr>
          <w:rFonts w:hint="eastAsia" w:ascii="Arial" w:hAnsi="Arial" w:cs="Arial"/>
          <w:b/>
          <w:bCs/>
          <w:color w:val="000000"/>
          <w:lang w:val="en-US" w:eastAsia="zh-CN"/>
        </w:rPr>
        <w:t>信息</w:t>
      </w:r>
      <w:r>
        <w:rPr>
          <w:rFonts w:hint="eastAsia" w:ascii="Arial" w:hAnsi="Arial" w:cs="Arial"/>
          <w:b/>
          <w:bCs/>
          <w:color w:val="000000"/>
        </w:rPr>
        <w:t>。审查过程包括真实性审查、规范性审查、完备性审查。通过现场走访了解、行政存档原件比对和分</w:t>
      </w:r>
      <w:r>
        <w:rPr>
          <w:rFonts w:hint="eastAsia" w:ascii="Arial" w:hAnsi="Arial" w:cs="Arial"/>
          <w:b/>
          <w:bCs/>
          <w:color w:val="000000"/>
          <w:lang w:val="en-US" w:eastAsia="zh-CN"/>
        </w:rPr>
        <w:t>条线</w:t>
      </w:r>
      <w:r>
        <w:rPr>
          <w:rFonts w:hint="eastAsia" w:ascii="Arial" w:hAnsi="Arial" w:cs="Arial"/>
          <w:b/>
          <w:bCs/>
          <w:color w:val="000000"/>
        </w:rPr>
        <w:t>专业人员分析得到本次调查结果。</w:t>
      </w:r>
    </w:p>
    <w:p>
      <w:pPr>
        <w:widowControl w:val="0"/>
        <w:adjustRightInd w:val="0"/>
        <w:snapToGrid w:val="0"/>
        <w:spacing w:line="480" w:lineRule="auto"/>
        <w:ind w:firstLine="482" w:firstLineChars="200"/>
        <w:rPr>
          <w:rFonts w:ascii="Arial" w:hAnsi="Arial" w:cs="Arial"/>
          <w:b/>
          <w:bCs/>
        </w:rPr>
        <w:sectPr>
          <w:headerReference r:id="rId9" w:type="first"/>
          <w:footerReference r:id="rId11" w:type="first"/>
          <w:headerReference r:id="rId7" w:type="default"/>
          <w:footerReference r:id="rId10" w:type="default"/>
          <w:headerReference r:id="rId8" w:type="even"/>
          <w:pgSz w:w="11906" w:h="16838"/>
          <w:pgMar w:top="1843" w:right="1304" w:bottom="1134" w:left="1304" w:header="1134" w:footer="907" w:gutter="0"/>
          <w:pgBorders>
            <w:top w:val="none" w:sz="0" w:space="0"/>
            <w:left w:val="none" w:sz="0" w:space="0"/>
            <w:bottom w:val="none" w:sz="0" w:space="0"/>
            <w:right w:val="none" w:sz="0" w:space="0"/>
          </w:pgBorders>
          <w:pgNumType w:start="1"/>
          <w:cols w:space="425" w:num="1"/>
          <w:titlePg/>
          <w:docGrid w:linePitch="312" w:charSpace="0"/>
        </w:sectPr>
      </w:pPr>
      <w:r>
        <w:rPr>
          <w:rFonts w:hint="eastAsia" w:ascii="Arial" w:hAnsi="Arial" w:cs="Arial"/>
          <w:b/>
          <w:bCs/>
        </w:rPr>
        <w:t>以上通过本次合同核查了解合同相关执行状况，具体核查内容及结论详见报告相应章节。本次核查根据北京海鑫资产管理有限公司</w:t>
      </w:r>
      <w:r>
        <w:rPr>
          <w:rFonts w:hint="eastAsia" w:ascii="Arial" w:hAnsi="Arial" w:cs="Arial"/>
          <w:b/>
          <w:bCs/>
          <w:lang w:eastAsia="zh-CN"/>
        </w:rPr>
        <w:t>（</w:t>
      </w:r>
      <w:r>
        <w:rPr>
          <w:rFonts w:hint="eastAsia" w:ascii="Arial" w:hAnsi="Arial" w:cs="Arial"/>
          <w:b/>
          <w:bCs/>
          <w:lang w:val="en-US" w:eastAsia="zh-CN"/>
        </w:rPr>
        <w:t>以下简称“海鑫资产”或“建设单位”</w:t>
      </w:r>
      <w:r>
        <w:rPr>
          <w:rFonts w:hint="eastAsia" w:ascii="Arial" w:hAnsi="Arial" w:cs="Arial"/>
          <w:b/>
          <w:bCs/>
          <w:lang w:eastAsia="zh-CN"/>
        </w:rPr>
        <w:t>）</w:t>
      </w:r>
      <w:r>
        <w:rPr>
          <w:rFonts w:hint="eastAsia" w:ascii="Arial" w:hAnsi="Arial" w:cs="Arial"/>
          <w:b/>
          <w:bCs/>
        </w:rPr>
        <w:t>提供的资料等要件为依据，</w:t>
      </w:r>
      <w:r>
        <w:rPr>
          <w:rFonts w:ascii="Arial" w:hAnsi="Arial" w:cs="Arial"/>
          <w:b/>
          <w:bCs/>
        </w:rPr>
        <w:t>资料提供者应对其真实性、合法性负责，如基础资料</w:t>
      </w:r>
      <w:r>
        <w:rPr>
          <w:rFonts w:hint="eastAsia" w:ascii="Arial" w:hAnsi="Arial" w:cs="Arial"/>
          <w:b/>
          <w:bCs/>
        </w:rPr>
        <w:t>增加</w:t>
      </w:r>
      <w:r>
        <w:rPr>
          <w:rFonts w:ascii="Arial" w:hAnsi="Arial" w:cs="Arial"/>
          <w:b/>
          <w:bCs/>
        </w:rPr>
        <w:t>，</w:t>
      </w:r>
      <w:r>
        <w:rPr>
          <w:rFonts w:hint="eastAsia" w:ascii="Arial" w:hAnsi="Arial" w:cs="Arial"/>
          <w:b/>
          <w:bCs/>
        </w:rPr>
        <w:t>导致核查结果变化，</w:t>
      </w:r>
      <w:r>
        <w:rPr>
          <w:rFonts w:ascii="Arial" w:hAnsi="Arial" w:cs="Arial"/>
          <w:b/>
          <w:bCs/>
        </w:rPr>
        <w:t>本报告</w:t>
      </w:r>
      <w:r>
        <w:rPr>
          <w:rFonts w:hint="eastAsia" w:ascii="Arial" w:hAnsi="Arial" w:cs="Arial"/>
          <w:b/>
          <w:bCs/>
        </w:rPr>
        <w:t>结论将</w:t>
      </w:r>
      <w:r>
        <w:rPr>
          <w:rFonts w:ascii="Arial" w:hAnsi="Arial" w:cs="Arial"/>
          <w:b/>
          <w:bCs/>
        </w:rPr>
        <w:t>重新调整。</w:t>
      </w:r>
    </w:p>
    <w:p>
      <w:pPr>
        <w:pStyle w:val="2"/>
        <w:spacing w:before="240"/>
        <w:jc w:val="center"/>
        <w:rPr>
          <w:rFonts w:ascii="Arial" w:hAnsi="Arial" w:eastAsia="方正黑体简体" w:cs="Arial"/>
          <w:b w:val="0"/>
          <w:bCs/>
          <w:sz w:val="32"/>
          <w:szCs w:val="32"/>
        </w:rPr>
      </w:pPr>
      <w:bookmarkStart w:id="45" w:name="_Toc1613"/>
      <w:bookmarkStart w:id="46" w:name="_Toc14049"/>
      <w:bookmarkStart w:id="47" w:name="_Toc74250049"/>
      <w:bookmarkStart w:id="48" w:name="_Toc21387"/>
      <w:r>
        <w:rPr>
          <w:rFonts w:ascii="Arial" w:hAnsi="Arial" w:eastAsia="方正黑体简体" w:cs="Arial"/>
          <w:b w:val="0"/>
          <w:bCs/>
          <w:sz w:val="32"/>
          <w:szCs w:val="32"/>
        </w:rPr>
        <w:t xml:space="preserve">第一章  </w:t>
      </w:r>
      <w:r>
        <w:rPr>
          <w:rFonts w:hint="eastAsia" w:ascii="Arial" w:hAnsi="Arial" w:eastAsia="方正黑体简体" w:cs="Arial"/>
          <w:b w:val="0"/>
          <w:bCs/>
          <w:sz w:val="32"/>
          <w:szCs w:val="32"/>
        </w:rPr>
        <w:t>调查分析</w:t>
      </w:r>
      <w:r>
        <w:rPr>
          <w:rFonts w:ascii="Arial" w:hAnsi="Arial" w:eastAsia="方正黑体简体" w:cs="Arial"/>
          <w:b w:val="0"/>
          <w:bCs/>
          <w:sz w:val="32"/>
          <w:szCs w:val="32"/>
        </w:rPr>
        <w:t>说明</w:t>
      </w:r>
      <w:bookmarkEnd w:id="45"/>
      <w:bookmarkEnd w:id="46"/>
      <w:bookmarkEnd w:id="47"/>
      <w:bookmarkEnd w:id="48"/>
    </w:p>
    <w:bookmarkEnd w:id="42"/>
    <w:bookmarkEnd w:id="43"/>
    <w:p>
      <w:pPr>
        <w:pStyle w:val="3"/>
        <w:spacing w:before="0" w:after="0" w:line="480" w:lineRule="auto"/>
        <w:rPr>
          <w:rFonts w:eastAsia="宋体" w:cs="Arial"/>
          <w:sz w:val="21"/>
          <w:szCs w:val="21"/>
        </w:rPr>
      </w:pPr>
      <w:bookmarkStart w:id="49" w:name="_Toc74250050"/>
      <w:bookmarkStart w:id="50" w:name="_Toc18487"/>
      <w:bookmarkStart w:id="51" w:name="_Toc32567"/>
      <w:bookmarkStart w:id="52" w:name="OLE_LINK1"/>
      <w:bookmarkStart w:id="53" w:name="_Toc187666148"/>
      <w:r>
        <w:rPr>
          <w:rFonts w:eastAsia="宋体" w:cs="Arial"/>
          <w:sz w:val="21"/>
          <w:szCs w:val="21"/>
        </w:rPr>
        <w:t>一、委托单位</w:t>
      </w:r>
      <w:bookmarkEnd w:id="49"/>
      <w:r>
        <w:rPr>
          <w:rFonts w:hint="eastAsia" w:eastAsia="宋体" w:cs="Arial"/>
          <w:sz w:val="21"/>
          <w:szCs w:val="21"/>
        </w:rPr>
        <w:t>及建设单位</w:t>
      </w:r>
      <w:bookmarkEnd w:id="50"/>
      <w:bookmarkEnd w:id="51"/>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委托</w:t>
      </w:r>
      <w:r>
        <w:rPr>
          <w:rFonts w:ascii="Arial" w:hAnsi="Arial" w:cs="Arial"/>
          <w:color w:val="000000"/>
          <w:sz w:val="21"/>
          <w:szCs w:val="21"/>
        </w:rPr>
        <w:t>单位名称：</w:t>
      </w:r>
      <w:r>
        <w:rPr>
          <w:rFonts w:hint="eastAsia" w:ascii="Arial" w:hAnsi="Arial" w:cs="Arial"/>
          <w:color w:val="000000"/>
          <w:sz w:val="21"/>
          <w:szCs w:val="21"/>
        </w:rPr>
        <w:t>北京乾成律师事务所</w:t>
      </w:r>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公司地址：</w:t>
      </w:r>
      <w:r>
        <w:rPr>
          <w:rFonts w:hint="eastAsia" w:ascii="Arial" w:hAnsi="Arial" w:cs="Arial"/>
          <w:color w:val="000000"/>
          <w:sz w:val="21"/>
          <w:szCs w:val="21"/>
        </w:rPr>
        <w:t>北京市朝阳区东三环中路7号财富写字楼41层</w:t>
      </w: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rPr>
        <w:t>负责人</w:t>
      </w:r>
      <w:r>
        <w:rPr>
          <w:rFonts w:ascii="Arial" w:hAnsi="Arial" w:cs="Arial"/>
          <w:color w:val="000000"/>
          <w:sz w:val="21"/>
          <w:szCs w:val="21"/>
        </w:rPr>
        <w:t>：</w:t>
      </w:r>
      <w:r>
        <w:fldChar w:fldCharType="begin"/>
      </w:r>
      <w:r>
        <w:instrText xml:space="preserve"> HYPERLINK "https://aiqicha.baidu.com/person?personId=05d37bf9b3a40a49f1c1971a6e466630&amp;entry=2115" \t "https://aiqicha.baidu.com/detail/_blank" </w:instrText>
      </w:r>
      <w:r>
        <w:fldChar w:fldCharType="separate"/>
      </w:r>
      <w:r>
        <w:rPr>
          <w:rFonts w:ascii="Arial" w:hAnsi="Arial" w:cs="Arial"/>
          <w:color w:val="000000"/>
          <w:sz w:val="21"/>
          <w:szCs w:val="21"/>
        </w:rPr>
        <w:t>廖鸿程</w:t>
      </w:r>
      <w:r>
        <w:rPr>
          <w:rFonts w:ascii="Arial" w:hAnsi="Arial" w:cs="Arial"/>
          <w:color w:val="000000"/>
          <w:sz w:val="21"/>
          <w:szCs w:val="21"/>
        </w:rPr>
        <w:fldChar w:fldCharType="end"/>
      </w:r>
    </w:p>
    <w:p>
      <w:pPr>
        <w:adjustRightInd w:val="0"/>
        <w:snapToGrid w:val="0"/>
        <w:spacing w:line="480" w:lineRule="auto"/>
        <w:ind w:firstLine="420" w:firstLineChars="200"/>
        <w:jc w:val="both"/>
        <w:rPr>
          <w:rFonts w:hint="eastAsia" w:ascii="Arial" w:hAnsi="Arial" w:cs="Arial"/>
          <w:color w:val="000000"/>
          <w:sz w:val="21"/>
          <w:szCs w:val="21"/>
        </w:rPr>
      </w:pPr>
    </w:p>
    <w:p>
      <w:pPr>
        <w:adjustRightInd w:val="0"/>
        <w:snapToGrid w:val="0"/>
        <w:spacing w:line="480" w:lineRule="auto"/>
        <w:ind w:firstLine="420" w:firstLineChars="200"/>
        <w:jc w:val="both"/>
        <w:rPr>
          <w:rFonts w:ascii="Arial" w:hAnsi="Arial" w:cs="Arial"/>
          <w:color w:val="000000"/>
          <w:sz w:val="21"/>
          <w:szCs w:val="21"/>
        </w:rPr>
      </w:pPr>
      <w:r>
        <w:rPr>
          <w:rFonts w:hint="eastAsia" w:ascii="Arial" w:hAnsi="Arial" w:cs="Arial"/>
          <w:color w:val="000000"/>
          <w:sz w:val="21"/>
          <w:szCs w:val="21"/>
          <w:lang w:val="en-US" w:eastAsia="zh-CN"/>
        </w:rPr>
        <w:t>项目公司</w:t>
      </w:r>
      <w:r>
        <w:rPr>
          <w:rFonts w:ascii="Arial" w:hAnsi="Arial" w:cs="Arial"/>
          <w:color w:val="000000"/>
          <w:sz w:val="21"/>
          <w:szCs w:val="21"/>
        </w:rPr>
        <w:t>名称：</w:t>
      </w:r>
      <w:r>
        <w:rPr>
          <w:rFonts w:hint="eastAsia" w:ascii="Arial" w:hAnsi="Arial" w:cs="Arial"/>
          <w:color w:val="000000"/>
          <w:sz w:val="21"/>
          <w:szCs w:val="21"/>
        </w:rPr>
        <w:t>邢台华昱房地产开发有限公司</w:t>
      </w:r>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公司地址：</w:t>
      </w:r>
      <w:r>
        <w:rPr>
          <w:rFonts w:hint="eastAsia" w:ascii="Arial" w:hAnsi="Arial" w:cs="Arial"/>
          <w:color w:val="000000"/>
          <w:sz w:val="21"/>
          <w:szCs w:val="21"/>
        </w:rPr>
        <w:t>河北省邢台市信都区百泉大道以南、南水北调以西邢台碧桂园8号楼2层201</w:t>
      </w:r>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法定代表人：</w:t>
      </w:r>
      <w:r>
        <w:rPr>
          <w:rFonts w:hint="eastAsia" w:ascii="Arial" w:hAnsi="Arial" w:cs="Arial"/>
          <w:color w:val="000000"/>
          <w:sz w:val="21"/>
          <w:szCs w:val="21"/>
        </w:rPr>
        <w:t>石敏刚</w:t>
      </w:r>
    </w:p>
    <w:p>
      <w:pPr>
        <w:pStyle w:val="3"/>
        <w:spacing w:before="0" w:after="0" w:line="480" w:lineRule="auto"/>
        <w:jc w:val="both"/>
        <w:rPr>
          <w:rFonts w:eastAsia="宋体" w:cs="Arial"/>
          <w:sz w:val="21"/>
          <w:szCs w:val="21"/>
        </w:rPr>
      </w:pPr>
      <w:bookmarkStart w:id="54" w:name="_Toc32140"/>
      <w:bookmarkStart w:id="55" w:name="_Toc74250051"/>
      <w:bookmarkStart w:id="56" w:name="_Toc29066"/>
      <w:r>
        <w:rPr>
          <w:rFonts w:eastAsia="宋体" w:cs="Arial"/>
          <w:sz w:val="21"/>
          <w:szCs w:val="21"/>
        </w:rPr>
        <w:t>二、编制单位</w:t>
      </w:r>
      <w:bookmarkEnd w:id="54"/>
      <w:bookmarkEnd w:id="55"/>
      <w:bookmarkEnd w:id="56"/>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单位名称：北京康正宏基房地产评估有限公司</w:t>
      </w:r>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公司地址：北京市朝阳区裕民路12号中国国际科技会展中心B座10层1001室</w:t>
      </w:r>
    </w:p>
    <w:p>
      <w:pPr>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法</w:t>
      </w:r>
      <w:r>
        <w:rPr>
          <w:rFonts w:hint="eastAsia" w:ascii="Arial" w:hAnsi="Arial" w:cs="Arial"/>
          <w:color w:val="000000"/>
          <w:sz w:val="21"/>
          <w:szCs w:val="21"/>
        </w:rPr>
        <w:t>定</w:t>
      </w:r>
      <w:r>
        <w:rPr>
          <w:rFonts w:ascii="Arial" w:hAnsi="Arial" w:cs="Arial"/>
          <w:color w:val="000000"/>
          <w:sz w:val="21"/>
          <w:szCs w:val="21"/>
        </w:rPr>
        <w:t>代表</w:t>
      </w:r>
      <w:r>
        <w:rPr>
          <w:rFonts w:hint="eastAsia" w:ascii="Arial" w:hAnsi="Arial" w:cs="Arial"/>
          <w:color w:val="000000"/>
          <w:sz w:val="21"/>
          <w:szCs w:val="21"/>
        </w:rPr>
        <w:t>人</w:t>
      </w:r>
      <w:r>
        <w:rPr>
          <w:rFonts w:ascii="Arial" w:hAnsi="Arial" w:cs="Arial"/>
          <w:color w:val="000000"/>
          <w:sz w:val="21"/>
          <w:szCs w:val="21"/>
        </w:rPr>
        <w:t>：齐  宏</w:t>
      </w:r>
    </w:p>
    <w:p>
      <w:pPr>
        <w:pStyle w:val="3"/>
        <w:spacing w:before="0" w:after="0" w:line="480" w:lineRule="auto"/>
        <w:jc w:val="both"/>
        <w:rPr>
          <w:rFonts w:eastAsia="宋体" w:cs="Arial"/>
          <w:sz w:val="21"/>
          <w:szCs w:val="21"/>
        </w:rPr>
      </w:pPr>
      <w:bookmarkStart w:id="57" w:name="_Toc111622540"/>
      <w:bookmarkStart w:id="58" w:name="_Toc415468958"/>
      <w:bookmarkStart w:id="59" w:name="_Toc13439"/>
      <w:bookmarkStart w:id="60" w:name="_Toc74250052"/>
      <w:bookmarkStart w:id="61" w:name="_Toc28159"/>
      <w:r>
        <w:rPr>
          <w:rFonts w:eastAsia="宋体" w:cs="Arial"/>
          <w:sz w:val="21"/>
          <w:szCs w:val="21"/>
        </w:rPr>
        <w:t>三、</w:t>
      </w:r>
      <w:bookmarkEnd w:id="57"/>
      <w:bookmarkEnd w:id="58"/>
      <w:r>
        <w:rPr>
          <w:rFonts w:eastAsia="宋体" w:cs="Arial"/>
          <w:sz w:val="21"/>
          <w:szCs w:val="21"/>
        </w:rPr>
        <w:t>编制目的</w:t>
      </w:r>
      <w:bookmarkEnd w:id="59"/>
      <w:bookmarkEnd w:id="60"/>
      <w:bookmarkEnd w:id="61"/>
    </w:p>
    <w:p>
      <w:pPr>
        <w:adjustRightInd w:val="0"/>
        <w:snapToGrid w:val="0"/>
        <w:spacing w:line="480" w:lineRule="auto"/>
        <w:ind w:firstLine="420" w:firstLineChars="200"/>
        <w:jc w:val="both"/>
        <w:rPr>
          <w:rFonts w:ascii="Arial" w:hAnsi="Arial" w:cs="Arial"/>
          <w:sz w:val="21"/>
          <w:szCs w:val="21"/>
        </w:rPr>
      </w:pPr>
      <w:r>
        <w:rPr>
          <w:rFonts w:ascii="Arial" w:hAnsi="Arial" w:cs="Arial"/>
          <w:sz w:val="21"/>
          <w:szCs w:val="21"/>
        </w:rPr>
        <w:t>为委托单位</w:t>
      </w:r>
      <w:r>
        <w:rPr>
          <w:rFonts w:hint="eastAsia" w:ascii="Arial" w:hAnsi="Arial" w:cs="Arial"/>
          <w:sz w:val="21"/>
          <w:szCs w:val="21"/>
        </w:rPr>
        <w:t>了解合同具体执行情况、合同相关匹配性及合理性进行分析并出具咨询意见报告</w:t>
      </w:r>
      <w:r>
        <w:rPr>
          <w:rFonts w:ascii="Arial" w:hAnsi="Arial" w:cs="Arial"/>
          <w:sz w:val="21"/>
          <w:szCs w:val="21"/>
        </w:rPr>
        <w:t>。</w:t>
      </w:r>
    </w:p>
    <w:p>
      <w:pPr>
        <w:pStyle w:val="3"/>
        <w:spacing w:before="0" w:after="0" w:line="480" w:lineRule="auto"/>
        <w:jc w:val="both"/>
        <w:rPr>
          <w:rFonts w:eastAsia="宋体" w:cs="Arial"/>
          <w:sz w:val="21"/>
          <w:szCs w:val="21"/>
        </w:rPr>
      </w:pPr>
      <w:bookmarkStart w:id="62" w:name="_Toc415468959"/>
      <w:bookmarkStart w:id="63" w:name="_Toc111622541"/>
      <w:bookmarkStart w:id="64" w:name="_Toc29246"/>
      <w:bookmarkStart w:id="65" w:name="_Toc74250053"/>
      <w:bookmarkStart w:id="66" w:name="_Toc9222"/>
      <w:r>
        <w:rPr>
          <w:rFonts w:eastAsia="宋体" w:cs="Arial"/>
          <w:sz w:val="21"/>
          <w:szCs w:val="21"/>
        </w:rPr>
        <w:t>四、</w:t>
      </w:r>
      <w:bookmarkEnd w:id="62"/>
      <w:bookmarkEnd w:id="63"/>
      <w:r>
        <w:rPr>
          <w:rFonts w:eastAsia="宋体" w:cs="Arial"/>
          <w:sz w:val="21"/>
          <w:szCs w:val="21"/>
        </w:rPr>
        <w:t>主要内容</w:t>
      </w:r>
      <w:bookmarkEnd w:id="64"/>
      <w:bookmarkEnd w:id="65"/>
      <w:bookmarkEnd w:id="66"/>
    </w:p>
    <w:p>
      <w:pPr>
        <w:adjustRightInd w:val="0"/>
        <w:snapToGrid w:val="0"/>
        <w:spacing w:line="480" w:lineRule="auto"/>
        <w:ind w:firstLine="420" w:firstLineChars="200"/>
        <w:jc w:val="both"/>
        <w:rPr>
          <w:rFonts w:ascii="Arial" w:hAnsi="Arial" w:cs="Arial"/>
          <w:sz w:val="21"/>
          <w:szCs w:val="21"/>
        </w:rPr>
      </w:pPr>
      <w:r>
        <w:rPr>
          <w:rFonts w:ascii="Arial" w:hAnsi="Arial" w:cs="Arial"/>
          <w:sz w:val="21"/>
          <w:szCs w:val="21"/>
        </w:rPr>
        <w:t>1、项目</w:t>
      </w:r>
      <w:r>
        <w:rPr>
          <w:rFonts w:hint="eastAsia" w:ascii="Arial" w:hAnsi="Arial" w:cs="Arial"/>
          <w:sz w:val="21"/>
          <w:szCs w:val="21"/>
        </w:rPr>
        <w:t>现场调查</w:t>
      </w:r>
      <w:r>
        <w:rPr>
          <w:rFonts w:ascii="Arial" w:hAnsi="Arial" w:cs="Arial"/>
          <w:sz w:val="21"/>
          <w:szCs w:val="21"/>
        </w:rPr>
        <w:t>；</w:t>
      </w:r>
    </w:p>
    <w:p>
      <w:pPr>
        <w:adjustRightInd w:val="0"/>
        <w:snapToGrid w:val="0"/>
        <w:spacing w:line="480" w:lineRule="auto"/>
        <w:ind w:firstLine="420" w:firstLineChars="200"/>
        <w:jc w:val="both"/>
        <w:rPr>
          <w:rFonts w:ascii="Arial" w:hAnsi="Arial" w:cs="Arial"/>
          <w:sz w:val="21"/>
          <w:szCs w:val="21"/>
        </w:rPr>
      </w:pPr>
      <w:r>
        <w:rPr>
          <w:rFonts w:ascii="Arial" w:hAnsi="Arial" w:cs="Arial"/>
          <w:sz w:val="21"/>
          <w:szCs w:val="21"/>
        </w:rPr>
        <w:t>2、</w:t>
      </w:r>
      <w:r>
        <w:rPr>
          <w:rFonts w:hint="eastAsia" w:ascii="Arial" w:hAnsi="Arial" w:cs="Arial"/>
          <w:sz w:val="21"/>
          <w:szCs w:val="21"/>
        </w:rPr>
        <w:t>合同内容梳理分析</w:t>
      </w:r>
      <w:r>
        <w:rPr>
          <w:rFonts w:ascii="Arial" w:hAnsi="Arial" w:cs="Arial"/>
          <w:sz w:val="21"/>
          <w:szCs w:val="21"/>
        </w:rPr>
        <w:t>；</w:t>
      </w:r>
    </w:p>
    <w:p>
      <w:pPr>
        <w:adjustRightInd w:val="0"/>
        <w:snapToGrid w:val="0"/>
        <w:spacing w:line="480" w:lineRule="auto"/>
        <w:ind w:firstLine="420" w:firstLineChars="200"/>
        <w:jc w:val="both"/>
        <w:rPr>
          <w:rFonts w:ascii="Arial" w:hAnsi="Arial" w:cs="Arial"/>
          <w:sz w:val="21"/>
          <w:szCs w:val="21"/>
        </w:rPr>
      </w:pPr>
      <w:r>
        <w:rPr>
          <w:rFonts w:ascii="Arial" w:hAnsi="Arial" w:cs="Arial"/>
          <w:sz w:val="21"/>
          <w:szCs w:val="21"/>
        </w:rPr>
        <w:t>3、</w:t>
      </w:r>
      <w:r>
        <w:rPr>
          <w:rFonts w:hint="eastAsia" w:ascii="Arial" w:hAnsi="Arial" w:cs="Arial"/>
          <w:sz w:val="21"/>
          <w:szCs w:val="21"/>
        </w:rPr>
        <w:t>合同执行调查分析</w:t>
      </w:r>
      <w:r>
        <w:rPr>
          <w:rFonts w:ascii="Arial" w:hAnsi="Arial" w:cs="Arial"/>
          <w:sz w:val="21"/>
          <w:szCs w:val="21"/>
        </w:rPr>
        <w:t>；</w:t>
      </w:r>
    </w:p>
    <w:p>
      <w:pPr>
        <w:adjustRightInd w:val="0"/>
        <w:snapToGrid w:val="0"/>
        <w:spacing w:line="480" w:lineRule="auto"/>
        <w:ind w:firstLine="420" w:firstLineChars="200"/>
        <w:jc w:val="both"/>
        <w:rPr>
          <w:rFonts w:ascii="Arial" w:hAnsi="Arial" w:cs="Arial"/>
          <w:sz w:val="21"/>
          <w:szCs w:val="21"/>
        </w:rPr>
      </w:pPr>
      <w:r>
        <w:rPr>
          <w:rFonts w:ascii="Arial" w:hAnsi="Arial" w:cs="Arial"/>
          <w:sz w:val="21"/>
          <w:szCs w:val="21"/>
        </w:rPr>
        <w:t>4、</w:t>
      </w:r>
      <w:r>
        <w:rPr>
          <w:rFonts w:hint="eastAsia" w:ascii="Arial" w:hAnsi="Arial" w:cs="Arial"/>
          <w:sz w:val="21"/>
          <w:szCs w:val="21"/>
        </w:rPr>
        <w:t>合同审查风险提示及合理化建议</w:t>
      </w:r>
      <w:r>
        <w:rPr>
          <w:rFonts w:ascii="Arial" w:hAnsi="Arial" w:cs="Arial"/>
          <w:sz w:val="21"/>
          <w:szCs w:val="21"/>
        </w:rPr>
        <w:t>。</w:t>
      </w:r>
    </w:p>
    <w:p>
      <w:pPr>
        <w:pStyle w:val="3"/>
        <w:spacing w:before="0" w:after="0" w:line="480" w:lineRule="auto"/>
        <w:jc w:val="both"/>
        <w:rPr>
          <w:rFonts w:eastAsia="宋体" w:cs="Arial"/>
          <w:sz w:val="21"/>
          <w:szCs w:val="21"/>
        </w:rPr>
      </w:pPr>
      <w:bookmarkStart w:id="67" w:name="_Toc285790758"/>
      <w:bookmarkStart w:id="68" w:name="_Toc187666130"/>
      <w:bookmarkStart w:id="69" w:name="_Toc6892"/>
      <w:bookmarkStart w:id="70" w:name="_Toc74250054"/>
      <w:bookmarkStart w:id="71" w:name="_Toc20140"/>
      <w:bookmarkStart w:id="72" w:name="_Toc111622545"/>
      <w:bookmarkStart w:id="73" w:name="_Toc415468962"/>
      <w:r>
        <w:rPr>
          <w:rFonts w:eastAsia="宋体" w:cs="Arial"/>
          <w:sz w:val="21"/>
          <w:szCs w:val="21"/>
        </w:rPr>
        <w:t>五、</w:t>
      </w:r>
      <w:bookmarkEnd w:id="67"/>
      <w:bookmarkEnd w:id="68"/>
      <w:r>
        <w:rPr>
          <w:rFonts w:eastAsia="宋体" w:cs="Arial"/>
          <w:sz w:val="21"/>
          <w:szCs w:val="21"/>
        </w:rPr>
        <w:t>编制日期</w:t>
      </w:r>
      <w:bookmarkEnd w:id="69"/>
      <w:bookmarkEnd w:id="70"/>
      <w:bookmarkEnd w:id="71"/>
    </w:p>
    <w:bookmarkEnd w:id="72"/>
    <w:bookmarkEnd w:id="73"/>
    <w:p>
      <w:pPr>
        <w:adjustRightInd w:val="0"/>
        <w:snapToGrid w:val="0"/>
        <w:spacing w:line="480" w:lineRule="auto"/>
        <w:ind w:firstLine="420" w:firstLineChars="200"/>
        <w:jc w:val="both"/>
        <w:rPr>
          <w:rFonts w:ascii="Arial" w:hAnsi="Arial" w:cs="Arial"/>
          <w:sz w:val="21"/>
          <w:szCs w:val="21"/>
        </w:rPr>
      </w:pPr>
      <w:r>
        <w:rPr>
          <w:rFonts w:ascii="Arial" w:hAnsi="Arial" w:cs="Arial"/>
          <w:sz w:val="21"/>
          <w:szCs w:val="21"/>
        </w:rPr>
        <w:t>202</w:t>
      </w:r>
      <w:r>
        <w:rPr>
          <w:rFonts w:hint="eastAsia" w:ascii="Arial" w:hAnsi="Arial" w:cs="Arial"/>
          <w:sz w:val="21"/>
          <w:szCs w:val="21"/>
        </w:rPr>
        <w:t>3</w:t>
      </w:r>
      <w:r>
        <w:rPr>
          <w:rFonts w:ascii="Arial" w:hAnsi="Arial" w:cs="Arial"/>
          <w:sz w:val="21"/>
          <w:szCs w:val="21"/>
        </w:rPr>
        <w:t>年</w:t>
      </w:r>
      <w:r>
        <w:rPr>
          <w:rFonts w:hint="eastAsia" w:ascii="Arial" w:hAnsi="Arial" w:cs="Arial"/>
          <w:sz w:val="21"/>
          <w:szCs w:val="21"/>
        </w:rPr>
        <w:t>7</w:t>
      </w:r>
      <w:r>
        <w:rPr>
          <w:rFonts w:ascii="Arial" w:hAnsi="Arial" w:cs="Arial"/>
          <w:sz w:val="21"/>
          <w:szCs w:val="21"/>
        </w:rPr>
        <w:t>月</w:t>
      </w:r>
      <w:r>
        <w:rPr>
          <w:rFonts w:hint="eastAsia" w:ascii="Arial" w:hAnsi="Arial" w:cs="Arial"/>
          <w:sz w:val="21"/>
          <w:szCs w:val="21"/>
        </w:rPr>
        <w:t>24</w:t>
      </w:r>
      <w:r>
        <w:rPr>
          <w:rFonts w:ascii="Arial" w:hAnsi="Arial" w:cs="Arial"/>
          <w:sz w:val="21"/>
          <w:szCs w:val="21"/>
        </w:rPr>
        <w:t>日至202</w:t>
      </w:r>
      <w:r>
        <w:rPr>
          <w:rFonts w:hint="eastAsia" w:ascii="Arial" w:hAnsi="Arial" w:cs="Arial"/>
          <w:sz w:val="21"/>
          <w:szCs w:val="21"/>
        </w:rPr>
        <w:t>3</w:t>
      </w:r>
      <w:r>
        <w:rPr>
          <w:rFonts w:ascii="Arial" w:hAnsi="Arial" w:cs="Arial"/>
          <w:sz w:val="21"/>
          <w:szCs w:val="21"/>
        </w:rPr>
        <w:t>年</w:t>
      </w:r>
      <w:r>
        <w:rPr>
          <w:rFonts w:hint="eastAsia" w:ascii="Arial" w:hAnsi="Arial" w:cs="Arial"/>
          <w:sz w:val="21"/>
          <w:szCs w:val="21"/>
        </w:rPr>
        <w:t>8</w:t>
      </w:r>
      <w:r>
        <w:rPr>
          <w:rFonts w:ascii="Arial" w:hAnsi="Arial" w:cs="Arial"/>
          <w:sz w:val="21"/>
          <w:szCs w:val="21"/>
        </w:rPr>
        <w:t>月</w:t>
      </w:r>
      <w:r>
        <w:rPr>
          <w:rFonts w:hint="eastAsia" w:ascii="Arial" w:hAnsi="Arial" w:cs="Arial"/>
          <w:sz w:val="21"/>
          <w:szCs w:val="21"/>
        </w:rPr>
        <w:t>5</w:t>
      </w:r>
      <w:r>
        <w:rPr>
          <w:rFonts w:ascii="Arial" w:hAnsi="Arial" w:cs="Arial"/>
          <w:sz w:val="21"/>
          <w:szCs w:val="21"/>
        </w:rPr>
        <w:t>日</w:t>
      </w:r>
    </w:p>
    <w:p>
      <w:pPr>
        <w:pStyle w:val="3"/>
        <w:spacing w:before="0" w:after="0" w:line="480" w:lineRule="auto"/>
        <w:jc w:val="both"/>
        <w:rPr>
          <w:rFonts w:eastAsia="宋体" w:cs="Arial"/>
          <w:sz w:val="21"/>
          <w:szCs w:val="21"/>
        </w:rPr>
      </w:pPr>
      <w:bookmarkStart w:id="74" w:name="_Toc415468964"/>
      <w:bookmarkStart w:id="75" w:name="_Toc111622547"/>
      <w:bookmarkStart w:id="76" w:name="_Toc7693"/>
      <w:bookmarkStart w:id="77" w:name="_Toc74250055"/>
      <w:bookmarkStart w:id="78" w:name="_Toc15289"/>
      <w:r>
        <w:rPr>
          <w:rFonts w:eastAsia="宋体" w:cs="Arial"/>
          <w:sz w:val="21"/>
          <w:szCs w:val="21"/>
        </w:rPr>
        <w:t>六、</w:t>
      </w:r>
      <w:bookmarkEnd w:id="74"/>
      <w:bookmarkEnd w:id="75"/>
      <w:r>
        <w:rPr>
          <w:rFonts w:eastAsia="宋体" w:cs="Arial"/>
          <w:sz w:val="21"/>
          <w:szCs w:val="21"/>
        </w:rPr>
        <w:t>本报告编制依据和说明</w:t>
      </w:r>
      <w:bookmarkEnd w:id="76"/>
      <w:bookmarkEnd w:id="77"/>
      <w:bookmarkEnd w:id="78"/>
    </w:p>
    <w:p>
      <w:pPr>
        <w:spacing w:line="480" w:lineRule="auto"/>
        <w:ind w:firstLine="420" w:firstLineChars="200"/>
        <w:jc w:val="both"/>
        <w:outlineLvl w:val="2"/>
        <w:rPr>
          <w:rFonts w:ascii="Arial" w:hAnsi="Arial" w:cs="Arial"/>
          <w:sz w:val="21"/>
          <w:szCs w:val="21"/>
        </w:rPr>
      </w:pPr>
      <w:bookmarkStart w:id="79" w:name="_Toc74250056"/>
      <w:bookmarkStart w:id="80" w:name="_Toc19026"/>
      <w:r>
        <w:rPr>
          <w:rFonts w:ascii="Arial" w:hAnsi="Arial" w:cs="Arial"/>
          <w:sz w:val="21"/>
          <w:szCs w:val="21"/>
        </w:rPr>
        <w:t>（一）报告编制依据</w:t>
      </w:r>
      <w:bookmarkEnd w:id="79"/>
      <w:bookmarkEnd w:id="80"/>
    </w:p>
    <w:p>
      <w:pPr>
        <w:spacing w:line="480" w:lineRule="auto"/>
        <w:ind w:firstLine="420" w:firstLineChars="200"/>
        <w:jc w:val="both"/>
        <w:rPr>
          <w:rFonts w:ascii="Arial" w:hAnsi="Arial" w:cs="Arial"/>
          <w:sz w:val="21"/>
          <w:szCs w:val="21"/>
        </w:rPr>
      </w:pPr>
      <w:r>
        <w:rPr>
          <w:rFonts w:ascii="Arial" w:hAnsi="Arial" w:cs="Arial"/>
          <w:sz w:val="21"/>
          <w:szCs w:val="21"/>
        </w:rPr>
        <w:t>本报告主要依据和参考以下文件及相关资料：</w:t>
      </w:r>
    </w:p>
    <w:p>
      <w:pPr>
        <w:numPr>
          <w:ilvl w:val="0"/>
          <w:numId w:val="1"/>
        </w:numPr>
        <w:spacing w:line="480" w:lineRule="auto"/>
        <w:jc w:val="both"/>
        <w:rPr>
          <w:rFonts w:ascii="Arial" w:hAnsi="Arial" w:cs="Arial"/>
          <w:sz w:val="21"/>
          <w:szCs w:val="21"/>
        </w:rPr>
      </w:pPr>
      <w:r>
        <w:rPr>
          <w:rFonts w:hint="eastAsia" w:ascii="Arial" w:hAnsi="Arial" w:cs="Arial"/>
          <w:sz w:val="21"/>
          <w:szCs w:val="21"/>
        </w:rPr>
        <w:t>设计类《建筑工程设计合同》等8份合同；</w:t>
      </w:r>
    </w:p>
    <w:p>
      <w:pPr>
        <w:numPr>
          <w:ilvl w:val="0"/>
          <w:numId w:val="1"/>
        </w:numPr>
        <w:spacing w:line="480" w:lineRule="auto"/>
        <w:jc w:val="both"/>
        <w:rPr>
          <w:rFonts w:ascii="Arial" w:hAnsi="Arial" w:cs="Arial"/>
          <w:sz w:val="21"/>
          <w:szCs w:val="21"/>
        </w:rPr>
      </w:pPr>
      <w:r>
        <w:rPr>
          <w:rFonts w:hint="eastAsia" w:ascii="Arial" w:hAnsi="Arial" w:cs="Arial"/>
          <w:sz w:val="21"/>
          <w:szCs w:val="21"/>
        </w:rPr>
        <w:t>前期类《建设工程勘察合同》等12份合同；</w:t>
      </w:r>
    </w:p>
    <w:p>
      <w:pPr>
        <w:numPr>
          <w:ilvl w:val="0"/>
          <w:numId w:val="1"/>
        </w:numPr>
        <w:spacing w:line="480" w:lineRule="auto"/>
        <w:jc w:val="both"/>
        <w:rPr>
          <w:rFonts w:ascii="Arial" w:hAnsi="Arial" w:cs="Arial"/>
          <w:sz w:val="21"/>
          <w:szCs w:val="21"/>
        </w:rPr>
      </w:pPr>
      <w:r>
        <w:rPr>
          <w:rFonts w:hint="eastAsia" w:ascii="Arial" w:hAnsi="Arial" w:cs="Arial"/>
          <w:sz w:val="21"/>
          <w:szCs w:val="21"/>
        </w:rPr>
        <w:t>综管类《租赁合同》等30份合同；</w:t>
      </w:r>
    </w:p>
    <w:p>
      <w:pPr>
        <w:numPr>
          <w:ilvl w:val="0"/>
          <w:numId w:val="1"/>
        </w:numPr>
        <w:spacing w:line="480" w:lineRule="auto"/>
        <w:jc w:val="both"/>
        <w:rPr>
          <w:rFonts w:ascii="Arial" w:hAnsi="Arial" w:cs="Arial"/>
          <w:sz w:val="21"/>
          <w:szCs w:val="21"/>
        </w:rPr>
      </w:pPr>
      <w:r>
        <w:rPr>
          <w:rFonts w:hint="eastAsia" w:ascii="Arial" w:hAnsi="Arial" w:cs="Arial"/>
          <w:sz w:val="21"/>
          <w:szCs w:val="21"/>
        </w:rPr>
        <w:t>财务类《股东借款协议》等5份合同；</w:t>
      </w:r>
    </w:p>
    <w:p>
      <w:pPr>
        <w:numPr>
          <w:ilvl w:val="0"/>
          <w:numId w:val="1"/>
        </w:numPr>
        <w:spacing w:line="480" w:lineRule="auto"/>
        <w:jc w:val="both"/>
        <w:rPr>
          <w:rFonts w:ascii="Arial" w:hAnsi="Arial" w:cs="Arial"/>
          <w:sz w:val="21"/>
          <w:szCs w:val="21"/>
        </w:rPr>
      </w:pPr>
      <w:r>
        <w:rPr>
          <w:rFonts w:hint="eastAsia" w:ascii="Arial" w:hAnsi="Arial" w:cs="Arial"/>
          <w:sz w:val="21"/>
          <w:szCs w:val="21"/>
        </w:rPr>
        <w:t>财务相关数据；</w:t>
      </w:r>
    </w:p>
    <w:p>
      <w:pPr>
        <w:numPr>
          <w:ilvl w:val="0"/>
          <w:numId w:val="1"/>
        </w:numPr>
        <w:spacing w:line="480" w:lineRule="auto"/>
        <w:jc w:val="both"/>
        <w:rPr>
          <w:rFonts w:ascii="Arial" w:hAnsi="Arial" w:cs="Arial"/>
          <w:sz w:val="21"/>
          <w:szCs w:val="21"/>
        </w:rPr>
      </w:pPr>
      <w:r>
        <w:rPr>
          <w:rFonts w:ascii="Arial" w:hAnsi="Arial" w:cs="Arial"/>
          <w:sz w:val="21"/>
          <w:szCs w:val="21"/>
        </w:rPr>
        <w:t>建设单位提供的</w:t>
      </w:r>
      <w:r>
        <w:rPr>
          <w:rFonts w:hint="eastAsia" w:ascii="Arial" w:hAnsi="Arial" w:cs="Arial"/>
          <w:sz w:val="21"/>
          <w:szCs w:val="21"/>
        </w:rPr>
        <w:t>其他</w:t>
      </w:r>
      <w:r>
        <w:rPr>
          <w:rFonts w:ascii="Arial" w:hAnsi="Arial" w:cs="Arial"/>
          <w:sz w:val="21"/>
          <w:szCs w:val="21"/>
        </w:rPr>
        <w:t>有关项目的资料</w:t>
      </w:r>
      <w:r>
        <w:rPr>
          <w:rFonts w:hint="eastAsia" w:ascii="Arial" w:hAnsi="Arial" w:cs="Arial"/>
          <w:sz w:val="21"/>
          <w:szCs w:val="21"/>
        </w:rPr>
        <w:t>；</w:t>
      </w:r>
    </w:p>
    <w:p>
      <w:pPr>
        <w:numPr>
          <w:ilvl w:val="0"/>
          <w:numId w:val="1"/>
        </w:numPr>
        <w:spacing w:line="480" w:lineRule="auto"/>
        <w:jc w:val="both"/>
        <w:rPr>
          <w:rFonts w:ascii="Arial" w:hAnsi="Arial" w:cs="Arial"/>
          <w:sz w:val="21"/>
          <w:szCs w:val="21"/>
        </w:rPr>
      </w:pPr>
      <w:r>
        <w:rPr>
          <w:rFonts w:ascii="Arial" w:hAnsi="Arial" w:cs="Arial"/>
          <w:sz w:val="21"/>
          <w:szCs w:val="21"/>
        </w:rPr>
        <w:t>市场调查资料</w:t>
      </w:r>
      <w:r>
        <w:rPr>
          <w:rFonts w:hint="eastAsia" w:ascii="Arial" w:hAnsi="Arial" w:cs="Arial"/>
          <w:sz w:val="21"/>
          <w:szCs w:val="21"/>
        </w:rPr>
        <w:t>及历史数据资料。</w:t>
      </w:r>
    </w:p>
    <w:p>
      <w:pPr>
        <w:spacing w:line="480" w:lineRule="auto"/>
        <w:ind w:firstLine="420" w:firstLineChars="200"/>
        <w:jc w:val="both"/>
        <w:outlineLvl w:val="2"/>
        <w:rPr>
          <w:rFonts w:ascii="Arial" w:hAnsi="Arial" w:cs="Arial"/>
          <w:sz w:val="21"/>
          <w:szCs w:val="21"/>
        </w:rPr>
      </w:pPr>
      <w:bookmarkStart w:id="81" w:name="_Toc30796"/>
      <w:bookmarkStart w:id="82" w:name="_Toc74250057"/>
      <w:r>
        <w:rPr>
          <w:rFonts w:ascii="Arial" w:hAnsi="Arial" w:cs="Arial"/>
          <w:sz w:val="21"/>
          <w:szCs w:val="21"/>
        </w:rPr>
        <w:t>（二）报告编制说明</w:t>
      </w:r>
      <w:bookmarkEnd w:id="81"/>
      <w:bookmarkEnd w:id="82"/>
    </w:p>
    <w:p>
      <w:pPr>
        <w:adjustRightInd w:val="0"/>
        <w:snapToGrid w:val="0"/>
        <w:spacing w:line="480" w:lineRule="auto"/>
        <w:ind w:firstLine="420" w:firstLineChars="200"/>
        <w:jc w:val="both"/>
        <w:rPr>
          <w:rFonts w:ascii="Arial" w:hAnsi="Arial" w:cs="Arial"/>
          <w:sz w:val="21"/>
          <w:szCs w:val="21"/>
        </w:rPr>
      </w:pPr>
      <w:r>
        <w:rPr>
          <w:rFonts w:ascii="Arial" w:hAnsi="Arial" w:cs="Arial"/>
          <w:sz w:val="21"/>
          <w:szCs w:val="21"/>
        </w:rPr>
        <w:t>1、本报告的编制依据了中华人民共和国相关法律、法令、法规和政策具体规定，其基础资料和数据来自于有关主管部门颁布的文件资料，以及研究人员经过调研分析后所得的资料、信息。</w:t>
      </w:r>
    </w:p>
    <w:p>
      <w:pPr>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2</w:t>
      </w:r>
      <w:r>
        <w:rPr>
          <w:rFonts w:ascii="Arial" w:hAnsi="Arial" w:cs="Arial"/>
          <w:sz w:val="21"/>
          <w:szCs w:val="21"/>
        </w:rPr>
        <w:t>、</w:t>
      </w:r>
      <w:r>
        <w:rPr>
          <w:rFonts w:hint="eastAsia" w:ascii="Arial" w:hAnsi="Arial" w:cs="Arial"/>
          <w:sz w:val="21"/>
          <w:szCs w:val="21"/>
        </w:rPr>
        <w:t>本报告中的项目出让宗地面积及规划建筑面积以</w:t>
      </w:r>
      <w:r>
        <w:rPr>
          <w:rFonts w:ascii="Arial" w:hAnsi="Arial" w:cs="Arial"/>
          <w:sz w:val="21"/>
          <w:szCs w:val="21"/>
        </w:rPr>
        <w:t>《</w:t>
      </w:r>
      <w:r>
        <w:rPr>
          <w:rFonts w:hint="eastAsia" w:ascii="Arial" w:hAnsi="Arial" w:cs="Arial"/>
          <w:sz w:val="21"/>
          <w:szCs w:val="21"/>
        </w:rPr>
        <w:t>国有建设用地使用权出让合同</w:t>
      </w:r>
      <w:r>
        <w:rPr>
          <w:rFonts w:ascii="Arial" w:hAnsi="Arial" w:cs="Arial"/>
          <w:sz w:val="21"/>
          <w:szCs w:val="21"/>
        </w:rPr>
        <w:t>》[电子监管号：</w:t>
      </w:r>
      <w:r>
        <w:rPr>
          <w:rFonts w:hint="eastAsia" w:ascii="Arial" w:hAnsi="Arial" w:cs="Arial"/>
          <w:sz w:val="21"/>
          <w:szCs w:val="21"/>
        </w:rPr>
        <w:t>1305212021B01536</w:t>
      </w:r>
      <w:r>
        <w:rPr>
          <w:rFonts w:ascii="Arial" w:hAnsi="Arial" w:cs="Arial"/>
          <w:sz w:val="21"/>
          <w:szCs w:val="21"/>
        </w:rPr>
        <w:t>]及附件为依据。</w:t>
      </w:r>
    </w:p>
    <w:p>
      <w:pPr>
        <w:widowControl w:val="0"/>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截至本报告出具日，</w:t>
      </w:r>
      <w:r>
        <w:rPr>
          <w:rFonts w:hint="eastAsia" w:ascii="Arial" w:hAnsi="Arial" w:cs="Arial"/>
          <w:sz w:val="21"/>
          <w:szCs w:val="21"/>
          <w:lang w:val="en-US" w:eastAsia="zh-CN"/>
        </w:rPr>
        <w:t>项目公司</w:t>
      </w:r>
      <w:r>
        <w:rPr>
          <w:rFonts w:hint="eastAsia" w:ascii="Arial" w:hAnsi="Arial" w:cs="Arial"/>
          <w:sz w:val="21"/>
          <w:szCs w:val="21"/>
        </w:rPr>
        <w:t>尚未取得《不动产权证书》。</w:t>
      </w:r>
    </w:p>
    <w:p>
      <w:pPr>
        <w:pStyle w:val="3"/>
        <w:spacing w:before="0" w:after="0" w:line="480" w:lineRule="auto"/>
        <w:jc w:val="both"/>
        <w:rPr>
          <w:rFonts w:eastAsia="宋体" w:cs="Arial"/>
          <w:sz w:val="21"/>
          <w:szCs w:val="21"/>
        </w:rPr>
      </w:pPr>
      <w:bookmarkStart w:id="83" w:name="_Toc29783"/>
      <w:bookmarkStart w:id="84" w:name="_Toc74250058"/>
      <w:bookmarkStart w:id="85" w:name="_Toc29702"/>
      <w:r>
        <w:rPr>
          <w:rFonts w:eastAsia="宋体" w:cs="Arial"/>
          <w:sz w:val="21"/>
          <w:szCs w:val="21"/>
        </w:rPr>
        <w:t>七、本报告使用说明</w:t>
      </w:r>
      <w:bookmarkEnd w:id="83"/>
      <w:bookmarkEnd w:id="84"/>
      <w:bookmarkEnd w:id="85"/>
    </w:p>
    <w:p>
      <w:pPr>
        <w:adjustRightInd w:val="0"/>
        <w:snapToGrid w:val="0"/>
        <w:spacing w:line="480" w:lineRule="auto"/>
        <w:ind w:firstLine="420" w:firstLineChars="200"/>
        <w:jc w:val="both"/>
        <w:outlineLvl w:val="0"/>
        <w:rPr>
          <w:rFonts w:ascii="Arial" w:hAnsi="Arial" w:cs="Arial"/>
          <w:sz w:val="21"/>
          <w:szCs w:val="21"/>
        </w:rPr>
      </w:pPr>
      <w:bookmarkStart w:id="86" w:name="_Toc30351"/>
      <w:bookmarkStart w:id="87" w:name="_Toc11343"/>
      <w:bookmarkStart w:id="88" w:name="_Toc9867"/>
      <w:bookmarkStart w:id="89" w:name="_Toc29259"/>
      <w:bookmarkStart w:id="90" w:name="_Toc10806"/>
      <w:bookmarkStart w:id="91" w:name="_Toc14707"/>
      <w:r>
        <w:rPr>
          <w:rFonts w:ascii="Arial" w:hAnsi="Arial" w:cs="Arial"/>
          <w:sz w:val="21"/>
          <w:szCs w:val="21"/>
        </w:rPr>
        <w:t>（一）本报告依前文编制目的供委托</w:t>
      </w:r>
      <w:r>
        <w:rPr>
          <w:rFonts w:hint="eastAsia" w:ascii="Arial" w:hAnsi="Arial" w:cs="Arial"/>
          <w:sz w:val="21"/>
          <w:szCs w:val="21"/>
        </w:rPr>
        <w:t>单位</w:t>
      </w:r>
      <w:r>
        <w:rPr>
          <w:rFonts w:ascii="Arial" w:hAnsi="Arial" w:cs="Arial"/>
          <w:sz w:val="21"/>
          <w:szCs w:val="21"/>
        </w:rPr>
        <w:t>使用。除依据法律和相关规定需公开情形外，未经受托方同意，报告的全部或部分内容不得发表于公开的媒体上。</w:t>
      </w:r>
      <w:bookmarkEnd w:id="86"/>
      <w:bookmarkEnd w:id="87"/>
      <w:bookmarkEnd w:id="88"/>
      <w:bookmarkEnd w:id="89"/>
      <w:bookmarkEnd w:id="90"/>
      <w:bookmarkEnd w:id="91"/>
    </w:p>
    <w:p>
      <w:pPr>
        <w:adjustRightInd w:val="0"/>
        <w:snapToGrid w:val="0"/>
        <w:spacing w:line="480" w:lineRule="auto"/>
        <w:ind w:firstLine="420" w:firstLineChars="200"/>
        <w:jc w:val="both"/>
        <w:outlineLvl w:val="0"/>
        <w:rPr>
          <w:rFonts w:ascii="Arial" w:hAnsi="Arial" w:cs="Arial"/>
          <w:sz w:val="21"/>
          <w:szCs w:val="21"/>
        </w:rPr>
      </w:pPr>
      <w:bookmarkStart w:id="92" w:name="_Toc9028"/>
      <w:bookmarkStart w:id="93" w:name="_Toc17331"/>
      <w:bookmarkStart w:id="94" w:name="_Toc10560"/>
      <w:bookmarkStart w:id="95" w:name="_Toc3192"/>
      <w:bookmarkStart w:id="96" w:name="_Toc1472"/>
      <w:bookmarkStart w:id="97" w:name="_Toc6172"/>
      <w:r>
        <w:rPr>
          <w:rFonts w:ascii="Arial" w:hAnsi="Arial" w:cs="Arial"/>
          <w:sz w:val="21"/>
          <w:szCs w:val="21"/>
        </w:rPr>
        <w:t>（二）本报告所依据的权属资料、财务资料及其他相关说明文件等基础资料由</w:t>
      </w:r>
      <w:r>
        <w:rPr>
          <w:rFonts w:hint="eastAsia" w:ascii="Arial" w:hAnsi="Arial" w:cs="Arial"/>
          <w:sz w:val="21"/>
          <w:szCs w:val="21"/>
        </w:rPr>
        <w:t>海鑫资产</w:t>
      </w:r>
      <w:r>
        <w:rPr>
          <w:rFonts w:ascii="Arial" w:hAnsi="Arial" w:cs="Arial"/>
          <w:sz w:val="21"/>
          <w:szCs w:val="21"/>
        </w:rPr>
        <w:t>以原件或复印件形式提供，资料提供者应对其真实性、合法性负责，如基础资料改变，本报告需重新调整。</w:t>
      </w:r>
      <w:bookmarkEnd w:id="92"/>
      <w:bookmarkEnd w:id="93"/>
      <w:bookmarkEnd w:id="94"/>
      <w:bookmarkEnd w:id="95"/>
      <w:bookmarkEnd w:id="96"/>
      <w:bookmarkEnd w:id="97"/>
    </w:p>
    <w:p>
      <w:pPr>
        <w:rPr>
          <w:rFonts w:ascii="Arial" w:hAnsi="Arial" w:eastAsia="方正黑体简体" w:cs="Arial"/>
          <w:b w:val="0"/>
          <w:bCs/>
          <w:sz w:val="32"/>
          <w:szCs w:val="32"/>
        </w:rPr>
      </w:pPr>
      <w:bookmarkStart w:id="98" w:name="_Toc74250059"/>
      <w:bookmarkStart w:id="99" w:name="_Toc30136"/>
      <w:bookmarkStart w:id="100" w:name="_Toc3303"/>
      <w:bookmarkStart w:id="101" w:name="_Toc76889697"/>
      <w:bookmarkStart w:id="102" w:name="_Toc24295934"/>
      <w:bookmarkStart w:id="103" w:name="_Toc44300260"/>
      <w:bookmarkStart w:id="104" w:name="_Toc33956069"/>
      <w:r>
        <w:rPr>
          <w:rFonts w:ascii="Arial" w:hAnsi="Arial" w:eastAsia="方正黑体简体" w:cs="Arial"/>
          <w:b w:val="0"/>
          <w:bCs/>
          <w:sz w:val="32"/>
          <w:szCs w:val="32"/>
        </w:rPr>
        <w:br w:type="page"/>
      </w:r>
    </w:p>
    <w:p>
      <w:pPr>
        <w:pStyle w:val="2"/>
        <w:spacing w:before="240"/>
        <w:rPr>
          <w:rFonts w:ascii="Arial" w:hAnsi="Arial" w:eastAsia="方正黑体简体" w:cs="Arial"/>
          <w:b w:val="0"/>
          <w:bCs/>
          <w:sz w:val="32"/>
          <w:szCs w:val="32"/>
        </w:rPr>
      </w:pPr>
      <w:bookmarkStart w:id="105" w:name="_Toc16772"/>
      <w:r>
        <w:rPr>
          <w:rFonts w:ascii="Arial" w:hAnsi="Arial" w:eastAsia="方正黑体简体" w:cs="Arial"/>
          <w:b w:val="0"/>
          <w:bCs/>
          <w:sz w:val="32"/>
          <w:szCs w:val="32"/>
        </w:rPr>
        <w:t xml:space="preserve">第二章  </w:t>
      </w:r>
      <w:bookmarkEnd w:id="98"/>
      <w:r>
        <w:rPr>
          <w:rFonts w:hint="eastAsia" w:ascii="Arial" w:hAnsi="Arial" w:eastAsia="方正黑体简体" w:cs="Arial"/>
          <w:b w:val="0"/>
          <w:bCs/>
          <w:sz w:val="32"/>
          <w:szCs w:val="32"/>
        </w:rPr>
        <w:t>项目基本情况介绍</w:t>
      </w:r>
      <w:bookmarkEnd w:id="99"/>
      <w:bookmarkEnd w:id="100"/>
      <w:bookmarkEnd w:id="105"/>
    </w:p>
    <w:bookmarkEnd w:id="101"/>
    <w:bookmarkEnd w:id="102"/>
    <w:bookmarkEnd w:id="103"/>
    <w:bookmarkEnd w:id="104"/>
    <w:p>
      <w:pPr>
        <w:widowControl w:val="0"/>
        <w:adjustRightInd w:val="0"/>
        <w:snapToGrid w:val="0"/>
        <w:spacing w:line="480" w:lineRule="auto"/>
        <w:jc w:val="both"/>
        <w:outlineLvl w:val="1"/>
        <w:rPr>
          <w:rFonts w:hint="eastAsia" w:ascii="Arial" w:hAnsi="Arial" w:cs="Arial"/>
          <w:b/>
          <w:bCs/>
          <w:color w:val="000000"/>
          <w:sz w:val="21"/>
          <w:szCs w:val="21"/>
        </w:rPr>
      </w:pPr>
      <w:bookmarkStart w:id="106" w:name="_Toc74250061"/>
      <w:bookmarkStart w:id="107" w:name="_Toc416"/>
      <w:bookmarkStart w:id="108" w:name="_Toc120933101"/>
      <w:bookmarkStart w:id="109" w:name="_Toc16019"/>
      <w:r>
        <w:rPr>
          <w:rFonts w:hint="eastAsia" w:eastAsia="宋体" w:cs="Arial"/>
          <w:b/>
          <w:bCs/>
          <w:sz w:val="21"/>
          <w:szCs w:val="21"/>
        </w:rPr>
        <w:t>一、</w:t>
      </w:r>
      <w:r>
        <w:rPr>
          <w:rFonts w:hint="eastAsia" w:ascii="Arial" w:hAnsi="Arial" w:cs="Arial"/>
          <w:b/>
          <w:bCs/>
          <w:color w:val="000000"/>
          <w:sz w:val="21"/>
          <w:szCs w:val="21"/>
        </w:rPr>
        <w:t>项目建设地点</w:t>
      </w:r>
      <w:bookmarkEnd w:id="106"/>
      <w:bookmarkEnd w:id="107"/>
      <w:bookmarkEnd w:id="108"/>
      <w:bookmarkEnd w:id="109"/>
      <w:bookmarkStart w:id="110" w:name="_Toc44300262"/>
      <w:bookmarkStart w:id="111" w:name="_Toc99176023"/>
      <w:bookmarkStart w:id="112" w:name="_Toc99251654"/>
      <w:bookmarkStart w:id="113" w:name="_Toc109118445"/>
      <w:bookmarkStart w:id="114" w:name="_Toc109122452"/>
      <w:bookmarkStart w:id="115" w:name="_Toc109119047"/>
    </w:p>
    <w:p>
      <w:pPr>
        <w:widowControl w:val="0"/>
        <w:adjustRightInd w:val="0"/>
        <w:snapToGrid w:val="0"/>
        <w:spacing w:line="480" w:lineRule="auto"/>
        <w:ind w:firstLine="420" w:firstLineChars="200"/>
        <w:jc w:val="both"/>
        <w:rPr>
          <w:rFonts w:hint="eastAsia" w:ascii="Arial" w:hAnsi="Arial" w:cs="Arial"/>
          <w:b/>
          <w:bCs/>
          <w:color w:val="000000"/>
          <w:sz w:val="21"/>
          <w:szCs w:val="21"/>
        </w:rPr>
      </w:pPr>
      <w:r>
        <w:rPr>
          <w:rFonts w:hint="eastAsia" w:ascii="Arial" w:hAnsi="Arial" w:cs="Arial"/>
          <w:color w:val="000000"/>
          <w:sz w:val="21"/>
          <w:szCs w:val="21"/>
        </w:rPr>
        <w:t>1、所在区位情况</w:t>
      </w:r>
    </w:p>
    <w:p>
      <w:pPr>
        <w:widowControl w:val="0"/>
        <w:adjustRightInd w:val="0"/>
        <w:snapToGrid w:val="0"/>
        <w:spacing w:line="480" w:lineRule="auto"/>
        <w:ind w:firstLine="420" w:firstLineChars="200"/>
        <w:jc w:val="both"/>
        <w:rPr>
          <w:rFonts w:hint="eastAsia" w:ascii="Arial" w:hAnsi="Arial" w:cs="Arial"/>
          <w:color w:val="000000"/>
          <w:sz w:val="21"/>
          <w:szCs w:val="21"/>
        </w:rPr>
      </w:pPr>
      <w:r>
        <w:rPr>
          <w:rFonts w:hint="eastAsia" w:ascii="Arial" w:hAnsi="Arial" w:cs="Arial"/>
          <w:color w:val="000000"/>
          <w:sz w:val="21"/>
          <w:szCs w:val="21"/>
        </w:rPr>
        <w:drawing>
          <wp:anchor distT="0" distB="0" distL="114300" distR="114300" simplePos="0" relativeHeight="251659264" behindDoc="0" locked="0" layoutInCell="1" allowOverlap="1">
            <wp:simplePos x="0" y="0"/>
            <wp:positionH relativeFrom="column">
              <wp:posOffset>1997710</wp:posOffset>
            </wp:positionH>
            <wp:positionV relativeFrom="paragraph">
              <wp:posOffset>133350</wp:posOffset>
            </wp:positionV>
            <wp:extent cx="3834765" cy="2703195"/>
            <wp:effectExtent l="0" t="0" r="5715" b="9525"/>
            <wp:wrapSquare wrapText="bothSides"/>
            <wp:docPr id="28" name="图片 28" descr="C:\Users\SoldierTao\Desktop\1000.jpg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SoldierTao\Desktop\1000.jpg1000"/>
                    <pic:cNvPicPr>
                      <a:picLocks noChangeAspect="1"/>
                    </pic:cNvPicPr>
                  </pic:nvPicPr>
                  <pic:blipFill>
                    <a:blip r:embed="rId16"/>
                    <a:srcRect l="282" r="282"/>
                    <a:stretch>
                      <a:fillRect/>
                    </a:stretch>
                  </pic:blipFill>
                  <pic:spPr>
                    <a:xfrm>
                      <a:off x="0" y="0"/>
                      <a:ext cx="3834765" cy="2703195"/>
                    </a:xfrm>
                    <a:prstGeom prst="rect">
                      <a:avLst/>
                    </a:prstGeom>
                  </pic:spPr>
                </pic:pic>
              </a:graphicData>
            </a:graphic>
          </wp:anchor>
        </w:drawing>
      </w:r>
      <w:r>
        <w:rPr>
          <w:rFonts w:hint="eastAsia" w:ascii="Arial" w:hAnsi="Arial" w:cs="Arial"/>
          <w:color w:val="000000"/>
          <w:sz w:val="21"/>
          <w:szCs w:val="21"/>
        </w:rPr>
        <w:t>邢台市，简称“邢”，古称邢州、顺德府，是</w:t>
      </w:r>
      <w:r>
        <w:rPr>
          <w:rFonts w:hint="eastAsia" w:ascii="Arial" w:hAnsi="Arial" w:cs="Arial"/>
          <w:color w:val="000000"/>
          <w:sz w:val="21"/>
          <w:szCs w:val="21"/>
        </w:rPr>
        <w:fldChar w:fldCharType="begin"/>
      </w:r>
      <w:r>
        <w:rPr>
          <w:rFonts w:hint="eastAsia" w:ascii="Arial" w:hAnsi="Arial" w:cs="Arial"/>
          <w:color w:val="000000"/>
          <w:sz w:val="21"/>
          <w:szCs w:val="21"/>
        </w:rPr>
        <w:instrText xml:space="preserve"> HYPERLINK "https://baike.baidu.com/item/%E6%B2%B3%E5%8C%97%E7%9C%81/153775?fromModule=lemma_inlink" \t "https://baike.baidu.com/item/%E9%82%A2%E5%8F%B0%E5%B8%82/_blank" </w:instrText>
      </w:r>
      <w:r>
        <w:rPr>
          <w:rFonts w:hint="eastAsia" w:ascii="Arial" w:hAnsi="Arial" w:cs="Arial"/>
          <w:color w:val="000000"/>
          <w:sz w:val="21"/>
          <w:szCs w:val="21"/>
        </w:rPr>
        <w:fldChar w:fldCharType="separate"/>
      </w:r>
      <w:r>
        <w:rPr>
          <w:rFonts w:hint="eastAsia" w:ascii="Arial" w:hAnsi="Arial" w:cs="Arial"/>
          <w:color w:val="000000"/>
          <w:sz w:val="21"/>
          <w:szCs w:val="21"/>
        </w:rPr>
        <w:t>河北省</w:t>
      </w:r>
      <w:r>
        <w:rPr>
          <w:rFonts w:hint="eastAsia" w:ascii="Arial" w:hAnsi="Arial" w:cs="Arial"/>
          <w:color w:val="000000"/>
          <w:sz w:val="21"/>
          <w:szCs w:val="21"/>
        </w:rPr>
        <w:fldChar w:fldCharType="end"/>
      </w:r>
      <w:r>
        <w:rPr>
          <w:rFonts w:hint="eastAsia" w:ascii="Arial" w:hAnsi="Arial" w:cs="Arial"/>
          <w:color w:val="000000"/>
          <w:sz w:val="21"/>
          <w:szCs w:val="21"/>
        </w:rPr>
        <w:t>地级市，</w:t>
      </w:r>
      <w:r>
        <w:rPr>
          <w:rFonts w:hint="eastAsia" w:ascii="Arial" w:hAnsi="Arial" w:cs="Arial"/>
          <w:color w:val="000000"/>
          <w:sz w:val="21"/>
          <w:szCs w:val="21"/>
        </w:rPr>
        <w:fldChar w:fldCharType="begin"/>
      </w:r>
      <w:r>
        <w:rPr>
          <w:rFonts w:hint="eastAsia" w:ascii="Arial" w:hAnsi="Arial" w:cs="Arial"/>
          <w:color w:val="000000"/>
          <w:sz w:val="21"/>
          <w:szCs w:val="21"/>
        </w:rPr>
        <w:instrText xml:space="preserve"> HYPERLINK "https://baike.baidu.com/item/%E2%85%A1%E5%9E%8B%E5%A4%A7%E5%9F%8E%E5%B8%82/16192601?fromModule=lemma_inlink" \t "https://baike.baidu.com/item/%E9%82%A2%E5%8F%B0%E5%B8%82/_blank" </w:instrText>
      </w:r>
      <w:r>
        <w:rPr>
          <w:rFonts w:hint="eastAsia" w:ascii="Arial" w:hAnsi="Arial" w:cs="Arial"/>
          <w:color w:val="000000"/>
          <w:sz w:val="21"/>
          <w:szCs w:val="21"/>
        </w:rPr>
        <w:fldChar w:fldCharType="separate"/>
      </w:r>
      <w:r>
        <w:rPr>
          <w:rFonts w:hint="eastAsia" w:ascii="Arial" w:hAnsi="Arial" w:cs="Arial"/>
          <w:color w:val="000000"/>
          <w:sz w:val="21"/>
          <w:szCs w:val="21"/>
        </w:rPr>
        <w:t>Ⅱ型大城市</w:t>
      </w:r>
      <w:r>
        <w:rPr>
          <w:rFonts w:hint="eastAsia" w:ascii="Arial" w:hAnsi="Arial" w:cs="Arial"/>
          <w:color w:val="000000"/>
          <w:sz w:val="21"/>
          <w:szCs w:val="21"/>
        </w:rPr>
        <w:fldChar w:fldCharType="end"/>
      </w:r>
      <w:r>
        <w:rPr>
          <w:rFonts w:hint="eastAsia" w:ascii="Arial" w:hAnsi="Arial" w:cs="Arial"/>
          <w:color w:val="000000"/>
          <w:sz w:val="21"/>
          <w:szCs w:val="21"/>
        </w:rPr>
        <w:t> ，河北省政府批复确定的</w:t>
      </w:r>
      <w:r>
        <w:rPr>
          <w:rFonts w:hint="eastAsia" w:ascii="Arial" w:hAnsi="Arial" w:cs="Arial"/>
          <w:color w:val="000000"/>
          <w:sz w:val="21"/>
          <w:szCs w:val="21"/>
        </w:rPr>
        <w:fldChar w:fldCharType="begin"/>
      </w:r>
      <w:r>
        <w:rPr>
          <w:rFonts w:hint="eastAsia" w:ascii="Arial" w:hAnsi="Arial" w:cs="Arial"/>
          <w:color w:val="000000"/>
          <w:sz w:val="21"/>
          <w:szCs w:val="21"/>
        </w:rPr>
        <w:instrText xml:space="preserve"> HYPERLINK "https://baike.baidu.com/item/%E4%BA%AC%E6%B4%A5%E5%86%80%E5%9F%8E%E5%B8%82%E7%BE%A4/6183259?fromModule=lemma_inlink" \t "https://baike.baidu.com/item/%E9%82%A2%E5%8F%B0%E5%B8%82/_blank" </w:instrText>
      </w:r>
      <w:r>
        <w:rPr>
          <w:rFonts w:hint="eastAsia" w:ascii="Arial" w:hAnsi="Arial" w:cs="Arial"/>
          <w:color w:val="000000"/>
          <w:sz w:val="21"/>
          <w:szCs w:val="21"/>
        </w:rPr>
        <w:fldChar w:fldCharType="separate"/>
      </w:r>
      <w:r>
        <w:rPr>
          <w:rFonts w:hint="eastAsia" w:ascii="Arial" w:hAnsi="Arial" w:cs="Arial"/>
          <w:color w:val="000000"/>
          <w:sz w:val="21"/>
          <w:szCs w:val="21"/>
        </w:rPr>
        <w:t>京津冀城市群</w:t>
      </w:r>
      <w:r>
        <w:rPr>
          <w:rFonts w:hint="eastAsia" w:ascii="Arial" w:hAnsi="Arial" w:cs="Arial"/>
          <w:color w:val="000000"/>
          <w:sz w:val="21"/>
          <w:szCs w:val="21"/>
        </w:rPr>
        <w:fldChar w:fldCharType="end"/>
      </w:r>
      <w:r>
        <w:rPr>
          <w:rFonts w:hint="eastAsia" w:ascii="Arial" w:hAnsi="Arial" w:cs="Arial"/>
          <w:color w:val="000000"/>
          <w:sz w:val="21"/>
          <w:szCs w:val="21"/>
        </w:rPr>
        <w:t>节点城市、冀中南先进制造业基地和物流枢纽 。截至2022年末，全市下辖4个区，12个县，代管2个县级市 ，总面积1.24万平方千米，常住人口702.56万人，城镇人口388.16万人，城镇化率55.25% 。</w:t>
      </w:r>
    </w:p>
    <w:p>
      <w:pPr>
        <w:widowControl w:val="0"/>
        <w:adjustRightInd w:val="0"/>
        <w:snapToGrid w:val="0"/>
        <w:spacing w:line="480" w:lineRule="auto"/>
        <w:ind w:firstLine="420" w:firstLineChars="200"/>
        <w:jc w:val="both"/>
        <w:rPr>
          <w:rFonts w:hint="eastAsia" w:ascii="Arial" w:hAnsi="Arial" w:cs="Arial"/>
          <w:color w:val="000000"/>
          <w:sz w:val="21"/>
          <w:szCs w:val="21"/>
        </w:rPr>
      </w:pPr>
      <w:r>
        <w:rPr>
          <w:rFonts w:hint="eastAsia" w:ascii="Arial" w:hAnsi="Arial" w:cs="Arial"/>
          <w:color w:val="000000"/>
          <w:sz w:val="21"/>
          <w:szCs w:val="21"/>
        </w:rPr>
        <w:t>邢台市地处河北省南部，太行山脉南段东麓，华北平原西部边缘，东以</w:t>
      </w:r>
      <w:r>
        <w:rPr>
          <w:rFonts w:hint="eastAsia" w:ascii="Arial" w:hAnsi="Arial" w:cs="Arial"/>
          <w:color w:val="000000"/>
          <w:sz w:val="21"/>
          <w:szCs w:val="21"/>
        </w:rPr>
        <w:fldChar w:fldCharType="begin"/>
      </w:r>
      <w:r>
        <w:rPr>
          <w:rFonts w:hint="eastAsia" w:ascii="Arial" w:hAnsi="Arial" w:cs="Arial"/>
          <w:color w:val="000000"/>
          <w:sz w:val="21"/>
          <w:szCs w:val="21"/>
        </w:rPr>
        <w:instrText xml:space="preserve"> HYPERLINK "https://baike.baidu.com/item/%E5%8D%AB%E8%BF%90%E6%B2%B3/5089780?fromModule=lemma_inlink" \t "https://baike.baidu.com/item/%E9%82%A2%E5%8F%B0%E5%B8%82/_blank" </w:instrText>
      </w:r>
      <w:r>
        <w:rPr>
          <w:rFonts w:hint="eastAsia" w:ascii="Arial" w:hAnsi="Arial" w:cs="Arial"/>
          <w:color w:val="000000"/>
          <w:sz w:val="21"/>
          <w:szCs w:val="21"/>
        </w:rPr>
        <w:fldChar w:fldCharType="separate"/>
      </w:r>
      <w:r>
        <w:rPr>
          <w:rFonts w:hint="eastAsia" w:ascii="Arial" w:hAnsi="Arial" w:cs="Arial"/>
          <w:color w:val="000000"/>
          <w:sz w:val="21"/>
          <w:szCs w:val="21"/>
        </w:rPr>
        <w:t>卫运河</w:t>
      </w:r>
      <w:r>
        <w:rPr>
          <w:rFonts w:hint="eastAsia" w:ascii="Arial" w:hAnsi="Arial" w:cs="Arial"/>
          <w:color w:val="000000"/>
          <w:sz w:val="21"/>
          <w:szCs w:val="21"/>
        </w:rPr>
        <w:fldChar w:fldCharType="end"/>
      </w:r>
      <w:r>
        <w:rPr>
          <w:rFonts w:hint="eastAsia" w:ascii="Arial" w:hAnsi="Arial" w:cs="Arial"/>
          <w:color w:val="000000"/>
          <w:sz w:val="21"/>
          <w:szCs w:val="21"/>
        </w:rPr>
        <w:t>为界与</w:t>
      </w:r>
      <w:r>
        <w:rPr>
          <w:rFonts w:hint="eastAsia" w:ascii="Arial" w:hAnsi="Arial" w:cs="Arial"/>
          <w:color w:val="000000"/>
          <w:sz w:val="21"/>
          <w:szCs w:val="21"/>
        </w:rPr>
        <w:fldChar w:fldCharType="begin"/>
      </w:r>
      <w:r>
        <w:rPr>
          <w:rFonts w:hint="eastAsia" w:ascii="Arial" w:hAnsi="Arial" w:cs="Arial"/>
          <w:color w:val="000000"/>
          <w:sz w:val="21"/>
          <w:szCs w:val="21"/>
        </w:rPr>
        <w:instrText xml:space="preserve"> HYPERLINK "https://baike.baidu.com/item/%E5%B1%B1%E4%B8%9C%E7%9C%81/209822?fromModule=lemma_inlink" \t "https://baike.baidu.com/item/%E9%82%A2%E5%8F%B0%E5%B8%82/_blank" </w:instrText>
      </w:r>
      <w:r>
        <w:rPr>
          <w:rFonts w:hint="eastAsia" w:ascii="Arial" w:hAnsi="Arial" w:cs="Arial"/>
          <w:color w:val="000000"/>
          <w:sz w:val="21"/>
          <w:szCs w:val="21"/>
        </w:rPr>
        <w:fldChar w:fldCharType="separate"/>
      </w:r>
      <w:r>
        <w:rPr>
          <w:rFonts w:hint="eastAsia" w:ascii="Arial" w:hAnsi="Arial" w:cs="Arial"/>
          <w:color w:val="000000"/>
          <w:sz w:val="21"/>
          <w:szCs w:val="21"/>
        </w:rPr>
        <w:t>山东省</w:t>
      </w:r>
      <w:r>
        <w:rPr>
          <w:rFonts w:hint="eastAsia" w:ascii="Arial" w:hAnsi="Arial" w:cs="Arial"/>
          <w:color w:val="000000"/>
          <w:sz w:val="21"/>
          <w:szCs w:val="21"/>
        </w:rPr>
        <w:fldChar w:fldCharType="end"/>
      </w:r>
      <w:r>
        <w:rPr>
          <w:rFonts w:hint="eastAsia" w:ascii="Arial" w:hAnsi="Arial" w:cs="Arial"/>
          <w:color w:val="000000"/>
          <w:sz w:val="21"/>
          <w:szCs w:val="21"/>
        </w:rPr>
        <w:t>相望，西依太行山和山西省毗邻，南与</w:t>
      </w:r>
      <w:r>
        <w:rPr>
          <w:rFonts w:hint="eastAsia" w:ascii="Arial" w:hAnsi="Arial" w:cs="Arial"/>
          <w:color w:val="000000"/>
          <w:sz w:val="21"/>
          <w:szCs w:val="21"/>
        </w:rPr>
        <w:fldChar w:fldCharType="begin"/>
      </w:r>
      <w:r>
        <w:rPr>
          <w:rFonts w:hint="eastAsia" w:ascii="Arial" w:hAnsi="Arial" w:cs="Arial"/>
          <w:color w:val="000000"/>
          <w:sz w:val="21"/>
          <w:szCs w:val="21"/>
        </w:rPr>
        <w:instrText xml:space="preserve"> HYPERLINK "https://baike.baidu.com/item/%E9%82%AF%E9%83%B8%E5%B8%82/12623209?fromModule=lemma_inlink" \t "https://baike.baidu.com/item/%E9%82%A2%E5%8F%B0%E5%B8%82/_blank" </w:instrText>
      </w:r>
      <w:r>
        <w:rPr>
          <w:rFonts w:hint="eastAsia" w:ascii="Arial" w:hAnsi="Arial" w:cs="Arial"/>
          <w:color w:val="000000"/>
          <w:sz w:val="21"/>
          <w:szCs w:val="21"/>
        </w:rPr>
        <w:fldChar w:fldCharType="separate"/>
      </w:r>
      <w:r>
        <w:rPr>
          <w:rFonts w:hint="eastAsia" w:ascii="Arial" w:hAnsi="Arial" w:cs="Arial"/>
          <w:color w:val="000000"/>
          <w:sz w:val="21"/>
          <w:szCs w:val="21"/>
        </w:rPr>
        <w:t>邯郸市</w:t>
      </w:r>
      <w:r>
        <w:rPr>
          <w:rFonts w:hint="eastAsia" w:ascii="Arial" w:hAnsi="Arial" w:cs="Arial"/>
          <w:color w:val="000000"/>
          <w:sz w:val="21"/>
          <w:szCs w:val="21"/>
        </w:rPr>
        <w:fldChar w:fldCharType="end"/>
      </w:r>
      <w:r>
        <w:rPr>
          <w:rFonts w:hint="eastAsia" w:ascii="Arial" w:hAnsi="Arial" w:cs="Arial"/>
          <w:color w:val="000000"/>
          <w:sz w:val="21"/>
          <w:szCs w:val="21"/>
        </w:rPr>
        <w:t>相连，北及东北分别与</w:t>
      </w:r>
      <w:r>
        <w:rPr>
          <w:rFonts w:hint="eastAsia" w:ascii="Arial" w:hAnsi="Arial" w:cs="Arial"/>
          <w:color w:val="000000"/>
          <w:sz w:val="21"/>
          <w:szCs w:val="21"/>
        </w:rPr>
        <w:fldChar w:fldCharType="begin"/>
      </w:r>
      <w:r>
        <w:rPr>
          <w:rFonts w:hint="eastAsia" w:ascii="Arial" w:hAnsi="Arial" w:cs="Arial"/>
          <w:color w:val="000000"/>
          <w:sz w:val="21"/>
          <w:szCs w:val="21"/>
        </w:rPr>
        <w:instrText xml:space="preserve"> HYPERLINK "https://baike.baidu.com/item/%E7%9F%B3%E5%AE%B6%E5%BA%84%E5%B8%82/305692?fromModule=lemma_inlink" \t "https://baike.baidu.com/item/%E9%82%A2%E5%8F%B0%E5%B8%82/_blank" </w:instrText>
      </w:r>
      <w:r>
        <w:rPr>
          <w:rFonts w:hint="eastAsia" w:ascii="Arial" w:hAnsi="Arial" w:cs="Arial"/>
          <w:color w:val="000000"/>
          <w:sz w:val="21"/>
          <w:szCs w:val="21"/>
        </w:rPr>
        <w:fldChar w:fldCharType="separate"/>
      </w:r>
      <w:r>
        <w:rPr>
          <w:rFonts w:hint="eastAsia" w:ascii="Arial" w:hAnsi="Arial" w:cs="Arial"/>
          <w:color w:val="000000"/>
          <w:sz w:val="21"/>
          <w:szCs w:val="21"/>
        </w:rPr>
        <w:t>石家庄市</w:t>
      </w:r>
      <w:r>
        <w:rPr>
          <w:rFonts w:hint="eastAsia" w:ascii="Arial" w:hAnsi="Arial" w:cs="Arial"/>
          <w:color w:val="000000"/>
          <w:sz w:val="21"/>
          <w:szCs w:val="21"/>
        </w:rPr>
        <w:fldChar w:fldCharType="end"/>
      </w:r>
      <w:r>
        <w:rPr>
          <w:rFonts w:hint="eastAsia" w:ascii="Arial" w:hAnsi="Arial" w:cs="Arial"/>
          <w:color w:val="000000"/>
          <w:sz w:val="21"/>
          <w:szCs w:val="21"/>
        </w:rPr>
        <w:t>、</w:t>
      </w:r>
      <w:r>
        <w:rPr>
          <w:rFonts w:hint="eastAsia" w:ascii="Arial" w:hAnsi="Arial" w:cs="Arial"/>
          <w:color w:val="000000"/>
          <w:sz w:val="21"/>
          <w:szCs w:val="21"/>
        </w:rPr>
        <w:fldChar w:fldCharType="begin"/>
      </w:r>
      <w:r>
        <w:rPr>
          <w:rFonts w:hint="eastAsia" w:ascii="Arial" w:hAnsi="Arial" w:cs="Arial"/>
          <w:color w:val="000000"/>
          <w:sz w:val="21"/>
          <w:szCs w:val="21"/>
        </w:rPr>
        <w:instrText xml:space="preserve"> HYPERLINK "https://baike.baidu.com/item/%E8%A1%A1%E6%B0%B4%E5%B8%82/23554884?fromModule=lemma_inlink" \t "https://baike.baidu.com/item/%E9%82%A2%E5%8F%B0%E5%B8%82/_blank" </w:instrText>
      </w:r>
      <w:r>
        <w:rPr>
          <w:rFonts w:hint="eastAsia" w:ascii="Arial" w:hAnsi="Arial" w:cs="Arial"/>
          <w:color w:val="000000"/>
          <w:sz w:val="21"/>
          <w:szCs w:val="21"/>
        </w:rPr>
        <w:fldChar w:fldCharType="separate"/>
      </w:r>
      <w:r>
        <w:rPr>
          <w:rFonts w:hint="eastAsia" w:ascii="Arial" w:hAnsi="Arial" w:cs="Arial"/>
          <w:color w:val="000000"/>
          <w:sz w:val="21"/>
          <w:szCs w:val="21"/>
        </w:rPr>
        <w:t>衡水市</w:t>
      </w:r>
      <w:r>
        <w:rPr>
          <w:rFonts w:hint="eastAsia" w:ascii="Arial" w:hAnsi="Arial" w:cs="Arial"/>
          <w:color w:val="000000"/>
          <w:sz w:val="21"/>
          <w:szCs w:val="21"/>
        </w:rPr>
        <w:fldChar w:fldCharType="end"/>
      </w:r>
      <w:r>
        <w:rPr>
          <w:rFonts w:hint="eastAsia" w:ascii="Arial" w:hAnsi="Arial" w:cs="Arial"/>
          <w:color w:val="000000"/>
          <w:sz w:val="21"/>
          <w:szCs w:val="21"/>
        </w:rPr>
        <w:t>接壤，北距省会石家庄市106千米，距首都</w:t>
      </w:r>
      <w:r>
        <w:rPr>
          <w:rFonts w:hint="eastAsia" w:ascii="Arial" w:hAnsi="Arial" w:cs="Arial"/>
          <w:color w:val="000000"/>
          <w:sz w:val="21"/>
          <w:szCs w:val="21"/>
        </w:rPr>
        <w:fldChar w:fldCharType="begin"/>
      </w:r>
      <w:r>
        <w:rPr>
          <w:rFonts w:hint="eastAsia" w:ascii="Arial" w:hAnsi="Arial" w:cs="Arial"/>
          <w:color w:val="000000"/>
          <w:sz w:val="21"/>
          <w:szCs w:val="21"/>
        </w:rPr>
        <w:instrText xml:space="preserve"> HYPERLINK "https://baike.baidu.com/item/%E5%8C%97%E4%BA%AC/128981?fromModule=lemma_inlink" \t "https://baike.baidu.com/item/%E9%82%A2%E5%8F%B0%E5%B8%82/_blank" </w:instrText>
      </w:r>
      <w:r>
        <w:rPr>
          <w:rFonts w:hint="eastAsia" w:ascii="Arial" w:hAnsi="Arial" w:cs="Arial"/>
          <w:color w:val="000000"/>
          <w:sz w:val="21"/>
          <w:szCs w:val="21"/>
        </w:rPr>
        <w:fldChar w:fldCharType="separate"/>
      </w:r>
      <w:r>
        <w:rPr>
          <w:rFonts w:hint="eastAsia" w:ascii="Arial" w:hAnsi="Arial" w:cs="Arial"/>
          <w:color w:val="000000"/>
          <w:sz w:val="21"/>
          <w:szCs w:val="21"/>
        </w:rPr>
        <w:t>北京</w:t>
      </w:r>
      <w:r>
        <w:rPr>
          <w:rFonts w:hint="eastAsia" w:ascii="Arial" w:hAnsi="Arial" w:cs="Arial"/>
          <w:color w:val="000000"/>
          <w:sz w:val="21"/>
          <w:szCs w:val="21"/>
        </w:rPr>
        <w:fldChar w:fldCharType="end"/>
      </w:r>
      <w:r>
        <w:rPr>
          <w:rFonts w:hint="eastAsia" w:ascii="Arial" w:hAnsi="Arial" w:cs="Arial"/>
          <w:color w:val="000000"/>
          <w:sz w:val="21"/>
          <w:szCs w:val="21"/>
        </w:rPr>
        <w:t>396千米</w:t>
      </w:r>
      <w:bookmarkStart w:id="116" w:name="ref_4_11244"/>
      <w:r>
        <w:rPr>
          <w:rFonts w:hint="eastAsia" w:ascii="Arial" w:hAnsi="Arial" w:cs="Arial"/>
          <w:color w:val="000000"/>
          <w:sz w:val="21"/>
          <w:szCs w:val="21"/>
        </w:rPr>
        <w:t> 。</w:t>
      </w:r>
    </w:p>
    <w:bookmarkEnd w:id="116"/>
    <w:p>
      <w:pPr>
        <w:widowControl w:val="0"/>
        <w:adjustRightInd w:val="0"/>
        <w:snapToGrid w:val="0"/>
        <w:spacing w:line="480" w:lineRule="auto"/>
        <w:ind w:firstLine="420" w:firstLineChars="200"/>
        <w:jc w:val="both"/>
        <w:rPr>
          <w:rFonts w:hint="eastAsia" w:ascii="Arial" w:hAnsi="Arial" w:cs="Arial"/>
          <w:color w:val="000000"/>
          <w:sz w:val="21"/>
          <w:szCs w:val="21"/>
        </w:rPr>
      </w:pPr>
      <w:r>
        <w:rPr>
          <w:rFonts w:hint="eastAsia" w:ascii="Arial" w:hAnsi="Arial" w:cs="Arial"/>
          <w:color w:val="000000"/>
          <w:sz w:val="21"/>
          <w:szCs w:val="21"/>
        </w:rPr>
        <w:t>建设项目位于信都区，隶属于</w:t>
      </w:r>
      <w:r>
        <w:rPr>
          <w:rFonts w:hint="eastAsia" w:ascii="Arial" w:hAnsi="Arial" w:cs="Arial"/>
          <w:color w:val="000000"/>
          <w:sz w:val="21"/>
          <w:szCs w:val="21"/>
        </w:rPr>
        <w:fldChar w:fldCharType="begin"/>
      </w:r>
      <w:r>
        <w:rPr>
          <w:rFonts w:hint="eastAsia" w:ascii="Arial" w:hAnsi="Arial" w:cs="Arial"/>
          <w:color w:val="000000"/>
          <w:sz w:val="21"/>
          <w:szCs w:val="21"/>
        </w:rPr>
        <w:instrText xml:space="preserve"> HYPERLINK "https://baike.baidu.com/item/%E6%B2%B3%E5%8C%97%E7%9C%81/153775?fromModule=lemma_inlink" \t "https://baike.baidu.com/item/%E4%BF%A1%E9%83%BD%E5%8C%BA/_blank" </w:instrText>
      </w:r>
      <w:r>
        <w:rPr>
          <w:rFonts w:hint="eastAsia" w:ascii="Arial" w:hAnsi="Arial" w:cs="Arial"/>
          <w:color w:val="000000"/>
          <w:sz w:val="21"/>
          <w:szCs w:val="21"/>
        </w:rPr>
        <w:fldChar w:fldCharType="separate"/>
      </w:r>
      <w:r>
        <w:rPr>
          <w:rFonts w:hint="eastAsia" w:ascii="Arial" w:hAnsi="Arial" w:cs="Arial"/>
          <w:color w:val="000000"/>
          <w:sz w:val="21"/>
          <w:szCs w:val="21"/>
        </w:rPr>
        <w:t>河北省</w:t>
      </w:r>
      <w:r>
        <w:rPr>
          <w:rFonts w:hint="eastAsia" w:ascii="Arial" w:hAnsi="Arial" w:cs="Arial"/>
          <w:color w:val="000000"/>
          <w:sz w:val="21"/>
          <w:szCs w:val="21"/>
        </w:rPr>
        <w:fldChar w:fldCharType="end"/>
      </w:r>
      <w:r>
        <w:rPr>
          <w:rFonts w:hint="eastAsia" w:ascii="Arial" w:hAnsi="Arial" w:cs="Arial"/>
          <w:color w:val="000000"/>
          <w:sz w:val="21"/>
          <w:szCs w:val="21"/>
        </w:rPr>
        <w:fldChar w:fldCharType="begin"/>
      </w:r>
      <w:r>
        <w:rPr>
          <w:rFonts w:hint="eastAsia" w:ascii="Arial" w:hAnsi="Arial" w:cs="Arial"/>
          <w:color w:val="000000"/>
          <w:sz w:val="21"/>
          <w:szCs w:val="21"/>
        </w:rPr>
        <w:instrText xml:space="preserve"> HYPERLINK "https://baike.baidu.com/item/%E9%82%A2%E5%8F%B0%E5%B8%82/274033?fromModule=lemma_inlink" \t "https://baike.baidu.com/item/%E4%BF%A1%E9%83%BD%E5%8C%BA/_blank" </w:instrText>
      </w:r>
      <w:r>
        <w:rPr>
          <w:rFonts w:hint="eastAsia" w:ascii="Arial" w:hAnsi="Arial" w:cs="Arial"/>
          <w:color w:val="000000"/>
          <w:sz w:val="21"/>
          <w:szCs w:val="21"/>
        </w:rPr>
        <w:fldChar w:fldCharType="separate"/>
      </w:r>
      <w:r>
        <w:rPr>
          <w:rFonts w:hint="eastAsia" w:ascii="Arial" w:hAnsi="Arial" w:cs="Arial"/>
          <w:color w:val="000000"/>
          <w:sz w:val="21"/>
          <w:szCs w:val="21"/>
        </w:rPr>
        <w:t>邢台市</w:t>
      </w:r>
      <w:r>
        <w:rPr>
          <w:rFonts w:hint="eastAsia" w:ascii="Arial" w:hAnsi="Arial" w:cs="Arial"/>
          <w:color w:val="000000"/>
          <w:sz w:val="21"/>
          <w:szCs w:val="21"/>
        </w:rPr>
        <w:fldChar w:fldCharType="end"/>
      </w:r>
      <w:r>
        <w:rPr>
          <w:rFonts w:hint="eastAsia" w:ascii="Arial" w:hAnsi="Arial" w:cs="Arial"/>
          <w:color w:val="000000"/>
          <w:sz w:val="21"/>
          <w:szCs w:val="21"/>
        </w:rPr>
        <w:t>，位于</w:t>
      </w:r>
      <w:r>
        <w:rPr>
          <w:rFonts w:hint="eastAsia" w:ascii="Arial" w:hAnsi="Arial" w:cs="Arial"/>
          <w:color w:val="000000"/>
          <w:sz w:val="21"/>
          <w:szCs w:val="21"/>
        </w:rPr>
        <w:fldChar w:fldCharType="begin"/>
      </w:r>
      <w:r>
        <w:rPr>
          <w:rFonts w:hint="eastAsia" w:ascii="Arial" w:hAnsi="Arial" w:cs="Arial"/>
          <w:color w:val="000000"/>
          <w:sz w:val="21"/>
          <w:szCs w:val="21"/>
        </w:rPr>
        <w:instrText xml:space="preserve"> HYPERLINK "https://baike.baidu.com/item/%E9%82%A2%E5%8F%B0%E5%B8%82/274033?fromModule=lemma_inlink" \t "https://baike.baidu.com/item/%E4%BF%A1%E9%83%BD%E5%8C%BA/_blank" </w:instrText>
      </w:r>
      <w:r>
        <w:rPr>
          <w:rFonts w:hint="eastAsia" w:ascii="Arial" w:hAnsi="Arial" w:cs="Arial"/>
          <w:color w:val="000000"/>
          <w:sz w:val="21"/>
          <w:szCs w:val="21"/>
        </w:rPr>
        <w:fldChar w:fldCharType="separate"/>
      </w:r>
      <w:r>
        <w:rPr>
          <w:rFonts w:hint="eastAsia" w:ascii="Arial" w:hAnsi="Arial" w:cs="Arial"/>
          <w:color w:val="000000"/>
          <w:sz w:val="21"/>
          <w:szCs w:val="21"/>
        </w:rPr>
        <w:t>邢台市</w:t>
      </w:r>
      <w:r>
        <w:rPr>
          <w:rFonts w:hint="eastAsia" w:ascii="Arial" w:hAnsi="Arial" w:cs="Arial"/>
          <w:color w:val="000000"/>
          <w:sz w:val="21"/>
          <w:szCs w:val="21"/>
        </w:rPr>
        <w:fldChar w:fldCharType="end"/>
      </w:r>
      <w:r>
        <w:rPr>
          <w:rFonts w:hint="eastAsia" w:ascii="Arial" w:hAnsi="Arial" w:cs="Arial"/>
          <w:color w:val="000000"/>
          <w:sz w:val="21"/>
          <w:szCs w:val="21"/>
        </w:rPr>
        <w:t>西部、</w:t>
      </w:r>
      <w:r>
        <w:rPr>
          <w:rFonts w:hint="eastAsia" w:ascii="Arial" w:hAnsi="Arial" w:cs="Arial"/>
          <w:color w:val="000000"/>
          <w:sz w:val="21"/>
          <w:szCs w:val="21"/>
        </w:rPr>
        <w:fldChar w:fldCharType="begin"/>
      </w:r>
      <w:r>
        <w:rPr>
          <w:rFonts w:hint="eastAsia" w:ascii="Arial" w:hAnsi="Arial" w:cs="Arial"/>
          <w:color w:val="000000"/>
          <w:sz w:val="21"/>
          <w:szCs w:val="21"/>
        </w:rPr>
        <w:instrText xml:space="preserve"> HYPERLINK "https://baike.baidu.com/item/%E5%A4%AA%E8%A1%8C%E5%B1%B1/85278?fromModule=lemma_inlink" \t "https://baike.baidu.com/item/%E4%BF%A1%E9%83%BD%E5%8C%BA/_blank" </w:instrText>
      </w:r>
      <w:r>
        <w:rPr>
          <w:rFonts w:hint="eastAsia" w:ascii="Arial" w:hAnsi="Arial" w:cs="Arial"/>
          <w:color w:val="000000"/>
          <w:sz w:val="21"/>
          <w:szCs w:val="21"/>
        </w:rPr>
        <w:fldChar w:fldCharType="separate"/>
      </w:r>
      <w:r>
        <w:rPr>
          <w:rFonts w:hint="eastAsia" w:ascii="Arial" w:hAnsi="Arial" w:cs="Arial"/>
          <w:color w:val="000000"/>
          <w:sz w:val="21"/>
          <w:szCs w:val="21"/>
        </w:rPr>
        <w:t>太行山</w:t>
      </w:r>
      <w:r>
        <w:rPr>
          <w:rFonts w:hint="eastAsia" w:ascii="Arial" w:hAnsi="Arial" w:cs="Arial"/>
          <w:color w:val="000000"/>
          <w:sz w:val="21"/>
          <w:szCs w:val="21"/>
        </w:rPr>
        <w:fldChar w:fldCharType="end"/>
      </w:r>
      <w:r>
        <w:rPr>
          <w:rFonts w:hint="eastAsia" w:ascii="Arial" w:hAnsi="Arial" w:cs="Arial"/>
          <w:color w:val="000000"/>
          <w:sz w:val="21"/>
          <w:szCs w:val="21"/>
        </w:rPr>
        <w:t>东麓，总面积1941平方千米，拥有深山、浅山、平原三元地貌，城市、县域两型经济。是京津冀东南第一大区、京津冀协同发展的重要节点，信都区属温带季风气候。</w:t>
      </w:r>
    </w:p>
    <w:p>
      <w:pPr>
        <w:widowControl w:val="0"/>
        <w:adjustRightInd w:val="0"/>
        <w:snapToGrid w:val="0"/>
        <w:spacing w:line="480" w:lineRule="auto"/>
        <w:ind w:firstLine="420" w:firstLineChars="200"/>
        <w:jc w:val="both"/>
        <w:rPr>
          <w:rFonts w:hint="eastAsia" w:ascii="Arial" w:hAnsi="Arial" w:cs="Arial"/>
          <w:color w:val="000000"/>
          <w:sz w:val="21"/>
          <w:szCs w:val="21"/>
        </w:rPr>
      </w:pPr>
      <w:r>
        <w:rPr>
          <w:rFonts w:hint="eastAsia" w:ascii="Arial" w:hAnsi="Arial" w:cs="Arial"/>
          <w:color w:val="000000"/>
          <w:sz w:val="21"/>
          <w:szCs w:val="21"/>
          <w:lang w:val="en-US" w:eastAsia="zh-CN"/>
        </w:rPr>
        <w:t>2</w:t>
      </w:r>
      <w:r>
        <w:rPr>
          <w:rFonts w:hint="eastAsia" w:ascii="Arial" w:hAnsi="Arial" w:cs="Arial"/>
          <w:color w:val="000000"/>
          <w:sz w:val="21"/>
          <w:szCs w:val="21"/>
        </w:rPr>
        <w:t>、周边环境及四至</w:t>
      </w:r>
    </w:p>
    <w:p>
      <w:pPr>
        <w:widowControl w:val="0"/>
        <w:adjustRightInd w:val="0"/>
        <w:snapToGrid w:val="0"/>
        <w:spacing w:line="480" w:lineRule="auto"/>
        <w:ind w:firstLine="420" w:firstLineChars="200"/>
        <w:jc w:val="both"/>
        <w:rPr>
          <w:rFonts w:hint="eastAsia" w:ascii="Arial" w:hAnsi="Arial" w:cs="Arial"/>
          <w:color w:val="000000"/>
          <w:sz w:val="21"/>
          <w:szCs w:val="21"/>
        </w:rPr>
      </w:pPr>
      <w:r>
        <w:rPr>
          <w:rFonts w:hint="eastAsia" w:ascii="Arial" w:hAnsi="Arial" w:cs="Arial"/>
          <w:color w:val="000000"/>
          <w:sz w:val="21"/>
          <w:szCs w:val="21"/>
        </w:rPr>
        <w:t>建设项目为河北省邢台市信都片区【2021】20号地块，位于邢台市信都区百泉大道以北、七里河西侧，四至: 东至加密路，西侧紧邻凤屏山景区，南行两公里至邢台市西环路，北行两公里至304国道。西北侧紧邻一小型待建湿地公园、东侧与七里河隔加密路相望，地块南侧为</w:t>
      </w:r>
      <w:r>
        <w:rPr>
          <w:rFonts w:hint="eastAsia" w:ascii="Arial" w:hAnsi="Arial" w:cs="Arial"/>
          <w:color w:val="000000"/>
          <w:sz w:val="21"/>
          <w:szCs w:val="21"/>
          <w:lang w:val="en-US" w:eastAsia="zh-CN"/>
        </w:rPr>
        <w:t>在建</w:t>
      </w:r>
      <w:r>
        <w:rPr>
          <w:rFonts w:hint="eastAsia" w:ascii="Arial" w:hAnsi="Arial" w:cs="Arial"/>
          <w:color w:val="000000"/>
          <w:sz w:val="21"/>
          <w:szCs w:val="21"/>
        </w:rPr>
        <w:t>跨七里河大桥，西侧为一停建工程。建设项目地块距邢台市中心商圈直线距离约10公里，距邢台市火车站直线距离约15公里，距邢台火车站东站直线距离约30公里，距邢台在建机场直线距离约30公里。</w:t>
      </w:r>
    </w:p>
    <w:p>
      <w:pPr>
        <w:widowControl w:val="0"/>
        <w:adjustRightInd w:val="0"/>
        <w:snapToGrid w:val="0"/>
        <w:spacing w:line="480" w:lineRule="auto"/>
        <w:ind w:firstLine="420" w:firstLineChars="200"/>
        <w:jc w:val="both"/>
        <w:rPr>
          <w:rFonts w:ascii="Arial" w:hAnsi="Arial" w:cs="Arial"/>
          <w:color w:val="000000"/>
          <w:sz w:val="21"/>
          <w:szCs w:val="21"/>
          <w:shd w:val="clear" w:color="auto" w:fill="F4B7BE" w:themeFill="accent6" w:themeFillTint="66"/>
        </w:rPr>
      </w:pPr>
      <w:r>
        <w:rPr>
          <w:rFonts w:hint="eastAsia" w:ascii="Arial" w:hAnsi="Arial" w:cs="Arial"/>
          <w:color w:val="000000"/>
          <w:sz w:val="21"/>
          <w:szCs w:val="21"/>
          <w:shd w:val="clear" w:color="auto" w:fill="F4B7BE" w:themeFill="accent6" w:themeFillTint="66"/>
        </w:rPr>
        <w:drawing>
          <wp:inline distT="0" distB="0" distL="0" distR="0">
            <wp:extent cx="5189220" cy="2425065"/>
            <wp:effectExtent l="0" t="0" r="7620"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31569" cy="2444635"/>
                    </a:xfrm>
                    <a:prstGeom prst="rect">
                      <a:avLst/>
                    </a:prstGeom>
                  </pic:spPr>
                </pic:pic>
              </a:graphicData>
            </a:graphic>
          </wp:inline>
        </w:drawing>
      </w:r>
    </w:p>
    <w:p>
      <w:pPr>
        <w:widowControl w:val="0"/>
        <w:adjustRightInd w:val="0"/>
        <w:snapToGrid w:val="0"/>
        <w:spacing w:line="480" w:lineRule="auto"/>
        <w:ind w:firstLine="420" w:firstLineChars="200"/>
        <w:rPr>
          <w:rFonts w:ascii="Arial" w:hAnsi="Arial" w:cs="Arial"/>
          <w:sz w:val="21"/>
          <w:szCs w:val="21"/>
        </w:rPr>
      </w:pPr>
      <w:r>
        <w:rPr>
          <w:rFonts w:hint="eastAsia" w:ascii="Arial" w:hAnsi="Arial" w:cs="Arial"/>
          <w:color w:val="000000"/>
          <w:sz w:val="21"/>
          <w:szCs w:val="21"/>
        </w:rPr>
        <w:t>建设项目周边目前正处于发展建设阶段，周边多为空地，在西北侧一公里处有七里墅别墅区，整体居住氛围尚未形成，未来周边配套有待进一步完善。建设地块现状为坡地，中部有一条较宽的沟贯穿整个地块。地块整体呈西高东低态势，北侧现有果园及湿地，西侧为凤屏山景区，南侧为山地，东侧为七里河，生态环境良好，地块形状边界较为不规则，呈刀把形状。目前地块东侧和南侧及北侧道路畅通，周边风貌较好。项目地块内现被孔雀谷全地形越野车俱乐部占用，地上存有大量娱乐设施及一小型工程正在建设，从施工工人处了解到此工程由该俱乐部出资自建，目的为拓展娱乐项目，以吸引更多游客，我司勘察人员未在现场发现有关占用单位的确定信息和建设娱乐设施的合法手续。</w:t>
      </w:r>
      <w:r>
        <w:rPr>
          <w:rFonts w:ascii="Arial" w:hAnsi="Arial" w:eastAsia="华文细黑" w:cs="Arial"/>
          <w:sz w:val="18"/>
          <w:szCs w:val="18"/>
        </w:rPr>
        <w:drawing>
          <wp:inline distT="0" distB="0" distL="0" distR="0">
            <wp:extent cx="5904230" cy="2870200"/>
            <wp:effectExtent l="0" t="0" r="8890"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04230" cy="2870200"/>
                    </a:xfrm>
                    <a:prstGeom prst="rect">
                      <a:avLst/>
                    </a:prstGeom>
                  </pic:spPr>
                </pic:pic>
              </a:graphicData>
            </a:graphic>
          </wp:inline>
        </w:drawing>
      </w:r>
    </w:p>
    <w:p>
      <w:pPr>
        <w:jc w:val="center"/>
        <w:rPr>
          <w:rFonts w:ascii="Arial" w:hAnsi="Arial" w:eastAsia="华文细黑" w:cs="Arial"/>
          <w:sz w:val="18"/>
          <w:szCs w:val="18"/>
        </w:rPr>
      </w:pPr>
    </w:p>
    <w:bookmarkEnd w:id="110"/>
    <w:bookmarkEnd w:id="111"/>
    <w:bookmarkEnd w:id="112"/>
    <w:p>
      <w:pPr>
        <w:widowControl w:val="0"/>
        <w:adjustRightInd w:val="0"/>
        <w:snapToGrid w:val="0"/>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lang w:val="en-US" w:eastAsia="zh-CN"/>
        </w:rPr>
        <w:t>3</w:t>
      </w:r>
      <w:r>
        <w:rPr>
          <w:rFonts w:hint="eastAsia" w:ascii="Arial" w:hAnsi="Arial" w:cs="Arial"/>
          <w:color w:val="000000"/>
          <w:sz w:val="21"/>
          <w:szCs w:val="21"/>
        </w:rPr>
        <w:t>、区域交通情况</w:t>
      </w:r>
    </w:p>
    <w:p>
      <w:pPr>
        <w:widowControl w:val="0"/>
        <w:adjustRightInd w:val="0"/>
        <w:snapToGrid w:val="0"/>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项目地块位于河北省邢台市信都片区，所在位置周边道路系统较为完备，整体路网环境较好，离城市级主干道路较短。项目地块东邻西环2路，北邻304国道，直线距离均2公里左右，地块交通通达性较好。</w:t>
      </w:r>
    </w:p>
    <w:p>
      <w:pPr>
        <w:widowControl w:val="0"/>
        <w:adjustRightInd w:val="0"/>
        <w:snapToGrid w:val="0"/>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公共交通方面，地块周边现阶段有公共交通线路17、13路等，公共交通条件相对一般。</w:t>
      </w:r>
    </w:p>
    <w:p>
      <w:pPr>
        <w:widowControl w:val="0"/>
        <w:adjustRightInd w:val="0"/>
        <w:snapToGrid w:val="0"/>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lang w:val="en-US" w:eastAsia="zh-CN"/>
        </w:rPr>
        <w:t>4</w:t>
      </w:r>
      <w:r>
        <w:rPr>
          <w:rFonts w:hint="eastAsia" w:ascii="Arial" w:hAnsi="Arial" w:cs="Arial"/>
          <w:color w:val="000000"/>
          <w:sz w:val="21"/>
          <w:szCs w:val="21"/>
        </w:rPr>
        <w:t>、区域配套情况</w:t>
      </w:r>
    </w:p>
    <w:p>
      <w:pPr>
        <w:widowControl w:val="0"/>
        <w:adjustRightInd w:val="0"/>
        <w:snapToGrid w:val="0"/>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根据现场调查，项目位于信都区非核心成熟区域，周边配套设施较少，待完善中。</w:t>
      </w:r>
    </w:p>
    <w:p>
      <w:pPr>
        <w:widowControl w:val="0"/>
        <w:adjustRightInd w:val="0"/>
        <w:snapToGrid w:val="0"/>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商业：距卓达广场约4公里；</w:t>
      </w:r>
    </w:p>
    <w:p>
      <w:pPr>
        <w:widowControl w:val="0"/>
        <w:adjustRightInd w:val="0"/>
        <w:snapToGrid w:val="0"/>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教育：地块周边2公里范围内有大路村学校、西先贤村小学等教育配套；</w:t>
      </w:r>
    </w:p>
    <w:p>
      <w:pPr>
        <w:widowControl w:val="0"/>
        <w:adjustRightInd w:val="0"/>
        <w:snapToGrid w:val="0"/>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医疗：项目往北直线距离3.5公里建有信都区中医院；</w:t>
      </w:r>
    </w:p>
    <w:p>
      <w:pPr>
        <w:widowControl w:val="0"/>
        <w:adjustRightInd w:val="0"/>
        <w:snapToGrid w:val="0"/>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景观及人文资源：项目周边5公里范围内有七里河国家水利风景区、周公文化园，兴台古镇等，自然景观资源较好，人文设施较多。</w:t>
      </w:r>
    </w:p>
    <w:p>
      <w:pPr>
        <w:widowControl w:val="0"/>
        <w:adjustRightInd w:val="0"/>
        <w:snapToGrid w:val="0"/>
        <w:spacing w:line="480" w:lineRule="auto"/>
        <w:jc w:val="center"/>
        <w:rPr>
          <w:rFonts w:ascii="Arial" w:hAnsi="Arial" w:cs="Arial"/>
          <w:sz w:val="21"/>
          <w:szCs w:val="21"/>
        </w:rPr>
      </w:pPr>
      <w:r>
        <w:drawing>
          <wp:inline distT="0" distB="0" distL="0" distR="0">
            <wp:extent cx="5486400" cy="4264660"/>
            <wp:effectExtent l="0" t="0" r="0" b="2540"/>
            <wp:docPr id="5162" name="图片 12" descr="D:\downlaod\网页捕获_1-8-2023_21415_creis.fang.com.jpeg网页捕获_1-8-2023_21415_creis.fa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 name="图片 12" descr="D:\downlaod\网页捕获_1-8-2023_21415_creis.fang.com.jpeg网页捕获_1-8-2023_21415_creis.fang.com"/>
                    <pic:cNvPicPr>
                      <a:picLocks noChangeAspect="1"/>
                    </pic:cNvPicPr>
                  </pic:nvPicPr>
                  <pic:blipFill>
                    <a:blip r:embed="rId19"/>
                    <a:srcRect l="7996" r="7996"/>
                    <a:stretch>
                      <a:fillRect/>
                    </a:stretch>
                  </pic:blipFill>
                  <pic:spPr>
                    <a:xfrm>
                      <a:off x="0" y="0"/>
                      <a:ext cx="5486400" cy="4264660"/>
                    </a:xfrm>
                    <a:prstGeom prst="rect">
                      <a:avLst/>
                    </a:prstGeom>
                  </pic:spPr>
                </pic:pic>
              </a:graphicData>
            </a:graphic>
          </wp:inline>
        </w:drawing>
      </w:r>
    </w:p>
    <w:p>
      <w:pPr>
        <w:pStyle w:val="3"/>
        <w:spacing w:before="0" w:after="0" w:line="480" w:lineRule="auto"/>
        <w:rPr>
          <w:rFonts w:eastAsia="宋体" w:cs="Arial"/>
          <w:sz w:val="21"/>
          <w:szCs w:val="21"/>
        </w:rPr>
      </w:pPr>
      <w:bookmarkStart w:id="117" w:name="_Toc74250062"/>
      <w:bookmarkStart w:id="118" w:name="_Toc30246"/>
      <w:bookmarkStart w:id="119" w:name="_Toc16198"/>
      <w:r>
        <w:rPr>
          <w:rFonts w:hint="eastAsia" w:eastAsia="宋体" w:cs="Arial"/>
          <w:sz w:val="21"/>
          <w:szCs w:val="21"/>
        </w:rPr>
        <w:t>二、项目建设规模及</w:t>
      </w:r>
      <w:bookmarkEnd w:id="113"/>
      <w:bookmarkEnd w:id="114"/>
      <w:bookmarkEnd w:id="115"/>
      <w:bookmarkEnd w:id="117"/>
      <w:r>
        <w:rPr>
          <w:rFonts w:hint="eastAsia" w:eastAsia="宋体" w:cs="Arial"/>
          <w:sz w:val="21"/>
          <w:szCs w:val="21"/>
        </w:rPr>
        <w:t>现场情况</w:t>
      </w:r>
      <w:bookmarkEnd w:id="118"/>
      <w:bookmarkEnd w:id="119"/>
    </w:p>
    <w:p>
      <w:pPr>
        <w:adjustRightInd w:val="0"/>
        <w:snapToGrid w:val="0"/>
        <w:spacing w:line="480" w:lineRule="auto"/>
        <w:ind w:firstLine="420" w:firstLineChars="200"/>
        <w:jc w:val="both"/>
        <w:outlineLvl w:val="2"/>
        <w:rPr>
          <w:rFonts w:ascii="Arial" w:hAnsi="Arial" w:cs="Arial"/>
          <w:color w:val="000000"/>
          <w:sz w:val="21"/>
          <w:szCs w:val="21"/>
        </w:rPr>
      </w:pPr>
      <w:bookmarkStart w:id="120" w:name="_Toc109122453"/>
      <w:bookmarkStart w:id="121" w:name="_Toc109119048"/>
      <w:bookmarkStart w:id="122" w:name="_Toc109118446"/>
      <w:r>
        <w:rPr>
          <w:rFonts w:ascii="Arial" w:hAnsi="Arial" w:cs="Arial"/>
          <w:color w:val="000000"/>
          <w:sz w:val="21"/>
          <w:szCs w:val="21"/>
        </w:rPr>
        <w:t>1、</w:t>
      </w:r>
      <w:bookmarkEnd w:id="120"/>
      <w:bookmarkEnd w:id="121"/>
      <w:bookmarkEnd w:id="122"/>
      <w:r>
        <w:rPr>
          <w:rFonts w:ascii="Arial" w:hAnsi="Arial" w:cs="Arial"/>
          <w:color w:val="000000"/>
          <w:sz w:val="21"/>
          <w:szCs w:val="21"/>
        </w:rPr>
        <w:t>项目概况</w:t>
      </w:r>
    </w:p>
    <w:p>
      <w:pPr>
        <w:widowControl w:val="0"/>
        <w:adjustRightInd w:val="0"/>
        <w:snapToGrid w:val="0"/>
        <w:spacing w:line="480" w:lineRule="auto"/>
        <w:ind w:firstLine="420" w:firstLineChars="200"/>
        <w:jc w:val="both"/>
        <w:rPr>
          <w:rFonts w:ascii="Arial" w:hAnsi="Arial" w:cs="Arial"/>
          <w:color w:val="000000"/>
          <w:sz w:val="21"/>
          <w:szCs w:val="21"/>
        </w:rPr>
      </w:pPr>
      <w:r>
        <w:rPr>
          <w:rFonts w:ascii="Arial" w:hAnsi="Arial" w:cs="Arial"/>
          <w:color w:val="000000"/>
          <w:sz w:val="21"/>
          <w:szCs w:val="21"/>
        </w:rPr>
        <w:t>建设项目位于</w:t>
      </w:r>
      <w:r>
        <w:rPr>
          <w:rFonts w:hint="eastAsia" w:ascii="Arial" w:hAnsi="Arial" w:cs="Arial"/>
          <w:color w:val="000000"/>
          <w:sz w:val="21"/>
          <w:szCs w:val="21"/>
        </w:rPr>
        <w:t>邢台市信都区百泉大道以北、七里河西侧</w:t>
      </w:r>
      <w:r>
        <w:rPr>
          <w:rFonts w:ascii="Arial" w:hAnsi="Arial" w:cs="Arial"/>
          <w:color w:val="000000"/>
          <w:sz w:val="21"/>
          <w:szCs w:val="21"/>
        </w:rPr>
        <w:t>。根据</w:t>
      </w:r>
      <w:r>
        <w:rPr>
          <w:rFonts w:hint="eastAsia" w:ascii="Arial" w:hAnsi="Arial" w:cs="Arial"/>
          <w:color w:val="000000"/>
          <w:sz w:val="21"/>
          <w:szCs w:val="21"/>
        </w:rPr>
        <w:t>《国有建设用地使用权出让合同》</w:t>
      </w:r>
      <w:r>
        <w:rPr>
          <w:rFonts w:ascii="Arial" w:hAnsi="Arial" w:cs="Arial"/>
          <w:color w:val="000000"/>
          <w:sz w:val="21"/>
          <w:szCs w:val="21"/>
        </w:rPr>
        <w:t>[电子监管号：</w:t>
      </w:r>
      <w:r>
        <w:rPr>
          <w:rFonts w:hint="eastAsia" w:ascii="Arial" w:hAnsi="Arial" w:cs="Arial"/>
          <w:color w:val="000000"/>
          <w:sz w:val="21"/>
          <w:szCs w:val="21"/>
        </w:rPr>
        <w:t>1305212021B01536</w:t>
      </w:r>
      <w:r>
        <w:rPr>
          <w:rFonts w:ascii="Arial" w:hAnsi="Arial" w:cs="Arial"/>
          <w:color w:val="000000"/>
          <w:sz w:val="21"/>
          <w:szCs w:val="21"/>
        </w:rPr>
        <w:t>]及附件，该项目土地用途为居住用地，土地面积</w:t>
      </w:r>
      <w:r>
        <w:rPr>
          <w:rFonts w:hint="eastAsia" w:ascii="Arial" w:hAnsi="Arial" w:cs="Arial"/>
          <w:color w:val="000000"/>
          <w:sz w:val="21"/>
          <w:szCs w:val="21"/>
        </w:rPr>
        <w:t>53101</w:t>
      </w:r>
      <w:r>
        <w:rPr>
          <w:rFonts w:ascii="Arial" w:hAnsi="Arial" w:cs="Arial"/>
          <w:color w:val="000000"/>
          <w:sz w:val="21"/>
          <w:szCs w:val="21"/>
        </w:rPr>
        <w:t>平米，</w:t>
      </w:r>
      <w:r>
        <w:rPr>
          <w:rFonts w:hint="eastAsia" w:ascii="Arial" w:hAnsi="Arial" w:cs="Arial"/>
          <w:color w:val="000000"/>
          <w:sz w:val="21"/>
          <w:szCs w:val="21"/>
        </w:rPr>
        <w:t>项目计容建筑面积≤69031平方米</w:t>
      </w:r>
      <w:r>
        <w:rPr>
          <w:rFonts w:ascii="Arial" w:hAnsi="Arial" w:cs="Arial"/>
          <w:color w:val="000000"/>
          <w:sz w:val="21"/>
          <w:szCs w:val="21"/>
        </w:rPr>
        <w:t>，</w:t>
      </w:r>
      <w:r>
        <w:rPr>
          <w:rFonts w:hint="eastAsia" w:ascii="Arial" w:hAnsi="Arial" w:cs="Arial"/>
          <w:color w:val="000000"/>
          <w:sz w:val="21"/>
          <w:szCs w:val="21"/>
        </w:rPr>
        <w:t>容积率≤1.3</w:t>
      </w:r>
      <w:r>
        <w:rPr>
          <w:rFonts w:ascii="Arial" w:hAnsi="Arial" w:cs="Arial"/>
          <w:color w:val="000000"/>
          <w:sz w:val="21"/>
          <w:szCs w:val="21"/>
        </w:rPr>
        <w:t>，绿化率</w:t>
      </w:r>
      <w:r>
        <w:rPr>
          <w:rFonts w:hint="eastAsia" w:ascii="Arial" w:hAnsi="Arial" w:cs="Arial"/>
          <w:color w:val="000000"/>
          <w:sz w:val="21"/>
          <w:szCs w:val="21"/>
        </w:rPr>
        <w:t>≥</w:t>
      </w:r>
      <w:r>
        <w:rPr>
          <w:rFonts w:ascii="Arial" w:hAnsi="Arial" w:cs="Arial"/>
          <w:color w:val="000000"/>
          <w:sz w:val="21"/>
          <w:szCs w:val="21"/>
        </w:rPr>
        <w:t>3</w:t>
      </w:r>
      <w:r>
        <w:rPr>
          <w:rFonts w:hint="eastAsia" w:ascii="Arial" w:hAnsi="Arial" w:cs="Arial"/>
          <w:color w:val="000000"/>
          <w:sz w:val="21"/>
          <w:szCs w:val="21"/>
        </w:rPr>
        <w:t>5</w:t>
      </w:r>
      <w:r>
        <w:rPr>
          <w:rFonts w:ascii="Arial" w:hAnsi="Arial" w:cs="Arial"/>
          <w:color w:val="000000"/>
          <w:sz w:val="21"/>
          <w:szCs w:val="21"/>
        </w:rPr>
        <w:t>%，建筑密度</w:t>
      </w:r>
      <w:r>
        <w:rPr>
          <w:rFonts w:hint="eastAsia" w:ascii="Arial" w:hAnsi="Arial" w:cs="Arial"/>
          <w:color w:val="000000"/>
          <w:sz w:val="21"/>
          <w:szCs w:val="21"/>
        </w:rPr>
        <w:t>≤28%</w:t>
      </w:r>
      <w:r>
        <w:rPr>
          <w:rFonts w:ascii="Arial" w:hAnsi="Arial" w:cs="Arial"/>
          <w:color w:val="000000"/>
          <w:sz w:val="21"/>
          <w:szCs w:val="21"/>
        </w:rPr>
        <w:t>，建筑限高不超过</w:t>
      </w:r>
      <w:r>
        <w:rPr>
          <w:rFonts w:hint="eastAsia" w:ascii="Arial" w:hAnsi="Arial" w:cs="Arial"/>
          <w:color w:val="000000"/>
          <w:sz w:val="21"/>
          <w:szCs w:val="21"/>
        </w:rPr>
        <w:t>21</w:t>
      </w:r>
      <w:r>
        <w:rPr>
          <w:rFonts w:ascii="Arial" w:hAnsi="Arial" w:cs="Arial"/>
          <w:color w:val="000000"/>
          <w:sz w:val="21"/>
          <w:szCs w:val="21"/>
        </w:rPr>
        <w:t>米</w:t>
      </w:r>
      <w:r>
        <w:rPr>
          <w:rFonts w:hint="eastAsia" w:ascii="Arial" w:hAnsi="Arial" w:cs="Arial"/>
          <w:color w:val="000000"/>
          <w:sz w:val="21"/>
          <w:szCs w:val="21"/>
        </w:rPr>
        <w:t>，限低4层。</w:t>
      </w:r>
    </w:p>
    <w:p>
      <w:pPr>
        <w:adjustRightInd w:val="0"/>
        <w:snapToGrid w:val="0"/>
        <w:spacing w:line="480" w:lineRule="auto"/>
        <w:ind w:firstLine="420" w:firstLineChars="200"/>
        <w:jc w:val="both"/>
        <w:outlineLvl w:val="2"/>
        <w:rPr>
          <w:rFonts w:ascii="Arial" w:hAnsi="Arial" w:cs="Arial"/>
          <w:color w:val="000000"/>
          <w:sz w:val="21"/>
          <w:szCs w:val="21"/>
        </w:rPr>
      </w:pPr>
      <w:r>
        <w:rPr>
          <w:rFonts w:ascii="Arial" w:hAnsi="Arial" w:cs="Arial"/>
          <w:color w:val="000000"/>
          <w:sz w:val="21"/>
          <w:szCs w:val="21"/>
        </w:rPr>
        <w:t>2、项目建造标准</w:t>
      </w:r>
    </w:p>
    <w:p>
      <w:pPr>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根据项目组提供的</w:t>
      </w:r>
      <w:r>
        <w:rPr>
          <w:rFonts w:hint="eastAsia" w:ascii="Arial" w:hAnsi="Arial" w:cs="Arial"/>
          <w:sz w:val="21"/>
          <w:szCs w:val="21"/>
          <w:lang w:val="en-US" w:eastAsia="zh-CN"/>
        </w:rPr>
        <w:t>项目</w:t>
      </w:r>
      <w:r>
        <w:rPr>
          <w:rFonts w:hint="eastAsia" w:ascii="Arial" w:hAnsi="Arial" w:cs="Arial"/>
          <w:sz w:val="21"/>
          <w:szCs w:val="21"/>
        </w:rPr>
        <w:t>公司预报规资料，项目规划总建筑面积为84851平方米，</w:t>
      </w:r>
      <w:r>
        <w:rPr>
          <w:rFonts w:hint="eastAsia" w:ascii="Arial" w:hAnsi="Arial" w:cs="Arial"/>
          <w:sz w:val="21"/>
          <w:szCs w:val="21"/>
          <w:lang w:val="en-US" w:eastAsia="zh-CN"/>
        </w:rPr>
        <w:t>其中地上</w:t>
      </w:r>
      <w:r>
        <w:rPr>
          <w:rFonts w:hint="eastAsia" w:ascii="Arial" w:hAnsi="Arial" w:cs="Arial"/>
          <w:sz w:val="21"/>
          <w:szCs w:val="21"/>
        </w:rPr>
        <w:t>建筑面积为59736平方米，规划为住宅、居住街坊配套、五分钟生活圈配套；地下建筑面积为25115平方米，规划为地下车库、物管用房、设备及人防。截至报告出具日开发方案尚未确定。</w:t>
      </w:r>
    </w:p>
    <w:p>
      <w:pPr>
        <w:adjustRightInd w:val="0"/>
        <w:snapToGrid w:val="0"/>
        <w:spacing w:line="480" w:lineRule="auto"/>
        <w:jc w:val="both"/>
        <w:rPr>
          <w:rFonts w:hint="eastAsia" w:ascii="Arial" w:hAnsi="Arial" w:eastAsia="宋体" w:cs="Arial"/>
          <w:sz w:val="21"/>
          <w:szCs w:val="21"/>
          <w:lang w:eastAsia="zh-CN"/>
        </w:rPr>
      </w:pPr>
      <w:r>
        <w:rPr>
          <w:rFonts w:hint="eastAsia" w:ascii="Arial" w:hAnsi="Arial" w:cs="Arial"/>
          <w:sz w:val="21"/>
          <w:szCs w:val="21"/>
        </w:rPr>
        <w:t>建设项目当前拟报规方案详见下表</w:t>
      </w:r>
      <w:r>
        <w:rPr>
          <w:rFonts w:hint="eastAsia" w:ascii="Arial" w:hAnsi="Arial" w:cs="Arial"/>
          <w:sz w:val="21"/>
          <w:szCs w:val="21"/>
          <w:lang w:eastAsia="zh-CN"/>
        </w:rPr>
        <w:t>：</w:t>
      </w:r>
    </w:p>
    <w:p>
      <w:pPr>
        <w:adjustRightInd w:val="0"/>
        <w:snapToGrid w:val="0"/>
        <w:jc w:val="center"/>
        <w:rPr>
          <w:rFonts w:ascii="Arial" w:hAnsi="Arial" w:cs="Arial"/>
          <w:sz w:val="21"/>
          <w:szCs w:val="21"/>
        </w:rPr>
      </w:pPr>
      <w:r>
        <w:rPr>
          <w:rFonts w:hint="eastAsia" w:ascii="Arial" w:hAnsi="Arial" w:cs="Arial"/>
          <w:sz w:val="21"/>
          <w:szCs w:val="21"/>
        </w:rPr>
        <w:drawing>
          <wp:inline distT="0" distB="0" distL="114300" distR="114300">
            <wp:extent cx="4445000" cy="5107305"/>
            <wp:effectExtent l="0" t="0" r="5080" b="13335"/>
            <wp:docPr id="1" name="图片 1" descr="截图2023080510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截图20230805100613"/>
                    <pic:cNvPicPr>
                      <a:picLocks noChangeAspect="1"/>
                    </pic:cNvPicPr>
                  </pic:nvPicPr>
                  <pic:blipFill>
                    <a:blip r:embed="rId20"/>
                    <a:stretch>
                      <a:fillRect/>
                    </a:stretch>
                  </pic:blipFill>
                  <pic:spPr>
                    <a:xfrm>
                      <a:off x="0" y="0"/>
                      <a:ext cx="4445000" cy="5107305"/>
                    </a:xfrm>
                    <a:prstGeom prst="rect">
                      <a:avLst/>
                    </a:prstGeom>
                  </pic:spPr>
                </pic:pic>
              </a:graphicData>
            </a:graphic>
          </wp:inline>
        </w:drawing>
      </w:r>
    </w:p>
    <w:p>
      <w:pPr>
        <w:adjustRightInd w:val="0"/>
        <w:snapToGrid w:val="0"/>
        <w:jc w:val="both"/>
        <w:rPr>
          <w:rFonts w:ascii="Arial" w:hAnsi="Arial" w:cs="Arial"/>
          <w:sz w:val="21"/>
          <w:szCs w:val="21"/>
        </w:rPr>
      </w:pPr>
    </w:p>
    <w:p>
      <w:pPr>
        <w:pStyle w:val="3"/>
        <w:spacing w:before="0" w:after="0" w:line="480" w:lineRule="auto"/>
        <w:jc w:val="both"/>
        <w:rPr>
          <w:rFonts w:hint="eastAsia" w:eastAsia="宋体" w:cs="Arial"/>
          <w:sz w:val="21"/>
          <w:szCs w:val="21"/>
          <w:lang w:eastAsia="zh-CN"/>
        </w:rPr>
      </w:pPr>
      <w:bookmarkStart w:id="123" w:name="_Toc74250063"/>
      <w:bookmarkStart w:id="124" w:name="_Toc118531914"/>
      <w:bookmarkStart w:id="125" w:name="_Toc109118448"/>
      <w:bookmarkStart w:id="126" w:name="_Toc109012099"/>
      <w:bookmarkStart w:id="127" w:name="_Toc14003"/>
      <w:bookmarkStart w:id="128" w:name="_Toc27259"/>
      <w:r>
        <w:rPr>
          <w:rFonts w:hint="eastAsia" w:eastAsia="宋体" w:cs="Arial"/>
          <w:sz w:val="21"/>
          <w:szCs w:val="21"/>
        </w:rPr>
        <w:t>三</w:t>
      </w:r>
      <w:r>
        <w:rPr>
          <w:rFonts w:eastAsia="宋体" w:cs="Arial"/>
          <w:sz w:val="21"/>
          <w:szCs w:val="21"/>
        </w:rPr>
        <w:t>、项目工程建设</w:t>
      </w:r>
      <w:bookmarkEnd w:id="123"/>
      <w:bookmarkEnd w:id="124"/>
      <w:bookmarkEnd w:id="125"/>
      <w:bookmarkEnd w:id="126"/>
      <w:bookmarkEnd w:id="127"/>
      <w:r>
        <w:rPr>
          <w:rFonts w:hint="eastAsia" w:eastAsia="宋体" w:cs="Arial"/>
          <w:sz w:val="21"/>
          <w:szCs w:val="21"/>
          <w:lang w:val="en-US" w:eastAsia="zh-CN"/>
        </w:rPr>
        <w:t>进展</w:t>
      </w:r>
      <w:bookmarkEnd w:id="128"/>
    </w:p>
    <w:p>
      <w:pPr>
        <w:widowControl w:val="0"/>
        <w:adjustRightInd w:val="0"/>
        <w:snapToGrid w:val="0"/>
        <w:spacing w:line="480" w:lineRule="auto"/>
        <w:ind w:firstLine="420" w:firstLineChars="200"/>
        <w:jc w:val="both"/>
        <w:rPr>
          <w:rFonts w:ascii="Arial" w:hAnsi="Arial" w:cs="Arial"/>
          <w:b w:val="0"/>
          <w:bCs w:val="0"/>
          <w:color w:val="000000"/>
          <w:sz w:val="21"/>
          <w:szCs w:val="21"/>
        </w:rPr>
      </w:pPr>
      <w:r>
        <w:rPr>
          <w:rFonts w:hint="eastAsia" w:ascii="Arial" w:hAnsi="Arial" w:cs="Arial"/>
          <w:sz w:val="21"/>
          <w:szCs w:val="21"/>
        </w:rPr>
        <w:t>截至本报告出具日，项目</w:t>
      </w:r>
      <w:r>
        <w:rPr>
          <w:rFonts w:hint="eastAsia" w:ascii="Arial" w:hAnsi="Arial" w:cs="Arial"/>
          <w:color w:val="000000"/>
          <w:sz w:val="21"/>
          <w:szCs w:val="21"/>
        </w:rPr>
        <w:t>已签署</w:t>
      </w:r>
      <w:r>
        <w:rPr>
          <w:rFonts w:ascii="Arial" w:hAnsi="Arial" w:cs="Arial"/>
          <w:color w:val="000000"/>
          <w:sz w:val="21"/>
          <w:szCs w:val="21"/>
        </w:rPr>
        <w:t>《国有建设用地使用权出让合同》[电子监管号：</w:t>
      </w:r>
      <w:r>
        <w:rPr>
          <w:rFonts w:hint="eastAsia" w:ascii="Arial" w:hAnsi="Arial" w:cs="Arial"/>
          <w:color w:val="000000"/>
          <w:sz w:val="21"/>
          <w:szCs w:val="21"/>
        </w:rPr>
        <w:t>1305212021B01536</w:t>
      </w:r>
      <w:r>
        <w:rPr>
          <w:rFonts w:ascii="Arial" w:hAnsi="Arial" w:cs="Arial"/>
          <w:color w:val="000000"/>
          <w:sz w:val="21"/>
          <w:szCs w:val="21"/>
        </w:rPr>
        <w:t>]及附件</w:t>
      </w:r>
      <w:r>
        <w:rPr>
          <w:rFonts w:hint="eastAsia" w:ascii="Arial" w:hAnsi="Arial" w:cs="Arial"/>
          <w:color w:val="000000"/>
          <w:sz w:val="21"/>
          <w:szCs w:val="21"/>
        </w:rPr>
        <w:t>，目前已缴清全部土地价款、税费、违约金和利息。项目办理土地证时，</w:t>
      </w:r>
      <w:r>
        <w:rPr>
          <w:rFonts w:hint="eastAsia" w:ascii="Arial" w:hAnsi="Arial" w:cs="Arial"/>
          <w:color w:val="000000"/>
          <w:sz w:val="21"/>
          <w:szCs w:val="21"/>
          <w:lang w:val="en-US" w:eastAsia="zh-CN"/>
        </w:rPr>
        <w:t>项目</w:t>
      </w:r>
      <w:r>
        <w:rPr>
          <w:rFonts w:hint="eastAsia" w:ascii="Arial" w:hAnsi="Arial" w:cs="Arial"/>
          <w:color w:val="000000"/>
          <w:sz w:val="21"/>
          <w:szCs w:val="21"/>
        </w:rPr>
        <w:t>公司发现出让地块内尚有两座坟茔需迁移</w:t>
      </w:r>
      <w:r>
        <w:rPr>
          <w:rFonts w:hint="eastAsia" w:ascii="Arial" w:hAnsi="Arial" w:cs="Arial"/>
          <w:color w:val="000000"/>
          <w:sz w:val="21"/>
          <w:szCs w:val="21"/>
          <w:lang w:eastAsia="zh-CN"/>
        </w:rPr>
        <w:t>。</w:t>
      </w:r>
      <w:r>
        <w:rPr>
          <w:rFonts w:hint="eastAsia" w:ascii="Arial" w:hAnsi="Arial" w:cs="Arial"/>
          <w:color w:val="000000"/>
          <w:sz w:val="21"/>
          <w:szCs w:val="21"/>
        </w:rPr>
        <w:t>2021年12月，</w:t>
      </w:r>
      <w:r>
        <w:rPr>
          <w:rFonts w:hint="eastAsia" w:ascii="Arial" w:hAnsi="Arial" w:cs="Arial"/>
          <w:color w:val="000000"/>
          <w:sz w:val="21"/>
          <w:szCs w:val="21"/>
          <w:lang w:val="en-US" w:eastAsia="zh-CN"/>
        </w:rPr>
        <w:t>项目</w:t>
      </w:r>
      <w:r>
        <w:rPr>
          <w:rFonts w:hint="eastAsia" w:ascii="Arial" w:hAnsi="Arial" w:cs="Arial"/>
          <w:color w:val="000000"/>
          <w:sz w:val="21"/>
          <w:szCs w:val="21"/>
        </w:rPr>
        <w:t>公司与墓主协商后达成迁坟协议</w:t>
      </w:r>
      <w:r>
        <w:rPr>
          <w:rFonts w:hint="eastAsia" w:ascii="Arial" w:hAnsi="Arial" w:cs="Arial"/>
          <w:color w:val="000000"/>
          <w:sz w:val="21"/>
          <w:szCs w:val="21"/>
          <w:lang w:eastAsia="zh-CN"/>
        </w:rPr>
        <w:t>。</w:t>
      </w:r>
      <w:r>
        <w:rPr>
          <w:rFonts w:hint="eastAsia" w:ascii="Arial" w:hAnsi="Arial" w:cs="Arial"/>
          <w:color w:val="000000"/>
          <w:sz w:val="21"/>
          <w:szCs w:val="21"/>
        </w:rPr>
        <w:t>2022年5月，经过测绘发现项目地块左上有一形状为三角形部分土地与相邻的路桥公司土地有坐标重叠情况，重叠部分并未收储，权属于路桥公司。项目公司认为本项目重叠面积较小，对项目整体未产生明显影响，建议放弃重叠面积，确保尽快取得土地证使后续工作顺利开展。2022年6月底</w:t>
      </w:r>
      <w:r>
        <w:rPr>
          <w:rFonts w:hint="eastAsia" w:ascii="Arial" w:hAnsi="Arial" w:cs="Arial"/>
          <w:color w:val="000000"/>
          <w:sz w:val="21"/>
          <w:szCs w:val="21"/>
          <w:lang w:eastAsia="zh-CN"/>
        </w:rPr>
        <w:t>，</w:t>
      </w:r>
      <w:r>
        <w:rPr>
          <w:rFonts w:hint="eastAsia" w:ascii="Arial" w:hAnsi="Arial" w:cs="Arial"/>
          <w:color w:val="000000"/>
          <w:sz w:val="21"/>
          <w:szCs w:val="21"/>
        </w:rPr>
        <w:t>项目公司向邢台路桥建设集团发出编号为邢台华昱函[2022]3号《关于协助办理邢台华昱房地产开发有限公司（2021）20号地块不动产权的函》，确认放弃重叠位置。</w:t>
      </w:r>
      <w:r>
        <w:rPr>
          <w:rFonts w:ascii="Arial" w:hAnsi="Arial" w:cs="Arial"/>
          <w:color w:val="000000"/>
          <w:sz w:val="21"/>
          <w:szCs w:val="21"/>
        </w:rPr>
        <w:t>以上两土地权属争议解决后，邢台市自然资源和规划局信都分局</w:t>
      </w:r>
      <w:r>
        <w:rPr>
          <w:rFonts w:hint="eastAsia" w:ascii="Arial" w:hAnsi="Arial" w:cs="Arial"/>
          <w:color w:val="000000"/>
          <w:sz w:val="21"/>
          <w:szCs w:val="21"/>
          <w:lang w:val="en-US" w:eastAsia="zh-CN"/>
        </w:rPr>
        <w:t>又</w:t>
      </w:r>
      <w:r>
        <w:rPr>
          <w:rFonts w:ascii="Arial" w:hAnsi="Arial" w:cs="Arial"/>
          <w:color w:val="000000"/>
          <w:sz w:val="21"/>
          <w:szCs w:val="21"/>
        </w:rPr>
        <w:t>要求项目公司自行与相邻宗地权利人确认界址，界址确认过程中大路村</w:t>
      </w:r>
      <w:r>
        <w:rPr>
          <w:rFonts w:hint="eastAsia" w:ascii="Arial" w:hAnsi="Arial" w:cs="Arial"/>
          <w:color w:val="000000"/>
          <w:sz w:val="21"/>
          <w:szCs w:val="21"/>
          <w:lang w:val="en-US" w:eastAsia="zh-CN"/>
        </w:rPr>
        <w:t>以部分</w:t>
      </w:r>
      <w:r>
        <w:rPr>
          <w:rFonts w:ascii="Arial" w:hAnsi="Arial" w:cs="Arial"/>
          <w:color w:val="000000"/>
          <w:sz w:val="21"/>
          <w:szCs w:val="21"/>
        </w:rPr>
        <w:t>地块</w:t>
      </w:r>
      <w:r>
        <w:rPr>
          <w:rFonts w:hint="eastAsia" w:ascii="Arial" w:hAnsi="Arial" w:cs="Arial"/>
          <w:color w:val="000000"/>
          <w:sz w:val="21"/>
          <w:szCs w:val="21"/>
          <w:lang w:val="en-US" w:eastAsia="zh-CN"/>
        </w:rPr>
        <w:t>没有</w:t>
      </w:r>
      <w:r>
        <w:rPr>
          <w:rFonts w:ascii="Arial" w:hAnsi="Arial" w:cs="Arial"/>
          <w:color w:val="000000"/>
          <w:sz w:val="21"/>
          <w:szCs w:val="21"/>
        </w:rPr>
        <w:t>从邢台市自然资源和规划局信都分局收到征地补偿款</w:t>
      </w:r>
      <w:r>
        <w:rPr>
          <w:rFonts w:hint="eastAsia" w:ascii="Arial" w:hAnsi="Arial" w:cs="Arial"/>
          <w:color w:val="000000"/>
          <w:sz w:val="21"/>
          <w:szCs w:val="21"/>
          <w:lang w:val="en-US" w:eastAsia="zh-CN"/>
        </w:rPr>
        <w:t>为由</w:t>
      </w:r>
      <w:r>
        <w:rPr>
          <w:rFonts w:ascii="Arial" w:hAnsi="Arial" w:cs="Arial"/>
          <w:color w:val="000000"/>
          <w:sz w:val="21"/>
          <w:szCs w:val="21"/>
        </w:rPr>
        <w:t>，拒绝</w:t>
      </w:r>
      <w:r>
        <w:rPr>
          <w:rFonts w:hint="eastAsia" w:ascii="Arial" w:hAnsi="Arial" w:cs="Arial"/>
          <w:color w:val="000000"/>
          <w:sz w:val="21"/>
          <w:szCs w:val="21"/>
          <w:lang w:val="en-US" w:eastAsia="zh-CN"/>
        </w:rPr>
        <w:t>项目地块的</w:t>
      </w:r>
      <w:r>
        <w:rPr>
          <w:rFonts w:ascii="Arial" w:hAnsi="Arial" w:cs="Arial"/>
          <w:color w:val="000000"/>
          <w:sz w:val="21"/>
          <w:szCs w:val="21"/>
        </w:rPr>
        <w:t>界址确认，导致</w:t>
      </w:r>
      <w:r>
        <w:rPr>
          <w:rFonts w:hint="eastAsia" w:ascii="Arial" w:hAnsi="Arial" w:cs="Arial"/>
          <w:color w:val="000000"/>
          <w:sz w:val="21"/>
          <w:szCs w:val="21"/>
          <w:lang w:val="en-US" w:eastAsia="zh-CN"/>
        </w:rPr>
        <w:t>至今</w:t>
      </w:r>
      <w:r>
        <w:rPr>
          <w:rFonts w:ascii="Arial" w:hAnsi="Arial" w:cs="Arial"/>
          <w:color w:val="000000"/>
          <w:sz w:val="21"/>
          <w:szCs w:val="21"/>
        </w:rPr>
        <w:t>无法办理土地证</w:t>
      </w:r>
      <w:r>
        <w:rPr>
          <w:rFonts w:hint="eastAsia" w:ascii="Arial" w:hAnsi="Arial" w:cs="Arial"/>
          <w:color w:val="000000"/>
          <w:sz w:val="21"/>
          <w:szCs w:val="21"/>
          <w:lang w:eastAsia="zh-CN"/>
        </w:rPr>
        <w:t>。</w:t>
      </w:r>
      <w:r>
        <w:rPr>
          <w:rFonts w:ascii="Arial" w:hAnsi="Arial" w:cs="Arial"/>
          <w:color w:val="000000"/>
          <w:sz w:val="21"/>
          <w:szCs w:val="21"/>
        </w:rPr>
        <w:t>项目公司于2022年11月8日向邢台市自然资源和规划局信都分局发函请求协调解决，至今尚未收到回复。</w:t>
      </w:r>
      <w:r>
        <w:rPr>
          <w:rFonts w:hint="eastAsia" w:ascii="Arial" w:hAnsi="Arial" w:cs="Arial"/>
          <w:color w:val="000000"/>
          <w:sz w:val="21"/>
          <w:szCs w:val="21"/>
          <w:lang w:val="en-US" w:eastAsia="zh-CN"/>
        </w:rPr>
        <w:t>致使目前土地证依然没有取得</w:t>
      </w:r>
      <w:r>
        <w:rPr>
          <w:rFonts w:ascii="Arial" w:hAnsi="Arial" w:cs="Arial"/>
          <w:color w:val="000000"/>
          <w:sz w:val="21"/>
          <w:szCs w:val="21"/>
        </w:rPr>
        <w:t>，项目开发</w:t>
      </w:r>
      <w:r>
        <w:rPr>
          <w:rFonts w:hint="eastAsia" w:ascii="Arial" w:hAnsi="Arial" w:cs="Arial"/>
          <w:color w:val="000000"/>
          <w:sz w:val="21"/>
          <w:szCs w:val="21"/>
          <w:lang w:val="en-US" w:eastAsia="zh-CN"/>
        </w:rPr>
        <w:t>处于停滞状态</w:t>
      </w:r>
      <w:r>
        <w:rPr>
          <w:rFonts w:ascii="Arial" w:hAnsi="Arial" w:cs="Arial"/>
          <w:color w:val="000000"/>
          <w:sz w:val="21"/>
          <w:szCs w:val="21"/>
        </w:rPr>
        <w:t>。</w:t>
      </w:r>
    </w:p>
    <w:p>
      <w:pPr>
        <w:rPr>
          <w:rFonts w:ascii="Arial" w:hAnsi="Arial" w:eastAsia="方正黑体简体" w:cs="Arial"/>
          <w:bCs/>
          <w:kern w:val="44"/>
          <w:sz w:val="32"/>
          <w:szCs w:val="32"/>
        </w:rPr>
      </w:pPr>
      <w:bookmarkStart w:id="129" w:name="_Toc74250067"/>
      <w:bookmarkStart w:id="130" w:name="_Toc6170"/>
      <w:bookmarkStart w:id="131" w:name="_Toc31765"/>
      <w:r>
        <w:rPr>
          <w:rFonts w:ascii="Arial" w:hAnsi="Arial" w:eastAsia="方正黑体简体" w:cs="Arial"/>
          <w:b/>
          <w:bCs/>
          <w:sz w:val="32"/>
          <w:szCs w:val="32"/>
        </w:rPr>
        <w:br w:type="page"/>
      </w:r>
    </w:p>
    <w:p>
      <w:pPr>
        <w:pStyle w:val="2"/>
        <w:spacing w:before="240"/>
        <w:rPr>
          <w:rFonts w:ascii="Arial" w:hAnsi="Arial" w:eastAsia="方正黑体简体" w:cs="Arial"/>
          <w:b w:val="0"/>
          <w:bCs/>
          <w:sz w:val="32"/>
          <w:szCs w:val="32"/>
        </w:rPr>
      </w:pPr>
      <w:bookmarkStart w:id="132" w:name="_Toc25119"/>
      <w:r>
        <w:rPr>
          <w:rFonts w:ascii="Arial" w:hAnsi="Arial" w:eastAsia="方正黑体简体" w:cs="Arial"/>
          <w:b w:val="0"/>
          <w:bCs/>
          <w:sz w:val="32"/>
          <w:szCs w:val="32"/>
        </w:rPr>
        <w:t xml:space="preserve">第三章  </w:t>
      </w:r>
      <w:r>
        <w:rPr>
          <w:rFonts w:hint="eastAsia" w:ascii="Arial" w:hAnsi="Arial" w:eastAsia="方正黑体简体" w:cs="Arial"/>
          <w:b w:val="0"/>
          <w:bCs/>
          <w:sz w:val="32"/>
          <w:szCs w:val="32"/>
        </w:rPr>
        <w:t>区域</w:t>
      </w:r>
      <w:r>
        <w:rPr>
          <w:rFonts w:ascii="Arial" w:hAnsi="Arial" w:eastAsia="方正黑体简体" w:cs="Arial"/>
          <w:b w:val="0"/>
          <w:bCs/>
          <w:sz w:val="32"/>
          <w:szCs w:val="32"/>
        </w:rPr>
        <w:t>市场</w:t>
      </w:r>
      <w:bookmarkEnd w:id="129"/>
      <w:r>
        <w:rPr>
          <w:rFonts w:hint="eastAsia" w:ascii="Arial" w:hAnsi="Arial" w:eastAsia="方正黑体简体" w:cs="Arial"/>
          <w:b w:val="0"/>
          <w:bCs/>
          <w:sz w:val="32"/>
          <w:szCs w:val="32"/>
        </w:rPr>
        <w:t>分析</w:t>
      </w:r>
      <w:bookmarkEnd w:id="130"/>
      <w:bookmarkEnd w:id="131"/>
      <w:bookmarkEnd w:id="132"/>
    </w:p>
    <w:bookmarkEnd w:id="52"/>
    <w:bookmarkEnd w:id="53"/>
    <w:p>
      <w:pPr>
        <w:pStyle w:val="3"/>
        <w:tabs>
          <w:tab w:val="left" w:pos="5220"/>
        </w:tabs>
        <w:spacing w:before="0" w:after="0" w:line="480" w:lineRule="auto"/>
        <w:jc w:val="both"/>
        <w:rPr>
          <w:rFonts w:eastAsia="宋体" w:cs="Arial"/>
          <w:sz w:val="21"/>
          <w:szCs w:val="21"/>
        </w:rPr>
      </w:pPr>
      <w:bookmarkStart w:id="133" w:name="_Toc74250071"/>
      <w:bookmarkStart w:id="134" w:name="_Toc18027"/>
      <w:bookmarkStart w:id="135" w:name="_Toc43885858"/>
      <w:bookmarkStart w:id="136" w:name="_Toc19414"/>
      <w:r>
        <w:rPr>
          <w:rFonts w:hint="eastAsia" w:eastAsia="宋体" w:cs="Arial"/>
          <w:sz w:val="21"/>
          <w:szCs w:val="21"/>
        </w:rPr>
        <w:t>一、土地市场概况</w:t>
      </w:r>
      <w:bookmarkEnd w:id="133"/>
      <w:bookmarkEnd w:id="134"/>
      <w:bookmarkEnd w:id="135"/>
      <w:bookmarkEnd w:id="136"/>
    </w:p>
    <w:p>
      <w:pPr>
        <w:snapToGrid w:val="0"/>
        <w:spacing w:line="480" w:lineRule="auto"/>
        <w:ind w:firstLine="420" w:firstLineChars="200"/>
        <w:jc w:val="both"/>
        <w:rPr>
          <w:rFonts w:ascii="Arial" w:hAnsi="Arial"/>
          <w:sz w:val="21"/>
          <w:szCs w:val="28"/>
        </w:rPr>
      </w:pPr>
      <w:r>
        <w:rPr>
          <w:rFonts w:hint="eastAsia" w:ascii="Arial" w:hAnsi="Arial"/>
          <w:sz w:val="21"/>
          <w:szCs w:val="28"/>
        </w:rPr>
        <w:t>根据相关数据，邢台市自2020年1月至2023年7月住宅类建设用地总成交面积为773.3484万平方米，对应住宅的总规划建筑面为1713.7963万平方米。其中，土地成交面积超30000平方米以上的宗地有112宗，成交楼面均价为1329元/平方米；土地成交面积超50000平方米以上的宗地有31宗（包含本项目用地），成交楼面均价为1305元/平方米。绝大部分成交土地的规划容积率在1</w:t>
      </w:r>
      <w:r>
        <w:rPr>
          <w:rFonts w:hint="eastAsia" w:ascii="Arial" w:hAnsi="Arial"/>
          <w:sz w:val="21"/>
          <w:szCs w:val="28"/>
          <w:lang w:val="en-US" w:eastAsia="zh-CN"/>
        </w:rPr>
        <w:t>.0</w:t>
      </w:r>
      <w:r>
        <w:rPr>
          <w:rFonts w:hint="eastAsia" w:ascii="Arial" w:hAnsi="Arial"/>
          <w:sz w:val="21"/>
          <w:szCs w:val="28"/>
        </w:rPr>
        <w:t>到2.0之间。本项目土地坐落于信都区</w:t>
      </w:r>
      <w:r>
        <w:rPr>
          <w:rFonts w:hint="eastAsia" w:ascii="Arial" w:hAnsi="Arial"/>
          <w:sz w:val="21"/>
          <w:szCs w:val="28"/>
          <w:lang w:val="en-US" w:eastAsia="zh-CN"/>
        </w:rPr>
        <w:t>百</w:t>
      </w:r>
      <w:r>
        <w:rPr>
          <w:rFonts w:hint="eastAsia" w:ascii="Arial" w:hAnsi="Arial"/>
          <w:sz w:val="21"/>
          <w:szCs w:val="28"/>
        </w:rPr>
        <w:t>泉大道以北、七里河西侧，属于非居住核心区域，近几年周边未查询到类似土地的交易记录，对比同区域仅有两宗成交的土地距离其相对较近（4公里左右），一宗位于滨江路以东、规划加密路二十八以南邢信储[2022]24号，另一宗位于正义路东侧、泉南大街南侧、经安路西侧、团结西大街北侧邢信储[2022]19号。</w:t>
      </w:r>
    </w:p>
    <w:p>
      <w:pPr>
        <w:pStyle w:val="3"/>
        <w:tabs>
          <w:tab w:val="left" w:pos="5220"/>
        </w:tabs>
        <w:spacing w:before="0" w:after="0" w:line="480" w:lineRule="auto"/>
        <w:jc w:val="both"/>
        <w:rPr>
          <w:rFonts w:eastAsia="宋体" w:cs="Arial"/>
          <w:sz w:val="21"/>
          <w:szCs w:val="21"/>
        </w:rPr>
      </w:pPr>
      <w:bookmarkStart w:id="137" w:name="_Toc16888"/>
      <w:bookmarkStart w:id="138" w:name="_Toc74250073"/>
      <w:bookmarkStart w:id="139" w:name="_Toc43885860"/>
      <w:bookmarkStart w:id="140" w:name="_Toc10105"/>
      <w:r>
        <w:rPr>
          <w:rFonts w:hint="eastAsia" w:eastAsia="宋体" w:cs="Arial"/>
          <w:sz w:val="21"/>
          <w:szCs w:val="21"/>
        </w:rPr>
        <w:t>二、房地产政策</w:t>
      </w:r>
      <w:bookmarkEnd w:id="137"/>
      <w:bookmarkEnd w:id="138"/>
      <w:bookmarkEnd w:id="139"/>
      <w:bookmarkEnd w:id="140"/>
    </w:p>
    <w:p>
      <w:pPr>
        <w:snapToGrid w:val="0"/>
        <w:spacing w:line="480" w:lineRule="auto"/>
        <w:jc w:val="both"/>
        <w:outlineLvl w:val="2"/>
        <w:rPr>
          <w:rFonts w:ascii="Arial" w:hAnsi="Arial"/>
          <w:sz w:val="21"/>
          <w:szCs w:val="28"/>
        </w:rPr>
      </w:pPr>
      <w:r>
        <w:rPr>
          <w:rFonts w:hint="eastAsia" w:ascii="Arial" w:hAnsi="Arial"/>
          <w:sz w:val="21"/>
          <w:szCs w:val="28"/>
        </w:rPr>
        <w:t>1、预售政策</w:t>
      </w:r>
    </w:p>
    <w:p>
      <w:pPr>
        <w:snapToGrid w:val="0"/>
        <w:spacing w:line="480" w:lineRule="auto"/>
        <w:jc w:val="both"/>
        <w:rPr>
          <w:rFonts w:ascii="Arial" w:hAnsi="Arial"/>
          <w:sz w:val="21"/>
          <w:szCs w:val="28"/>
        </w:rPr>
      </w:pPr>
      <w:r>
        <w:rPr>
          <w:rFonts w:hint="eastAsia" w:ascii="Arial" w:hAnsi="Arial"/>
          <w:sz w:val="21"/>
          <w:szCs w:val="28"/>
        </w:rPr>
        <w:t>（1）已交付全部土地使用权出让金，取得土地使用权证书。</w:t>
      </w:r>
      <w:r>
        <w:rPr>
          <w:rFonts w:hint="eastAsia" w:ascii="Arial" w:hAnsi="Arial"/>
          <w:sz w:val="21"/>
          <w:szCs w:val="28"/>
        </w:rPr>
        <w:br w:type="textWrapping"/>
      </w:r>
      <w:r>
        <w:rPr>
          <w:rFonts w:hint="eastAsia" w:ascii="Arial" w:hAnsi="Arial"/>
          <w:sz w:val="21"/>
          <w:szCs w:val="28"/>
        </w:rPr>
        <w:t>（2）持有建设工程规划许可证和施工许可证。</w:t>
      </w:r>
      <w:r>
        <w:rPr>
          <w:rFonts w:hint="eastAsia" w:ascii="Arial" w:hAnsi="Arial"/>
          <w:sz w:val="21"/>
          <w:szCs w:val="28"/>
        </w:rPr>
        <w:br w:type="textWrapping"/>
      </w:r>
      <w:r>
        <w:rPr>
          <w:rFonts w:hint="eastAsia" w:ascii="Arial" w:hAnsi="Arial"/>
          <w:sz w:val="21"/>
          <w:szCs w:val="28"/>
        </w:rPr>
        <w:t>（3）按提供预售的商品房计算，投入开发建设的资金达到工程建设总投资的25%以上，并已经确定施工进度和竣工交付日期。</w:t>
      </w:r>
      <w:r>
        <w:rPr>
          <w:rFonts w:hint="eastAsia" w:ascii="Arial" w:hAnsi="Arial"/>
          <w:sz w:val="21"/>
          <w:szCs w:val="28"/>
        </w:rPr>
        <w:br w:type="textWrapping"/>
      </w:r>
      <w:r>
        <w:rPr>
          <w:rFonts w:hint="eastAsia" w:ascii="Arial" w:hAnsi="Arial"/>
          <w:sz w:val="21"/>
          <w:szCs w:val="28"/>
        </w:rPr>
        <w:t>（4）向属地房产管理部门申请预售许可，取得《商品房预售许可证》。</w:t>
      </w:r>
      <w:r>
        <w:rPr>
          <w:rFonts w:hint="eastAsia" w:ascii="Arial" w:hAnsi="Arial"/>
          <w:sz w:val="21"/>
          <w:szCs w:val="28"/>
        </w:rPr>
        <w:br w:type="textWrapping"/>
      </w:r>
      <w:r>
        <w:rPr>
          <w:rFonts w:hint="eastAsia" w:ascii="Arial" w:hAnsi="Arial"/>
          <w:sz w:val="21"/>
          <w:szCs w:val="28"/>
        </w:rPr>
        <w:t>2、</w:t>
      </w:r>
      <w:r>
        <w:rPr>
          <w:rFonts w:ascii="Arial" w:hAnsi="Arial"/>
          <w:sz w:val="21"/>
          <w:szCs w:val="28"/>
        </w:rPr>
        <w:t>限购政策</w:t>
      </w:r>
    </w:p>
    <w:p>
      <w:pPr>
        <w:snapToGrid w:val="0"/>
        <w:spacing w:line="480" w:lineRule="auto"/>
        <w:ind w:firstLine="420" w:firstLineChars="200"/>
        <w:jc w:val="both"/>
        <w:rPr>
          <w:rFonts w:ascii="Arial" w:hAnsi="Arial"/>
          <w:sz w:val="21"/>
          <w:szCs w:val="28"/>
        </w:rPr>
      </w:pPr>
      <w:r>
        <w:rPr>
          <w:rFonts w:hint="eastAsia" w:ascii="Arial" w:hAnsi="Arial"/>
          <w:sz w:val="21"/>
          <w:szCs w:val="28"/>
        </w:rPr>
        <w:t>邢台市商品房对购房人无限购要求。</w:t>
      </w:r>
    </w:p>
    <w:p>
      <w:pPr>
        <w:snapToGrid w:val="0"/>
        <w:spacing w:line="480" w:lineRule="auto"/>
        <w:jc w:val="both"/>
        <w:outlineLvl w:val="2"/>
        <w:rPr>
          <w:rFonts w:ascii="Arial" w:hAnsi="Arial"/>
          <w:sz w:val="21"/>
          <w:szCs w:val="28"/>
        </w:rPr>
      </w:pPr>
      <w:r>
        <w:rPr>
          <w:rFonts w:hint="eastAsia" w:ascii="Arial" w:hAnsi="Arial"/>
          <w:sz w:val="21"/>
          <w:szCs w:val="28"/>
        </w:rPr>
        <w:t>3、</w:t>
      </w:r>
      <w:r>
        <w:rPr>
          <w:rFonts w:ascii="Arial" w:hAnsi="Arial"/>
          <w:sz w:val="21"/>
          <w:szCs w:val="28"/>
        </w:rPr>
        <w:t>限价政策</w:t>
      </w:r>
    </w:p>
    <w:p>
      <w:pPr>
        <w:snapToGrid w:val="0"/>
        <w:spacing w:line="480" w:lineRule="auto"/>
        <w:ind w:firstLine="420" w:firstLineChars="200"/>
        <w:jc w:val="both"/>
        <w:rPr>
          <w:rFonts w:ascii="Arial" w:hAnsi="Arial"/>
          <w:sz w:val="21"/>
          <w:szCs w:val="28"/>
        </w:rPr>
      </w:pPr>
      <w:r>
        <w:rPr>
          <w:rFonts w:hint="eastAsia" w:ascii="Arial" w:hAnsi="Arial"/>
          <w:sz w:val="21"/>
          <w:szCs w:val="28"/>
        </w:rPr>
        <w:t>邢台市商品房无限价要求。</w:t>
      </w:r>
    </w:p>
    <w:bookmarkEnd w:id="44"/>
    <w:p>
      <w:pPr>
        <w:rPr>
          <w:rFonts w:ascii="Arial" w:hAnsi="Arial" w:eastAsia="方正黑体简体" w:cs="Arial"/>
          <w:bCs/>
          <w:sz w:val="32"/>
          <w:szCs w:val="32"/>
        </w:rPr>
      </w:pPr>
      <w:bookmarkStart w:id="141" w:name="_Toc15424"/>
      <w:bookmarkStart w:id="142" w:name="_Toc18868"/>
      <w:r>
        <w:rPr>
          <w:rFonts w:ascii="Arial" w:hAnsi="Arial" w:eastAsia="方正黑体简体" w:cs="Arial"/>
          <w:bCs/>
          <w:sz w:val="32"/>
          <w:szCs w:val="32"/>
        </w:rPr>
        <w:br w:type="page"/>
      </w:r>
    </w:p>
    <w:p>
      <w:pPr>
        <w:spacing w:before="240" w:line="480" w:lineRule="auto"/>
        <w:ind w:firstLine="640" w:firstLineChars="200"/>
        <w:jc w:val="center"/>
        <w:outlineLvl w:val="0"/>
        <w:rPr>
          <w:rFonts w:ascii="Arial" w:hAnsi="Arial" w:eastAsia="方正黑体简体" w:cs="Arial"/>
          <w:b/>
          <w:bCs/>
          <w:sz w:val="32"/>
          <w:szCs w:val="32"/>
        </w:rPr>
      </w:pPr>
      <w:bookmarkStart w:id="143" w:name="_Toc27178"/>
      <w:r>
        <w:rPr>
          <w:rFonts w:ascii="Arial" w:hAnsi="Arial" w:eastAsia="方正黑体简体" w:cs="Arial"/>
          <w:bCs/>
          <w:sz w:val="32"/>
          <w:szCs w:val="32"/>
        </w:rPr>
        <w:t xml:space="preserve">第四章  </w:t>
      </w:r>
      <w:r>
        <w:rPr>
          <w:rFonts w:hint="eastAsia" w:ascii="Arial" w:hAnsi="Arial" w:eastAsia="方正黑体简体" w:cs="Arial"/>
          <w:bCs/>
          <w:sz w:val="32"/>
          <w:szCs w:val="32"/>
        </w:rPr>
        <w:t>合同核查分析</w:t>
      </w:r>
      <w:bookmarkEnd w:id="141"/>
      <w:bookmarkEnd w:id="142"/>
      <w:bookmarkEnd w:id="143"/>
    </w:p>
    <w:p>
      <w:pPr>
        <w:pStyle w:val="3"/>
        <w:spacing w:before="0" w:after="0" w:line="480" w:lineRule="auto"/>
        <w:rPr>
          <w:rFonts w:eastAsia="宋体" w:cs="Arial"/>
          <w:sz w:val="21"/>
          <w:szCs w:val="21"/>
        </w:rPr>
      </w:pPr>
      <w:bookmarkStart w:id="144" w:name="_Toc76889705"/>
      <w:bookmarkStart w:id="145" w:name="_Toc15414"/>
      <w:bookmarkStart w:id="146" w:name="_Toc377"/>
      <w:r>
        <w:rPr>
          <w:rFonts w:eastAsia="宋体" w:cs="Arial"/>
          <w:sz w:val="21"/>
          <w:szCs w:val="21"/>
        </w:rPr>
        <w:t>一、</w:t>
      </w:r>
      <w:bookmarkEnd w:id="144"/>
      <w:r>
        <w:rPr>
          <w:rFonts w:hint="eastAsia" w:eastAsia="宋体" w:cs="Arial"/>
          <w:sz w:val="21"/>
          <w:szCs w:val="21"/>
        </w:rPr>
        <w:t>核查基础</w:t>
      </w:r>
      <w:bookmarkEnd w:id="145"/>
      <w:bookmarkEnd w:id="146"/>
    </w:p>
    <w:p>
      <w:pPr>
        <w:adjustRightInd w:val="0"/>
        <w:snapToGrid w:val="0"/>
        <w:spacing w:line="480" w:lineRule="auto"/>
        <w:ind w:firstLine="420" w:firstLineChars="200"/>
        <w:jc w:val="both"/>
        <w:outlineLvl w:val="2"/>
        <w:rPr>
          <w:rFonts w:ascii="Arial" w:hAnsi="Arial" w:cs="Arial"/>
          <w:sz w:val="21"/>
          <w:szCs w:val="21"/>
        </w:rPr>
      </w:pPr>
      <w:bookmarkStart w:id="147" w:name="_Toc99251663"/>
      <w:bookmarkStart w:id="148" w:name="_Toc99176032"/>
      <w:r>
        <w:rPr>
          <w:rFonts w:ascii="Arial" w:hAnsi="Arial" w:cs="Arial"/>
          <w:sz w:val="21"/>
          <w:szCs w:val="21"/>
        </w:rPr>
        <w:t>（一）</w:t>
      </w:r>
      <w:r>
        <w:rPr>
          <w:rFonts w:hint="eastAsia" w:ascii="Arial" w:hAnsi="Arial" w:cs="Arial"/>
          <w:sz w:val="21"/>
          <w:szCs w:val="21"/>
        </w:rPr>
        <w:t>核查</w:t>
      </w:r>
      <w:r>
        <w:rPr>
          <w:rFonts w:ascii="Arial" w:hAnsi="Arial" w:cs="Arial"/>
          <w:sz w:val="21"/>
          <w:szCs w:val="21"/>
        </w:rPr>
        <w:t>原则</w:t>
      </w:r>
      <w:bookmarkEnd w:id="147"/>
      <w:bookmarkEnd w:id="148"/>
    </w:p>
    <w:p>
      <w:pPr>
        <w:adjustRightInd w:val="0"/>
        <w:snapToGrid w:val="0"/>
        <w:spacing w:line="480" w:lineRule="auto"/>
        <w:ind w:firstLine="420" w:firstLineChars="200"/>
        <w:jc w:val="both"/>
        <w:rPr>
          <w:rFonts w:ascii="Arial" w:hAnsi="Arial" w:cs="Arial"/>
          <w:sz w:val="21"/>
          <w:szCs w:val="21"/>
        </w:rPr>
      </w:pPr>
      <w:r>
        <w:rPr>
          <w:rFonts w:ascii="Arial" w:hAnsi="Arial" w:cs="Arial"/>
          <w:sz w:val="21"/>
          <w:szCs w:val="21"/>
        </w:rPr>
        <w:t>本次</w:t>
      </w:r>
      <w:r>
        <w:rPr>
          <w:rFonts w:hint="eastAsia" w:ascii="Arial" w:hAnsi="Arial" w:cs="Arial"/>
          <w:sz w:val="21"/>
          <w:szCs w:val="21"/>
        </w:rPr>
        <w:t>核查</w:t>
      </w:r>
      <w:r>
        <w:rPr>
          <w:rFonts w:ascii="Arial" w:hAnsi="Arial" w:cs="Arial"/>
          <w:sz w:val="21"/>
          <w:szCs w:val="21"/>
        </w:rPr>
        <w:t>以企业提供的资料以及人员调研获取的信息为依据，按照国家和</w:t>
      </w:r>
      <w:r>
        <w:rPr>
          <w:rFonts w:hint="eastAsia" w:ascii="Arial" w:hAnsi="Arial" w:cs="Arial"/>
          <w:sz w:val="21"/>
          <w:szCs w:val="21"/>
        </w:rPr>
        <w:t>邢台市</w:t>
      </w:r>
      <w:r>
        <w:rPr>
          <w:rFonts w:ascii="Arial" w:hAnsi="Arial" w:cs="Arial"/>
          <w:sz w:val="21"/>
          <w:szCs w:val="21"/>
        </w:rPr>
        <w:t>有关政策法规</w:t>
      </w:r>
      <w:r>
        <w:rPr>
          <w:rFonts w:hint="eastAsia" w:ascii="Arial" w:hAnsi="Arial" w:cs="Arial"/>
          <w:sz w:val="21"/>
          <w:szCs w:val="21"/>
        </w:rPr>
        <w:t>为基础</w:t>
      </w:r>
      <w:r>
        <w:rPr>
          <w:rFonts w:ascii="Arial" w:hAnsi="Arial" w:cs="Arial"/>
          <w:sz w:val="21"/>
          <w:szCs w:val="21"/>
        </w:rPr>
        <w:t>。</w:t>
      </w:r>
    </w:p>
    <w:p>
      <w:pPr>
        <w:numPr>
          <w:ilvl w:val="0"/>
          <w:numId w:val="2"/>
        </w:numPr>
        <w:adjustRightInd w:val="0"/>
        <w:snapToGrid w:val="0"/>
        <w:spacing w:line="480" w:lineRule="auto"/>
        <w:ind w:firstLine="420" w:firstLineChars="200"/>
        <w:jc w:val="both"/>
        <w:outlineLvl w:val="2"/>
        <w:rPr>
          <w:rFonts w:ascii="Arial" w:hAnsi="Arial" w:cs="Arial"/>
          <w:sz w:val="21"/>
          <w:szCs w:val="21"/>
        </w:rPr>
      </w:pPr>
      <w:bookmarkStart w:id="149" w:name="_Toc12072687"/>
      <w:r>
        <w:rPr>
          <w:rFonts w:hint="eastAsia" w:ascii="Arial" w:hAnsi="Arial" w:cs="Arial"/>
          <w:sz w:val="21"/>
          <w:szCs w:val="21"/>
        </w:rPr>
        <w:t>核查</w:t>
      </w:r>
      <w:r>
        <w:rPr>
          <w:rFonts w:ascii="Arial" w:hAnsi="Arial" w:cs="Arial"/>
          <w:sz w:val="21"/>
          <w:szCs w:val="21"/>
        </w:rPr>
        <w:t>依据</w:t>
      </w:r>
      <w:bookmarkEnd w:id="149"/>
    </w:p>
    <w:p>
      <w:pPr>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我司依据建设单位提供的55份已签署合同原件（设计类、前期类、财务类和综管类）</w:t>
      </w:r>
      <w:r>
        <w:rPr>
          <w:rFonts w:hint="eastAsia" w:ascii="Arial" w:hAnsi="Arial" w:cs="Arial"/>
          <w:sz w:val="21"/>
          <w:szCs w:val="21"/>
          <w:lang w:eastAsia="zh-CN"/>
        </w:rPr>
        <w:t>、</w:t>
      </w:r>
      <w:r>
        <w:rPr>
          <w:rFonts w:hint="eastAsia" w:ascii="Arial" w:hAnsi="Arial" w:cs="Arial"/>
          <w:sz w:val="21"/>
          <w:szCs w:val="21"/>
          <w:lang w:val="en-US" w:eastAsia="zh-CN"/>
        </w:rPr>
        <w:t>相关流程以及对应的</w:t>
      </w:r>
      <w:r>
        <w:rPr>
          <w:rFonts w:hint="eastAsia" w:ascii="Arial" w:hAnsi="Arial" w:cs="Arial"/>
          <w:sz w:val="21"/>
          <w:szCs w:val="21"/>
        </w:rPr>
        <w:t>财务</w:t>
      </w:r>
      <w:r>
        <w:rPr>
          <w:rFonts w:hint="eastAsia" w:ascii="Arial" w:hAnsi="Arial" w:cs="Arial"/>
          <w:sz w:val="21"/>
          <w:szCs w:val="21"/>
          <w:lang w:val="en-US" w:eastAsia="zh-CN"/>
        </w:rPr>
        <w:t>资料</w:t>
      </w:r>
      <w:r>
        <w:rPr>
          <w:rFonts w:hint="eastAsia" w:ascii="Arial" w:hAnsi="Arial" w:cs="Arial"/>
          <w:sz w:val="21"/>
          <w:szCs w:val="21"/>
          <w:lang w:eastAsia="zh-CN"/>
        </w:rPr>
        <w:t>，</w:t>
      </w:r>
      <w:r>
        <w:rPr>
          <w:rFonts w:hint="eastAsia" w:ascii="Arial" w:hAnsi="Arial" w:cs="Arial"/>
          <w:sz w:val="21"/>
          <w:szCs w:val="21"/>
        </w:rPr>
        <w:t>并通过现场</w:t>
      </w:r>
      <w:r>
        <w:rPr>
          <w:rFonts w:hint="eastAsia" w:ascii="Arial" w:hAnsi="Arial" w:cs="Arial"/>
          <w:sz w:val="21"/>
          <w:szCs w:val="21"/>
          <w:lang w:val="en-US" w:eastAsia="zh-CN"/>
        </w:rPr>
        <w:t>实地勘察走访</w:t>
      </w:r>
      <w:r>
        <w:rPr>
          <w:rFonts w:hint="eastAsia" w:ascii="Arial" w:hAnsi="Arial" w:cs="Arial"/>
          <w:sz w:val="21"/>
          <w:szCs w:val="21"/>
          <w:lang w:eastAsia="zh-CN"/>
        </w:rPr>
        <w:t>、</w:t>
      </w:r>
      <w:r>
        <w:rPr>
          <w:rFonts w:hint="eastAsia" w:ascii="Arial" w:hAnsi="Arial" w:cs="Arial"/>
          <w:sz w:val="21"/>
          <w:szCs w:val="21"/>
          <w:lang w:val="en-US" w:eastAsia="zh-CN"/>
        </w:rPr>
        <w:t>阅读</w:t>
      </w:r>
      <w:r>
        <w:rPr>
          <w:rFonts w:hint="eastAsia" w:ascii="Arial" w:hAnsi="Arial" w:cs="Arial"/>
          <w:sz w:val="21"/>
          <w:szCs w:val="21"/>
        </w:rPr>
        <w:t>行政</w:t>
      </w:r>
      <w:r>
        <w:rPr>
          <w:rFonts w:hint="eastAsia" w:ascii="Arial" w:hAnsi="Arial" w:cs="Arial"/>
          <w:sz w:val="21"/>
          <w:szCs w:val="21"/>
          <w:lang w:val="en-US" w:eastAsia="zh-CN"/>
        </w:rPr>
        <w:t>部门</w:t>
      </w:r>
      <w:r>
        <w:rPr>
          <w:rFonts w:hint="eastAsia" w:ascii="Arial" w:hAnsi="Arial" w:cs="Arial"/>
          <w:sz w:val="21"/>
          <w:szCs w:val="21"/>
        </w:rPr>
        <w:t>存档原件</w:t>
      </w:r>
      <w:r>
        <w:rPr>
          <w:rFonts w:hint="eastAsia" w:ascii="Arial" w:hAnsi="Arial" w:cs="Arial"/>
          <w:sz w:val="21"/>
          <w:szCs w:val="21"/>
          <w:lang w:eastAsia="zh-CN"/>
        </w:rPr>
        <w:t>，</w:t>
      </w:r>
      <w:r>
        <w:rPr>
          <w:rFonts w:hint="eastAsia" w:ascii="Arial" w:hAnsi="Arial" w:cs="Arial"/>
          <w:sz w:val="21"/>
          <w:szCs w:val="21"/>
          <w:lang w:val="en-US" w:eastAsia="zh-CN"/>
        </w:rPr>
        <w:t>通过</w:t>
      </w:r>
      <w:r>
        <w:rPr>
          <w:rFonts w:hint="eastAsia" w:ascii="Arial" w:hAnsi="Arial" w:cs="Arial"/>
          <w:sz w:val="21"/>
          <w:szCs w:val="21"/>
        </w:rPr>
        <w:t>比对和分析得到本次调查结果。</w:t>
      </w:r>
    </w:p>
    <w:p>
      <w:pPr>
        <w:pStyle w:val="3"/>
        <w:keepNext w:val="0"/>
        <w:keepLines w:val="0"/>
        <w:widowControl w:val="0"/>
        <w:spacing w:before="0" w:after="0" w:line="480" w:lineRule="auto"/>
        <w:rPr>
          <w:rFonts w:eastAsia="宋体" w:cs="Arial"/>
          <w:sz w:val="21"/>
          <w:szCs w:val="21"/>
        </w:rPr>
      </w:pPr>
      <w:bookmarkStart w:id="150" w:name="_Toc146106155"/>
      <w:bookmarkStart w:id="151" w:name="_Toc3390"/>
      <w:bookmarkStart w:id="152" w:name="_Toc15577"/>
      <w:bookmarkStart w:id="153" w:name="_Toc118531925"/>
      <w:bookmarkStart w:id="154" w:name="_Toc109012110"/>
      <w:bookmarkStart w:id="155" w:name="_Toc532810734"/>
      <w:bookmarkStart w:id="156" w:name="_Toc12072688"/>
      <w:bookmarkStart w:id="157" w:name="_Toc522074585"/>
      <w:bookmarkStart w:id="158" w:name="_Toc109118459"/>
      <w:r>
        <w:rPr>
          <w:rFonts w:eastAsia="宋体" w:cs="Arial"/>
          <w:sz w:val="21"/>
          <w:szCs w:val="21"/>
        </w:rPr>
        <w:t>二、</w:t>
      </w:r>
      <w:bookmarkEnd w:id="150"/>
      <w:r>
        <w:rPr>
          <w:rFonts w:hint="eastAsia" w:eastAsia="宋体" w:cs="Arial"/>
          <w:sz w:val="21"/>
          <w:szCs w:val="21"/>
        </w:rPr>
        <w:t>项目现场调查情况</w:t>
      </w:r>
      <w:bookmarkEnd w:id="151"/>
      <w:bookmarkEnd w:id="152"/>
    </w:p>
    <w:p>
      <w:pPr>
        <w:adjustRightInd w:val="0"/>
        <w:snapToGrid w:val="0"/>
        <w:spacing w:line="480" w:lineRule="auto"/>
        <w:ind w:firstLine="420" w:firstLineChars="200"/>
        <w:jc w:val="both"/>
        <w:rPr>
          <w:rFonts w:ascii="Arial" w:hAnsi="Arial" w:cs="Arial"/>
          <w:sz w:val="21"/>
          <w:szCs w:val="21"/>
        </w:rPr>
      </w:pPr>
      <w:r>
        <w:rPr>
          <w:rFonts w:ascii="Arial" w:hAnsi="Arial" w:cs="Arial"/>
          <w:sz w:val="21"/>
          <w:szCs w:val="21"/>
        </w:rPr>
        <w:t>2023年7月24日至26日，我司</w:t>
      </w:r>
      <w:r>
        <w:rPr>
          <w:rFonts w:hint="eastAsia" w:ascii="Arial" w:hAnsi="Arial" w:cs="Arial"/>
          <w:sz w:val="21"/>
          <w:szCs w:val="21"/>
          <w:lang w:val="en-US" w:eastAsia="zh-CN"/>
        </w:rPr>
        <w:t>组织</w:t>
      </w:r>
      <w:r>
        <w:rPr>
          <w:rFonts w:ascii="Arial" w:hAnsi="Arial" w:cs="Arial"/>
          <w:sz w:val="21"/>
          <w:szCs w:val="21"/>
        </w:rPr>
        <w:t>前期、工程、财务、评估</w:t>
      </w:r>
      <w:r>
        <w:rPr>
          <w:rFonts w:hint="eastAsia" w:ascii="Arial" w:hAnsi="Arial" w:cs="Arial"/>
          <w:sz w:val="21"/>
          <w:szCs w:val="21"/>
          <w:lang w:val="en-US" w:eastAsia="zh-CN"/>
        </w:rPr>
        <w:t>等多名</w:t>
      </w:r>
      <w:r>
        <w:rPr>
          <w:rFonts w:ascii="Arial" w:hAnsi="Arial" w:cs="Arial"/>
          <w:sz w:val="21"/>
          <w:szCs w:val="21"/>
        </w:rPr>
        <w:t>专业</w:t>
      </w:r>
      <w:r>
        <w:rPr>
          <w:rFonts w:hint="eastAsia" w:ascii="Arial" w:hAnsi="Arial" w:cs="Arial"/>
          <w:sz w:val="21"/>
          <w:szCs w:val="21"/>
          <w:lang w:val="en-US" w:eastAsia="zh-CN"/>
        </w:rPr>
        <w:t>人员前往海鑫资产，并根据海鑫资产</w:t>
      </w:r>
      <w:r>
        <w:rPr>
          <w:rFonts w:ascii="Arial" w:hAnsi="Arial" w:cs="Arial"/>
          <w:sz w:val="21"/>
          <w:szCs w:val="21"/>
        </w:rPr>
        <w:t>提供的38份合同清单逐一</w:t>
      </w:r>
      <w:r>
        <w:rPr>
          <w:rFonts w:hint="eastAsia" w:ascii="Arial" w:hAnsi="Arial" w:cs="Arial"/>
          <w:sz w:val="21"/>
          <w:szCs w:val="21"/>
          <w:lang w:val="en-US" w:eastAsia="zh-CN"/>
        </w:rPr>
        <w:t>与</w:t>
      </w:r>
      <w:r>
        <w:rPr>
          <w:rFonts w:ascii="Arial" w:hAnsi="Arial" w:cs="Arial"/>
          <w:sz w:val="21"/>
          <w:szCs w:val="21"/>
        </w:rPr>
        <w:t>原件</w:t>
      </w:r>
      <w:r>
        <w:rPr>
          <w:rFonts w:hint="eastAsia" w:ascii="Arial" w:hAnsi="Arial" w:cs="Arial"/>
          <w:sz w:val="21"/>
          <w:szCs w:val="21"/>
          <w:lang w:val="en-US" w:eastAsia="zh-CN"/>
        </w:rPr>
        <w:t>核对</w:t>
      </w:r>
      <w:r>
        <w:rPr>
          <w:rFonts w:ascii="Arial" w:hAnsi="Arial" w:cs="Arial"/>
          <w:sz w:val="21"/>
          <w:szCs w:val="21"/>
        </w:rPr>
        <w:t>。在核对过程中发现有</w:t>
      </w:r>
      <w:r>
        <w:rPr>
          <w:rFonts w:hint="eastAsia" w:ascii="Arial" w:hAnsi="Arial" w:cs="Arial"/>
          <w:sz w:val="21"/>
          <w:szCs w:val="21"/>
          <w:lang w:val="en-US" w:eastAsia="zh-CN"/>
        </w:rPr>
        <w:t>诸多</w:t>
      </w:r>
      <w:r>
        <w:rPr>
          <w:rFonts w:ascii="Arial" w:hAnsi="Arial" w:cs="Arial"/>
          <w:sz w:val="21"/>
          <w:szCs w:val="21"/>
        </w:rPr>
        <w:t>遗漏未提供</w:t>
      </w:r>
      <w:r>
        <w:rPr>
          <w:rFonts w:hint="eastAsia" w:ascii="Arial" w:hAnsi="Arial" w:cs="Arial"/>
          <w:sz w:val="21"/>
          <w:szCs w:val="21"/>
          <w:lang w:eastAsia="zh-CN"/>
        </w:rPr>
        <w:t>的</w:t>
      </w:r>
      <w:r>
        <w:rPr>
          <w:rFonts w:ascii="Arial" w:hAnsi="Arial" w:cs="Arial"/>
          <w:sz w:val="21"/>
          <w:szCs w:val="21"/>
        </w:rPr>
        <w:t>合同，</w:t>
      </w:r>
      <w:r>
        <w:rPr>
          <w:rFonts w:hint="eastAsia" w:ascii="Arial" w:hAnsi="Arial" w:cs="Arial"/>
          <w:sz w:val="21"/>
          <w:szCs w:val="21"/>
          <w:lang w:val="en-US" w:eastAsia="zh-CN"/>
        </w:rPr>
        <w:t>及</w:t>
      </w:r>
      <w:r>
        <w:rPr>
          <w:rFonts w:ascii="Arial" w:hAnsi="Arial" w:cs="Arial"/>
          <w:sz w:val="21"/>
          <w:szCs w:val="21"/>
        </w:rPr>
        <w:t>要求对方</w:t>
      </w:r>
      <w:r>
        <w:rPr>
          <w:rFonts w:hint="eastAsia" w:ascii="Arial" w:hAnsi="Arial" w:cs="Arial"/>
          <w:sz w:val="21"/>
          <w:szCs w:val="21"/>
          <w:lang w:val="en-US" w:eastAsia="zh-CN"/>
        </w:rPr>
        <w:t>予以</w:t>
      </w:r>
      <w:r>
        <w:rPr>
          <w:rFonts w:ascii="Arial" w:hAnsi="Arial" w:cs="Arial"/>
          <w:sz w:val="21"/>
          <w:szCs w:val="21"/>
        </w:rPr>
        <w:t>补充，最终</w:t>
      </w:r>
      <w:r>
        <w:rPr>
          <w:rFonts w:hint="eastAsia" w:ascii="Arial" w:hAnsi="Arial" w:cs="Arial"/>
          <w:sz w:val="21"/>
          <w:szCs w:val="21"/>
          <w:lang w:val="en-US" w:eastAsia="zh-CN"/>
        </w:rPr>
        <w:t>提供的</w:t>
      </w:r>
      <w:r>
        <w:rPr>
          <w:rFonts w:ascii="Arial" w:hAnsi="Arial" w:cs="Arial"/>
          <w:sz w:val="21"/>
          <w:szCs w:val="21"/>
        </w:rPr>
        <w:t>合同数量是55份。</w:t>
      </w:r>
    </w:p>
    <w:p>
      <w:pPr>
        <w:adjustRightInd w:val="0"/>
        <w:snapToGrid w:val="0"/>
        <w:spacing w:line="480" w:lineRule="auto"/>
        <w:ind w:firstLine="420" w:firstLineChars="200"/>
        <w:jc w:val="both"/>
        <w:rPr>
          <w:rFonts w:ascii="Arial" w:hAnsi="Arial" w:cs="Arial"/>
          <w:sz w:val="21"/>
          <w:szCs w:val="21"/>
        </w:rPr>
      </w:pPr>
      <w:r>
        <w:rPr>
          <w:rFonts w:ascii="Arial" w:hAnsi="Arial" w:cs="Arial"/>
          <w:sz w:val="21"/>
          <w:szCs w:val="21"/>
        </w:rPr>
        <w:t>合同</w:t>
      </w:r>
      <w:r>
        <w:rPr>
          <w:rFonts w:hint="eastAsia" w:ascii="Arial" w:hAnsi="Arial" w:cs="Arial"/>
          <w:sz w:val="21"/>
          <w:szCs w:val="21"/>
          <w:lang w:val="en-US" w:eastAsia="zh-CN"/>
        </w:rPr>
        <w:t>核查的主要内容包括：</w:t>
      </w:r>
      <w:r>
        <w:rPr>
          <w:rFonts w:ascii="Arial" w:hAnsi="Arial" w:cs="Arial"/>
          <w:sz w:val="21"/>
          <w:szCs w:val="21"/>
        </w:rPr>
        <w:t>对应付款节点的支付项，部分合同已经支付合同价款，结合财务部提供的财务报表、银行流水等</w:t>
      </w:r>
      <w:r>
        <w:rPr>
          <w:rFonts w:hint="eastAsia" w:ascii="Arial" w:hAnsi="Arial" w:cs="Arial"/>
          <w:sz w:val="21"/>
          <w:szCs w:val="21"/>
          <w:lang w:val="en-US" w:eastAsia="zh-CN"/>
        </w:rPr>
        <w:t>资料数据进行核查；对</w:t>
      </w:r>
      <w:r>
        <w:rPr>
          <w:rFonts w:ascii="Arial" w:hAnsi="Arial" w:cs="Arial"/>
          <w:sz w:val="21"/>
          <w:szCs w:val="21"/>
        </w:rPr>
        <w:t>合同的收付款情况与合同约定节点的匹配情况</w:t>
      </w:r>
      <w:r>
        <w:rPr>
          <w:rFonts w:hint="eastAsia" w:ascii="Arial" w:hAnsi="Arial" w:cs="Arial"/>
          <w:sz w:val="21"/>
          <w:szCs w:val="21"/>
          <w:lang w:val="en-US" w:eastAsia="zh-CN"/>
        </w:rPr>
        <w:t>进行核查</w:t>
      </w:r>
      <w:r>
        <w:rPr>
          <w:rFonts w:hint="eastAsia" w:ascii="Arial" w:hAnsi="Arial" w:cs="Arial"/>
          <w:sz w:val="21"/>
          <w:szCs w:val="21"/>
          <w:lang w:eastAsia="zh-CN"/>
        </w:rPr>
        <w:t>；</w:t>
      </w:r>
      <w:r>
        <w:rPr>
          <w:rFonts w:ascii="Arial" w:hAnsi="Arial" w:cs="Arial"/>
          <w:sz w:val="21"/>
          <w:szCs w:val="21"/>
        </w:rPr>
        <w:t>对合同签约价格</w:t>
      </w:r>
      <w:r>
        <w:rPr>
          <w:rFonts w:hint="eastAsia" w:ascii="Arial" w:hAnsi="Arial" w:cs="Arial"/>
          <w:sz w:val="21"/>
          <w:szCs w:val="21"/>
          <w:lang w:val="en-US" w:eastAsia="zh-CN"/>
        </w:rPr>
        <w:t>合理性、实际完成量、合同金额支付情况以及合同流程的规范性进行审核。同时</w:t>
      </w:r>
      <w:r>
        <w:rPr>
          <w:rFonts w:ascii="Arial" w:hAnsi="Arial" w:cs="Arial"/>
          <w:sz w:val="21"/>
          <w:szCs w:val="21"/>
        </w:rPr>
        <w:t>对合同的合法合规、流程的完整性、合理性进行分析。</w:t>
      </w:r>
      <w:r>
        <w:rPr>
          <w:rFonts w:hint="eastAsia" w:ascii="Arial" w:hAnsi="Arial" w:cs="Arial"/>
          <w:sz w:val="21"/>
          <w:szCs w:val="21"/>
        </w:rPr>
        <w:br w:type="textWrapping"/>
      </w:r>
      <w:r>
        <w:rPr>
          <w:rFonts w:hint="eastAsia" w:ascii="Arial" w:hAnsi="Arial" w:cs="Arial"/>
          <w:sz w:val="21"/>
          <w:szCs w:val="21"/>
        </w:rPr>
        <w:t xml:space="preserve">    7月25日</w:t>
      </w:r>
      <w:r>
        <w:rPr>
          <w:rFonts w:hint="eastAsia" w:ascii="Arial" w:hAnsi="Arial" w:cs="Arial"/>
          <w:sz w:val="21"/>
          <w:szCs w:val="21"/>
          <w:lang w:eastAsia="zh-CN"/>
        </w:rPr>
        <w:t>，</w:t>
      </w:r>
      <w:r>
        <w:rPr>
          <w:rFonts w:hint="eastAsia" w:ascii="Arial" w:hAnsi="Arial" w:cs="Arial"/>
          <w:sz w:val="21"/>
          <w:szCs w:val="21"/>
        </w:rPr>
        <w:t>我司负责工程的专业人员</w:t>
      </w:r>
      <w:r>
        <w:rPr>
          <w:rFonts w:hint="eastAsia" w:ascii="Arial" w:hAnsi="Arial" w:cs="Arial"/>
          <w:sz w:val="21"/>
          <w:szCs w:val="21"/>
          <w:lang w:val="en-US" w:eastAsia="zh-CN"/>
        </w:rPr>
        <w:t>与</w:t>
      </w:r>
      <w:r>
        <w:rPr>
          <w:rFonts w:hint="eastAsia" w:ascii="Arial" w:hAnsi="Arial" w:cs="Arial"/>
          <w:sz w:val="21"/>
          <w:szCs w:val="21"/>
        </w:rPr>
        <w:t>业务组张军</w:t>
      </w:r>
      <w:r>
        <w:rPr>
          <w:rFonts w:hint="eastAsia" w:ascii="Arial" w:hAnsi="Arial" w:cs="Arial"/>
          <w:sz w:val="21"/>
          <w:szCs w:val="21"/>
          <w:lang w:val="en-US" w:eastAsia="zh-CN"/>
        </w:rPr>
        <w:t>一同前往</w:t>
      </w:r>
      <w:r>
        <w:rPr>
          <w:rFonts w:hint="eastAsia" w:ascii="Arial" w:hAnsi="Arial" w:cs="Arial"/>
          <w:sz w:val="21"/>
          <w:szCs w:val="21"/>
        </w:rPr>
        <w:t>邢台市，对项目地块</w:t>
      </w:r>
      <w:r>
        <w:rPr>
          <w:rFonts w:hint="eastAsia" w:ascii="Arial" w:hAnsi="Arial" w:cs="Arial"/>
          <w:sz w:val="21"/>
          <w:szCs w:val="21"/>
          <w:lang w:val="en-US" w:eastAsia="zh-CN"/>
        </w:rPr>
        <w:t>进行</w:t>
      </w:r>
      <w:r>
        <w:rPr>
          <w:rFonts w:hint="eastAsia" w:ascii="Arial" w:hAnsi="Arial" w:cs="Arial"/>
          <w:sz w:val="21"/>
          <w:szCs w:val="21"/>
        </w:rPr>
        <w:t>现场实地</w:t>
      </w:r>
      <w:r>
        <w:rPr>
          <w:rFonts w:hint="eastAsia" w:ascii="Arial" w:hAnsi="Arial" w:cs="Arial"/>
          <w:sz w:val="21"/>
          <w:szCs w:val="21"/>
          <w:lang w:val="en-US" w:eastAsia="zh-CN"/>
        </w:rPr>
        <w:t>勘察</w:t>
      </w:r>
      <w:r>
        <w:rPr>
          <w:rFonts w:hint="eastAsia" w:ascii="Arial" w:hAnsi="Arial" w:cs="Arial"/>
          <w:sz w:val="21"/>
          <w:szCs w:val="21"/>
        </w:rPr>
        <w:t>，并对地块整体现状拍照记录</w:t>
      </w:r>
      <w:r>
        <w:rPr>
          <w:rFonts w:hint="eastAsia" w:ascii="Arial" w:hAnsi="Arial" w:cs="Arial"/>
          <w:sz w:val="21"/>
          <w:szCs w:val="21"/>
          <w:lang w:eastAsia="zh-CN"/>
        </w:rPr>
        <w:t>。</w:t>
      </w:r>
      <w:r>
        <w:rPr>
          <w:rFonts w:hint="eastAsia" w:ascii="Arial" w:hAnsi="Arial" w:cs="Arial"/>
          <w:sz w:val="21"/>
          <w:szCs w:val="21"/>
          <w:lang w:val="en-US" w:eastAsia="zh-CN"/>
        </w:rPr>
        <w:t>目前，</w:t>
      </w:r>
      <w:r>
        <w:rPr>
          <w:rFonts w:hint="eastAsia" w:ascii="Arial" w:hAnsi="Arial" w:cs="Arial"/>
          <w:sz w:val="21"/>
          <w:szCs w:val="21"/>
        </w:rPr>
        <w:t>该项目入口处为南北走向两车道的七里河景观路，路面宽度及转弯半径适宜大型施工机械进出现场，项目周边整体交通状况良好，南北方向</w:t>
      </w:r>
      <w:r>
        <w:rPr>
          <w:rFonts w:ascii="Arial" w:hAnsi="Arial" w:cs="Arial"/>
          <w:sz w:val="21"/>
          <w:szCs w:val="21"/>
        </w:rPr>
        <w:t>2公里左右</w:t>
      </w:r>
      <w:r>
        <w:rPr>
          <w:rFonts w:hint="eastAsia" w:ascii="Arial" w:hAnsi="Arial" w:cs="Arial"/>
          <w:sz w:val="21"/>
          <w:szCs w:val="21"/>
        </w:rPr>
        <w:t>各有</w:t>
      </w:r>
      <w:r>
        <w:rPr>
          <w:rFonts w:ascii="Arial" w:hAnsi="Arial" w:cs="Arial"/>
          <w:sz w:val="21"/>
          <w:szCs w:val="21"/>
        </w:rPr>
        <w:t>一双向4车道跨河桥</w:t>
      </w:r>
      <w:r>
        <w:rPr>
          <w:rFonts w:hint="eastAsia" w:ascii="Arial" w:hAnsi="Arial" w:cs="Arial"/>
          <w:sz w:val="21"/>
          <w:szCs w:val="21"/>
        </w:rPr>
        <w:t>可</w:t>
      </w:r>
      <w:r>
        <w:rPr>
          <w:rFonts w:ascii="Arial" w:hAnsi="Arial" w:cs="Arial"/>
          <w:sz w:val="21"/>
          <w:szCs w:val="21"/>
        </w:rPr>
        <w:t>进入市区</w:t>
      </w:r>
      <w:r>
        <w:rPr>
          <w:rFonts w:hint="eastAsia" w:ascii="Arial" w:hAnsi="Arial" w:cs="Arial"/>
          <w:sz w:val="21"/>
          <w:szCs w:val="21"/>
          <w:lang w:eastAsia="zh-CN"/>
        </w:rPr>
        <w:t>，</w:t>
      </w:r>
      <w:r>
        <w:rPr>
          <w:rFonts w:ascii="Arial" w:hAnsi="Arial" w:cs="Arial"/>
          <w:sz w:val="21"/>
          <w:szCs w:val="21"/>
        </w:rPr>
        <w:t>紧邻地块东侧有一在建横跨七里河大桥</w:t>
      </w:r>
      <w:r>
        <w:rPr>
          <w:rFonts w:hint="eastAsia" w:ascii="Arial" w:hAnsi="Arial" w:cs="Arial"/>
          <w:sz w:val="21"/>
          <w:szCs w:val="21"/>
          <w:lang w:eastAsia="zh-CN"/>
        </w:rPr>
        <w:t>。</w:t>
      </w:r>
      <w:r>
        <w:rPr>
          <w:rFonts w:ascii="Arial" w:hAnsi="Arial" w:cs="Arial"/>
          <w:sz w:val="21"/>
          <w:szCs w:val="21"/>
        </w:rPr>
        <w:t>目前处于停工状态。</w:t>
      </w:r>
    </w:p>
    <w:p>
      <w:pPr>
        <w:adjustRightInd w:val="0"/>
        <w:snapToGrid w:val="0"/>
        <w:spacing w:line="480" w:lineRule="auto"/>
        <w:ind w:firstLine="420" w:firstLineChars="200"/>
        <w:jc w:val="both"/>
        <w:rPr>
          <w:rFonts w:ascii="Arial" w:hAnsi="Arial" w:cs="Arial"/>
          <w:sz w:val="21"/>
          <w:szCs w:val="21"/>
        </w:rPr>
      </w:pPr>
      <w:r>
        <w:rPr>
          <w:rFonts w:hint="eastAsia" w:ascii="Arial" w:hAnsi="Arial" w:cs="Arial"/>
          <w:sz w:val="21"/>
          <w:szCs w:val="21"/>
        </w:rPr>
        <w:t>项目东侧由南至西北方向，沿七里河景观路约</w:t>
      </w:r>
      <w:r>
        <w:rPr>
          <w:rFonts w:ascii="Arial" w:hAnsi="Arial" w:cs="Arial"/>
          <w:sz w:val="21"/>
          <w:szCs w:val="21"/>
        </w:rPr>
        <w:t>100米范围内</w:t>
      </w:r>
      <w:r>
        <w:rPr>
          <w:rFonts w:hint="eastAsia" w:ascii="Arial" w:hAnsi="Arial" w:cs="Arial"/>
          <w:sz w:val="21"/>
          <w:szCs w:val="21"/>
          <w:lang w:eastAsia="zh-CN"/>
        </w:rPr>
        <w:t>。</w:t>
      </w:r>
      <w:r>
        <w:rPr>
          <w:rFonts w:ascii="Arial" w:hAnsi="Arial" w:cs="Arial"/>
          <w:sz w:val="21"/>
          <w:szCs w:val="21"/>
        </w:rPr>
        <w:t>2022年8月上旬</w:t>
      </w:r>
      <w:r>
        <w:rPr>
          <w:rFonts w:hint="eastAsia" w:ascii="Arial" w:hAnsi="Arial" w:cs="Arial"/>
          <w:sz w:val="21"/>
          <w:szCs w:val="21"/>
          <w:lang w:eastAsia="zh-CN"/>
        </w:rPr>
        <w:t>，</w:t>
      </w:r>
      <w:r>
        <w:rPr>
          <w:rFonts w:ascii="Arial" w:hAnsi="Arial" w:cs="Arial"/>
          <w:sz w:val="21"/>
          <w:szCs w:val="21"/>
        </w:rPr>
        <w:t>由</w:t>
      </w:r>
      <w:r>
        <w:rPr>
          <w:rFonts w:hint="eastAsia" w:ascii="Arial" w:hAnsi="Arial" w:cs="Arial"/>
          <w:sz w:val="21"/>
          <w:szCs w:val="21"/>
          <w:lang w:val="en-US" w:eastAsia="zh-CN"/>
        </w:rPr>
        <w:t>项目</w:t>
      </w:r>
      <w:r>
        <w:rPr>
          <w:rFonts w:ascii="Arial" w:hAnsi="Arial" w:cs="Arial"/>
          <w:sz w:val="21"/>
          <w:szCs w:val="21"/>
        </w:rPr>
        <w:t>公司出资建设的蓝色硬质围挡现状保存完好，临近在建跨河桥部分区域由于雨水冲刷导致围挡随地面塌陷，除基础丧失功能外，围挡表观质量完整。</w:t>
      </w:r>
    </w:p>
    <w:p>
      <w:pPr>
        <w:adjustRightInd w:val="0"/>
        <w:snapToGrid w:val="0"/>
        <w:spacing w:line="480" w:lineRule="auto"/>
        <w:ind w:firstLine="420" w:firstLineChars="200"/>
        <w:jc w:val="both"/>
        <w:rPr>
          <w:rFonts w:ascii="Arial" w:hAnsi="Arial" w:cs="Arial"/>
          <w:sz w:val="21"/>
          <w:szCs w:val="21"/>
        </w:rPr>
      </w:pPr>
      <w:r>
        <w:rPr>
          <w:rFonts w:ascii="Arial" w:hAnsi="Arial" w:cs="Arial"/>
          <w:sz w:val="21"/>
          <w:szCs w:val="21"/>
        </w:rPr>
        <w:t>我</w:t>
      </w:r>
      <w:r>
        <w:rPr>
          <w:rFonts w:hint="eastAsia" w:ascii="Arial" w:hAnsi="Arial" w:cs="Arial"/>
          <w:sz w:val="21"/>
          <w:szCs w:val="21"/>
        </w:rPr>
        <w:t>司</w:t>
      </w:r>
      <w:r>
        <w:rPr>
          <w:rFonts w:ascii="Arial" w:hAnsi="Arial" w:cs="Arial"/>
          <w:sz w:val="21"/>
          <w:szCs w:val="21"/>
        </w:rPr>
        <w:t>踏勘人员</w:t>
      </w:r>
      <w:r>
        <w:rPr>
          <w:rFonts w:hint="eastAsia" w:ascii="Arial" w:hAnsi="Arial" w:cs="Arial"/>
          <w:sz w:val="21"/>
          <w:szCs w:val="21"/>
          <w:lang w:val="en-US" w:eastAsia="zh-CN"/>
        </w:rPr>
        <w:t>在</w:t>
      </w:r>
      <w:r>
        <w:rPr>
          <w:rFonts w:ascii="Arial" w:hAnsi="Arial" w:cs="Arial"/>
          <w:sz w:val="21"/>
          <w:szCs w:val="21"/>
        </w:rPr>
        <w:t>项目西南侧半山腰处，发现一</w:t>
      </w:r>
      <w:r>
        <w:rPr>
          <w:rFonts w:hint="eastAsia" w:ascii="Arial" w:hAnsi="Arial" w:cs="Arial"/>
          <w:sz w:val="21"/>
          <w:szCs w:val="21"/>
        </w:rPr>
        <w:t>处</w:t>
      </w:r>
      <w:r>
        <w:rPr>
          <w:rFonts w:ascii="Arial" w:hAnsi="Arial" w:cs="Arial"/>
          <w:sz w:val="21"/>
          <w:szCs w:val="21"/>
        </w:rPr>
        <w:t>被荒草覆盖、无任何安全保护措施的电源入地点，由于疏于维护，杆上电箱箱门已缺失，因高压线入地工程当事人未到场，我</w:t>
      </w:r>
      <w:r>
        <w:rPr>
          <w:rFonts w:hint="eastAsia" w:ascii="Arial" w:hAnsi="Arial" w:cs="Arial"/>
          <w:sz w:val="21"/>
          <w:szCs w:val="21"/>
        </w:rPr>
        <w:t>司</w:t>
      </w:r>
      <w:r>
        <w:rPr>
          <w:rFonts w:ascii="Arial" w:hAnsi="Arial" w:cs="Arial"/>
          <w:sz w:val="21"/>
          <w:szCs w:val="21"/>
        </w:rPr>
        <w:t>人员根据现有资料推测，该入地点可能为2021年11月</w:t>
      </w:r>
      <w:r>
        <w:rPr>
          <w:rFonts w:hint="eastAsia" w:ascii="Arial" w:hAnsi="Arial" w:cs="Arial"/>
          <w:sz w:val="21"/>
          <w:szCs w:val="21"/>
          <w:lang w:val="en-US" w:eastAsia="zh-CN"/>
        </w:rPr>
        <w:t>项目</w:t>
      </w:r>
      <w:r>
        <w:rPr>
          <w:rFonts w:ascii="Arial" w:hAnsi="Arial" w:cs="Arial"/>
          <w:sz w:val="21"/>
          <w:szCs w:val="21"/>
        </w:rPr>
        <w:t>公司委托邢台隆锦电力工程有限公司进行高压线入地施工位置，通过走访观察，目前地块内用电设施的电力供应均由该电源引入。另在西侧山顶处发现一分配电箱及开关箱，外观较新，应为近期设置，该电箱周边地形平坦，未发现用电设施设备。距该开关箱30米左右位置有一停驶状态挖掘机，该机械主要用于场地平整及土方挖掘。</w:t>
      </w:r>
    </w:p>
    <w:p>
      <w:pPr>
        <w:adjustRightInd w:val="0"/>
        <w:snapToGrid w:val="0"/>
        <w:spacing w:line="480" w:lineRule="auto"/>
        <w:ind w:firstLine="420" w:firstLineChars="200"/>
        <w:jc w:val="both"/>
        <w:rPr>
          <w:rFonts w:hint="eastAsia" w:ascii="Arial" w:hAnsi="Arial" w:cs="Arial"/>
          <w:sz w:val="21"/>
          <w:szCs w:val="21"/>
        </w:rPr>
      </w:pPr>
      <w:r>
        <w:rPr>
          <w:rFonts w:hint="eastAsia" w:ascii="Arial" w:hAnsi="Arial" w:cs="Arial"/>
          <w:sz w:val="21"/>
          <w:szCs w:val="21"/>
        </w:rPr>
        <w:t>目前</w:t>
      </w:r>
      <w:r>
        <w:rPr>
          <w:rFonts w:hint="eastAsia" w:ascii="Arial" w:hAnsi="Arial" w:cs="Arial"/>
          <w:sz w:val="21"/>
          <w:szCs w:val="21"/>
          <w:lang w:eastAsia="zh-CN"/>
        </w:rPr>
        <w:t>，</w:t>
      </w:r>
      <w:r>
        <w:rPr>
          <w:rFonts w:hint="eastAsia" w:ascii="Arial" w:hAnsi="Arial" w:cs="Arial"/>
          <w:sz w:val="21"/>
          <w:szCs w:val="21"/>
          <w:lang w:val="en-US" w:eastAsia="zh-CN"/>
        </w:rPr>
        <w:t>项目地块</w:t>
      </w:r>
      <w:r>
        <w:rPr>
          <w:rFonts w:hint="eastAsia" w:ascii="Arial" w:hAnsi="Arial" w:cs="Arial"/>
          <w:sz w:val="21"/>
          <w:szCs w:val="21"/>
        </w:rPr>
        <w:t>被邢台孔雀谷全地形越野车俱乐部占用，被占用地范围内部分道路已经进行了路面硬化，该俱乐部</w:t>
      </w:r>
      <w:r>
        <w:rPr>
          <w:rFonts w:hint="eastAsia" w:ascii="Arial" w:hAnsi="Arial" w:cs="Arial"/>
          <w:sz w:val="21"/>
          <w:szCs w:val="21"/>
          <w:lang w:val="en-US" w:eastAsia="zh-CN"/>
        </w:rPr>
        <w:t>已经</w:t>
      </w:r>
      <w:r>
        <w:rPr>
          <w:rFonts w:hint="eastAsia" w:ascii="Arial" w:hAnsi="Arial" w:cs="Arial"/>
          <w:sz w:val="21"/>
          <w:szCs w:val="21"/>
        </w:rPr>
        <w:t>安放娱乐设施</w:t>
      </w:r>
      <w:r>
        <w:rPr>
          <w:rFonts w:hint="eastAsia" w:ascii="Arial" w:hAnsi="Arial" w:cs="Arial"/>
          <w:sz w:val="21"/>
          <w:szCs w:val="21"/>
          <w:lang w:val="en-US" w:eastAsia="zh-CN"/>
        </w:rPr>
        <w:t>并营业</w:t>
      </w:r>
      <w:r>
        <w:rPr>
          <w:rFonts w:hint="eastAsia" w:ascii="Arial" w:hAnsi="Arial" w:cs="Arial"/>
          <w:sz w:val="21"/>
          <w:szCs w:val="21"/>
        </w:rPr>
        <w:t>，娱乐场地均事先进行了场地平整，现场被售票区、心形走廊、动物展示区、儿童充气城堡娱乐区、儿童充气泳池区、共享菜园区、灯光美食夜市、帐篷露营区、山顶木屋、烧烤娱乐区、全地形车娱乐区、办公住宿区等大量临时设施及</w:t>
      </w:r>
      <w:r>
        <w:rPr>
          <w:rFonts w:ascii="Arial" w:hAnsi="Arial" w:cs="Arial"/>
          <w:sz w:val="21"/>
          <w:szCs w:val="21"/>
        </w:rPr>
        <w:t>娱乐设施</w:t>
      </w:r>
      <w:r>
        <w:rPr>
          <w:rFonts w:hint="eastAsia" w:ascii="Arial" w:hAnsi="Arial" w:cs="Arial"/>
          <w:sz w:val="21"/>
          <w:szCs w:val="21"/>
        </w:rPr>
        <w:t>占用，另有一处小型在施工程，通过与施工人员了解，该工程建成</w:t>
      </w:r>
      <w:r>
        <w:rPr>
          <w:rFonts w:ascii="Arial" w:hAnsi="Arial" w:cs="Arial"/>
          <w:sz w:val="21"/>
          <w:szCs w:val="21"/>
        </w:rPr>
        <w:t>后</w:t>
      </w:r>
      <w:r>
        <w:rPr>
          <w:rFonts w:hint="eastAsia" w:ascii="Arial" w:hAnsi="Arial" w:cs="Arial"/>
          <w:sz w:val="21"/>
          <w:szCs w:val="21"/>
        </w:rPr>
        <w:t>可能用作垂钓娱乐之用。除已被占用场地外，地块内其他区域均被杂草及灌木覆盖。</w:t>
      </w:r>
    </w:p>
    <w:p>
      <w:pPr>
        <w:adjustRightInd w:val="0"/>
        <w:snapToGrid w:val="0"/>
        <w:spacing w:line="240" w:lineRule="auto"/>
        <w:ind w:firstLine="0" w:firstLineChars="0"/>
        <w:jc w:val="both"/>
        <w:rPr>
          <w:rFonts w:hint="eastAsia" w:ascii="Arial" w:hAnsi="Arial" w:eastAsia="宋体" w:cs="Arial"/>
          <w:sz w:val="21"/>
          <w:szCs w:val="21"/>
          <w:lang w:eastAsia="zh-CN"/>
        </w:rPr>
      </w:pPr>
      <w:r>
        <w:rPr>
          <w:rFonts w:hint="eastAsia" w:ascii="Arial" w:hAnsi="Arial" w:eastAsia="宋体" w:cs="Arial"/>
          <w:sz w:val="21"/>
          <w:szCs w:val="21"/>
          <w:lang w:eastAsia="zh-CN"/>
        </w:rPr>
        <w:drawing>
          <wp:inline distT="0" distB="0" distL="114300" distR="114300">
            <wp:extent cx="5643245" cy="2325370"/>
            <wp:effectExtent l="0" t="0" r="10795" b="6350"/>
            <wp:docPr id="2" name="图片 2" descr="C:\Users\SoldierTao\Desktop\微信截图_20230808151612.png微信截图_2023080815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SoldierTao\Desktop\微信截图_20230808151612.png微信截图_20230808151612"/>
                    <pic:cNvPicPr>
                      <a:picLocks noChangeAspect="1"/>
                    </pic:cNvPicPr>
                  </pic:nvPicPr>
                  <pic:blipFill>
                    <a:blip r:embed="rId21"/>
                    <a:srcRect t="16783" b="16783"/>
                    <a:stretch>
                      <a:fillRect/>
                    </a:stretch>
                  </pic:blipFill>
                  <pic:spPr>
                    <a:xfrm>
                      <a:off x="0" y="0"/>
                      <a:ext cx="5643245" cy="2325370"/>
                    </a:xfrm>
                    <a:prstGeom prst="rect">
                      <a:avLst/>
                    </a:prstGeom>
                  </pic:spPr>
                </pic:pic>
              </a:graphicData>
            </a:graphic>
          </wp:inline>
        </w:drawing>
      </w:r>
    </w:p>
    <w:p>
      <w:pPr>
        <w:adjustRightInd w:val="0"/>
        <w:snapToGrid w:val="0"/>
        <w:spacing w:line="480" w:lineRule="auto"/>
        <w:ind w:firstLine="0" w:firstLineChars="0"/>
        <w:jc w:val="both"/>
        <w:rPr>
          <w:rFonts w:ascii="Arial" w:hAnsi="Arial" w:cs="Arial"/>
          <w:sz w:val="21"/>
          <w:szCs w:val="21"/>
        </w:rPr>
      </w:pPr>
    </w:p>
    <w:p>
      <w:pPr>
        <w:widowControl w:val="0"/>
        <w:adjustRightInd w:val="0"/>
        <w:snapToGrid w:val="0"/>
        <w:spacing w:line="480" w:lineRule="auto"/>
        <w:ind w:firstLine="420" w:firstLineChars="200"/>
        <w:rPr>
          <w:rFonts w:ascii="Arial" w:hAnsi="Arial" w:cs="Arial"/>
          <w:bCs/>
          <w:color w:val="000000"/>
          <w:sz w:val="21"/>
          <w:szCs w:val="21"/>
        </w:rPr>
      </w:pPr>
      <w:r>
        <w:rPr>
          <w:rFonts w:hint="eastAsia" w:ascii="Arial" w:hAnsi="Arial" w:cs="Arial"/>
          <w:bCs/>
          <w:color w:val="000000"/>
          <w:sz w:val="21"/>
          <w:szCs w:val="21"/>
        </w:rPr>
        <w:t>项目地块勘察结束后，我司人员还专门前往邢台当地政务部门，咨询了不动产登记、建设工程规划许可、建筑工程施工许可的办理条件及需要提交的资料情况。</w:t>
      </w:r>
    </w:p>
    <w:p>
      <w:pPr>
        <w:pStyle w:val="3"/>
        <w:keepNext w:val="0"/>
        <w:keepLines w:val="0"/>
        <w:widowControl w:val="0"/>
        <w:spacing w:before="0" w:after="0" w:line="480" w:lineRule="auto"/>
        <w:rPr>
          <w:rFonts w:eastAsia="宋体" w:cs="Arial"/>
          <w:sz w:val="21"/>
          <w:szCs w:val="21"/>
        </w:rPr>
      </w:pPr>
      <w:bookmarkStart w:id="159" w:name="_Toc3946"/>
      <w:bookmarkStart w:id="160" w:name="_Toc26754"/>
      <w:bookmarkStart w:id="161" w:name="_Toc146106156"/>
      <w:r>
        <w:rPr>
          <w:rFonts w:hint="eastAsia" w:eastAsia="宋体" w:cs="Arial"/>
          <w:sz w:val="21"/>
          <w:szCs w:val="21"/>
        </w:rPr>
        <w:t>三、合同内容梳理分析</w:t>
      </w:r>
      <w:bookmarkEnd w:id="159"/>
      <w:bookmarkEnd w:id="160"/>
    </w:p>
    <w:p>
      <w:pPr>
        <w:adjustRightInd w:val="0"/>
        <w:snapToGrid w:val="0"/>
        <w:spacing w:line="480" w:lineRule="auto"/>
        <w:ind w:firstLine="420" w:firstLineChars="200"/>
        <w:jc w:val="both"/>
        <w:rPr>
          <w:rFonts w:ascii="Arial" w:hAnsi="Arial" w:cs="Arial"/>
          <w:sz w:val="21"/>
          <w:szCs w:val="21"/>
        </w:rPr>
      </w:pPr>
      <w:r>
        <w:rPr>
          <w:rFonts w:ascii="Arial" w:hAnsi="Arial" w:cs="Arial"/>
          <w:sz w:val="21"/>
          <w:szCs w:val="21"/>
        </w:rPr>
        <w:t>我司对</w:t>
      </w:r>
      <w:r>
        <w:rPr>
          <w:rFonts w:hint="eastAsia" w:ascii="Arial" w:hAnsi="Arial" w:cs="Arial"/>
          <w:sz w:val="21"/>
          <w:szCs w:val="21"/>
        </w:rPr>
        <w:t>华昱公司签署的</w:t>
      </w:r>
      <w:r>
        <w:rPr>
          <w:rFonts w:ascii="Arial" w:hAnsi="Arial" w:cs="Arial"/>
          <w:sz w:val="21"/>
          <w:szCs w:val="21"/>
        </w:rPr>
        <w:t>55份合同中的签约时间、合同类别、签订价格、合同内容、结算方式、履行情况等进行梳理。并查看相关流程，对合同完整性及流程是否完备进行核查，确保合同签订依据真实完整。</w:t>
      </w:r>
      <w:r>
        <w:rPr>
          <w:rFonts w:hint="eastAsia" w:ascii="Arial" w:hAnsi="Arial" w:cs="Arial"/>
          <w:sz w:val="21"/>
          <w:szCs w:val="21"/>
        </w:rPr>
        <w:t>（详见附件）</w:t>
      </w:r>
    </w:p>
    <w:bookmarkEnd w:id="161"/>
    <w:p>
      <w:pPr>
        <w:pStyle w:val="3"/>
        <w:keepNext w:val="0"/>
        <w:keepLines w:val="0"/>
        <w:widowControl w:val="0"/>
        <w:numPr>
          <w:ilvl w:val="0"/>
          <w:numId w:val="3"/>
        </w:numPr>
        <w:spacing w:before="0" w:after="0" w:line="480" w:lineRule="auto"/>
        <w:rPr>
          <w:rFonts w:hint="eastAsia" w:eastAsia="宋体" w:cs="Arial"/>
          <w:sz w:val="21"/>
          <w:szCs w:val="21"/>
        </w:rPr>
      </w:pPr>
      <w:bookmarkStart w:id="162" w:name="_Toc7244"/>
      <w:bookmarkStart w:id="163" w:name="_Toc26395"/>
      <w:r>
        <w:rPr>
          <w:rFonts w:hint="eastAsia" w:eastAsia="宋体" w:cs="Arial"/>
          <w:sz w:val="21"/>
          <w:szCs w:val="21"/>
        </w:rPr>
        <w:t>合同签订履行状况</w:t>
      </w:r>
      <w:bookmarkEnd w:id="162"/>
      <w:bookmarkEnd w:id="163"/>
    </w:p>
    <w:p>
      <w:pPr>
        <w:pStyle w:val="3"/>
        <w:keepNext w:val="0"/>
        <w:keepLines w:val="0"/>
        <w:widowControl w:val="0"/>
        <w:numPr>
          <w:ilvl w:val="0"/>
          <w:numId w:val="0"/>
        </w:numPr>
        <w:spacing w:before="0" w:after="0" w:line="480" w:lineRule="auto"/>
        <w:rPr>
          <w:rFonts w:hint="eastAsia" w:ascii="Arial" w:hAnsi="Arial" w:cs="Arial"/>
          <w:bCs/>
          <w:color w:val="000000"/>
          <w:sz w:val="21"/>
          <w:szCs w:val="21"/>
        </w:rPr>
      </w:pPr>
      <w:bookmarkStart w:id="164" w:name="_Toc21961"/>
      <w:r>
        <w:rPr>
          <w:rFonts w:hint="eastAsia" w:ascii="Arial" w:hAnsi="Arial" w:eastAsia="宋体" w:cs="Arial"/>
          <w:b w:val="0"/>
          <w:sz w:val="21"/>
          <w:szCs w:val="21"/>
          <w:lang w:val="en-US" w:eastAsia="zh-CN" w:bidi="ar-SA"/>
        </w:rPr>
        <w:t>1、合同执行情况：</w:t>
      </w:r>
      <w:bookmarkEnd w:id="164"/>
    </w:p>
    <w:p>
      <w:pPr>
        <w:pStyle w:val="9"/>
        <w:spacing w:before="0" w:after="0" w:line="480" w:lineRule="auto"/>
        <w:ind w:firstLine="420" w:firstLineChars="200"/>
        <w:outlineLvl w:val="2"/>
        <w:rPr>
          <w:rFonts w:hint="eastAsia" w:ascii="Arial" w:hAnsi="Arial" w:cs="Arial"/>
          <w:bCs/>
          <w:color w:val="000000"/>
          <w:sz w:val="21"/>
          <w:szCs w:val="21"/>
        </w:rPr>
      </w:pPr>
      <w:r>
        <w:rPr>
          <w:rFonts w:hint="eastAsia" w:ascii="Arial" w:hAnsi="Arial" w:cs="Arial"/>
          <w:bCs/>
          <w:color w:val="000000"/>
          <w:sz w:val="21"/>
          <w:szCs w:val="21"/>
        </w:rPr>
        <w:t>截止到本报告出具前，我司收到华昱公司签署的合同55份，包括：设计类合同8份，前期类合同12份，综管类合同30份，财务类合同5份。其中执行完毕40份，执行中11份，未执行4份。（详见下表）</w:t>
      </w:r>
    </w:p>
    <w:tbl>
      <w:tblPr>
        <w:tblStyle w:val="10"/>
        <w:tblW w:w="8943" w:type="dxa"/>
        <w:tblInd w:w="0" w:type="dxa"/>
        <w:tblLayout w:type="fixed"/>
        <w:tblCellMar>
          <w:top w:w="0" w:type="dxa"/>
          <w:left w:w="108" w:type="dxa"/>
          <w:bottom w:w="0" w:type="dxa"/>
          <w:right w:w="108" w:type="dxa"/>
        </w:tblCellMar>
      </w:tblPr>
      <w:tblGrid>
        <w:gridCol w:w="1788"/>
        <w:gridCol w:w="1788"/>
        <w:gridCol w:w="1789"/>
        <w:gridCol w:w="1789"/>
        <w:gridCol w:w="1789"/>
      </w:tblGrid>
      <w:tr>
        <w:tblPrEx>
          <w:tblCellMar>
            <w:top w:w="0" w:type="dxa"/>
            <w:left w:w="108" w:type="dxa"/>
            <w:bottom w:w="0" w:type="dxa"/>
            <w:right w:w="108" w:type="dxa"/>
          </w:tblCellMar>
        </w:tblPrEx>
        <w:trPr>
          <w:trHeight w:val="585" w:hRule="atLeast"/>
        </w:trPr>
        <w:tc>
          <w:tcPr>
            <w:tcW w:w="1788"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textAlignment w:val="center"/>
              <w:rPr>
                <w:b/>
                <w:bCs/>
                <w:color w:val="000000"/>
              </w:rPr>
            </w:pPr>
            <w:r>
              <w:rPr>
                <w:rFonts w:hint="eastAsia"/>
                <w:b/>
                <w:bCs/>
                <w:color w:val="000000"/>
                <w:lang w:bidi="ar"/>
              </w:rPr>
              <w:t>合同类别</w:t>
            </w:r>
          </w:p>
        </w:tc>
        <w:tc>
          <w:tcPr>
            <w:tcW w:w="1788" w:type="dxa"/>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b/>
                <w:bCs/>
                <w:color w:val="000000"/>
              </w:rPr>
            </w:pPr>
            <w:r>
              <w:rPr>
                <w:rFonts w:hint="eastAsia"/>
                <w:b/>
                <w:bCs/>
                <w:color w:val="000000"/>
                <w:lang w:bidi="ar"/>
              </w:rPr>
              <w:t>核查数量</w:t>
            </w:r>
          </w:p>
        </w:tc>
        <w:tc>
          <w:tcPr>
            <w:tcW w:w="1789" w:type="dxa"/>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b/>
                <w:bCs/>
                <w:color w:val="000000"/>
              </w:rPr>
            </w:pPr>
            <w:r>
              <w:rPr>
                <w:rFonts w:hint="eastAsia"/>
                <w:b/>
                <w:bCs/>
                <w:color w:val="000000"/>
                <w:lang w:bidi="ar"/>
              </w:rPr>
              <w:t>执行完毕</w:t>
            </w:r>
          </w:p>
        </w:tc>
        <w:tc>
          <w:tcPr>
            <w:tcW w:w="1789" w:type="dxa"/>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b/>
                <w:bCs/>
                <w:color w:val="000000"/>
              </w:rPr>
            </w:pPr>
            <w:r>
              <w:rPr>
                <w:rFonts w:hint="eastAsia"/>
                <w:b/>
                <w:bCs/>
                <w:color w:val="000000"/>
                <w:lang w:bidi="ar"/>
              </w:rPr>
              <w:t>执行中</w:t>
            </w:r>
          </w:p>
        </w:tc>
        <w:tc>
          <w:tcPr>
            <w:tcW w:w="1789" w:type="dxa"/>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b/>
                <w:bCs/>
                <w:color w:val="000000"/>
              </w:rPr>
            </w:pPr>
            <w:r>
              <w:rPr>
                <w:rFonts w:hint="eastAsia"/>
                <w:b/>
                <w:bCs/>
                <w:color w:val="000000"/>
                <w:lang w:bidi="ar"/>
              </w:rPr>
              <w:t>未执行</w:t>
            </w:r>
          </w:p>
        </w:tc>
      </w:tr>
      <w:tr>
        <w:tblPrEx>
          <w:tblCellMar>
            <w:top w:w="0" w:type="dxa"/>
            <w:left w:w="108" w:type="dxa"/>
            <w:bottom w:w="0" w:type="dxa"/>
            <w:right w:w="108" w:type="dxa"/>
          </w:tblCellMar>
        </w:tblPrEx>
        <w:trPr>
          <w:trHeight w:val="300" w:hRule="atLeast"/>
        </w:trPr>
        <w:tc>
          <w:tcPr>
            <w:tcW w:w="1788"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b/>
                <w:bCs/>
                <w:color w:val="000000"/>
              </w:rPr>
            </w:pPr>
            <w:r>
              <w:rPr>
                <w:rFonts w:hint="eastAsia"/>
                <w:b/>
                <w:bCs/>
                <w:color w:val="000000"/>
                <w:lang w:bidi="ar"/>
              </w:rPr>
              <w:t>设计类</w:t>
            </w:r>
          </w:p>
        </w:tc>
        <w:tc>
          <w:tcPr>
            <w:tcW w:w="1788" w:type="dxa"/>
            <w:tcBorders>
              <w:top w:val="nil"/>
              <w:left w:val="nil"/>
              <w:bottom w:val="single" w:color="000000" w:sz="8" w:space="0"/>
              <w:right w:val="single" w:color="000000" w:sz="8" w:space="0"/>
            </w:tcBorders>
            <w:shd w:val="clear" w:color="auto" w:fill="auto"/>
            <w:vAlign w:val="center"/>
          </w:tcPr>
          <w:p>
            <w:pPr>
              <w:jc w:val="center"/>
              <w:textAlignment w:val="center"/>
              <w:rPr>
                <w:color w:val="000000"/>
              </w:rPr>
            </w:pPr>
            <w:r>
              <w:rPr>
                <w:rFonts w:hint="eastAsia"/>
                <w:color w:val="000000"/>
                <w:lang w:bidi="ar"/>
              </w:rPr>
              <w:t>8</w:t>
            </w:r>
          </w:p>
        </w:tc>
        <w:tc>
          <w:tcPr>
            <w:tcW w:w="1789" w:type="dxa"/>
            <w:tcBorders>
              <w:top w:val="nil"/>
              <w:left w:val="nil"/>
              <w:bottom w:val="single" w:color="000000" w:sz="8" w:space="0"/>
              <w:right w:val="single" w:color="000000" w:sz="8" w:space="0"/>
            </w:tcBorders>
            <w:shd w:val="clear" w:color="auto" w:fill="auto"/>
            <w:vAlign w:val="center"/>
          </w:tcPr>
          <w:p>
            <w:pPr>
              <w:jc w:val="center"/>
              <w:textAlignment w:val="center"/>
              <w:rPr>
                <w:color w:val="000000"/>
              </w:rPr>
            </w:pPr>
            <w:r>
              <w:rPr>
                <w:rFonts w:hint="eastAsia"/>
                <w:color w:val="000000"/>
                <w:lang w:bidi="ar"/>
              </w:rPr>
              <w:t>1</w:t>
            </w:r>
          </w:p>
        </w:tc>
        <w:tc>
          <w:tcPr>
            <w:tcW w:w="1789" w:type="dxa"/>
            <w:tcBorders>
              <w:top w:val="nil"/>
              <w:left w:val="nil"/>
              <w:bottom w:val="single" w:color="000000" w:sz="8" w:space="0"/>
              <w:right w:val="single" w:color="000000" w:sz="8" w:space="0"/>
            </w:tcBorders>
            <w:shd w:val="clear" w:color="auto" w:fill="auto"/>
            <w:vAlign w:val="center"/>
          </w:tcPr>
          <w:p>
            <w:pPr>
              <w:jc w:val="center"/>
              <w:textAlignment w:val="center"/>
              <w:rPr>
                <w:color w:val="000000"/>
              </w:rPr>
            </w:pPr>
            <w:r>
              <w:rPr>
                <w:rFonts w:hint="eastAsia"/>
                <w:color w:val="000000"/>
                <w:lang w:bidi="ar"/>
              </w:rPr>
              <w:t>7</w:t>
            </w:r>
          </w:p>
        </w:tc>
        <w:tc>
          <w:tcPr>
            <w:tcW w:w="1789" w:type="dxa"/>
            <w:tcBorders>
              <w:top w:val="nil"/>
              <w:left w:val="nil"/>
              <w:bottom w:val="single" w:color="000000" w:sz="8" w:space="0"/>
              <w:right w:val="single" w:color="000000" w:sz="8" w:space="0"/>
            </w:tcBorders>
            <w:shd w:val="clear" w:color="auto" w:fill="auto"/>
            <w:vAlign w:val="center"/>
          </w:tcPr>
          <w:p>
            <w:pPr>
              <w:jc w:val="center"/>
              <w:textAlignment w:val="center"/>
              <w:rPr>
                <w:color w:val="000000"/>
              </w:rPr>
            </w:pPr>
            <w:r>
              <w:rPr>
                <w:rFonts w:hint="eastAsia"/>
                <w:color w:val="000000"/>
                <w:lang w:bidi="ar"/>
              </w:rPr>
              <w:t>0</w:t>
            </w:r>
          </w:p>
        </w:tc>
      </w:tr>
      <w:tr>
        <w:tblPrEx>
          <w:tblCellMar>
            <w:top w:w="0" w:type="dxa"/>
            <w:left w:w="108" w:type="dxa"/>
            <w:bottom w:w="0" w:type="dxa"/>
            <w:right w:w="108" w:type="dxa"/>
          </w:tblCellMar>
        </w:tblPrEx>
        <w:trPr>
          <w:trHeight w:val="300" w:hRule="atLeast"/>
        </w:trPr>
        <w:tc>
          <w:tcPr>
            <w:tcW w:w="1788"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b/>
                <w:bCs/>
                <w:color w:val="000000"/>
              </w:rPr>
            </w:pPr>
            <w:r>
              <w:rPr>
                <w:rFonts w:hint="eastAsia"/>
                <w:b/>
                <w:bCs/>
                <w:color w:val="000000"/>
                <w:lang w:bidi="ar"/>
              </w:rPr>
              <w:t>前期类</w:t>
            </w:r>
          </w:p>
        </w:tc>
        <w:tc>
          <w:tcPr>
            <w:tcW w:w="1788" w:type="dxa"/>
            <w:tcBorders>
              <w:top w:val="nil"/>
              <w:left w:val="nil"/>
              <w:bottom w:val="single" w:color="000000" w:sz="8" w:space="0"/>
              <w:right w:val="single" w:color="000000" w:sz="8" w:space="0"/>
            </w:tcBorders>
            <w:shd w:val="clear" w:color="auto" w:fill="auto"/>
            <w:vAlign w:val="center"/>
          </w:tcPr>
          <w:p>
            <w:pPr>
              <w:jc w:val="center"/>
              <w:textAlignment w:val="center"/>
              <w:rPr>
                <w:color w:val="000000"/>
              </w:rPr>
            </w:pPr>
            <w:r>
              <w:rPr>
                <w:rFonts w:hint="eastAsia"/>
                <w:color w:val="000000"/>
                <w:lang w:bidi="ar"/>
              </w:rPr>
              <w:t>12</w:t>
            </w:r>
          </w:p>
        </w:tc>
        <w:tc>
          <w:tcPr>
            <w:tcW w:w="1789" w:type="dxa"/>
            <w:tcBorders>
              <w:top w:val="nil"/>
              <w:left w:val="nil"/>
              <w:bottom w:val="single" w:color="000000" w:sz="8" w:space="0"/>
              <w:right w:val="single" w:color="000000" w:sz="8" w:space="0"/>
            </w:tcBorders>
            <w:shd w:val="clear" w:color="auto" w:fill="auto"/>
            <w:vAlign w:val="center"/>
          </w:tcPr>
          <w:p>
            <w:pPr>
              <w:jc w:val="center"/>
              <w:textAlignment w:val="center"/>
              <w:rPr>
                <w:color w:val="000000"/>
              </w:rPr>
            </w:pPr>
            <w:r>
              <w:rPr>
                <w:rFonts w:hint="eastAsia"/>
                <w:color w:val="000000"/>
                <w:lang w:bidi="ar"/>
              </w:rPr>
              <w:t>8</w:t>
            </w:r>
          </w:p>
        </w:tc>
        <w:tc>
          <w:tcPr>
            <w:tcW w:w="1789" w:type="dxa"/>
            <w:tcBorders>
              <w:top w:val="nil"/>
              <w:left w:val="nil"/>
              <w:bottom w:val="single" w:color="000000" w:sz="8" w:space="0"/>
              <w:right w:val="single" w:color="000000" w:sz="8" w:space="0"/>
            </w:tcBorders>
            <w:shd w:val="clear" w:color="auto" w:fill="auto"/>
            <w:vAlign w:val="center"/>
          </w:tcPr>
          <w:p>
            <w:pPr>
              <w:jc w:val="center"/>
              <w:textAlignment w:val="center"/>
              <w:rPr>
                <w:color w:val="000000"/>
              </w:rPr>
            </w:pPr>
            <w:r>
              <w:rPr>
                <w:rFonts w:hint="eastAsia"/>
                <w:color w:val="000000"/>
                <w:lang w:bidi="ar"/>
              </w:rPr>
              <w:t>3</w:t>
            </w:r>
          </w:p>
        </w:tc>
        <w:tc>
          <w:tcPr>
            <w:tcW w:w="1789" w:type="dxa"/>
            <w:tcBorders>
              <w:top w:val="nil"/>
              <w:left w:val="nil"/>
              <w:bottom w:val="single" w:color="000000" w:sz="8" w:space="0"/>
              <w:right w:val="single" w:color="000000" w:sz="8" w:space="0"/>
            </w:tcBorders>
            <w:shd w:val="clear" w:color="auto" w:fill="auto"/>
            <w:vAlign w:val="center"/>
          </w:tcPr>
          <w:p>
            <w:pPr>
              <w:jc w:val="center"/>
              <w:textAlignment w:val="center"/>
              <w:rPr>
                <w:color w:val="000000"/>
              </w:rPr>
            </w:pPr>
            <w:r>
              <w:rPr>
                <w:rFonts w:hint="eastAsia"/>
                <w:color w:val="000000"/>
                <w:lang w:bidi="ar"/>
              </w:rPr>
              <w:t>1</w:t>
            </w:r>
          </w:p>
        </w:tc>
      </w:tr>
      <w:tr>
        <w:tblPrEx>
          <w:tblCellMar>
            <w:top w:w="0" w:type="dxa"/>
            <w:left w:w="108" w:type="dxa"/>
            <w:bottom w:w="0" w:type="dxa"/>
            <w:right w:w="108" w:type="dxa"/>
          </w:tblCellMar>
        </w:tblPrEx>
        <w:trPr>
          <w:trHeight w:val="300" w:hRule="atLeast"/>
        </w:trPr>
        <w:tc>
          <w:tcPr>
            <w:tcW w:w="1788"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b/>
                <w:bCs/>
                <w:color w:val="000000"/>
              </w:rPr>
            </w:pPr>
            <w:r>
              <w:rPr>
                <w:rFonts w:hint="eastAsia"/>
                <w:b/>
                <w:bCs/>
                <w:color w:val="000000"/>
                <w:lang w:bidi="ar"/>
              </w:rPr>
              <w:t>综管类</w:t>
            </w:r>
          </w:p>
        </w:tc>
        <w:tc>
          <w:tcPr>
            <w:tcW w:w="1788" w:type="dxa"/>
            <w:tcBorders>
              <w:top w:val="nil"/>
              <w:left w:val="nil"/>
              <w:bottom w:val="single" w:color="000000" w:sz="8" w:space="0"/>
              <w:right w:val="single" w:color="000000" w:sz="8" w:space="0"/>
            </w:tcBorders>
            <w:shd w:val="clear" w:color="auto" w:fill="auto"/>
            <w:vAlign w:val="center"/>
          </w:tcPr>
          <w:p>
            <w:pPr>
              <w:jc w:val="center"/>
              <w:textAlignment w:val="center"/>
              <w:rPr>
                <w:color w:val="000000"/>
              </w:rPr>
            </w:pPr>
            <w:r>
              <w:rPr>
                <w:rFonts w:hint="eastAsia"/>
                <w:color w:val="000000"/>
                <w:lang w:bidi="ar"/>
              </w:rPr>
              <w:t>30</w:t>
            </w:r>
          </w:p>
        </w:tc>
        <w:tc>
          <w:tcPr>
            <w:tcW w:w="1789" w:type="dxa"/>
            <w:tcBorders>
              <w:top w:val="nil"/>
              <w:left w:val="nil"/>
              <w:bottom w:val="single" w:color="000000" w:sz="8" w:space="0"/>
              <w:right w:val="single" w:color="000000" w:sz="8" w:space="0"/>
            </w:tcBorders>
            <w:shd w:val="clear" w:color="auto" w:fill="auto"/>
            <w:vAlign w:val="center"/>
          </w:tcPr>
          <w:p>
            <w:pPr>
              <w:jc w:val="center"/>
              <w:textAlignment w:val="center"/>
              <w:rPr>
                <w:color w:val="000000"/>
              </w:rPr>
            </w:pPr>
            <w:r>
              <w:rPr>
                <w:rFonts w:hint="eastAsia"/>
                <w:color w:val="000000"/>
                <w:lang w:bidi="ar"/>
              </w:rPr>
              <w:t>26</w:t>
            </w:r>
          </w:p>
        </w:tc>
        <w:tc>
          <w:tcPr>
            <w:tcW w:w="1789" w:type="dxa"/>
            <w:tcBorders>
              <w:top w:val="nil"/>
              <w:left w:val="nil"/>
              <w:bottom w:val="single" w:color="000000" w:sz="8" w:space="0"/>
              <w:right w:val="single" w:color="000000" w:sz="8" w:space="0"/>
            </w:tcBorders>
            <w:shd w:val="clear" w:color="auto" w:fill="auto"/>
            <w:vAlign w:val="center"/>
          </w:tcPr>
          <w:p>
            <w:pPr>
              <w:jc w:val="center"/>
              <w:textAlignment w:val="center"/>
              <w:rPr>
                <w:color w:val="000000"/>
              </w:rPr>
            </w:pPr>
            <w:r>
              <w:rPr>
                <w:rFonts w:hint="eastAsia"/>
                <w:color w:val="000000"/>
                <w:lang w:bidi="ar"/>
              </w:rPr>
              <w:t>1</w:t>
            </w:r>
          </w:p>
        </w:tc>
        <w:tc>
          <w:tcPr>
            <w:tcW w:w="1789" w:type="dxa"/>
            <w:tcBorders>
              <w:top w:val="nil"/>
              <w:left w:val="nil"/>
              <w:bottom w:val="single" w:color="000000" w:sz="8" w:space="0"/>
              <w:right w:val="single" w:color="000000" w:sz="8" w:space="0"/>
            </w:tcBorders>
            <w:shd w:val="clear" w:color="auto" w:fill="auto"/>
            <w:vAlign w:val="center"/>
          </w:tcPr>
          <w:p>
            <w:pPr>
              <w:jc w:val="center"/>
              <w:textAlignment w:val="center"/>
              <w:rPr>
                <w:color w:val="000000"/>
              </w:rPr>
            </w:pPr>
            <w:r>
              <w:rPr>
                <w:rFonts w:hint="eastAsia"/>
                <w:color w:val="000000"/>
                <w:lang w:bidi="ar"/>
              </w:rPr>
              <w:t>3</w:t>
            </w:r>
          </w:p>
        </w:tc>
      </w:tr>
      <w:tr>
        <w:tblPrEx>
          <w:tblCellMar>
            <w:top w:w="0" w:type="dxa"/>
            <w:left w:w="108" w:type="dxa"/>
            <w:bottom w:w="0" w:type="dxa"/>
            <w:right w:w="108" w:type="dxa"/>
          </w:tblCellMar>
        </w:tblPrEx>
        <w:trPr>
          <w:trHeight w:val="300" w:hRule="atLeast"/>
        </w:trPr>
        <w:tc>
          <w:tcPr>
            <w:tcW w:w="1788"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b/>
                <w:bCs/>
                <w:color w:val="000000"/>
              </w:rPr>
            </w:pPr>
            <w:r>
              <w:rPr>
                <w:rFonts w:hint="eastAsia"/>
                <w:b/>
                <w:bCs/>
                <w:color w:val="000000"/>
                <w:lang w:bidi="ar"/>
              </w:rPr>
              <w:t>财务类</w:t>
            </w:r>
          </w:p>
        </w:tc>
        <w:tc>
          <w:tcPr>
            <w:tcW w:w="1788" w:type="dxa"/>
            <w:tcBorders>
              <w:top w:val="nil"/>
              <w:left w:val="nil"/>
              <w:bottom w:val="single" w:color="000000" w:sz="8" w:space="0"/>
              <w:right w:val="single" w:color="000000" w:sz="8" w:space="0"/>
            </w:tcBorders>
            <w:shd w:val="clear" w:color="auto" w:fill="auto"/>
            <w:vAlign w:val="center"/>
          </w:tcPr>
          <w:p>
            <w:pPr>
              <w:jc w:val="center"/>
              <w:textAlignment w:val="center"/>
              <w:rPr>
                <w:color w:val="000000"/>
              </w:rPr>
            </w:pPr>
            <w:r>
              <w:rPr>
                <w:rFonts w:hint="eastAsia"/>
                <w:color w:val="000000"/>
                <w:lang w:bidi="ar"/>
              </w:rPr>
              <w:t>5</w:t>
            </w:r>
          </w:p>
        </w:tc>
        <w:tc>
          <w:tcPr>
            <w:tcW w:w="1789" w:type="dxa"/>
            <w:tcBorders>
              <w:top w:val="nil"/>
              <w:left w:val="nil"/>
              <w:bottom w:val="single" w:color="000000" w:sz="8" w:space="0"/>
              <w:right w:val="single" w:color="000000" w:sz="8" w:space="0"/>
            </w:tcBorders>
            <w:shd w:val="clear" w:color="auto" w:fill="auto"/>
            <w:vAlign w:val="center"/>
          </w:tcPr>
          <w:p>
            <w:pPr>
              <w:jc w:val="center"/>
              <w:textAlignment w:val="center"/>
              <w:rPr>
                <w:color w:val="000000"/>
              </w:rPr>
            </w:pPr>
            <w:r>
              <w:rPr>
                <w:rFonts w:hint="eastAsia"/>
                <w:color w:val="000000"/>
                <w:lang w:bidi="ar"/>
              </w:rPr>
              <w:t>5</w:t>
            </w:r>
          </w:p>
        </w:tc>
        <w:tc>
          <w:tcPr>
            <w:tcW w:w="1789" w:type="dxa"/>
            <w:tcBorders>
              <w:top w:val="nil"/>
              <w:left w:val="nil"/>
              <w:bottom w:val="single" w:color="000000" w:sz="8" w:space="0"/>
              <w:right w:val="single" w:color="000000" w:sz="8" w:space="0"/>
            </w:tcBorders>
            <w:shd w:val="clear" w:color="auto" w:fill="auto"/>
            <w:vAlign w:val="center"/>
          </w:tcPr>
          <w:p>
            <w:pPr>
              <w:jc w:val="center"/>
              <w:textAlignment w:val="center"/>
              <w:rPr>
                <w:color w:val="000000"/>
              </w:rPr>
            </w:pPr>
            <w:r>
              <w:rPr>
                <w:rFonts w:hint="eastAsia"/>
                <w:color w:val="000000"/>
                <w:lang w:bidi="ar"/>
              </w:rPr>
              <w:t>0</w:t>
            </w:r>
          </w:p>
        </w:tc>
        <w:tc>
          <w:tcPr>
            <w:tcW w:w="1789" w:type="dxa"/>
            <w:tcBorders>
              <w:top w:val="nil"/>
              <w:left w:val="nil"/>
              <w:bottom w:val="single" w:color="000000" w:sz="8" w:space="0"/>
              <w:right w:val="single" w:color="000000" w:sz="8" w:space="0"/>
            </w:tcBorders>
            <w:shd w:val="clear" w:color="auto" w:fill="auto"/>
            <w:vAlign w:val="center"/>
          </w:tcPr>
          <w:p>
            <w:pPr>
              <w:jc w:val="center"/>
              <w:textAlignment w:val="center"/>
              <w:rPr>
                <w:color w:val="000000"/>
              </w:rPr>
            </w:pPr>
            <w:r>
              <w:rPr>
                <w:rFonts w:hint="eastAsia"/>
                <w:color w:val="000000"/>
                <w:lang w:bidi="ar"/>
              </w:rPr>
              <w:t>0</w:t>
            </w:r>
          </w:p>
        </w:tc>
      </w:tr>
      <w:tr>
        <w:tblPrEx>
          <w:tblCellMar>
            <w:top w:w="0" w:type="dxa"/>
            <w:left w:w="108" w:type="dxa"/>
            <w:bottom w:w="0" w:type="dxa"/>
            <w:right w:w="108" w:type="dxa"/>
          </w:tblCellMar>
        </w:tblPrEx>
        <w:trPr>
          <w:trHeight w:val="315" w:hRule="atLeast"/>
        </w:trPr>
        <w:tc>
          <w:tcPr>
            <w:tcW w:w="1788"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b/>
                <w:bCs/>
                <w:color w:val="000000"/>
              </w:rPr>
            </w:pPr>
            <w:r>
              <w:rPr>
                <w:rFonts w:hint="eastAsia"/>
                <w:b/>
                <w:bCs/>
                <w:color w:val="000000"/>
                <w:lang w:bidi="ar"/>
              </w:rPr>
              <w:t>合计</w:t>
            </w:r>
          </w:p>
        </w:tc>
        <w:tc>
          <w:tcPr>
            <w:tcW w:w="1788" w:type="dxa"/>
            <w:tcBorders>
              <w:top w:val="nil"/>
              <w:left w:val="nil"/>
              <w:bottom w:val="single" w:color="000000" w:sz="8" w:space="0"/>
              <w:right w:val="single" w:color="000000" w:sz="8" w:space="0"/>
            </w:tcBorders>
            <w:shd w:val="clear" w:color="auto" w:fill="auto"/>
            <w:vAlign w:val="center"/>
          </w:tcPr>
          <w:p>
            <w:pPr>
              <w:jc w:val="center"/>
              <w:textAlignment w:val="center"/>
              <w:rPr>
                <w:color w:val="000000"/>
              </w:rPr>
            </w:pPr>
            <w:r>
              <w:rPr>
                <w:rFonts w:hint="eastAsia"/>
                <w:color w:val="000000"/>
                <w:lang w:bidi="ar"/>
              </w:rPr>
              <w:t>55</w:t>
            </w:r>
          </w:p>
        </w:tc>
        <w:tc>
          <w:tcPr>
            <w:tcW w:w="1789" w:type="dxa"/>
            <w:tcBorders>
              <w:top w:val="nil"/>
              <w:left w:val="nil"/>
              <w:bottom w:val="single" w:color="000000" w:sz="8" w:space="0"/>
              <w:right w:val="single" w:color="000000" w:sz="8" w:space="0"/>
            </w:tcBorders>
            <w:shd w:val="clear" w:color="auto" w:fill="auto"/>
            <w:vAlign w:val="center"/>
          </w:tcPr>
          <w:p>
            <w:pPr>
              <w:jc w:val="center"/>
              <w:textAlignment w:val="center"/>
              <w:rPr>
                <w:color w:val="000000"/>
              </w:rPr>
            </w:pPr>
            <w:r>
              <w:rPr>
                <w:rFonts w:hint="eastAsia"/>
                <w:color w:val="000000"/>
                <w:lang w:bidi="ar"/>
              </w:rPr>
              <w:t>40</w:t>
            </w:r>
          </w:p>
        </w:tc>
        <w:tc>
          <w:tcPr>
            <w:tcW w:w="1789" w:type="dxa"/>
            <w:tcBorders>
              <w:top w:val="nil"/>
              <w:left w:val="nil"/>
              <w:bottom w:val="single" w:color="000000" w:sz="8" w:space="0"/>
              <w:right w:val="single" w:color="000000" w:sz="8" w:space="0"/>
            </w:tcBorders>
            <w:shd w:val="clear" w:color="auto" w:fill="auto"/>
            <w:vAlign w:val="center"/>
          </w:tcPr>
          <w:p>
            <w:pPr>
              <w:jc w:val="center"/>
              <w:textAlignment w:val="center"/>
              <w:rPr>
                <w:color w:val="000000"/>
              </w:rPr>
            </w:pPr>
            <w:r>
              <w:rPr>
                <w:rFonts w:hint="eastAsia"/>
                <w:color w:val="000000"/>
                <w:lang w:bidi="ar"/>
              </w:rPr>
              <w:t>11</w:t>
            </w:r>
          </w:p>
        </w:tc>
        <w:tc>
          <w:tcPr>
            <w:tcW w:w="1789" w:type="dxa"/>
            <w:tcBorders>
              <w:top w:val="nil"/>
              <w:left w:val="nil"/>
              <w:bottom w:val="single" w:color="000000" w:sz="8" w:space="0"/>
              <w:right w:val="single" w:color="000000" w:sz="8" w:space="0"/>
            </w:tcBorders>
            <w:shd w:val="clear" w:color="auto" w:fill="auto"/>
            <w:vAlign w:val="center"/>
          </w:tcPr>
          <w:p>
            <w:pPr>
              <w:jc w:val="center"/>
              <w:textAlignment w:val="center"/>
              <w:rPr>
                <w:color w:val="000000"/>
              </w:rPr>
            </w:pPr>
            <w:r>
              <w:rPr>
                <w:rFonts w:hint="eastAsia"/>
                <w:color w:val="000000"/>
                <w:lang w:bidi="ar"/>
              </w:rPr>
              <w:t>4</w:t>
            </w:r>
          </w:p>
        </w:tc>
      </w:tr>
    </w:tbl>
    <w:p>
      <w:pPr>
        <w:rPr>
          <w:rFonts w:hint="eastAsia"/>
          <w:sz w:val="18"/>
          <w:szCs w:val="18"/>
        </w:rPr>
      </w:pPr>
      <w:r>
        <w:rPr>
          <w:rFonts w:hint="eastAsia"/>
          <w:sz w:val="18"/>
          <w:szCs w:val="18"/>
        </w:rPr>
        <w:t>注：综管类合同执行完毕26份中含绿城代建合同及补充协议。</w:t>
      </w:r>
    </w:p>
    <w:p>
      <w:pPr>
        <w:rPr>
          <w:rFonts w:hint="eastAsia"/>
          <w:sz w:val="18"/>
          <w:szCs w:val="18"/>
        </w:rPr>
      </w:pPr>
    </w:p>
    <w:p>
      <w:pPr>
        <w:numPr>
          <w:ilvl w:val="0"/>
          <w:numId w:val="0"/>
        </w:numPr>
        <w:spacing w:line="480" w:lineRule="auto"/>
        <w:outlineLvl w:val="2"/>
        <w:rPr>
          <w:rFonts w:hint="eastAsia" w:ascii="Arial" w:hAnsi="Arial" w:cs="Arial"/>
          <w:bCs/>
          <w:color w:val="000000"/>
          <w:sz w:val="21"/>
          <w:szCs w:val="21"/>
        </w:rPr>
      </w:pPr>
      <w:r>
        <w:rPr>
          <w:rFonts w:hint="eastAsia" w:ascii="Arial" w:hAnsi="Arial" w:cs="Arial"/>
          <w:bCs/>
          <w:color w:val="000000"/>
          <w:sz w:val="21"/>
          <w:szCs w:val="21"/>
          <w:lang w:val="en-US" w:eastAsia="zh-CN"/>
        </w:rPr>
        <w:t>2、</w:t>
      </w:r>
      <w:r>
        <w:rPr>
          <w:rFonts w:hint="eastAsia" w:ascii="Arial" w:hAnsi="Arial" w:cs="Arial"/>
          <w:bCs/>
          <w:color w:val="000000"/>
          <w:sz w:val="21"/>
          <w:szCs w:val="21"/>
        </w:rPr>
        <w:t>合同款支付情况</w:t>
      </w:r>
    </w:p>
    <w:p>
      <w:pPr>
        <w:numPr>
          <w:ilvl w:val="0"/>
          <w:numId w:val="0"/>
        </w:numPr>
        <w:spacing w:line="480" w:lineRule="auto"/>
        <w:ind w:firstLine="420" w:firstLineChars="200"/>
        <w:outlineLvl w:val="2"/>
        <w:rPr>
          <w:rFonts w:hint="eastAsia" w:ascii="Arial" w:hAnsi="Arial" w:cs="Arial"/>
          <w:bCs/>
          <w:color w:val="000000"/>
          <w:sz w:val="21"/>
          <w:szCs w:val="21"/>
        </w:rPr>
      </w:pPr>
      <w:r>
        <w:rPr>
          <w:rFonts w:hint="eastAsia" w:ascii="Arial" w:hAnsi="Arial" w:cs="Arial"/>
          <w:bCs/>
          <w:color w:val="000000"/>
          <w:sz w:val="21"/>
          <w:szCs w:val="21"/>
        </w:rPr>
        <w:t>我司根据</w:t>
      </w:r>
      <w:r>
        <w:rPr>
          <w:rFonts w:hint="eastAsia" w:ascii="Arial" w:hAnsi="Arial" w:cs="Arial"/>
          <w:bCs/>
          <w:color w:val="000000"/>
          <w:sz w:val="21"/>
          <w:szCs w:val="21"/>
          <w:lang w:val="en-US" w:eastAsia="zh-CN"/>
        </w:rPr>
        <w:t>海鑫资产</w:t>
      </w:r>
      <w:r>
        <w:rPr>
          <w:rFonts w:hint="eastAsia" w:ascii="Arial" w:hAnsi="Arial" w:cs="Arial"/>
          <w:bCs/>
          <w:color w:val="000000"/>
          <w:sz w:val="21"/>
          <w:szCs w:val="21"/>
        </w:rPr>
        <w:t>财务部门提供的财务报表、银行流水等资料核对所有合同的收付款情况与合同约定节点的匹配情况进行梳理统计。截止到本报告出具前，项目各类合同约定总价为320,454,831.21 元，已支付金额为241,409,029.37元。（详见下表）</w:t>
      </w:r>
    </w:p>
    <w:tbl>
      <w:tblPr>
        <w:tblStyle w:val="10"/>
        <w:tblW w:w="8795" w:type="dxa"/>
        <w:tblInd w:w="0" w:type="dxa"/>
        <w:tblLayout w:type="fixed"/>
        <w:tblCellMar>
          <w:top w:w="0" w:type="dxa"/>
          <w:left w:w="108" w:type="dxa"/>
          <w:bottom w:w="0" w:type="dxa"/>
          <w:right w:w="108" w:type="dxa"/>
        </w:tblCellMar>
      </w:tblPr>
      <w:tblGrid>
        <w:gridCol w:w="745"/>
        <w:gridCol w:w="3237"/>
        <w:gridCol w:w="1133"/>
        <w:gridCol w:w="1970"/>
        <w:gridCol w:w="1710"/>
      </w:tblGrid>
      <w:tr>
        <w:tblPrEx>
          <w:tblCellMar>
            <w:top w:w="0" w:type="dxa"/>
            <w:left w:w="108" w:type="dxa"/>
            <w:bottom w:w="0" w:type="dxa"/>
            <w:right w:w="108" w:type="dxa"/>
          </w:tblCellMar>
        </w:tblPrEx>
        <w:trPr>
          <w:trHeight w:val="369" w:hRule="atLeast"/>
          <w:tblHeader/>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b/>
                <w:bCs/>
                <w:color w:val="000000"/>
                <w:sz w:val="22"/>
                <w:szCs w:val="22"/>
              </w:rPr>
            </w:pPr>
            <w:r>
              <w:rPr>
                <w:rFonts w:hint="eastAsia" w:ascii="微软雅黑" w:hAnsi="微软雅黑" w:eastAsia="微软雅黑" w:cs="微软雅黑"/>
                <w:b/>
                <w:bCs/>
                <w:color w:val="000000"/>
                <w:sz w:val="22"/>
                <w:szCs w:val="22"/>
                <w:lang w:bidi="ar"/>
              </w:rPr>
              <w:t>序号</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b/>
                <w:bCs/>
                <w:color w:val="000000"/>
                <w:sz w:val="22"/>
                <w:szCs w:val="22"/>
              </w:rPr>
            </w:pPr>
            <w:r>
              <w:rPr>
                <w:rFonts w:hint="eastAsia" w:ascii="微软雅黑" w:hAnsi="微软雅黑" w:eastAsia="微软雅黑" w:cs="微软雅黑"/>
                <w:b/>
                <w:bCs/>
                <w:color w:val="000000"/>
                <w:sz w:val="22"/>
                <w:szCs w:val="22"/>
                <w:lang w:bidi="ar"/>
              </w:rPr>
              <w:t>合同名称</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b/>
                <w:bCs/>
                <w:color w:val="000000"/>
                <w:sz w:val="22"/>
                <w:szCs w:val="22"/>
              </w:rPr>
            </w:pPr>
            <w:r>
              <w:rPr>
                <w:rFonts w:hint="eastAsia" w:ascii="微软雅黑" w:hAnsi="微软雅黑" w:eastAsia="微软雅黑" w:cs="微软雅黑"/>
                <w:b/>
                <w:bCs/>
                <w:color w:val="000000"/>
                <w:sz w:val="22"/>
                <w:szCs w:val="22"/>
                <w:lang w:bidi="ar"/>
              </w:rPr>
              <w:t>合同类型</w:t>
            </w:r>
          </w:p>
        </w:tc>
        <w:tc>
          <w:tcPr>
            <w:tcW w:w="19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b/>
                <w:bCs/>
                <w:color w:val="000000"/>
                <w:sz w:val="22"/>
                <w:szCs w:val="22"/>
              </w:rPr>
            </w:pPr>
            <w:r>
              <w:rPr>
                <w:rFonts w:hint="eastAsia" w:ascii="微软雅黑" w:hAnsi="微软雅黑" w:eastAsia="微软雅黑" w:cs="微软雅黑"/>
                <w:b/>
                <w:bCs/>
                <w:color w:val="000000"/>
                <w:sz w:val="22"/>
                <w:szCs w:val="22"/>
                <w:lang w:bidi="ar"/>
              </w:rPr>
              <w:t>合同约定金额（元）</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b/>
                <w:bCs/>
                <w:color w:val="000000"/>
                <w:sz w:val="22"/>
                <w:szCs w:val="22"/>
              </w:rPr>
            </w:pPr>
            <w:r>
              <w:rPr>
                <w:rFonts w:hint="eastAsia" w:ascii="微软雅黑" w:hAnsi="微软雅黑" w:eastAsia="微软雅黑" w:cs="微软雅黑"/>
                <w:b/>
                <w:bCs/>
                <w:color w:val="000000"/>
                <w:sz w:val="22"/>
                <w:szCs w:val="22"/>
                <w:lang w:bidi="ar"/>
              </w:rPr>
              <w:t>已支付金额（元）</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1</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邢台市南石门镇七里河项目概念规划设计合同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设计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920,000.00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920,000.00</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2</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建筑工程设计合同（适用于方案至建筑单专业扩初设计)</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设计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5,372,820.00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1,074,560.00</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3</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建筑工程设计合同（适用于施工图设计)</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设计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2,860,000.00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572,000.00</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4</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景观设计合同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设计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1,000,000.00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5</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建筑工程设计合同(民用建设工程设计合同)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设计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230,000.00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6</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室内硬装设计合同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设计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362,000.00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7</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室内硬装设计合同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设计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920,000.00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8</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18"/>
                <w:szCs w:val="18"/>
                <w:lang w:bidi="ar"/>
              </w:rPr>
              <w:t>百泉大道以北、七里河西侧地块项目交通影响评价报告编制合同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设计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80,000.00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40,000.00</w:t>
            </w:r>
          </w:p>
        </w:tc>
      </w:tr>
      <w:tr>
        <w:tblPrEx>
          <w:tblCellMar>
            <w:top w:w="0" w:type="dxa"/>
            <w:left w:w="108" w:type="dxa"/>
            <w:bottom w:w="0" w:type="dxa"/>
            <w:right w:w="108" w:type="dxa"/>
          </w:tblCellMar>
        </w:tblPrEx>
        <w:trPr>
          <w:trHeight w:val="4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9</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凤屏山项目测绘放点协议</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前期</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7,000.00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7,000.00</w:t>
            </w:r>
          </w:p>
        </w:tc>
      </w:tr>
      <w:tr>
        <w:tblPrEx>
          <w:tblCellMar>
            <w:top w:w="0" w:type="dxa"/>
            <w:left w:w="108" w:type="dxa"/>
            <w:bottom w:w="0" w:type="dxa"/>
            <w:right w:w="108" w:type="dxa"/>
          </w:tblCellMar>
        </w:tblPrEx>
        <w:trPr>
          <w:trHeight w:val="82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10</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92" w:lineRule="auto"/>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建设工程勘察合同[岩土工程勘察、水文地质勘察 (含凿井)工程测量、工程物探]</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前期</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41,759.00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33,407.20</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11</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邢台七里河项目高压线入地工程合同书</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前期</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65,000.00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65,000.00</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12</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土地收储与出让测绘合同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前期</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3,000.00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3,000.00</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13</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技术服务合同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前期</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130,000.00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130,000.00</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14</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凤屏山项目测绘协议</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前期</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12,795.00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12,795.00</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15</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工业品买卖合同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前期</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32,000.00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16</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道路规划协议书</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前期</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120,000.00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60,000.00</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17</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工地围挡制作安装合同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前期</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37,839.74</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35,089.79</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18</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邢台华昱七里河住宅用地项目评价报告编制技术服务合同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前期</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360,000.00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360,000.00</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19</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邢台七里河项目不动产测绘合同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前期</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10,000.00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10,000.00</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20</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国有建设用地使用权出让合同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前期</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80,240,000.00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80,240,000.00</w:t>
            </w:r>
          </w:p>
        </w:tc>
      </w:tr>
      <w:tr>
        <w:tblPrEx>
          <w:tblCellMar>
            <w:top w:w="0" w:type="dxa"/>
            <w:left w:w="108" w:type="dxa"/>
            <w:bottom w:w="0" w:type="dxa"/>
            <w:right w:w="108" w:type="dxa"/>
          </w:tblCellMar>
        </w:tblPrEx>
        <w:trPr>
          <w:trHeight w:val="540" w:hRule="atLeast"/>
        </w:trPr>
        <w:tc>
          <w:tcPr>
            <w:tcW w:w="7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21</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商铺租赁合同（2-1）</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227,430.00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227,430.00</w:t>
            </w:r>
          </w:p>
        </w:tc>
      </w:tr>
      <w:tr>
        <w:tblPrEx>
          <w:tblCellMar>
            <w:top w:w="0" w:type="dxa"/>
            <w:left w:w="108" w:type="dxa"/>
            <w:bottom w:w="0" w:type="dxa"/>
            <w:right w:w="108" w:type="dxa"/>
          </w:tblCellMar>
        </w:tblPrEx>
        <w:trPr>
          <w:trHeight w:val="540" w:hRule="atLeast"/>
        </w:trPr>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000000"/>
                <w:sz w:val="20"/>
                <w:szCs w:val="20"/>
              </w:rPr>
            </w:pP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商铺租赁合同（2-2）</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171,662.40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35,070.80</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22</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住宅租赁合同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1500/间/月</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28,500.00</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23</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商铺租赁合同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1500/间/月</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19,500.00</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24</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住宅租赁合同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1500/间/月</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27,000.00</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25</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住宅租赁合同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1500/间/月</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25,500.00</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26</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邢台临时办公区装修工程合同书</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63,129.00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63,129.00</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27</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邢台七里河项目办公设备采购合同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90,945.00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90,945.00</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28</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家具购销合同及补充协议</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106,930.00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106,930.00</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29</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绿植花卉购销合同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4,950.00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4,950.00</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30</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互联网专线业务介入合同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12000/年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24,000.00</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31</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工矿产品供销合同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28,300.00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28,300.00</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32</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签单协议</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10,000.00</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33</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租赁合同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17400元/年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34,971.51</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34</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机动车商业保险/机动车交通事故责任强制保险投保单</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2,971.04</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2,971.04</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35</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新车销售合同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273,900.00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273,900.00</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36</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房地产项目开发委托管理合同书</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33,350,000.00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6,000,000.00</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37</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房地产项目开发委托管理合同书-补充协议</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38</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邢台七里河项目文化板制作安装合同及补充协议</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6,386.64</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6,386.64</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39</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房屋渗水维修工程施工合同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19,545.00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19,545.00</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40</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业务外包合同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41</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人事外包服务合同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42</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劳务派遣合同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43</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债权债务确认及清偿协议</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17,299.83</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17,299.83</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44</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业务外包合同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45</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解除派遣劳务关系协议书</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69,448.56</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69,448.56</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46</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合同终止协议</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47</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委托代理协议</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30,000.00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48</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业务外包补充协议备忘录</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49</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销售合同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51,720.00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50</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赔偿协议</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16,000.00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16,000.00</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51</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股东借款合同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财务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150,000,000.00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107,850,000.00</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52</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股东借款合同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财务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21,000,000.00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21,000,000.00</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53</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借款合同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财务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21,000,000.00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21,000,000.00</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54</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股东借款合同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财务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400,000.00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145,400.00</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55</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微软雅黑" w:hAnsi="微软雅黑" w:eastAsia="微软雅黑" w:cs="微软雅黑"/>
                <w:b/>
                <w:bCs/>
                <w:color w:val="000000"/>
                <w:sz w:val="20"/>
                <w:szCs w:val="20"/>
              </w:rPr>
            </w:pPr>
            <w:r>
              <w:rPr>
                <w:rFonts w:hint="eastAsia" w:ascii="微软雅黑" w:hAnsi="微软雅黑" w:eastAsia="微软雅黑" w:cs="微软雅黑"/>
                <w:color w:val="000000"/>
                <w:sz w:val="20"/>
                <w:szCs w:val="20"/>
                <w:lang w:bidi="ar"/>
              </w:rPr>
              <w:t>股东借款合同</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财务</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720,000.00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color w:val="000000"/>
                <w:sz w:val="22"/>
                <w:szCs w:val="22"/>
              </w:rPr>
            </w:pPr>
            <w:r>
              <w:rPr>
                <w:rFonts w:hint="eastAsia"/>
                <w:color w:val="000000"/>
                <w:sz w:val="22"/>
                <w:szCs w:val="22"/>
                <w:lang w:bidi="ar"/>
              </w:rPr>
              <w:t>719,000.00</w:t>
            </w:r>
          </w:p>
        </w:tc>
      </w:tr>
      <w:tr>
        <w:tblPrEx>
          <w:tblCellMar>
            <w:top w:w="0" w:type="dxa"/>
            <w:left w:w="108" w:type="dxa"/>
            <w:bottom w:w="0" w:type="dxa"/>
            <w:right w:w="108" w:type="dxa"/>
          </w:tblCellMar>
        </w:tblPrEx>
        <w:trPr>
          <w:trHeight w:val="540" w:hRule="atLeast"/>
        </w:trPr>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微软雅黑" w:hAnsi="微软雅黑" w:eastAsia="微软雅黑" w:cs="微软雅黑"/>
                <w:color w:val="000000"/>
                <w:sz w:val="20"/>
                <w:szCs w:val="20"/>
                <w:lang w:val="en-US" w:eastAsia="zh-CN" w:bidi="ar"/>
              </w:rPr>
            </w:pPr>
            <w:bookmarkStart w:id="165" w:name="_Toc8676"/>
            <w:r>
              <w:rPr>
                <w:rFonts w:hint="eastAsia" w:ascii="微软雅黑" w:hAnsi="微软雅黑" w:eastAsia="微软雅黑" w:cs="微软雅黑"/>
                <w:color w:val="000000"/>
                <w:sz w:val="20"/>
                <w:szCs w:val="20"/>
                <w:lang w:val="en-US" w:eastAsia="zh-CN" w:bidi="ar"/>
              </w:rPr>
              <w:t>总计</w:t>
            </w:r>
          </w:p>
        </w:tc>
        <w:tc>
          <w:tcPr>
            <w:tcW w:w="323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center"/>
              <w:textAlignment w:val="center"/>
              <w:rPr>
                <w:rFonts w:hint="eastAsia" w:ascii="微软雅黑" w:hAnsi="微软雅黑" w:eastAsia="微软雅黑" w:cs="微软雅黑"/>
                <w:color w:val="000000"/>
                <w:sz w:val="20"/>
                <w:szCs w:val="20"/>
                <w:lang w:eastAsia="zh-CN" w:bidi="ar"/>
              </w:rPr>
            </w:pPr>
            <w:r>
              <w:rPr>
                <w:rFonts w:hint="eastAsia" w:ascii="微软雅黑" w:hAnsi="微软雅黑" w:eastAsia="微软雅黑" w:cs="微软雅黑"/>
                <w:color w:val="000000"/>
                <w:sz w:val="20"/>
                <w:szCs w:val="20"/>
                <w:lang w:eastAsia="zh-CN" w:bidi="ar"/>
              </w:rPr>
              <w:t>——</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微软雅黑" w:hAnsi="微软雅黑" w:eastAsia="微软雅黑" w:cs="微软雅黑"/>
                <w:color w:val="000000"/>
                <w:sz w:val="20"/>
                <w:szCs w:val="20"/>
                <w:lang w:eastAsia="zh-CN" w:bidi="ar"/>
              </w:rPr>
            </w:pPr>
            <w:r>
              <w:rPr>
                <w:rFonts w:hint="eastAsia" w:ascii="微软雅黑" w:hAnsi="微软雅黑" w:eastAsia="微软雅黑" w:cs="微软雅黑"/>
                <w:color w:val="000000"/>
                <w:sz w:val="20"/>
                <w:szCs w:val="20"/>
                <w:lang w:eastAsia="zh-CN" w:bidi="ar"/>
              </w:rPr>
              <w:t>——</w:t>
            </w:r>
          </w:p>
        </w:tc>
        <w:tc>
          <w:tcPr>
            <w:tcW w:w="1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color w:val="000000"/>
                <w:sz w:val="22"/>
                <w:szCs w:val="22"/>
                <w:lang w:bidi="ar"/>
              </w:rPr>
            </w:pPr>
            <w:r>
              <w:rPr>
                <w:rFonts w:hint="eastAsia"/>
                <w:color w:val="000000"/>
                <w:sz w:val="22"/>
                <w:szCs w:val="22"/>
                <w:lang w:bidi="ar"/>
              </w:rPr>
              <w:t>320,454,831.21</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hint="eastAsia"/>
                <w:color w:val="000000"/>
                <w:sz w:val="22"/>
                <w:szCs w:val="22"/>
                <w:lang w:bidi="ar"/>
              </w:rPr>
            </w:pPr>
            <w:r>
              <w:rPr>
                <w:rFonts w:hint="eastAsia"/>
                <w:color w:val="000000"/>
                <w:sz w:val="21"/>
                <w:szCs w:val="21"/>
                <w:lang w:bidi="ar"/>
              </w:rPr>
              <w:t>241,409,029.37</w:t>
            </w:r>
            <w:r>
              <w:rPr>
                <w:rFonts w:hint="eastAsia"/>
                <w:color w:val="000000"/>
                <w:sz w:val="22"/>
                <w:szCs w:val="22"/>
                <w:lang w:bidi="ar"/>
              </w:rPr>
              <w:t xml:space="preserve"> </w:t>
            </w:r>
          </w:p>
        </w:tc>
      </w:tr>
    </w:tbl>
    <w:p>
      <w:pPr>
        <w:spacing w:line="480" w:lineRule="auto"/>
        <w:jc w:val="both"/>
        <w:rPr>
          <w:rFonts w:hint="eastAsia" w:cs="Arial"/>
          <w:color w:val="000000"/>
          <w:sz w:val="21"/>
          <w:szCs w:val="21"/>
          <w:lang w:val="en-US" w:eastAsia="zh-CN"/>
        </w:rPr>
      </w:pPr>
    </w:p>
    <w:p>
      <w:pPr>
        <w:spacing w:line="480" w:lineRule="auto"/>
        <w:ind w:firstLine="211" w:firstLineChars="100"/>
        <w:jc w:val="both"/>
        <w:outlineLvl w:val="1"/>
        <w:rPr>
          <w:rFonts w:hint="eastAsia" w:cs="Arial"/>
          <w:b/>
          <w:bCs/>
          <w:color w:val="000000"/>
          <w:sz w:val="21"/>
          <w:szCs w:val="21"/>
        </w:rPr>
      </w:pPr>
      <w:bookmarkStart w:id="166" w:name="_Toc15553"/>
      <w:r>
        <w:rPr>
          <w:rFonts w:hint="eastAsia" w:cs="Arial"/>
          <w:b/>
          <w:bCs/>
          <w:color w:val="000000"/>
          <w:sz w:val="21"/>
          <w:szCs w:val="21"/>
          <w:lang w:val="en-US" w:eastAsia="zh-CN"/>
        </w:rPr>
        <w:t>五</w:t>
      </w:r>
      <w:r>
        <w:rPr>
          <w:rFonts w:hint="eastAsia" w:cs="Arial"/>
          <w:b/>
          <w:bCs/>
          <w:color w:val="000000"/>
          <w:sz w:val="21"/>
          <w:szCs w:val="21"/>
        </w:rPr>
        <w:t>、合同执行调查分析</w:t>
      </w:r>
      <w:bookmarkEnd w:id="165"/>
      <w:bookmarkEnd w:id="166"/>
    </w:p>
    <w:p>
      <w:pPr>
        <w:spacing w:line="480" w:lineRule="auto"/>
        <w:ind w:firstLine="420" w:firstLineChars="200"/>
        <w:jc w:val="both"/>
        <w:rPr>
          <w:rFonts w:hint="eastAsia" w:cs="Arial"/>
          <w:color w:val="000000"/>
          <w:sz w:val="21"/>
          <w:szCs w:val="21"/>
        </w:rPr>
      </w:pPr>
      <w:r>
        <w:rPr>
          <w:rFonts w:hint="eastAsia" w:cs="Arial"/>
          <w:color w:val="000000"/>
          <w:sz w:val="21"/>
          <w:szCs w:val="21"/>
        </w:rPr>
        <w:t xml:space="preserve"> 根据建设单位提供的55份已签署合同原件（设计类、前期类、财务类和综管类）</w:t>
      </w:r>
      <w:r>
        <w:rPr>
          <w:rFonts w:hint="eastAsia" w:cs="Arial"/>
          <w:color w:val="000000"/>
          <w:sz w:val="21"/>
          <w:szCs w:val="21"/>
          <w:lang w:eastAsia="zh-CN"/>
        </w:rPr>
        <w:t>、</w:t>
      </w:r>
      <w:r>
        <w:rPr>
          <w:rFonts w:hint="eastAsia" w:cs="Arial"/>
          <w:color w:val="000000"/>
          <w:sz w:val="21"/>
          <w:szCs w:val="21"/>
        </w:rPr>
        <w:t>应相关流程文件</w:t>
      </w:r>
      <w:r>
        <w:rPr>
          <w:rFonts w:hint="eastAsia" w:cs="Arial"/>
          <w:color w:val="000000"/>
          <w:sz w:val="21"/>
          <w:szCs w:val="21"/>
          <w:lang w:val="en-US" w:eastAsia="zh-CN"/>
        </w:rPr>
        <w:t>以及</w:t>
      </w:r>
      <w:r>
        <w:rPr>
          <w:rFonts w:hint="eastAsia" w:cs="Arial"/>
          <w:color w:val="000000"/>
          <w:sz w:val="21"/>
          <w:szCs w:val="21"/>
        </w:rPr>
        <w:t>财务信息</w:t>
      </w:r>
      <w:r>
        <w:rPr>
          <w:rFonts w:hint="eastAsia" w:cs="Arial"/>
          <w:color w:val="000000"/>
          <w:sz w:val="21"/>
          <w:szCs w:val="21"/>
          <w:lang w:val="en-US" w:eastAsia="zh-CN"/>
        </w:rPr>
        <w:t>等资料</w:t>
      </w:r>
      <w:r>
        <w:rPr>
          <w:rFonts w:hint="eastAsia" w:cs="Arial"/>
          <w:color w:val="000000"/>
          <w:sz w:val="21"/>
          <w:szCs w:val="21"/>
          <w:lang w:eastAsia="zh-CN"/>
        </w:rPr>
        <w:t>，</w:t>
      </w:r>
      <w:r>
        <w:rPr>
          <w:rFonts w:hint="eastAsia" w:cs="Arial"/>
          <w:color w:val="000000"/>
          <w:sz w:val="21"/>
          <w:szCs w:val="21"/>
          <w:lang w:val="en-US" w:eastAsia="zh-CN"/>
        </w:rPr>
        <w:t>结合</w:t>
      </w:r>
      <w:r>
        <w:rPr>
          <w:rFonts w:hint="eastAsia" w:cs="Arial"/>
          <w:color w:val="000000"/>
          <w:sz w:val="21"/>
          <w:szCs w:val="21"/>
        </w:rPr>
        <w:t>现场走访了解获得的信息，我司对</w:t>
      </w:r>
      <w:r>
        <w:rPr>
          <w:rFonts w:hint="eastAsia" w:cs="Arial"/>
          <w:color w:val="000000"/>
          <w:sz w:val="21"/>
          <w:szCs w:val="21"/>
          <w:lang w:val="en-US" w:eastAsia="zh-CN"/>
        </w:rPr>
        <w:t>合同内容的完整性、合理性以及相关信息进行</w:t>
      </w:r>
      <w:r>
        <w:rPr>
          <w:rFonts w:hint="eastAsia" w:cs="Arial"/>
          <w:color w:val="000000"/>
          <w:sz w:val="21"/>
          <w:szCs w:val="21"/>
        </w:rPr>
        <w:t>逐一梳理核查，并根据以往项目经验及市场信息得出以下核查结果。（详见下表）</w:t>
      </w:r>
    </w:p>
    <w:tbl>
      <w:tblPr>
        <w:tblStyle w:val="10"/>
        <w:tblW w:w="8945" w:type="dxa"/>
        <w:tblInd w:w="0" w:type="dxa"/>
        <w:tblLayout w:type="fixed"/>
        <w:tblCellMar>
          <w:top w:w="0" w:type="dxa"/>
          <w:left w:w="108" w:type="dxa"/>
          <w:bottom w:w="0" w:type="dxa"/>
          <w:right w:w="108" w:type="dxa"/>
        </w:tblCellMar>
      </w:tblPr>
      <w:tblGrid>
        <w:gridCol w:w="815"/>
        <w:gridCol w:w="3490"/>
        <w:gridCol w:w="1110"/>
        <w:gridCol w:w="3530"/>
      </w:tblGrid>
      <w:tr>
        <w:tblPrEx>
          <w:tblCellMar>
            <w:top w:w="0" w:type="dxa"/>
            <w:left w:w="108" w:type="dxa"/>
            <w:bottom w:w="0" w:type="dxa"/>
            <w:right w:w="108" w:type="dxa"/>
          </w:tblCellMar>
        </w:tblPrEx>
        <w:trPr>
          <w:trHeight w:val="369" w:hRule="atLeast"/>
          <w:tblHeader/>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b/>
                <w:bCs/>
                <w:color w:val="000000"/>
                <w:sz w:val="22"/>
                <w:szCs w:val="22"/>
              </w:rPr>
            </w:pPr>
            <w:r>
              <w:rPr>
                <w:rFonts w:hint="eastAsia" w:ascii="微软雅黑" w:hAnsi="微软雅黑" w:eastAsia="微软雅黑" w:cs="微软雅黑"/>
                <w:b/>
                <w:bCs/>
                <w:color w:val="000000"/>
                <w:sz w:val="22"/>
                <w:szCs w:val="22"/>
                <w:lang w:bidi="ar"/>
              </w:rPr>
              <w:t>序号</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b/>
                <w:bCs/>
                <w:color w:val="000000"/>
                <w:sz w:val="22"/>
                <w:szCs w:val="22"/>
              </w:rPr>
            </w:pPr>
            <w:r>
              <w:rPr>
                <w:rFonts w:hint="eastAsia" w:ascii="微软雅黑" w:hAnsi="微软雅黑" w:eastAsia="微软雅黑" w:cs="微软雅黑"/>
                <w:b/>
                <w:bCs/>
                <w:color w:val="000000"/>
                <w:sz w:val="22"/>
                <w:szCs w:val="22"/>
                <w:lang w:bidi="ar"/>
              </w:rPr>
              <w:t>合同名称</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b/>
                <w:bCs/>
                <w:color w:val="000000"/>
                <w:sz w:val="22"/>
                <w:szCs w:val="22"/>
              </w:rPr>
            </w:pPr>
            <w:r>
              <w:rPr>
                <w:rFonts w:hint="eastAsia" w:ascii="微软雅黑" w:hAnsi="微软雅黑" w:eastAsia="微软雅黑" w:cs="微软雅黑"/>
                <w:b/>
                <w:bCs/>
                <w:color w:val="000000"/>
                <w:sz w:val="22"/>
                <w:szCs w:val="22"/>
                <w:lang w:bidi="ar"/>
              </w:rPr>
              <w:t>合同类型</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b/>
                <w:bCs/>
                <w:color w:val="000000"/>
                <w:sz w:val="22"/>
                <w:szCs w:val="22"/>
              </w:rPr>
            </w:pPr>
            <w:r>
              <w:rPr>
                <w:rFonts w:hint="eastAsia" w:ascii="微软雅黑" w:hAnsi="微软雅黑" w:eastAsia="微软雅黑" w:cs="微软雅黑"/>
                <w:b/>
                <w:bCs/>
                <w:color w:val="000000"/>
                <w:sz w:val="22"/>
                <w:szCs w:val="22"/>
                <w:lang w:bidi="ar"/>
              </w:rPr>
              <w:t>合同内容核查</w:t>
            </w:r>
          </w:p>
        </w:tc>
      </w:tr>
      <w:tr>
        <w:tblPrEx>
          <w:tblCellMar>
            <w:top w:w="0" w:type="dxa"/>
            <w:left w:w="108" w:type="dxa"/>
            <w:bottom w:w="0" w:type="dxa"/>
            <w:right w:w="108" w:type="dxa"/>
          </w:tblCellMar>
        </w:tblPrEx>
        <w:trPr>
          <w:trHeight w:val="301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1</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邢台市南石门镇七里河项目概念规划设计合同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设计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微软雅黑" w:hAnsi="微软雅黑" w:eastAsia="微软雅黑" w:cs="微软雅黑"/>
                <w:color w:val="000000"/>
                <w:sz w:val="20"/>
                <w:szCs w:val="20"/>
                <w:lang w:val="en-US" w:eastAsia="zh-CN"/>
              </w:rPr>
            </w:pPr>
            <w:r>
              <w:rPr>
                <w:rFonts w:hint="eastAsia" w:ascii="微软雅黑" w:hAnsi="微软雅黑" w:eastAsia="微软雅黑" w:cs="微软雅黑"/>
                <w:color w:val="000000"/>
                <w:sz w:val="20"/>
                <w:szCs w:val="20"/>
                <w:lang w:bidi="ar"/>
              </w:rPr>
              <w:t>1、政府签订的土地出让合同中面积5.3101公顷，建筑面积69031.30平方米。本合同内容中规划用地面积15.0704公顷，建筑面积241126平方米，面积差异较大。本合同规划的面积含二期规划面积，目前该地块尚未取得；</w:t>
            </w:r>
            <w:r>
              <w:rPr>
                <w:rFonts w:hint="eastAsia" w:ascii="微软雅黑" w:hAnsi="微软雅黑" w:eastAsia="微软雅黑" w:cs="微软雅黑"/>
                <w:color w:val="000000"/>
                <w:sz w:val="20"/>
                <w:szCs w:val="20"/>
                <w:lang w:bidi="ar"/>
              </w:rPr>
              <w:br w:type="textWrapping"/>
            </w:r>
            <w:r>
              <w:rPr>
                <w:rFonts w:hint="eastAsia" w:ascii="微软雅黑" w:hAnsi="微软雅黑" w:eastAsia="微软雅黑" w:cs="微软雅黑"/>
                <w:color w:val="000000"/>
                <w:sz w:val="20"/>
                <w:szCs w:val="20"/>
                <w:lang w:bidi="ar"/>
              </w:rPr>
              <w:t>2、按一般行业惯例应按照分阶段并经</w:t>
            </w:r>
            <w:r>
              <w:rPr>
                <w:rFonts w:hint="eastAsia" w:ascii="微软雅黑" w:hAnsi="微软雅黑" w:eastAsia="微软雅黑" w:cs="微软雅黑"/>
                <w:color w:val="000000"/>
                <w:sz w:val="20"/>
                <w:szCs w:val="20"/>
                <w:lang w:val="en-US" w:eastAsia="zh-CN" w:bidi="ar"/>
              </w:rPr>
              <w:t>委托</w:t>
            </w:r>
            <w:r>
              <w:rPr>
                <w:rFonts w:hint="eastAsia" w:ascii="微软雅黑" w:hAnsi="微软雅黑" w:eastAsia="微软雅黑" w:cs="微软雅黑"/>
                <w:color w:val="000000"/>
                <w:sz w:val="20"/>
                <w:szCs w:val="20"/>
                <w:lang w:bidi="ar"/>
              </w:rPr>
              <w:t>方验收认可后方可支付，但本合同约定支付并未按照一般惯例执行；</w:t>
            </w:r>
            <w:r>
              <w:rPr>
                <w:rFonts w:hint="eastAsia" w:ascii="微软雅黑" w:hAnsi="微软雅黑" w:eastAsia="微软雅黑" w:cs="微软雅黑"/>
                <w:color w:val="000000"/>
                <w:sz w:val="20"/>
                <w:szCs w:val="20"/>
                <w:lang w:bidi="ar"/>
              </w:rPr>
              <w:br w:type="textWrapping"/>
            </w:r>
            <w:r>
              <w:rPr>
                <w:rFonts w:hint="eastAsia" w:ascii="微软雅黑" w:hAnsi="微软雅黑" w:eastAsia="微软雅黑" w:cs="微软雅黑"/>
                <w:color w:val="000000"/>
                <w:sz w:val="20"/>
                <w:szCs w:val="20"/>
                <w:lang w:bidi="ar"/>
              </w:rPr>
              <w:t>3、本合同与2021年7月23日签订的《建筑工程设计合同》服务内容部分重叠</w:t>
            </w:r>
            <w:r>
              <w:rPr>
                <w:rFonts w:hint="eastAsia" w:ascii="微软雅黑" w:hAnsi="微软雅黑" w:eastAsia="微软雅黑" w:cs="微软雅黑"/>
                <w:color w:val="000000"/>
                <w:sz w:val="20"/>
                <w:szCs w:val="20"/>
                <w:lang w:val="en-US" w:eastAsia="zh-CN" w:bidi="ar"/>
              </w:rPr>
              <w:t>,合同约定服务内容不清晰</w:t>
            </w:r>
            <w:r>
              <w:rPr>
                <w:rFonts w:hint="eastAsia" w:ascii="微软雅黑" w:hAnsi="微软雅黑" w:eastAsia="微软雅黑" w:cs="微软雅黑"/>
                <w:color w:val="000000"/>
                <w:sz w:val="20"/>
                <w:szCs w:val="20"/>
                <w:lang w:bidi="ar"/>
              </w:rPr>
              <w:t>。</w:t>
            </w:r>
          </w:p>
        </w:tc>
      </w:tr>
      <w:tr>
        <w:tblPrEx>
          <w:tblCellMar>
            <w:top w:w="0" w:type="dxa"/>
            <w:left w:w="108" w:type="dxa"/>
            <w:bottom w:w="0" w:type="dxa"/>
            <w:right w:w="108" w:type="dxa"/>
          </w:tblCellMar>
        </w:tblPrEx>
        <w:trPr>
          <w:trHeight w:val="136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2</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建筑工程设计合同（适用于方案至建筑单专业扩初设计)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设计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1、该合同中关于7.1.(2)条款单价远高于行规，且多出“二期规划费用“；</w:t>
            </w:r>
            <w:r>
              <w:rPr>
                <w:rFonts w:hint="eastAsia" w:ascii="微软雅黑" w:hAnsi="微软雅黑" w:eastAsia="微软雅黑" w:cs="微软雅黑"/>
                <w:color w:val="000000"/>
                <w:sz w:val="20"/>
                <w:szCs w:val="20"/>
                <w:lang w:bidi="ar"/>
              </w:rPr>
              <w:br w:type="textWrapping"/>
            </w:r>
            <w:r>
              <w:rPr>
                <w:rFonts w:hint="eastAsia" w:ascii="微软雅黑" w:hAnsi="微软雅黑" w:eastAsia="微软雅黑" w:cs="微软雅黑"/>
                <w:color w:val="000000"/>
                <w:sz w:val="20"/>
                <w:szCs w:val="20"/>
                <w:lang w:bidi="ar"/>
              </w:rPr>
              <w:t>2、本合同与2021年4月1日签订的《概念规划设计合同》服务内容部分重叠</w:t>
            </w:r>
            <w:r>
              <w:rPr>
                <w:rFonts w:hint="eastAsia" w:ascii="微软雅黑" w:hAnsi="微软雅黑" w:eastAsia="微软雅黑" w:cs="微软雅黑"/>
                <w:color w:val="000000"/>
                <w:sz w:val="20"/>
                <w:szCs w:val="20"/>
                <w:lang w:val="en-US" w:eastAsia="zh-CN" w:bidi="ar"/>
              </w:rPr>
              <w:t>,合同约定服务内容不清晰</w:t>
            </w:r>
            <w:r>
              <w:rPr>
                <w:rFonts w:hint="eastAsia" w:ascii="微软雅黑" w:hAnsi="微软雅黑" w:eastAsia="微软雅黑" w:cs="微软雅黑"/>
                <w:color w:val="000000"/>
                <w:sz w:val="20"/>
                <w:szCs w:val="20"/>
                <w:lang w:bidi="ar"/>
              </w:rPr>
              <w:t>。</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3</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建筑工程设计合同（适用于施工图设计)</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设计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该合同价款低于国家收费标准，有内部比价环节，基本符合市场水平，合同条款与服务内容一致</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4</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景观设计合同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设计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微软雅黑" w:hAnsi="微软雅黑" w:eastAsia="微软雅黑" w:cs="微软雅黑"/>
                <w:color w:val="000000"/>
                <w:sz w:val="20"/>
                <w:szCs w:val="20"/>
                <w:lang w:val="en-US" w:eastAsia="zh-CN"/>
              </w:rPr>
            </w:pPr>
            <w:r>
              <w:rPr>
                <w:rFonts w:hint="eastAsia" w:ascii="微软雅黑" w:hAnsi="微软雅黑" w:eastAsia="微软雅黑" w:cs="微软雅黑"/>
                <w:color w:val="000000"/>
                <w:sz w:val="20"/>
                <w:szCs w:val="20"/>
                <w:lang w:bidi="ar"/>
              </w:rPr>
              <w:t>方案尚未报规，未获审批，园林景观设计尚不具规划设计的条件和基础</w:t>
            </w:r>
            <w:r>
              <w:rPr>
                <w:rFonts w:hint="eastAsia" w:ascii="微软雅黑" w:hAnsi="微软雅黑" w:eastAsia="微软雅黑" w:cs="微软雅黑"/>
                <w:color w:val="000000"/>
                <w:sz w:val="20"/>
                <w:szCs w:val="20"/>
                <w:lang w:val="en-US" w:eastAsia="zh-CN" w:bidi="ar"/>
              </w:rPr>
              <w:t>,且该设计合同签约单位无设计资质.</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5</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建筑工程设计合同(民用建设工程设计合同)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设计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该合同价款符合市场水平，合同条款与服务内容一致，该合同核查无异议。</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6</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室内硬装设计合同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设计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该合同价款符合市场水平，合同条款与服务内容一致，该合同核查无异议。</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7</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室内硬装设计合同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设计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该合同价款符合市场水平，合同条款与服务内容一致，该合同核查无异议。</w:t>
            </w:r>
            <w:r>
              <w:rPr>
                <w:rFonts w:hint="eastAsia" w:ascii="微软雅黑" w:hAnsi="微软雅黑" w:eastAsia="微软雅黑" w:cs="微软雅黑"/>
                <w:color w:val="000000"/>
                <w:sz w:val="20"/>
                <w:szCs w:val="20"/>
                <w:lang w:val="en-US" w:eastAsia="zh-CN" w:bidi="ar"/>
              </w:rPr>
              <w:t>但该设计合同签约单位无设计资质</w:t>
            </w:r>
            <w:r>
              <w:rPr>
                <w:rFonts w:hint="eastAsia" w:ascii="微软雅黑" w:hAnsi="微软雅黑" w:eastAsia="微软雅黑" w:cs="微软雅黑"/>
                <w:color w:val="000000"/>
                <w:sz w:val="20"/>
                <w:szCs w:val="20"/>
                <w:lang w:bidi="ar"/>
              </w:rPr>
              <w:t>。</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8</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百泉大道以北、七里河西侧地块项目交通影响评价报告编制合同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设计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该合同价款符合市场水平，合同条款与服务内容一致，该合同核查无异议。</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9</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凤屏山项目测绘放点协议</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前期</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该合同价款符合市场水平，合同条款与服务内容一致，该合同核查无异议。</w:t>
            </w:r>
          </w:p>
        </w:tc>
      </w:tr>
      <w:tr>
        <w:tblPrEx>
          <w:tblCellMar>
            <w:top w:w="0" w:type="dxa"/>
            <w:left w:w="108" w:type="dxa"/>
            <w:bottom w:w="0" w:type="dxa"/>
            <w:right w:w="108" w:type="dxa"/>
          </w:tblCellMar>
        </w:tblPrEx>
        <w:trPr>
          <w:trHeight w:val="103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10</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建设工程勘察合同</w:t>
            </w:r>
            <w:r>
              <w:rPr>
                <w:rFonts w:hint="eastAsia" w:ascii="微软雅黑" w:hAnsi="微软雅黑" w:eastAsia="微软雅黑" w:cs="微软雅黑"/>
                <w:color w:val="000000"/>
                <w:sz w:val="20"/>
                <w:szCs w:val="20"/>
                <w:lang w:bidi="ar"/>
              </w:rPr>
              <w:br w:type="textWrapping"/>
            </w:r>
            <w:r>
              <w:rPr>
                <w:rFonts w:hint="eastAsia" w:ascii="微软雅黑" w:hAnsi="微软雅黑" w:eastAsia="微软雅黑" w:cs="微软雅黑"/>
                <w:color w:val="000000"/>
                <w:sz w:val="20"/>
                <w:szCs w:val="20"/>
                <w:lang w:bidi="ar"/>
              </w:rPr>
              <w:t>[岩土工程勘察、水文地质勘察 (含凿井)</w:t>
            </w:r>
            <w:r>
              <w:rPr>
                <w:rFonts w:hint="eastAsia" w:ascii="微软雅黑" w:hAnsi="微软雅黑" w:eastAsia="微软雅黑" w:cs="微软雅黑"/>
                <w:color w:val="000000"/>
                <w:sz w:val="20"/>
                <w:szCs w:val="20"/>
                <w:lang w:bidi="ar"/>
              </w:rPr>
              <w:br w:type="textWrapping"/>
            </w:r>
            <w:r>
              <w:rPr>
                <w:rFonts w:hint="eastAsia" w:ascii="微软雅黑" w:hAnsi="微软雅黑" w:eastAsia="微软雅黑" w:cs="微软雅黑"/>
                <w:color w:val="000000"/>
                <w:sz w:val="20"/>
                <w:szCs w:val="20"/>
                <w:lang w:bidi="ar"/>
              </w:rPr>
              <w:t>工程测量、工程物探]</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前期</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该合同价款符合市场水平，合同条款与服务内容一致，该合同核查无异议。目前尚未支付第二阶段费用，未见项目公司验收文件。</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11</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邢台七里河项目高压线入地工程合同书</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前期</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该合同价款符合市场水平，合同条款与服务内容一致，该合同核查无异议。</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12</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土地收储与出让测绘合同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前期</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该合同价款符合市场水平，合同条款与服务内容一致，该合同核查无异议。</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13</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技术服务合同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前期</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该合同价款符合市场水平，合同条款与服务内容一致，该合同核查无异议。</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14</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凤屏山项目测绘协议</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前期</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该合同价款符合市场水平，合同条款与服务内容一致，该合同核查无异议。</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15</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工业品买卖合同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前期</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该合同价款符合市场水平，该合同核查无异议。</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16</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道路规划协议书</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前期</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该合同价款符合市场水平，合同条款与服务内容一致，该合同核查无异议。</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17</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工地围挡制作安装合同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前期</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eastAsia" w:ascii="微软雅黑" w:hAnsi="微软雅黑" w:eastAsia="微软雅黑" w:cs="微软雅黑"/>
                <w:color w:val="000000"/>
                <w:sz w:val="20"/>
                <w:szCs w:val="20"/>
                <w:lang w:val="en-US" w:eastAsia="zh-CN"/>
              </w:rPr>
            </w:pPr>
            <w:r>
              <w:rPr>
                <w:rFonts w:hint="eastAsia" w:ascii="微软雅黑" w:hAnsi="微软雅黑" w:eastAsia="微软雅黑" w:cs="微软雅黑"/>
                <w:color w:val="000000"/>
                <w:sz w:val="20"/>
                <w:szCs w:val="20"/>
                <w:lang w:bidi="ar"/>
              </w:rPr>
              <w:t>该合同价款符合市场水平，合同条款与服务内容一致，该合同核查无异议。节点费用支付超期。</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18</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邢台华昱七里河住宅用地项目评价报告编制技术服务合同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前期</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经核实，缺少比价环节。</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19</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邢台七里河项目不动产测绘合同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前期</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该合同价款符合市场水平，合同条款与服务内容一致，该合同核查无异议。</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20</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国有建设用地使用权出让合同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前期</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经核实审查该合同价款符合市场水平，合同条款与服务内容一致，该合同核查无异议。</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21</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商铺租赁合同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该合同价款符合市场水平，合同条款与服务内容一致，该合同核查无异议。</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22</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住宅租赁合同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该合同价款符合市场水平，合同条款与服务内容一致，该合同核查无异议</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23</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商铺租赁合同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该合同价款符合市场水平，合同条款与服务内容一致，该合同核查无异议。</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24</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住宅租赁合同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该合同价款符合市场水平，合同条款与服务内容一致，该合同核查无异议。</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25</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住宅租赁合同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该合同价款符合市场水平，合同条款与服务内容一致，该合同核查无异议。</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26</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邢台临时办公区装修工程合同书</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该合同价款符合市场水平，合同条款与服务内容一致，该合同核查无异议。</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27</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邢台七里河项目办公设备采购合同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该合同价款符合市场水平，合同条款与服务内容一致，该合同核查无异议。</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28</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家具购销合同及补充协议</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该合同价款符合市场水平，合同条款与服务内容一致，该合同核查无异议。</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29</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绿植花卉购销合同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该合同价款符合市场水平，合同条款与服务内容一致，该合同核查无异议。</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30</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互联网专线业务介入合同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该合同价款符合市场水平，合同条款与服务内容一致，该合同核查无异议。</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31</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工矿产品供销合同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该合同价款符合市场水平，合同条款与服务内容一致，该合同核查无异议。</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32</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签单协议</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该合同价款符合市场水平，合同条款与服务内容一致，该合同核查无异议。</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33</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租赁合同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首次付款时间为2021年5月28日，金额为33,600.00元。滞后签约时间13个月。</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34</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机动车商业保险/机动车交通事故责任强制保险投保单</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该合同价款符合市场水平，合同条款与服务内容一致，该合同核查无异议。</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35</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新车销售合同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该合同价款符合市场水平，合同条款与服务内容一致，该合同核查无异议。</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36</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房地产项目开发委托管理合同书</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经核实，由于项目停滞，该合同后续签署了补充协议，根据补充协议该合同已终止，</w:t>
            </w:r>
            <w:r>
              <w:rPr>
                <w:rFonts w:hint="eastAsia" w:ascii="微软雅黑" w:hAnsi="微软雅黑" w:eastAsia="微软雅黑" w:cs="微软雅黑"/>
                <w:color w:val="000000"/>
                <w:sz w:val="20"/>
                <w:szCs w:val="20"/>
                <w:lang w:val="en-US" w:eastAsia="zh-CN" w:bidi="ar"/>
              </w:rPr>
              <w:t>代建方</w:t>
            </w:r>
            <w:r>
              <w:rPr>
                <w:rFonts w:hint="eastAsia" w:ascii="微软雅黑" w:hAnsi="微软雅黑" w:eastAsia="微软雅黑" w:cs="微软雅黑"/>
                <w:color w:val="000000"/>
                <w:sz w:val="20"/>
                <w:szCs w:val="20"/>
                <w:lang w:bidi="ar"/>
              </w:rPr>
              <w:t>已向项目公司发函。</w:t>
            </w:r>
          </w:p>
        </w:tc>
      </w:tr>
      <w:tr>
        <w:tblPrEx>
          <w:tblCellMar>
            <w:top w:w="0" w:type="dxa"/>
            <w:left w:w="108" w:type="dxa"/>
            <w:bottom w:w="0" w:type="dxa"/>
            <w:right w:w="108" w:type="dxa"/>
          </w:tblCellMar>
        </w:tblPrEx>
        <w:trPr>
          <w:trHeight w:val="37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37</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房地产项目开发委托管理合同书-补充协议</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经核实，因项目停滞双方签署了该补充协议。</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38</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邢台七里河项目文化板制作安装合同及补充协议</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该合同价款符合市场水平，合同条款与服务内容一致，该合同核查无异议。</w:t>
            </w:r>
          </w:p>
        </w:tc>
      </w:tr>
      <w:tr>
        <w:tblPrEx>
          <w:tblCellMar>
            <w:top w:w="0" w:type="dxa"/>
            <w:left w:w="108" w:type="dxa"/>
            <w:bottom w:w="0" w:type="dxa"/>
            <w:right w:w="108" w:type="dxa"/>
          </w:tblCellMar>
        </w:tblPrEx>
        <w:trPr>
          <w:trHeight w:val="70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39</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房屋渗水维修工程施工合同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rPr>
              <w:t>该合同价款符合市场水平，合同条款与服务内容一致，该合同核查无异议。</w:t>
            </w:r>
          </w:p>
        </w:tc>
      </w:tr>
      <w:tr>
        <w:tblPrEx>
          <w:tblCellMar>
            <w:top w:w="0" w:type="dxa"/>
            <w:left w:w="108" w:type="dxa"/>
            <w:bottom w:w="0" w:type="dxa"/>
            <w:right w:w="108" w:type="dxa"/>
          </w:tblCellMar>
        </w:tblPrEx>
        <w:trPr>
          <w:trHeight w:val="37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40</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业务外包合同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该合同核查无异议。</w:t>
            </w:r>
          </w:p>
        </w:tc>
      </w:tr>
      <w:tr>
        <w:tblPrEx>
          <w:tblCellMar>
            <w:top w:w="0" w:type="dxa"/>
            <w:left w:w="108" w:type="dxa"/>
            <w:bottom w:w="0" w:type="dxa"/>
            <w:right w:w="108" w:type="dxa"/>
          </w:tblCellMar>
        </w:tblPrEx>
        <w:trPr>
          <w:trHeight w:val="37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41</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人事外包服务合同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合同条款与服务内容一致，该合同核查无异议。</w:t>
            </w:r>
          </w:p>
        </w:tc>
      </w:tr>
      <w:tr>
        <w:tblPrEx>
          <w:tblCellMar>
            <w:top w:w="0" w:type="dxa"/>
            <w:left w:w="108" w:type="dxa"/>
            <w:bottom w:w="0" w:type="dxa"/>
            <w:right w:w="108" w:type="dxa"/>
          </w:tblCellMar>
        </w:tblPrEx>
        <w:trPr>
          <w:trHeight w:val="37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42</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劳务派遣合同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合同条款与服务内容一致，该合同核查无异议。</w:t>
            </w:r>
          </w:p>
        </w:tc>
      </w:tr>
      <w:tr>
        <w:tblPrEx>
          <w:tblCellMar>
            <w:top w:w="0" w:type="dxa"/>
            <w:left w:w="108" w:type="dxa"/>
            <w:bottom w:w="0" w:type="dxa"/>
            <w:right w:w="108" w:type="dxa"/>
          </w:tblCellMar>
        </w:tblPrEx>
        <w:trPr>
          <w:trHeight w:val="37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43</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债权债务确认及清偿协议</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合同条款与服务内容一致，该合同核查无异议。</w:t>
            </w:r>
          </w:p>
        </w:tc>
      </w:tr>
      <w:tr>
        <w:tblPrEx>
          <w:tblCellMar>
            <w:top w:w="0" w:type="dxa"/>
            <w:left w:w="108" w:type="dxa"/>
            <w:bottom w:w="0" w:type="dxa"/>
            <w:right w:w="108" w:type="dxa"/>
          </w:tblCellMar>
        </w:tblPrEx>
        <w:trPr>
          <w:trHeight w:val="37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44</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业务外包合同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合同条款与服务内容一致，该合同核查无异议。</w:t>
            </w:r>
          </w:p>
        </w:tc>
      </w:tr>
      <w:tr>
        <w:tblPrEx>
          <w:tblCellMar>
            <w:top w:w="0" w:type="dxa"/>
            <w:left w:w="108" w:type="dxa"/>
            <w:bottom w:w="0" w:type="dxa"/>
            <w:right w:w="108" w:type="dxa"/>
          </w:tblCellMar>
        </w:tblPrEx>
        <w:trPr>
          <w:trHeight w:val="37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45</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解除派遣劳务关系协议书</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该合同核查无异议。</w:t>
            </w:r>
          </w:p>
        </w:tc>
      </w:tr>
      <w:tr>
        <w:tblPrEx>
          <w:tblCellMar>
            <w:top w:w="0" w:type="dxa"/>
            <w:left w:w="108" w:type="dxa"/>
            <w:bottom w:w="0" w:type="dxa"/>
            <w:right w:w="108" w:type="dxa"/>
          </w:tblCellMar>
        </w:tblPrEx>
        <w:trPr>
          <w:trHeight w:val="37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46</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合同终止协议</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该合同核查无异议。</w:t>
            </w:r>
          </w:p>
        </w:tc>
      </w:tr>
      <w:tr>
        <w:tblPrEx>
          <w:tblCellMar>
            <w:top w:w="0" w:type="dxa"/>
            <w:left w:w="108" w:type="dxa"/>
            <w:bottom w:w="0" w:type="dxa"/>
            <w:right w:w="108" w:type="dxa"/>
          </w:tblCellMar>
        </w:tblPrEx>
        <w:trPr>
          <w:trHeight w:val="37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47</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委托代理协议</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合同条款与服务内容一致，该合同核查无异议。节点费用支付超期。</w:t>
            </w:r>
          </w:p>
        </w:tc>
      </w:tr>
      <w:tr>
        <w:tblPrEx>
          <w:tblCellMar>
            <w:top w:w="0" w:type="dxa"/>
            <w:left w:w="108" w:type="dxa"/>
            <w:bottom w:w="0" w:type="dxa"/>
            <w:right w:w="108" w:type="dxa"/>
          </w:tblCellMar>
        </w:tblPrEx>
        <w:trPr>
          <w:trHeight w:val="37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48</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业务外包补充协议备忘录</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合同条款与服务内容一致，该合同核查无异议。</w:t>
            </w:r>
          </w:p>
        </w:tc>
      </w:tr>
      <w:tr>
        <w:tblPrEx>
          <w:tblCellMar>
            <w:top w:w="0" w:type="dxa"/>
            <w:left w:w="108" w:type="dxa"/>
            <w:bottom w:w="0" w:type="dxa"/>
            <w:right w:w="108" w:type="dxa"/>
          </w:tblCellMar>
        </w:tblPrEx>
        <w:trPr>
          <w:trHeight w:val="37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49</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销售合同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无收货单据，因项目办公地已退租，无法核实。</w:t>
            </w:r>
          </w:p>
        </w:tc>
      </w:tr>
      <w:tr>
        <w:tblPrEx>
          <w:tblCellMar>
            <w:top w:w="0" w:type="dxa"/>
            <w:left w:w="108" w:type="dxa"/>
            <w:bottom w:w="0" w:type="dxa"/>
            <w:right w:w="108" w:type="dxa"/>
          </w:tblCellMar>
        </w:tblPrEx>
        <w:trPr>
          <w:trHeight w:val="37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50</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赔偿协议</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综管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合同内容无法现场核实。</w:t>
            </w:r>
          </w:p>
        </w:tc>
      </w:tr>
      <w:tr>
        <w:tblPrEx>
          <w:tblCellMar>
            <w:top w:w="0" w:type="dxa"/>
            <w:left w:w="108" w:type="dxa"/>
            <w:bottom w:w="0" w:type="dxa"/>
            <w:right w:w="108" w:type="dxa"/>
          </w:tblCellMar>
        </w:tblPrEx>
        <w:trPr>
          <w:trHeight w:val="37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51</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股东借款合同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财务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该合同核查无异议。</w:t>
            </w:r>
          </w:p>
        </w:tc>
      </w:tr>
      <w:tr>
        <w:tblPrEx>
          <w:tblCellMar>
            <w:top w:w="0" w:type="dxa"/>
            <w:left w:w="108" w:type="dxa"/>
            <w:bottom w:w="0" w:type="dxa"/>
            <w:right w:w="108" w:type="dxa"/>
          </w:tblCellMar>
        </w:tblPrEx>
        <w:trPr>
          <w:trHeight w:val="37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52</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股东借款合同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财务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该合同核查无异议。</w:t>
            </w:r>
          </w:p>
        </w:tc>
      </w:tr>
      <w:tr>
        <w:tblPrEx>
          <w:tblCellMar>
            <w:top w:w="0" w:type="dxa"/>
            <w:left w:w="108" w:type="dxa"/>
            <w:bottom w:w="0" w:type="dxa"/>
            <w:right w:w="108" w:type="dxa"/>
          </w:tblCellMar>
        </w:tblPrEx>
        <w:trPr>
          <w:trHeight w:val="37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53</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借款合同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财务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该合同核查无异议。</w:t>
            </w:r>
          </w:p>
        </w:tc>
      </w:tr>
      <w:tr>
        <w:tblPrEx>
          <w:tblCellMar>
            <w:top w:w="0" w:type="dxa"/>
            <w:left w:w="108" w:type="dxa"/>
            <w:bottom w:w="0" w:type="dxa"/>
            <w:right w:w="108" w:type="dxa"/>
          </w:tblCellMar>
        </w:tblPrEx>
        <w:trPr>
          <w:trHeight w:val="37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54</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股东借款合同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财务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该合同核查无异议。</w:t>
            </w:r>
          </w:p>
        </w:tc>
      </w:tr>
      <w:tr>
        <w:tblPrEx>
          <w:tblCellMar>
            <w:top w:w="0" w:type="dxa"/>
            <w:left w:w="108" w:type="dxa"/>
            <w:bottom w:w="0" w:type="dxa"/>
            <w:right w:w="108" w:type="dxa"/>
          </w:tblCellMar>
        </w:tblPrEx>
        <w:trPr>
          <w:trHeight w:val="370" w:hRule="atLeast"/>
        </w:trPr>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55</w:t>
            </w:r>
          </w:p>
        </w:tc>
        <w:tc>
          <w:tcPr>
            <w:tcW w:w="3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股东借款合同</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财务</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lang w:bidi="ar"/>
              </w:rPr>
              <w:t>该合同核查无异议。</w:t>
            </w:r>
          </w:p>
        </w:tc>
      </w:tr>
    </w:tbl>
    <w:p/>
    <w:bookmarkEnd w:id="153"/>
    <w:bookmarkEnd w:id="154"/>
    <w:bookmarkEnd w:id="155"/>
    <w:bookmarkEnd w:id="156"/>
    <w:bookmarkEnd w:id="157"/>
    <w:bookmarkEnd w:id="158"/>
    <w:p>
      <w:pPr>
        <w:rPr>
          <w:rFonts w:ascii="Arial" w:hAnsi="Arial" w:eastAsia="方正黑体简体" w:cs="Arial"/>
          <w:b w:val="0"/>
          <w:bCs/>
          <w:sz w:val="32"/>
          <w:szCs w:val="32"/>
        </w:rPr>
      </w:pPr>
      <w:bookmarkStart w:id="167" w:name="_Toc76889708"/>
      <w:bookmarkStart w:id="168" w:name="_Toc13679"/>
      <w:bookmarkStart w:id="169" w:name="_Toc1896"/>
      <w:r>
        <w:rPr>
          <w:rFonts w:ascii="Arial" w:hAnsi="Arial" w:eastAsia="方正黑体简体" w:cs="Arial"/>
          <w:b w:val="0"/>
          <w:bCs/>
          <w:sz w:val="32"/>
          <w:szCs w:val="32"/>
        </w:rPr>
        <w:br w:type="page"/>
      </w:r>
    </w:p>
    <w:p>
      <w:pPr>
        <w:pStyle w:val="2"/>
        <w:spacing w:before="240"/>
        <w:rPr>
          <w:rFonts w:ascii="Arial" w:hAnsi="Arial" w:eastAsia="方正黑体简体" w:cs="Arial"/>
          <w:b w:val="0"/>
          <w:bCs/>
          <w:sz w:val="32"/>
          <w:szCs w:val="32"/>
        </w:rPr>
      </w:pPr>
      <w:bookmarkStart w:id="170" w:name="_Toc22402"/>
      <w:r>
        <w:rPr>
          <w:rFonts w:ascii="Arial" w:hAnsi="Arial" w:eastAsia="方正黑体简体" w:cs="Arial"/>
          <w:b w:val="0"/>
          <w:bCs/>
          <w:sz w:val="32"/>
          <w:szCs w:val="32"/>
        </w:rPr>
        <w:t xml:space="preserve">第五章  </w:t>
      </w:r>
      <w:bookmarkEnd w:id="167"/>
      <w:r>
        <w:rPr>
          <w:rFonts w:hint="eastAsia" w:ascii="Arial" w:hAnsi="Arial" w:eastAsia="方正黑体简体" w:cs="Arial"/>
          <w:b w:val="0"/>
          <w:bCs/>
          <w:sz w:val="32"/>
          <w:szCs w:val="32"/>
        </w:rPr>
        <w:t>合同审查</w:t>
      </w:r>
      <w:bookmarkEnd w:id="168"/>
      <w:bookmarkEnd w:id="169"/>
      <w:r>
        <w:rPr>
          <w:rFonts w:hint="eastAsia" w:ascii="Arial" w:hAnsi="Arial" w:eastAsia="方正黑体简体" w:cs="Arial"/>
          <w:b w:val="0"/>
          <w:bCs/>
          <w:sz w:val="32"/>
          <w:szCs w:val="32"/>
        </w:rPr>
        <w:t>意见汇总</w:t>
      </w:r>
      <w:bookmarkEnd w:id="170"/>
    </w:p>
    <w:p>
      <w:pPr>
        <w:pStyle w:val="3"/>
        <w:spacing w:before="0" w:after="0" w:line="480" w:lineRule="auto"/>
        <w:rPr>
          <w:rFonts w:hint="eastAsia" w:ascii="宋体" w:hAnsi="宋体" w:eastAsia="宋体" w:cs="Arial"/>
          <w:b/>
          <w:bCs/>
          <w:color w:val="000000"/>
          <w:sz w:val="21"/>
          <w:szCs w:val="21"/>
          <w:lang w:val="en-US" w:eastAsia="zh-CN" w:bidi="ar-SA"/>
        </w:rPr>
      </w:pPr>
      <w:bookmarkStart w:id="171" w:name="_Toc19641"/>
      <w:bookmarkStart w:id="172" w:name="_Toc109118462"/>
      <w:bookmarkStart w:id="173" w:name="_Toc12072691"/>
      <w:bookmarkStart w:id="174" w:name="_Toc118531928"/>
      <w:bookmarkStart w:id="175" w:name="_Toc109012113"/>
      <w:bookmarkStart w:id="176" w:name="_Toc532810737"/>
      <w:bookmarkStart w:id="177" w:name="_Toc522074588"/>
      <w:bookmarkStart w:id="178" w:name="_Toc146106158"/>
      <w:bookmarkStart w:id="179" w:name="_Toc7733"/>
      <w:r>
        <w:rPr>
          <w:rFonts w:hint="eastAsia" w:ascii="宋体" w:hAnsi="宋体" w:eastAsia="宋体" w:cs="Arial"/>
          <w:b/>
          <w:bCs/>
          <w:color w:val="000000"/>
          <w:sz w:val="21"/>
          <w:szCs w:val="21"/>
          <w:lang w:val="en-US" w:eastAsia="zh-CN" w:bidi="ar-SA"/>
        </w:rPr>
        <w:t>一、</w:t>
      </w:r>
      <w:bookmarkEnd w:id="171"/>
      <w:bookmarkEnd w:id="172"/>
      <w:bookmarkEnd w:id="173"/>
      <w:bookmarkEnd w:id="174"/>
      <w:bookmarkEnd w:id="175"/>
      <w:bookmarkEnd w:id="176"/>
      <w:bookmarkEnd w:id="177"/>
      <w:bookmarkEnd w:id="178"/>
      <w:r>
        <w:rPr>
          <w:rFonts w:hint="eastAsia" w:ascii="宋体" w:hAnsi="宋体" w:eastAsia="宋体" w:cs="Arial"/>
          <w:b/>
          <w:bCs/>
          <w:color w:val="000000"/>
          <w:sz w:val="21"/>
          <w:szCs w:val="21"/>
          <w:lang w:val="en-US" w:eastAsia="zh-CN" w:bidi="ar-SA"/>
        </w:rPr>
        <w:t>设计类合同意见</w:t>
      </w:r>
      <w:bookmarkEnd w:id="179"/>
    </w:p>
    <w:p>
      <w:pPr>
        <w:numPr>
          <w:ilvl w:val="255"/>
          <w:numId w:val="0"/>
        </w:numPr>
        <w:spacing w:line="480" w:lineRule="auto"/>
        <w:ind w:firstLine="420" w:firstLineChars="200"/>
        <w:textAlignment w:val="center"/>
        <w:outlineLvl w:val="2"/>
        <w:rPr>
          <w:rFonts w:hint="eastAsia" w:ascii="宋体" w:hAnsi="宋体" w:eastAsia="宋体" w:cs="Arial"/>
          <w:b w:val="0"/>
          <w:color w:val="000000"/>
          <w:sz w:val="21"/>
          <w:szCs w:val="21"/>
          <w:lang w:val="en-US" w:eastAsia="zh-CN" w:bidi="ar-SA"/>
        </w:rPr>
      </w:pPr>
      <w:r>
        <w:rPr>
          <w:rFonts w:hint="eastAsia" w:ascii="宋体" w:hAnsi="宋体" w:eastAsia="宋体" w:cs="Arial"/>
          <w:b w:val="0"/>
          <w:color w:val="000000"/>
          <w:sz w:val="21"/>
          <w:szCs w:val="21"/>
          <w:lang w:val="en-US" w:eastAsia="zh-CN" w:bidi="ar-SA"/>
        </w:rPr>
        <w:t>1、合同约定服务内容不清晰</w:t>
      </w:r>
    </w:p>
    <w:p>
      <w:pPr>
        <w:spacing w:line="480" w:lineRule="auto"/>
        <w:ind w:firstLine="420" w:firstLineChars="200"/>
        <w:textAlignment w:val="center"/>
        <w:rPr>
          <w:rFonts w:hint="eastAsia" w:ascii="宋体" w:hAnsi="宋体" w:eastAsia="宋体" w:cs="Arial"/>
          <w:b w:val="0"/>
          <w:color w:val="000000"/>
          <w:sz w:val="21"/>
          <w:szCs w:val="21"/>
          <w:lang w:val="en-US" w:eastAsia="zh-CN" w:bidi="ar-SA"/>
        </w:rPr>
      </w:pPr>
      <w:r>
        <w:rPr>
          <w:rFonts w:hint="eastAsia" w:ascii="宋体" w:hAnsi="宋体" w:eastAsia="宋体" w:cs="Arial"/>
          <w:b w:val="0"/>
          <w:color w:val="000000"/>
          <w:sz w:val="21"/>
          <w:szCs w:val="21"/>
          <w:lang w:val="en-US" w:eastAsia="zh-CN" w:bidi="ar-SA"/>
        </w:rPr>
        <w:t>经核查《邢台市南石门镇七里河项目概念规划设计合同》（下称“《概念合同》”）和《建筑工程设计合同》（下称“《设计合同》”）签约主体均为大象建筑设计有限公司北京分公司。</w:t>
      </w:r>
      <w:r>
        <w:rPr>
          <w:rFonts w:hint="eastAsia" w:cs="Arial"/>
          <w:b w:val="0"/>
          <w:color w:val="000000"/>
          <w:sz w:val="21"/>
          <w:szCs w:val="21"/>
          <w:lang w:val="en-US" w:eastAsia="zh-CN" w:bidi="ar-SA"/>
        </w:rPr>
        <w:t>项目</w:t>
      </w:r>
      <w:r>
        <w:rPr>
          <w:rFonts w:hint="eastAsia" w:ascii="宋体" w:hAnsi="宋体" w:eastAsia="宋体" w:cs="Arial"/>
          <w:b w:val="0"/>
          <w:color w:val="000000"/>
          <w:sz w:val="21"/>
          <w:szCs w:val="21"/>
          <w:lang w:val="en-US" w:eastAsia="zh-CN" w:bidi="ar-SA"/>
        </w:rPr>
        <w:t>公司已支付《概念合同》全部价款92万元。《概念合同》中约定的设计内容与《设计合同》》附件二中约定的设计服务内容部分重叠。后续签署的《设计合同》中7.2条款“乙方在本项目拓展阶段负责拿地方案设计工作，并已收取拿地方案设计费的，需在本合同费用总额中抵扣此部分费用。”条款中并没有明确提及或关联《概念合同》所完成内容为拿地方案设计工作，因此两个合同关联性不明确；《概念合同》全部价款已支付，《设计合同》中抵扣《概念合同》费用的节点未提及，目前《设计合同》已支付20%定金，支付金额107.456万元。。</w:t>
      </w:r>
    </w:p>
    <w:p>
      <w:pPr>
        <w:spacing w:line="480" w:lineRule="auto"/>
        <w:ind w:firstLine="420" w:firstLineChars="200"/>
        <w:textAlignment w:val="center"/>
        <w:outlineLvl w:val="2"/>
        <w:rPr>
          <w:rFonts w:hint="eastAsia" w:ascii="宋体" w:hAnsi="宋体" w:eastAsia="宋体" w:cs="Arial"/>
          <w:b w:val="0"/>
          <w:color w:val="000000"/>
          <w:sz w:val="21"/>
          <w:szCs w:val="21"/>
          <w:lang w:val="en-US" w:eastAsia="zh-CN" w:bidi="ar-SA"/>
        </w:rPr>
      </w:pPr>
      <w:r>
        <w:rPr>
          <w:rFonts w:hint="eastAsia" w:ascii="宋体" w:hAnsi="宋体" w:eastAsia="宋体" w:cs="Arial"/>
          <w:b w:val="0"/>
          <w:color w:val="000000"/>
          <w:sz w:val="21"/>
          <w:szCs w:val="21"/>
          <w:lang w:val="en-US" w:eastAsia="zh-CN" w:bidi="ar-SA"/>
        </w:rPr>
        <w:t>2、设计合同签约单位无设计资质</w:t>
      </w:r>
    </w:p>
    <w:p>
      <w:pPr>
        <w:spacing w:line="480" w:lineRule="auto"/>
        <w:ind w:firstLine="420" w:firstLineChars="200"/>
        <w:textAlignment w:val="center"/>
        <w:rPr>
          <w:rFonts w:hint="eastAsia" w:ascii="宋体" w:hAnsi="宋体" w:eastAsia="宋体" w:cs="Arial"/>
          <w:b w:val="0"/>
          <w:color w:val="000000"/>
          <w:sz w:val="21"/>
          <w:szCs w:val="21"/>
          <w:lang w:val="en-US" w:eastAsia="zh-CN" w:bidi="ar-SA"/>
        </w:rPr>
      </w:pPr>
      <w:r>
        <w:rPr>
          <w:rFonts w:hint="eastAsia" w:ascii="宋体" w:hAnsi="宋体" w:eastAsia="宋体" w:cs="Arial"/>
          <w:b w:val="0"/>
          <w:color w:val="000000"/>
          <w:sz w:val="21"/>
          <w:szCs w:val="21"/>
          <w:lang w:val="en-US" w:eastAsia="zh-CN" w:bidi="ar-SA"/>
        </w:rPr>
        <w:t>《景观设计合同》签约单位杭州绿城坤一景观设计咨询有限公司和《室内硬装设计合同》签约单位浙江中合泓美装饰设计有限公司</w:t>
      </w:r>
      <w:r>
        <w:rPr>
          <w:rFonts w:hint="eastAsia" w:cs="Arial"/>
          <w:b w:val="0"/>
          <w:color w:val="000000"/>
          <w:sz w:val="21"/>
          <w:szCs w:val="21"/>
          <w:lang w:val="en-US" w:eastAsia="zh-CN" w:bidi="ar-SA"/>
        </w:rPr>
        <w:t>，</w:t>
      </w:r>
      <w:r>
        <w:rPr>
          <w:rFonts w:hint="eastAsia" w:ascii="宋体" w:hAnsi="宋体" w:eastAsia="宋体" w:cs="Arial"/>
          <w:b w:val="0"/>
          <w:color w:val="000000"/>
          <w:sz w:val="21"/>
          <w:szCs w:val="21"/>
          <w:lang w:val="en-US" w:eastAsia="zh-CN" w:bidi="ar-SA"/>
        </w:rPr>
        <w:t>经我司调查签约时均无对应合同事项所需的设计资质，两家公司为同一法人。在调查期间杭州绿城坤一景观设计咨询有限公司与</w:t>
      </w:r>
      <w:r>
        <w:rPr>
          <w:rFonts w:hint="eastAsia" w:cs="Arial"/>
          <w:b w:val="0"/>
          <w:color w:val="000000"/>
          <w:sz w:val="21"/>
          <w:szCs w:val="21"/>
          <w:lang w:val="en-US" w:eastAsia="zh-CN" w:bidi="ar-SA"/>
        </w:rPr>
        <w:t>项目</w:t>
      </w:r>
      <w:r>
        <w:rPr>
          <w:rFonts w:hint="eastAsia" w:ascii="宋体" w:hAnsi="宋体" w:eastAsia="宋体" w:cs="Arial"/>
          <w:b w:val="0"/>
          <w:color w:val="000000"/>
          <w:sz w:val="21"/>
          <w:szCs w:val="21"/>
          <w:lang w:val="en-US" w:eastAsia="zh-CN" w:bidi="ar-SA"/>
        </w:rPr>
        <w:t>公司合用纠纷已立案并开庭审理。</w:t>
      </w:r>
    </w:p>
    <w:p>
      <w:pPr>
        <w:numPr>
          <w:ilvl w:val="0"/>
          <w:numId w:val="0"/>
        </w:numPr>
        <w:spacing w:line="480" w:lineRule="auto"/>
        <w:ind w:firstLine="420" w:firstLineChars="200"/>
        <w:textAlignment w:val="center"/>
        <w:outlineLvl w:val="2"/>
        <w:rPr>
          <w:rFonts w:hint="eastAsia" w:ascii="宋体" w:hAnsi="宋体" w:eastAsia="宋体" w:cs="Arial"/>
          <w:b w:val="0"/>
          <w:color w:val="000000"/>
          <w:sz w:val="21"/>
          <w:szCs w:val="21"/>
          <w:lang w:val="en-US" w:eastAsia="zh-CN" w:bidi="ar-SA"/>
        </w:rPr>
      </w:pPr>
      <w:r>
        <w:rPr>
          <w:rFonts w:hint="eastAsia" w:cs="Arial"/>
          <w:b w:val="0"/>
          <w:color w:val="000000"/>
          <w:sz w:val="21"/>
          <w:szCs w:val="21"/>
          <w:lang w:val="en-US" w:eastAsia="zh-CN" w:bidi="ar-SA"/>
        </w:rPr>
        <w:t>3、</w:t>
      </w:r>
      <w:r>
        <w:rPr>
          <w:rFonts w:hint="eastAsia" w:ascii="宋体" w:hAnsi="宋体" w:eastAsia="宋体" w:cs="Arial"/>
          <w:b w:val="0"/>
          <w:color w:val="000000"/>
          <w:sz w:val="21"/>
          <w:szCs w:val="21"/>
          <w:lang w:val="en-US" w:eastAsia="zh-CN" w:bidi="ar-SA"/>
        </w:rPr>
        <w:t>设计合同收费问题</w:t>
      </w:r>
    </w:p>
    <w:p>
      <w:pPr>
        <w:numPr>
          <w:ilvl w:val="255"/>
          <w:numId w:val="0"/>
        </w:numPr>
        <w:spacing w:line="480" w:lineRule="auto"/>
        <w:textAlignment w:val="center"/>
        <w:rPr>
          <w:rFonts w:hint="eastAsia" w:ascii="宋体" w:hAnsi="宋体" w:eastAsia="宋体" w:cs="Arial"/>
          <w:b w:val="0"/>
          <w:color w:val="000000"/>
          <w:sz w:val="21"/>
          <w:szCs w:val="21"/>
          <w:lang w:val="en-US" w:eastAsia="zh-CN" w:bidi="ar-SA"/>
        </w:rPr>
      </w:pPr>
      <w:r>
        <w:rPr>
          <w:rFonts w:hint="eastAsia" w:ascii="宋体" w:hAnsi="宋体" w:eastAsia="宋体" w:cs="Arial"/>
          <w:b w:val="0"/>
          <w:color w:val="000000"/>
          <w:sz w:val="21"/>
          <w:szCs w:val="21"/>
          <w:lang w:val="en-US" w:eastAsia="zh-CN" w:bidi="ar-SA"/>
        </w:rPr>
        <w:t xml:space="preserve">   （1）《邢台市南石门镇七里河项目概念规划设计合同》第4.2支付条款约定，完成部分工作内容即支付全部费用，金额92万元。按一般行业惯例应按照分阶段并经甲方验收认可后方可支付，但本合同约定支付并未按照一般惯例执行。</w:t>
      </w:r>
    </w:p>
    <w:p>
      <w:pPr>
        <w:numPr>
          <w:ilvl w:val="255"/>
          <w:numId w:val="0"/>
        </w:numPr>
        <w:spacing w:line="480" w:lineRule="auto"/>
        <w:ind w:firstLine="420" w:firstLineChars="200"/>
        <w:textAlignment w:val="center"/>
        <w:rPr>
          <w:rFonts w:hint="eastAsia" w:ascii="宋体" w:hAnsi="宋体" w:eastAsia="宋体" w:cs="Arial"/>
          <w:b w:val="0"/>
          <w:color w:val="000000"/>
          <w:sz w:val="21"/>
          <w:szCs w:val="21"/>
          <w:lang w:val="en-US" w:eastAsia="zh-CN" w:bidi="ar-SA"/>
        </w:rPr>
      </w:pPr>
      <w:r>
        <w:rPr>
          <w:rFonts w:hint="eastAsia" w:ascii="宋体" w:hAnsi="宋体" w:eastAsia="宋体" w:cs="Arial"/>
          <w:b w:val="0"/>
          <w:color w:val="000000"/>
          <w:sz w:val="21"/>
          <w:szCs w:val="21"/>
          <w:lang w:val="en-US" w:eastAsia="zh-CN" w:bidi="ar-SA"/>
        </w:rPr>
        <w:t>（2）经核查，设计类合同按单价进行计算，根据不同设计要求进行报价。本次核查的设计类合同中单价均低于行业规定的国家收费标准且有招标采购比价流程。但发现部分合同单价按照绿城标准略高于一般自建开发建设房地产项目，例如：《建筑工程设计合同》中第7.1.(2)条款中约定，叠拼产品设计单价85元/m²，合院产品设计单价90元/m² 。目前设计行业竞争较大，价格竞争激烈，一般设计单价平均水平在50元/ m²左右。</w:t>
      </w:r>
    </w:p>
    <w:p>
      <w:pPr>
        <w:spacing w:line="480" w:lineRule="auto"/>
        <w:ind w:firstLine="420" w:firstLineChars="200"/>
        <w:textAlignment w:val="center"/>
        <w:rPr>
          <w:rFonts w:hint="eastAsia" w:ascii="宋体" w:hAnsi="宋体" w:eastAsia="宋体" w:cs="Arial"/>
          <w:b w:val="0"/>
          <w:color w:val="000000"/>
          <w:sz w:val="21"/>
          <w:szCs w:val="21"/>
          <w:lang w:val="en-US" w:eastAsia="zh-CN" w:bidi="ar-SA"/>
        </w:rPr>
      </w:pPr>
      <w:r>
        <w:rPr>
          <w:rFonts w:hint="eastAsia" w:ascii="宋体" w:hAnsi="宋体" w:eastAsia="宋体" w:cs="Arial"/>
          <w:b w:val="0"/>
          <w:color w:val="000000"/>
          <w:sz w:val="21"/>
          <w:szCs w:val="21"/>
          <w:lang w:val="en-US" w:eastAsia="zh-CN" w:bidi="ar-SA"/>
        </w:rPr>
        <w:t xml:space="preserve">（3）根据房地产开发经验，项目的的方案设计、扩大初步设计、施工图设计常规做法是委托同一家设计公司，既便于贯彻观念理念，又便于政府部门审批，且成本上更加经济。本次核查中发现，部分设计内容进行了拆分，并签署相应的设计合同，根据项目组介绍，开发公司曾与设计单位沟通过是否可以委托同一家公司完成全部设计工作，双方未达成一致，故本次设计方案涉及多家设计公司。可能对项目经济性，政府审批沟通效率有所影响，提高了项目整体管理难度。                       </w:t>
      </w:r>
    </w:p>
    <w:p>
      <w:pPr>
        <w:spacing w:line="480" w:lineRule="auto"/>
        <w:ind w:firstLine="420" w:firstLineChars="200"/>
        <w:textAlignment w:val="center"/>
        <w:rPr>
          <w:rFonts w:hint="eastAsia" w:ascii="宋体" w:hAnsi="宋体" w:eastAsia="宋体" w:cs="Arial"/>
          <w:b w:val="0"/>
          <w:color w:val="000000"/>
          <w:sz w:val="21"/>
          <w:szCs w:val="21"/>
          <w:lang w:val="en-US" w:eastAsia="zh-CN" w:bidi="ar-SA"/>
        </w:rPr>
      </w:pPr>
      <w:r>
        <w:rPr>
          <w:rFonts w:hint="eastAsia" w:cs="Arial"/>
          <w:b w:val="0"/>
          <w:color w:val="000000"/>
          <w:sz w:val="21"/>
          <w:szCs w:val="21"/>
          <w:lang w:val="en-US" w:eastAsia="zh-CN" w:bidi="ar-SA"/>
        </w:rPr>
        <w:t>4、</w:t>
      </w:r>
      <w:r>
        <w:rPr>
          <w:rFonts w:hint="eastAsia" w:ascii="宋体" w:hAnsi="宋体" w:eastAsia="宋体" w:cs="Arial"/>
          <w:b w:val="0"/>
          <w:color w:val="000000"/>
          <w:sz w:val="21"/>
          <w:szCs w:val="21"/>
          <w:lang w:val="en-US" w:eastAsia="zh-CN" w:bidi="ar-SA"/>
        </w:rPr>
        <w:t>部分设计合同签约时点前置</w:t>
      </w:r>
    </w:p>
    <w:p>
      <w:pPr>
        <w:spacing w:line="480" w:lineRule="auto"/>
        <w:ind w:firstLine="420" w:firstLineChars="200"/>
        <w:textAlignment w:val="center"/>
        <w:rPr>
          <w:rFonts w:hint="eastAsia" w:ascii="宋体" w:hAnsi="宋体" w:eastAsia="宋体" w:cs="Arial"/>
          <w:b w:val="0"/>
          <w:color w:val="000000"/>
          <w:sz w:val="21"/>
          <w:szCs w:val="21"/>
          <w:lang w:val="en-US" w:eastAsia="zh-CN" w:bidi="ar-SA"/>
        </w:rPr>
      </w:pPr>
      <w:r>
        <w:rPr>
          <w:rFonts w:hint="eastAsia" w:ascii="宋体" w:hAnsi="宋体" w:eastAsia="宋体" w:cs="Arial"/>
          <w:b w:val="0"/>
          <w:color w:val="000000"/>
          <w:sz w:val="21"/>
          <w:szCs w:val="21"/>
          <w:lang w:val="en-US" w:eastAsia="zh-CN" w:bidi="ar-SA"/>
        </w:rPr>
        <w:t>根据房地产开发经验，例如《景观设计合同》一般是主体结构完工后，进行室外工程、红线内市政建设的前后时段再进行景观设计具体工作，景观设合同可以适当提前。本项目《景观设计合同》签署时，规划方案尚未报自然资源和规划局审批，若方案未能获批，该项目楼座位置、布局，小区出入口等均无法明确具体设计方案，无法出具景观设计相关图纸。</w:t>
      </w:r>
    </w:p>
    <w:p>
      <w:pPr>
        <w:spacing w:line="480" w:lineRule="auto"/>
        <w:textAlignment w:val="center"/>
        <w:outlineLvl w:val="1"/>
        <w:rPr>
          <w:rFonts w:hint="eastAsia" w:ascii="宋体" w:hAnsi="宋体" w:eastAsia="宋体" w:cs="Arial"/>
          <w:b/>
          <w:bCs/>
          <w:color w:val="000000"/>
          <w:sz w:val="21"/>
          <w:szCs w:val="21"/>
          <w:lang w:val="en-US" w:eastAsia="zh-CN" w:bidi="ar-SA"/>
        </w:rPr>
      </w:pPr>
      <w:bookmarkStart w:id="180" w:name="_Toc13161"/>
      <w:r>
        <w:rPr>
          <w:rFonts w:hint="eastAsia" w:cs="Arial"/>
          <w:b/>
          <w:bCs/>
          <w:color w:val="000000"/>
          <w:sz w:val="21"/>
          <w:szCs w:val="21"/>
          <w:lang w:val="en-US" w:eastAsia="zh-CN" w:bidi="ar-SA"/>
        </w:rPr>
        <w:t>二、</w:t>
      </w:r>
      <w:r>
        <w:rPr>
          <w:rFonts w:hint="eastAsia" w:ascii="宋体" w:hAnsi="宋体" w:eastAsia="宋体" w:cs="Arial"/>
          <w:b/>
          <w:bCs/>
          <w:color w:val="000000"/>
          <w:sz w:val="21"/>
          <w:szCs w:val="21"/>
          <w:lang w:val="en-US" w:eastAsia="zh-CN" w:bidi="ar-SA"/>
        </w:rPr>
        <w:t>前期类合同意见</w:t>
      </w:r>
      <w:bookmarkEnd w:id="180"/>
    </w:p>
    <w:p>
      <w:pPr>
        <w:spacing w:line="480" w:lineRule="auto"/>
        <w:ind w:firstLine="210" w:firstLineChars="100"/>
        <w:textAlignment w:val="center"/>
        <w:rPr>
          <w:rFonts w:hint="eastAsia" w:ascii="宋体" w:hAnsi="宋体" w:eastAsia="宋体" w:cs="Arial"/>
          <w:b w:val="0"/>
          <w:color w:val="000000"/>
          <w:sz w:val="21"/>
          <w:szCs w:val="21"/>
          <w:lang w:val="en-US" w:eastAsia="zh-CN" w:bidi="ar-SA"/>
        </w:rPr>
      </w:pPr>
      <w:r>
        <w:rPr>
          <w:rFonts w:hint="eastAsia" w:cs="Arial"/>
          <w:b w:val="0"/>
          <w:color w:val="000000"/>
          <w:sz w:val="21"/>
          <w:szCs w:val="21"/>
          <w:lang w:val="en-US" w:eastAsia="zh-CN" w:bidi="ar-SA"/>
        </w:rPr>
        <w:t>1、</w:t>
      </w:r>
      <w:r>
        <w:rPr>
          <w:rFonts w:hint="eastAsia" w:ascii="宋体" w:hAnsi="宋体" w:eastAsia="宋体" w:cs="Arial"/>
          <w:b w:val="0"/>
          <w:color w:val="000000"/>
          <w:sz w:val="21"/>
          <w:szCs w:val="21"/>
          <w:lang w:val="en-US" w:eastAsia="zh-CN" w:bidi="ar-SA"/>
        </w:rPr>
        <w:t>比价环节缺失</w:t>
      </w:r>
    </w:p>
    <w:p>
      <w:pPr>
        <w:spacing w:line="480" w:lineRule="auto"/>
        <w:ind w:firstLine="420" w:firstLineChars="200"/>
        <w:textAlignment w:val="center"/>
        <w:rPr>
          <w:rFonts w:hint="eastAsia" w:ascii="宋体" w:hAnsi="宋体" w:eastAsia="宋体" w:cs="Arial"/>
          <w:b w:val="0"/>
          <w:color w:val="000000"/>
          <w:sz w:val="21"/>
          <w:szCs w:val="21"/>
          <w:lang w:val="en-US" w:eastAsia="zh-CN" w:bidi="ar-SA"/>
        </w:rPr>
      </w:pPr>
      <w:r>
        <w:rPr>
          <w:rFonts w:hint="eastAsia" w:ascii="宋体" w:hAnsi="宋体" w:eastAsia="宋体" w:cs="Arial"/>
          <w:b w:val="0"/>
          <w:color w:val="000000"/>
          <w:sz w:val="21"/>
          <w:szCs w:val="21"/>
          <w:lang w:val="en-US" w:eastAsia="zh-CN" w:bidi="ar-SA"/>
        </w:rPr>
        <w:t>经核查，项目公司在选择评价报告的第三方服务机构时，直接与北京大地盛业房地产土地估有限公司签署了《邢台华昱七里河住宅用地项目评价报告编制技术服务合同》，该合同金额较大，缺少多家机构报价并比价的环节。</w:t>
      </w:r>
    </w:p>
    <w:p>
      <w:pPr>
        <w:spacing w:line="480" w:lineRule="auto"/>
        <w:ind w:firstLine="210" w:firstLineChars="100"/>
        <w:textAlignment w:val="center"/>
        <w:rPr>
          <w:rFonts w:hint="eastAsia" w:ascii="宋体" w:hAnsi="宋体" w:eastAsia="宋体" w:cs="Arial"/>
          <w:b w:val="0"/>
          <w:color w:val="000000"/>
          <w:sz w:val="21"/>
          <w:szCs w:val="21"/>
          <w:lang w:val="en-US" w:eastAsia="zh-CN" w:bidi="ar-SA"/>
        </w:rPr>
      </w:pPr>
      <w:r>
        <w:rPr>
          <w:rFonts w:hint="eastAsia" w:cs="Arial"/>
          <w:b w:val="0"/>
          <w:color w:val="000000"/>
          <w:sz w:val="21"/>
          <w:szCs w:val="21"/>
          <w:lang w:val="en-US" w:eastAsia="zh-CN" w:bidi="ar-SA"/>
        </w:rPr>
        <w:t>2、</w:t>
      </w:r>
      <w:r>
        <w:rPr>
          <w:rFonts w:hint="eastAsia" w:ascii="宋体" w:hAnsi="宋体" w:eastAsia="宋体" w:cs="Arial"/>
          <w:b w:val="0"/>
          <w:color w:val="000000"/>
          <w:sz w:val="21"/>
          <w:szCs w:val="21"/>
          <w:lang w:val="en-US" w:eastAsia="zh-CN" w:bidi="ar-SA"/>
        </w:rPr>
        <w:t>节点费用支付超期</w:t>
      </w:r>
    </w:p>
    <w:p>
      <w:pPr>
        <w:spacing w:line="480" w:lineRule="auto"/>
        <w:ind w:firstLine="420" w:firstLineChars="200"/>
        <w:textAlignment w:val="center"/>
        <w:rPr>
          <w:rFonts w:hint="eastAsia" w:ascii="宋体" w:hAnsi="宋体" w:eastAsia="宋体" w:cs="Arial"/>
          <w:b w:val="0"/>
          <w:color w:val="000000"/>
          <w:sz w:val="21"/>
          <w:szCs w:val="21"/>
          <w:lang w:val="en-US" w:eastAsia="zh-CN" w:bidi="ar-SA"/>
        </w:rPr>
      </w:pPr>
      <w:r>
        <w:rPr>
          <w:rFonts w:hint="eastAsia" w:ascii="宋体" w:hAnsi="宋体" w:eastAsia="宋体" w:cs="Arial"/>
          <w:b w:val="0"/>
          <w:color w:val="000000"/>
          <w:sz w:val="21"/>
          <w:szCs w:val="21"/>
          <w:lang w:val="en-US" w:eastAsia="zh-CN" w:bidi="ar-SA"/>
        </w:rPr>
        <w:t>经核查，由于项目停滞时间较长，合同中存在超期未按约定节点支付费用情况，例如《工地围挡制作安装合同》已完成合同约定内容，留有少量保证金</w:t>
      </w:r>
      <w:r>
        <w:rPr>
          <w:rFonts w:hint="eastAsia" w:cs="Arial"/>
          <w:b w:val="0"/>
          <w:color w:val="000000"/>
          <w:sz w:val="21"/>
          <w:szCs w:val="21"/>
          <w:lang w:val="en-US" w:eastAsia="zh-CN" w:bidi="ar-SA"/>
        </w:rPr>
        <w:t>尚</w:t>
      </w:r>
      <w:r>
        <w:rPr>
          <w:rFonts w:hint="eastAsia" w:ascii="宋体" w:hAnsi="宋体" w:eastAsia="宋体" w:cs="Arial"/>
          <w:b w:val="0"/>
          <w:color w:val="000000"/>
          <w:sz w:val="21"/>
          <w:szCs w:val="21"/>
          <w:lang w:val="en-US" w:eastAsia="zh-CN" w:bidi="ar-SA"/>
        </w:rPr>
        <w:t>未按期支付。</w:t>
      </w:r>
    </w:p>
    <w:p>
      <w:pPr>
        <w:spacing w:line="480" w:lineRule="auto"/>
        <w:textAlignment w:val="center"/>
        <w:outlineLvl w:val="1"/>
        <w:rPr>
          <w:rFonts w:hint="eastAsia" w:ascii="宋体" w:hAnsi="宋体" w:eastAsia="宋体" w:cs="Arial"/>
          <w:b/>
          <w:bCs/>
          <w:color w:val="000000"/>
          <w:sz w:val="21"/>
          <w:szCs w:val="21"/>
          <w:lang w:val="en-US" w:eastAsia="zh-CN" w:bidi="ar-SA"/>
        </w:rPr>
      </w:pPr>
      <w:bookmarkStart w:id="181" w:name="_Toc27985"/>
      <w:r>
        <w:rPr>
          <w:rFonts w:hint="eastAsia" w:cs="Arial"/>
          <w:b/>
          <w:bCs/>
          <w:color w:val="000000"/>
          <w:sz w:val="21"/>
          <w:szCs w:val="21"/>
          <w:lang w:val="en-US" w:eastAsia="zh-CN" w:bidi="ar-SA"/>
        </w:rPr>
        <w:t>三、</w:t>
      </w:r>
      <w:r>
        <w:rPr>
          <w:rFonts w:hint="eastAsia" w:ascii="宋体" w:hAnsi="宋体" w:eastAsia="宋体" w:cs="Arial"/>
          <w:b/>
          <w:bCs/>
          <w:color w:val="000000"/>
          <w:sz w:val="21"/>
          <w:szCs w:val="21"/>
          <w:lang w:val="en-US" w:eastAsia="zh-CN" w:bidi="ar-SA"/>
        </w:rPr>
        <w:t>综合类合同意见</w:t>
      </w:r>
      <w:bookmarkEnd w:id="181"/>
    </w:p>
    <w:p>
      <w:pPr>
        <w:spacing w:line="480" w:lineRule="auto"/>
        <w:ind w:firstLine="210" w:firstLineChars="100"/>
        <w:textAlignment w:val="center"/>
        <w:rPr>
          <w:rFonts w:hint="eastAsia" w:ascii="宋体" w:hAnsi="宋体" w:eastAsia="宋体" w:cs="Arial"/>
          <w:b w:val="0"/>
          <w:color w:val="000000"/>
          <w:sz w:val="21"/>
          <w:szCs w:val="21"/>
          <w:lang w:val="en-US" w:eastAsia="zh-CN" w:bidi="ar-SA"/>
        </w:rPr>
      </w:pPr>
      <w:r>
        <w:rPr>
          <w:rFonts w:hint="eastAsia" w:cs="Arial"/>
          <w:b w:val="0"/>
          <w:color w:val="000000"/>
          <w:sz w:val="21"/>
          <w:szCs w:val="21"/>
          <w:lang w:val="en-US" w:eastAsia="zh-CN" w:bidi="ar-SA"/>
        </w:rPr>
        <w:t>1、</w:t>
      </w:r>
      <w:r>
        <w:rPr>
          <w:rFonts w:hint="eastAsia" w:ascii="宋体" w:hAnsi="宋体" w:eastAsia="宋体" w:cs="Arial"/>
          <w:b w:val="0"/>
          <w:color w:val="000000"/>
          <w:sz w:val="21"/>
          <w:szCs w:val="21"/>
          <w:lang w:val="en-US" w:eastAsia="zh-CN" w:bidi="ar-SA"/>
        </w:rPr>
        <w:t>合同服务义务不全面</w:t>
      </w:r>
    </w:p>
    <w:p>
      <w:pPr>
        <w:spacing w:line="480" w:lineRule="auto"/>
        <w:ind w:firstLine="420" w:firstLineChars="200"/>
        <w:textAlignment w:val="center"/>
        <w:rPr>
          <w:rFonts w:hint="eastAsia" w:ascii="宋体" w:hAnsi="宋体" w:eastAsia="宋体" w:cs="Arial"/>
          <w:b w:val="0"/>
          <w:color w:val="000000"/>
          <w:sz w:val="21"/>
          <w:szCs w:val="21"/>
          <w:lang w:val="en-US" w:eastAsia="zh-CN" w:bidi="ar-SA"/>
        </w:rPr>
      </w:pPr>
      <w:r>
        <w:rPr>
          <w:rFonts w:hint="eastAsia" w:ascii="宋体" w:hAnsi="宋体" w:eastAsia="宋体" w:cs="Arial"/>
          <w:b w:val="0"/>
          <w:color w:val="000000"/>
          <w:sz w:val="21"/>
          <w:szCs w:val="21"/>
          <w:lang w:val="en-US" w:eastAsia="zh-CN" w:bidi="ar-SA"/>
        </w:rPr>
        <w:t>经核查，项目公司与绿城房地产建设管理集团有限公司（下称“绿城公司”）签署了《房地产项目开发委托管理合同书》及其《补充协议》，签署后绿城公司即开始相关管理工作。合同中对开发建设过程中相应义务及权利表述比较全面，但开发前期相关工作配合义务表述较为简单。由于前期土地证无法办理导致项目停滞，此过程中绿城公司</w:t>
      </w:r>
      <w:r>
        <w:rPr>
          <w:rFonts w:hint="eastAsia" w:cs="Arial"/>
          <w:b w:val="0"/>
          <w:color w:val="000000"/>
          <w:sz w:val="21"/>
          <w:szCs w:val="21"/>
          <w:lang w:val="en-US" w:eastAsia="zh-CN" w:bidi="ar-SA"/>
        </w:rPr>
        <w:t>一直</w:t>
      </w:r>
      <w:r>
        <w:rPr>
          <w:rFonts w:hint="eastAsia" w:ascii="宋体" w:hAnsi="宋体" w:eastAsia="宋体" w:cs="Arial"/>
          <w:b w:val="0"/>
          <w:color w:val="000000"/>
          <w:sz w:val="21"/>
          <w:szCs w:val="21"/>
          <w:lang w:val="en-US" w:eastAsia="zh-CN" w:bidi="ar-SA"/>
        </w:rPr>
        <w:t>在收取相关管理费用，项目公司股东方直接介入管理事项，向项目公司发出相关操作指令。双方未在合同中无法正常开发情况约定相关义务。后期双方在可能无法继续开发的情况下签署的补充协议也未考虑后期项目若无法按原定方案建设开发可能所发生的由代建方牵头签署的前期合同的纠纷，所应尽的后期配合义务。</w:t>
      </w:r>
    </w:p>
    <w:p>
      <w:pPr>
        <w:spacing w:line="480" w:lineRule="auto"/>
        <w:ind w:firstLine="210" w:firstLineChars="100"/>
        <w:textAlignment w:val="center"/>
        <w:rPr>
          <w:rFonts w:hint="eastAsia" w:ascii="宋体" w:hAnsi="宋体" w:eastAsia="宋体" w:cs="Arial"/>
          <w:b w:val="0"/>
          <w:color w:val="000000"/>
          <w:sz w:val="21"/>
          <w:szCs w:val="21"/>
          <w:lang w:val="en-US" w:eastAsia="zh-CN" w:bidi="ar-SA"/>
        </w:rPr>
      </w:pPr>
      <w:r>
        <w:rPr>
          <w:rFonts w:hint="eastAsia" w:cs="Arial"/>
          <w:b w:val="0"/>
          <w:color w:val="000000"/>
          <w:sz w:val="21"/>
          <w:szCs w:val="21"/>
          <w:lang w:val="en-US" w:eastAsia="zh-CN" w:bidi="ar-SA"/>
        </w:rPr>
        <w:t>2、</w:t>
      </w:r>
      <w:r>
        <w:rPr>
          <w:rFonts w:hint="eastAsia" w:ascii="宋体" w:hAnsi="宋体" w:eastAsia="宋体" w:cs="Arial"/>
          <w:b w:val="0"/>
          <w:color w:val="000000"/>
          <w:sz w:val="21"/>
          <w:szCs w:val="21"/>
          <w:lang w:val="en-US" w:eastAsia="zh-CN" w:bidi="ar-SA"/>
        </w:rPr>
        <w:t>合同签订时间滞后</w:t>
      </w:r>
    </w:p>
    <w:p>
      <w:pPr>
        <w:spacing w:line="480" w:lineRule="auto"/>
        <w:ind w:firstLine="420" w:firstLineChars="200"/>
        <w:textAlignment w:val="center"/>
        <w:rPr>
          <w:rFonts w:hint="eastAsia" w:ascii="宋体" w:hAnsi="宋体" w:eastAsia="宋体" w:cs="Arial"/>
          <w:b w:val="0"/>
          <w:color w:val="000000"/>
          <w:sz w:val="21"/>
          <w:szCs w:val="21"/>
          <w:lang w:val="en-US" w:eastAsia="zh-CN" w:bidi="ar-SA"/>
        </w:rPr>
      </w:pPr>
      <w:r>
        <w:rPr>
          <w:rFonts w:hint="eastAsia" w:ascii="宋体" w:hAnsi="宋体" w:eastAsia="宋体" w:cs="Arial"/>
          <w:b w:val="0"/>
          <w:color w:val="000000"/>
          <w:sz w:val="21"/>
          <w:szCs w:val="21"/>
          <w:lang w:val="en-US" w:eastAsia="zh-CN" w:bidi="ar-SA"/>
        </w:rPr>
        <w:t>《租赁合同》（即注册地租赁业务）签约时间为2020年4月30日。而首次付款时间为2021年5月28日。实际支付时间和签约时间间隔13个月。在合同执行过程中，</w:t>
      </w:r>
      <w:r>
        <w:rPr>
          <w:rFonts w:hint="eastAsia" w:cs="Arial"/>
          <w:b w:val="0"/>
          <w:color w:val="000000"/>
          <w:sz w:val="21"/>
          <w:szCs w:val="21"/>
          <w:lang w:val="en-US" w:eastAsia="zh-CN" w:bidi="ar-SA"/>
        </w:rPr>
        <w:t>项目</w:t>
      </w:r>
      <w:r>
        <w:rPr>
          <w:rFonts w:hint="eastAsia" w:ascii="宋体" w:hAnsi="宋体" w:eastAsia="宋体" w:cs="Arial"/>
          <w:b w:val="0"/>
          <w:color w:val="000000"/>
          <w:sz w:val="21"/>
          <w:szCs w:val="21"/>
          <w:lang w:val="en-US" w:eastAsia="zh-CN" w:bidi="ar-SA"/>
        </w:rPr>
        <w:t>公司租金支付给非签约人，根据财务说明有签约人委托收款凭据。</w:t>
      </w:r>
    </w:p>
    <w:p>
      <w:pPr>
        <w:rPr>
          <w:rFonts w:cs="Arial"/>
          <w:sz w:val="21"/>
          <w:szCs w:val="21"/>
        </w:rPr>
      </w:pPr>
    </w:p>
    <w:p>
      <w:pPr>
        <w:rPr>
          <w:rFonts w:ascii="Arial" w:hAnsi="Arial" w:cs="Arial"/>
          <w:b/>
          <w:sz w:val="21"/>
          <w:szCs w:val="21"/>
        </w:rPr>
      </w:pPr>
      <w:bookmarkStart w:id="182" w:name="_Toc522074589"/>
      <w:bookmarkStart w:id="183" w:name="_Toc532810738"/>
      <w:bookmarkStart w:id="184" w:name="_Toc146106159"/>
      <w:bookmarkStart w:id="185" w:name="_Toc118531929"/>
      <w:bookmarkStart w:id="186" w:name="_Toc109118463"/>
      <w:bookmarkStart w:id="187" w:name="_Toc12072692"/>
      <w:bookmarkStart w:id="188" w:name="_Toc109012114"/>
      <w:bookmarkStart w:id="189" w:name="_Toc9568"/>
      <w:r>
        <w:rPr>
          <w:rFonts w:cs="Arial"/>
          <w:sz w:val="21"/>
          <w:szCs w:val="21"/>
        </w:rPr>
        <w:br w:type="page"/>
      </w:r>
    </w:p>
    <w:p>
      <w:pPr>
        <w:pStyle w:val="2"/>
        <w:spacing w:before="240"/>
        <w:rPr>
          <w:rFonts w:hint="eastAsia" w:ascii="Arial" w:hAnsi="Arial" w:eastAsia="方正黑体简体" w:cs="Arial"/>
          <w:b w:val="0"/>
          <w:bCs/>
          <w:sz w:val="32"/>
          <w:szCs w:val="32"/>
        </w:rPr>
      </w:pPr>
      <w:bookmarkStart w:id="190" w:name="_Toc29375"/>
      <w:r>
        <w:rPr>
          <w:rFonts w:hint="eastAsia" w:ascii="Arial" w:hAnsi="Arial" w:eastAsia="方正黑体简体" w:cs="Arial"/>
          <w:b w:val="0"/>
          <w:bCs/>
          <w:sz w:val="32"/>
          <w:szCs w:val="32"/>
        </w:rPr>
        <w:t>第六章</w:t>
      </w:r>
      <w:bookmarkEnd w:id="182"/>
      <w:bookmarkEnd w:id="183"/>
      <w:bookmarkEnd w:id="184"/>
      <w:bookmarkEnd w:id="185"/>
      <w:bookmarkEnd w:id="186"/>
      <w:bookmarkEnd w:id="187"/>
      <w:bookmarkEnd w:id="188"/>
      <w:r>
        <w:rPr>
          <w:rFonts w:hint="eastAsia" w:ascii="Arial" w:hAnsi="Arial" w:eastAsia="方正黑体简体" w:cs="Arial"/>
          <w:b w:val="0"/>
          <w:bCs/>
          <w:sz w:val="32"/>
          <w:szCs w:val="32"/>
        </w:rPr>
        <w:t xml:space="preserve"> 合理化建议</w:t>
      </w:r>
      <w:bookmarkEnd w:id="189"/>
      <w:bookmarkEnd w:id="190"/>
    </w:p>
    <w:p>
      <w:pPr>
        <w:spacing w:line="480" w:lineRule="auto"/>
        <w:ind w:firstLine="420" w:firstLineChars="200"/>
        <w:outlineLvl w:val="1"/>
        <w:rPr>
          <w:rFonts w:ascii="Arial" w:hAnsi="Arial" w:cs="Arial"/>
          <w:color w:val="000000"/>
          <w:sz w:val="21"/>
          <w:szCs w:val="21"/>
        </w:rPr>
      </w:pPr>
      <w:bookmarkStart w:id="191" w:name="_Toc10746"/>
      <w:r>
        <w:rPr>
          <w:rFonts w:hint="eastAsia" w:ascii="Arial" w:hAnsi="Arial" w:cs="Arial"/>
          <w:color w:val="000000"/>
          <w:sz w:val="21"/>
          <w:szCs w:val="21"/>
          <w:lang w:val="en-US" w:eastAsia="zh-CN"/>
        </w:rPr>
        <w:t>一</w:t>
      </w:r>
      <w:r>
        <w:rPr>
          <w:rFonts w:hint="eastAsia" w:ascii="Arial" w:hAnsi="Arial" w:cs="Arial"/>
          <w:color w:val="000000"/>
          <w:sz w:val="21"/>
          <w:szCs w:val="21"/>
        </w:rPr>
        <w:t>、资料完整性建议</w:t>
      </w:r>
      <w:bookmarkEnd w:id="191"/>
    </w:p>
    <w:p>
      <w:pPr>
        <w:bidi w:val="0"/>
        <w:spacing w:line="480" w:lineRule="auto"/>
        <w:ind w:firstLine="420" w:firstLineChars="200"/>
      </w:pPr>
      <w:r>
        <w:rPr>
          <w:rFonts w:hint="eastAsia" w:ascii="Arial" w:hAnsi="Arial" w:cs="Arial"/>
          <w:color w:val="000000"/>
          <w:sz w:val="21"/>
          <w:szCs w:val="21"/>
        </w:rPr>
        <w:t>现有合同流程文件大部分仍在代建公司绿城OA系统内使用对方开放端口进行查询，但是代建公司已经发函说明解约事宜并通知</w:t>
      </w:r>
      <w:r>
        <w:rPr>
          <w:rFonts w:hint="eastAsia" w:ascii="Arial" w:hAnsi="Arial" w:cs="Arial"/>
          <w:color w:val="000000"/>
          <w:sz w:val="21"/>
          <w:szCs w:val="21"/>
          <w:lang w:val="en-US" w:eastAsia="zh-CN"/>
        </w:rPr>
        <w:t>项目</w:t>
      </w:r>
      <w:r>
        <w:rPr>
          <w:rFonts w:hint="eastAsia" w:ascii="Arial" w:hAnsi="Arial" w:cs="Arial"/>
          <w:color w:val="000000"/>
          <w:sz w:val="21"/>
          <w:szCs w:val="21"/>
        </w:rPr>
        <w:t>公司停止使用对方品牌，有可能OA系统突然停止授权，开发项目预计还要停滞相对较长时间，所以建议项目团队梳理收集好相关线上及线下流程文件和流程信息，后期作为备查文件妥善保存。</w:t>
      </w:r>
    </w:p>
    <w:p>
      <w:pPr>
        <w:pStyle w:val="16"/>
        <w:numPr>
          <w:ilvl w:val="0"/>
          <w:numId w:val="0"/>
        </w:numPr>
        <w:spacing w:line="480" w:lineRule="auto"/>
        <w:ind w:leftChars="200"/>
        <w:outlineLvl w:val="1"/>
        <w:rPr>
          <w:rFonts w:ascii="Arial" w:hAnsi="Arial" w:cs="Arial"/>
          <w:color w:val="000000"/>
          <w:sz w:val="21"/>
          <w:szCs w:val="21"/>
        </w:rPr>
      </w:pPr>
      <w:bookmarkStart w:id="192" w:name="_Toc19176"/>
      <w:r>
        <w:rPr>
          <w:rFonts w:hint="eastAsia" w:ascii="Arial" w:hAnsi="Arial" w:cs="Arial"/>
          <w:color w:val="000000"/>
          <w:sz w:val="21"/>
          <w:szCs w:val="21"/>
          <w:lang w:val="en-US" w:eastAsia="zh-CN"/>
        </w:rPr>
        <w:t>二、</w:t>
      </w:r>
      <w:r>
        <w:rPr>
          <w:rFonts w:hint="eastAsia" w:ascii="Arial" w:hAnsi="Arial" w:cs="Arial"/>
          <w:color w:val="000000"/>
          <w:sz w:val="21"/>
          <w:szCs w:val="21"/>
        </w:rPr>
        <w:t>未履约合同建议</w:t>
      </w:r>
      <w:bookmarkEnd w:id="192"/>
    </w:p>
    <w:p>
      <w:pPr>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对未正式确认执行完毕的合同，建议让律师、会计师等专业人士协助判断风险程度，对重点合同进行更全面、专业的审查，减少风险和争议，对合同是否继续履约或进行支付款项等做出谨慎判断并决定好进一步处理的方式。</w:t>
      </w:r>
      <w:r>
        <w:rPr>
          <w:rFonts w:ascii="Arial" w:hAnsi="Arial" w:cs="Arial"/>
          <w:color w:val="000000"/>
          <w:sz w:val="21"/>
          <w:szCs w:val="21"/>
        </w:rPr>
        <w:t xml:space="preserve"> </w:t>
      </w:r>
    </w:p>
    <w:p>
      <w:pPr>
        <w:spacing w:line="480" w:lineRule="auto"/>
        <w:ind w:firstLine="420" w:firstLineChars="200"/>
        <w:outlineLvl w:val="1"/>
        <w:rPr>
          <w:rFonts w:ascii="Arial" w:hAnsi="Arial" w:cs="Arial"/>
          <w:color w:val="000000"/>
          <w:sz w:val="21"/>
          <w:szCs w:val="21"/>
        </w:rPr>
      </w:pPr>
      <w:bookmarkStart w:id="193" w:name="_Toc31919"/>
      <w:r>
        <w:rPr>
          <w:rFonts w:hint="eastAsia" w:ascii="Arial" w:hAnsi="Arial" w:cs="Arial"/>
          <w:color w:val="000000"/>
          <w:sz w:val="21"/>
          <w:szCs w:val="21"/>
          <w:lang w:val="en-US" w:eastAsia="zh-CN"/>
        </w:rPr>
        <w:t>三</w:t>
      </w:r>
      <w:r>
        <w:rPr>
          <w:rFonts w:hint="eastAsia" w:ascii="Arial" w:hAnsi="Arial" w:cs="Arial"/>
          <w:color w:val="000000"/>
          <w:sz w:val="21"/>
          <w:szCs w:val="21"/>
        </w:rPr>
        <w:t>、 项目土地建议</w:t>
      </w:r>
      <w:bookmarkEnd w:id="193"/>
    </w:p>
    <w:p>
      <w:pPr>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华昱公司于 2020 年11月18日通过招拍挂方式竞得该项目地块，并已缴清全部土地价款、税费及违约金，至今未能取得《不动产权证书》。根据《中华人民共和国城市房地产管理法》第二十六条规定，以出让方式取得土地使用权进行房地产开发的，必须按照土地使用权出让合同约定的土地用途、动工开发期限开发土地。超过出让合同约定的动工开发日期满一年未动工开发的，可以征收相当于土地使用权出让金百分之二十以下的土地闲置费；满二年未动工开发的，可以无偿收回土地使用权。因此，建议</w:t>
      </w:r>
      <w:r>
        <w:rPr>
          <w:rFonts w:hint="eastAsia" w:ascii="Arial" w:hAnsi="Arial" w:cs="Arial"/>
          <w:color w:val="000000"/>
          <w:sz w:val="21"/>
          <w:szCs w:val="21"/>
          <w:lang w:val="en-US" w:eastAsia="zh-CN"/>
        </w:rPr>
        <w:t>海鑫资产</w:t>
      </w:r>
      <w:r>
        <w:rPr>
          <w:rFonts w:hint="eastAsia" w:ascii="Arial" w:hAnsi="Arial" w:cs="Arial"/>
          <w:color w:val="000000"/>
          <w:sz w:val="21"/>
          <w:szCs w:val="21"/>
        </w:rPr>
        <w:t>及其上级单位密切关注此事，积极与当地政府沟通，争取尽早取得土地证。</w:t>
      </w:r>
    </w:p>
    <w:p>
      <w:pPr>
        <w:spacing w:line="480" w:lineRule="auto"/>
        <w:ind w:firstLine="420" w:firstLineChars="200"/>
        <w:outlineLvl w:val="1"/>
        <w:rPr>
          <w:rFonts w:ascii="Arial" w:hAnsi="Arial" w:cs="Arial"/>
          <w:color w:val="000000"/>
          <w:sz w:val="21"/>
          <w:szCs w:val="21"/>
        </w:rPr>
      </w:pPr>
      <w:bookmarkStart w:id="194" w:name="_Toc12372"/>
      <w:r>
        <w:rPr>
          <w:rFonts w:hint="eastAsia" w:ascii="Arial" w:hAnsi="Arial" w:cs="Arial"/>
          <w:color w:val="000000"/>
          <w:sz w:val="21"/>
          <w:szCs w:val="21"/>
          <w:lang w:val="en-US" w:eastAsia="zh-CN"/>
        </w:rPr>
        <w:t>四</w:t>
      </w:r>
      <w:r>
        <w:rPr>
          <w:rFonts w:hint="eastAsia" w:ascii="Arial" w:hAnsi="Arial" w:cs="Arial"/>
          <w:color w:val="000000"/>
          <w:sz w:val="21"/>
          <w:szCs w:val="21"/>
        </w:rPr>
        <w:t>、现场情况建议</w:t>
      </w:r>
      <w:bookmarkEnd w:id="194"/>
    </w:p>
    <w:p>
      <w:pPr>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我司已经派人对项目现场进行实地勘察，经调查本项目土地被邢台孔雀谷全地形越野车俱乐部占用，并投入运营使用。项目地已建起部分游乐设施，并还在扩建中。未经过合法土地使用权人同意，相关经营活动存在消防安全等风险隐患。建议与游乐园运营方和当地政府尽快沟通，及时处理，获取政府部门书面答复或相关支持性文件，避免</w:t>
      </w:r>
      <w:r>
        <w:rPr>
          <w:rFonts w:hint="eastAsia" w:ascii="Arial" w:hAnsi="Arial" w:cs="Arial"/>
          <w:color w:val="000000"/>
          <w:sz w:val="21"/>
          <w:szCs w:val="21"/>
          <w:lang w:val="en-US" w:eastAsia="zh-CN"/>
        </w:rPr>
        <w:t>海鑫资产</w:t>
      </w:r>
      <w:r>
        <w:rPr>
          <w:rFonts w:hint="eastAsia" w:ascii="Arial" w:hAnsi="Arial" w:cs="Arial"/>
          <w:color w:val="000000"/>
          <w:sz w:val="21"/>
          <w:szCs w:val="21"/>
        </w:rPr>
        <w:t>权利受到进一步侵害。</w:t>
      </w:r>
    </w:p>
    <w:p>
      <w:pPr>
        <w:numPr>
          <w:ilvl w:val="0"/>
          <w:numId w:val="0"/>
        </w:numPr>
        <w:spacing w:line="480" w:lineRule="auto"/>
        <w:ind w:firstLine="420" w:firstLineChars="200"/>
        <w:outlineLvl w:val="1"/>
        <w:rPr>
          <w:rFonts w:ascii="Arial" w:hAnsi="Arial" w:cs="Arial"/>
          <w:color w:val="000000"/>
          <w:sz w:val="21"/>
          <w:szCs w:val="21"/>
        </w:rPr>
      </w:pPr>
      <w:bookmarkStart w:id="195" w:name="_Toc26215"/>
      <w:r>
        <w:rPr>
          <w:rFonts w:hint="eastAsia" w:ascii="Arial" w:hAnsi="Arial" w:cs="Arial"/>
          <w:color w:val="000000"/>
          <w:sz w:val="21"/>
          <w:szCs w:val="21"/>
          <w:lang w:val="en-US" w:eastAsia="zh-CN"/>
        </w:rPr>
        <w:t>五、</w:t>
      </w:r>
      <w:r>
        <w:rPr>
          <w:rFonts w:hint="eastAsia" w:ascii="Arial" w:hAnsi="Arial" w:cs="Arial"/>
          <w:color w:val="000000"/>
          <w:sz w:val="21"/>
          <w:szCs w:val="21"/>
        </w:rPr>
        <w:t>代建方选择建议</w:t>
      </w:r>
      <w:bookmarkEnd w:id="195"/>
    </w:p>
    <w:p>
      <w:pPr>
        <w:numPr>
          <w:ilvl w:val="255"/>
          <w:numId w:val="0"/>
        </w:numPr>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代建开发目前是一种常态化的房地产投资操作，但代建方的选择及后期监督制衡机制需要进一步完善。可聘请独立第三方监管服务机构，协助委托人筛选代建公司，制定监管内控制度，从而使得投资人及时准确掌握项目情况，增加现场监管力度，对项目财务、工程、成本以及销售实时监控，从而使得投资人在防范风险前提下利益得到保障。</w:t>
      </w:r>
    </w:p>
    <w:p>
      <w:pPr>
        <w:numPr>
          <w:ilvl w:val="0"/>
          <w:numId w:val="0"/>
        </w:numPr>
        <w:spacing w:line="480" w:lineRule="auto"/>
        <w:ind w:firstLine="210" w:firstLineChars="100"/>
        <w:outlineLvl w:val="1"/>
        <w:rPr>
          <w:rFonts w:ascii="Arial" w:hAnsi="Arial" w:cs="Arial"/>
          <w:color w:val="000000"/>
          <w:sz w:val="21"/>
          <w:szCs w:val="21"/>
        </w:rPr>
      </w:pPr>
      <w:bookmarkStart w:id="196" w:name="_Toc3419"/>
      <w:r>
        <w:rPr>
          <w:rFonts w:hint="eastAsia" w:ascii="Arial" w:hAnsi="Arial" w:cs="Arial"/>
          <w:color w:val="000000"/>
          <w:sz w:val="21"/>
          <w:szCs w:val="21"/>
          <w:lang w:val="en-US" w:eastAsia="zh-CN"/>
        </w:rPr>
        <w:t>六、</w:t>
      </w:r>
      <w:r>
        <w:rPr>
          <w:rFonts w:hint="eastAsia" w:ascii="Arial" w:hAnsi="Arial" w:cs="Arial"/>
          <w:color w:val="000000"/>
          <w:sz w:val="21"/>
          <w:szCs w:val="21"/>
        </w:rPr>
        <w:t>异地报税建议</w:t>
      </w:r>
      <w:bookmarkEnd w:id="196"/>
    </w:p>
    <w:p>
      <w:pPr>
        <w:numPr>
          <w:ilvl w:val="255"/>
          <w:numId w:val="0"/>
        </w:numPr>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lang w:val="en-US" w:eastAsia="zh-CN"/>
        </w:rPr>
        <w:t>项目</w:t>
      </w:r>
      <w:r>
        <w:rPr>
          <w:rFonts w:hint="eastAsia" w:ascii="Arial" w:hAnsi="Arial" w:cs="Arial"/>
          <w:color w:val="000000"/>
          <w:sz w:val="21"/>
          <w:szCs w:val="21"/>
        </w:rPr>
        <w:t>公司人员目前已全部清退，现阶段所有文件移送至海鑫</w:t>
      </w:r>
      <w:r>
        <w:rPr>
          <w:rFonts w:hint="eastAsia" w:ascii="Arial" w:hAnsi="Arial" w:cs="Arial"/>
          <w:color w:val="000000"/>
          <w:sz w:val="21"/>
          <w:szCs w:val="21"/>
          <w:lang w:val="en-US" w:eastAsia="zh-CN"/>
        </w:rPr>
        <w:t>资产</w:t>
      </w:r>
      <w:r>
        <w:rPr>
          <w:rFonts w:hint="eastAsia" w:ascii="Arial" w:hAnsi="Arial" w:cs="Arial"/>
          <w:color w:val="000000"/>
          <w:sz w:val="21"/>
          <w:szCs w:val="21"/>
        </w:rPr>
        <w:t>收存，</w:t>
      </w:r>
      <w:r>
        <w:rPr>
          <w:rFonts w:hint="eastAsia" w:ascii="Arial" w:hAnsi="Arial" w:cs="Arial"/>
          <w:color w:val="000000"/>
          <w:sz w:val="21"/>
          <w:szCs w:val="21"/>
          <w:lang w:val="en-US" w:eastAsia="zh-CN"/>
        </w:rPr>
        <w:t>项目</w:t>
      </w:r>
      <w:r>
        <w:rPr>
          <w:rFonts w:hint="eastAsia" w:ascii="Arial" w:hAnsi="Arial" w:cs="Arial"/>
          <w:color w:val="000000"/>
          <w:sz w:val="21"/>
          <w:szCs w:val="21"/>
        </w:rPr>
        <w:t>公司存续期间每月涉及基本税务处理等操作，应密切关注当地税务制度更新，异地操作可能产生的影响。</w:t>
      </w:r>
    </w:p>
    <w:p>
      <w:pPr>
        <w:rPr>
          <w:rFonts w:hint="eastAsia" w:ascii="Arial" w:hAnsi="Arial" w:eastAsia="方正黑体简体" w:cs="Arial"/>
          <w:b w:val="0"/>
          <w:bCs/>
          <w:kern w:val="44"/>
          <w:sz w:val="32"/>
          <w:szCs w:val="32"/>
          <w:lang w:val="en-US" w:eastAsia="zh-CN" w:bidi="ar-SA"/>
        </w:rPr>
      </w:pPr>
      <w:r>
        <w:rPr>
          <w:rFonts w:hint="eastAsia" w:ascii="Arial" w:hAnsi="Arial" w:eastAsia="方正黑体简体" w:cs="Arial"/>
          <w:b w:val="0"/>
          <w:bCs/>
          <w:kern w:val="44"/>
          <w:sz w:val="32"/>
          <w:szCs w:val="32"/>
          <w:lang w:val="en-US" w:eastAsia="zh-CN" w:bidi="ar-SA"/>
        </w:rPr>
        <w:br w:type="page"/>
      </w:r>
    </w:p>
    <w:p>
      <w:pPr>
        <w:spacing w:line="480" w:lineRule="auto"/>
        <w:jc w:val="center"/>
        <w:outlineLvl w:val="0"/>
        <w:rPr>
          <w:rFonts w:ascii="Arial" w:hAnsi="Arial" w:cs="Arial"/>
          <w:color w:val="000000"/>
          <w:sz w:val="21"/>
          <w:szCs w:val="21"/>
          <w:shd w:val="clear" w:color="auto" w:fill="auto"/>
        </w:rPr>
      </w:pPr>
      <w:bookmarkStart w:id="197" w:name="_Toc18539"/>
      <w:r>
        <w:rPr>
          <w:rFonts w:hint="eastAsia" w:ascii="Arial" w:hAnsi="Arial" w:eastAsia="方正黑体简体" w:cs="Arial"/>
          <w:b w:val="0"/>
          <w:bCs/>
          <w:kern w:val="44"/>
          <w:sz w:val="32"/>
          <w:szCs w:val="32"/>
          <w:lang w:val="en-US" w:eastAsia="zh-CN" w:bidi="ar-SA"/>
        </w:rPr>
        <w:t>第七章  房地产投资运作分析</w:t>
      </w:r>
      <w:bookmarkEnd w:id="197"/>
    </w:p>
    <w:p>
      <w:pPr>
        <w:numPr>
          <w:ilvl w:val="255"/>
          <w:numId w:val="0"/>
        </w:numPr>
        <w:spacing w:line="480" w:lineRule="auto"/>
        <w:outlineLvl w:val="1"/>
        <w:rPr>
          <w:rFonts w:hint="eastAsia" w:ascii="Arial" w:hAnsi="Arial" w:cs="Arial"/>
          <w:b/>
          <w:bCs/>
          <w:color w:val="000000"/>
          <w:sz w:val="21"/>
          <w:szCs w:val="21"/>
        </w:rPr>
      </w:pPr>
      <w:bookmarkStart w:id="198" w:name="_Toc26880"/>
      <w:bookmarkStart w:id="199" w:name="_Toc25640"/>
      <w:bookmarkStart w:id="200" w:name="_Toc9511"/>
      <w:bookmarkStart w:id="201" w:name="_Toc14609"/>
      <w:bookmarkStart w:id="202" w:name="_Toc13856"/>
      <w:r>
        <w:rPr>
          <w:rFonts w:hint="eastAsia" w:ascii="Arial" w:hAnsi="Arial" w:cs="Arial"/>
          <w:b/>
          <w:bCs/>
          <w:color w:val="000000"/>
          <w:sz w:val="21"/>
          <w:szCs w:val="21"/>
        </w:rPr>
        <w:t>一、</w:t>
      </w:r>
      <w:bookmarkEnd w:id="198"/>
      <w:bookmarkEnd w:id="199"/>
      <w:r>
        <w:rPr>
          <w:rFonts w:hint="eastAsia" w:ascii="Arial" w:hAnsi="Arial" w:cs="Arial"/>
          <w:b/>
          <w:bCs/>
          <w:color w:val="000000"/>
          <w:sz w:val="21"/>
          <w:szCs w:val="21"/>
        </w:rPr>
        <w:t>房地产投资一般步骤</w:t>
      </w:r>
      <w:bookmarkEnd w:id="200"/>
    </w:p>
    <w:p>
      <w:pPr>
        <w:numPr>
          <w:ilvl w:val="255"/>
          <w:numId w:val="0"/>
        </w:numPr>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房地产股权投资是投资人运用自有资金或其他合法来源的资金，以房地产为主要投资对象，主要包括从事房地产企业和项目的投资、开发、管理和退出的行为。投资人从事房地产投资的一般步骤如下：</w:t>
      </w:r>
    </w:p>
    <w:p>
      <w:pPr>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1、首先，制定房地产投资整体战略：确定投资房地产的城市区域（如选择一线或二线城市）；确定投资房地产的类型（住宅、公寓、商业或办公）；确定投资方式（新项目股权投资或并购不良资产等）；确定房地产投资规模；初步设定可接受的IRR范围等。根据公司资金来源、企业性质以及风险偏好确定。</w:t>
      </w:r>
    </w:p>
    <w:p>
      <w:pPr>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2、其次，项目尽职调查：根据公司的战略要求寻找符合要求的项目，并随即要对项目展开尽职调查。尽职调查的主要内容包括：基础资料收集、项目方案要素、项目区域市场分析、交易对手分析（专业能力、股东背景及财务状况分析）、项目产品分析、项目开发预测（现金流预测、开发过程预测、销售预期预测）、政策分析及预判、风险分析等。尽职调查需要结合房地产财务、工程建设成本、销售方案设计以及法律等多方面专业知识人员。该部分可以聘请专业第三方进行。</w:t>
      </w:r>
    </w:p>
    <w:p>
      <w:pPr>
        <w:spacing w:line="480" w:lineRule="auto"/>
        <w:rPr>
          <w:rFonts w:ascii="Arial" w:hAnsi="Arial" w:cs="Arial"/>
          <w:color w:val="000000"/>
          <w:sz w:val="21"/>
          <w:szCs w:val="21"/>
        </w:rPr>
      </w:pPr>
      <w:r>
        <w:rPr>
          <w:rFonts w:hint="eastAsia" w:ascii="Arial" w:hAnsi="Arial" w:cs="Arial"/>
          <w:color w:val="000000"/>
          <w:sz w:val="21"/>
          <w:szCs w:val="21"/>
        </w:rPr>
        <w:t>若所投资项目已经处于困境，可聘请第三方专业机构，对项目进行风险排查，短期内掌握项目真实情况，并提供解决建议方案。</w:t>
      </w:r>
    </w:p>
    <w:p>
      <w:pPr>
        <w:spacing w:line="480" w:lineRule="auto"/>
        <w:ind w:firstLine="420" w:firstLineChars="200"/>
        <w:outlineLvl w:val="2"/>
        <w:rPr>
          <w:rFonts w:ascii="Arial" w:hAnsi="Arial" w:cs="Arial"/>
          <w:color w:val="000000"/>
          <w:sz w:val="21"/>
          <w:szCs w:val="21"/>
        </w:rPr>
      </w:pPr>
      <w:r>
        <w:rPr>
          <w:rFonts w:hint="eastAsia" w:ascii="Arial" w:hAnsi="Arial" w:cs="Arial"/>
          <w:color w:val="000000"/>
          <w:sz w:val="21"/>
          <w:szCs w:val="21"/>
        </w:rPr>
        <w:t>3、再次，合作对象的选择：</w:t>
      </w:r>
    </w:p>
    <w:p>
      <w:pPr>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①合作对手是实力雄厚的房地产开发公司时，可以与房地产开发公司共同成立有限合伙企业，双方按投资比率持股，合伙企业100%持有项目公司股权。双方按照之前协商好的权利义务共同管理项目公司。投资机构通常再选择第三方专业机构，指派专业人员进驻项目，代替金融机构对项目开发过程进行全面监督管理。</w:t>
      </w:r>
    </w:p>
    <w:p>
      <w:pPr>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②合作对手实力较弱或者没有开发经验时，需要寻找实力较强的房地产公司进行代建。本合作方案若投资机构专业人员不足时，应该由第三方专业机构，针对性制定代建公司招标流程以及制定后期监管方案。在代建公司确定后，针对性的制定财务制度、工程成本制度、项目公司管理制度，并内嵌监督机制。便于投资机构实施掌握项目进展情况以及剩余货值情况，及时准确了解项目动态，起到真正预防风险作用。</w:t>
      </w:r>
    </w:p>
    <w:p>
      <w:pPr>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lang w:val="en-US" w:eastAsia="zh-CN"/>
        </w:rPr>
        <w:t>4、</w:t>
      </w:r>
      <w:r>
        <w:rPr>
          <w:rFonts w:hint="eastAsia" w:ascii="Arial" w:hAnsi="Arial" w:cs="Arial"/>
          <w:color w:val="000000"/>
          <w:sz w:val="21"/>
          <w:szCs w:val="21"/>
        </w:rPr>
        <w:t>决策：投资机构的决策委员会集体讨论，通过房地产投资尽调方案。</w:t>
      </w:r>
    </w:p>
    <w:p>
      <w:pPr>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lang w:val="en-US" w:eastAsia="zh-CN"/>
        </w:rPr>
        <w:t>5、</w:t>
      </w:r>
      <w:r>
        <w:rPr>
          <w:rFonts w:hint="eastAsia" w:ascii="Arial" w:hAnsi="Arial" w:cs="Arial"/>
          <w:color w:val="000000"/>
          <w:sz w:val="21"/>
          <w:szCs w:val="21"/>
        </w:rPr>
        <w:t>开发过程管理：投资机构需要针对房地产开发过程进行全面管理，主要包括：印鉴证照管理、银行账户管理、资金管理、合同管理、工程管理、销售管理、动态成本管控、企业经营情况管理等。金融机构通常委托专业第三方对上述事项进行监管。</w:t>
      </w:r>
    </w:p>
    <w:p>
      <w:pPr>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lang w:val="en-US" w:eastAsia="zh-CN"/>
        </w:rPr>
        <w:t>6、</w:t>
      </w:r>
      <w:r>
        <w:rPr>
          <w:rFonts w:hint="eastAsia" w:ascii="Arial" w:hAnsi="Arial" w:cs="Arial"/>
          <w:color w:val="000000"/>
          <w:sz w:val="21"/>
          <w:szCs w:val="21"/>
        </w:rPr>
        <w:t>税收优化：是指在房地产公司的纳税行为发生之前，在不违反法律、法规的前提下，通过对项目公司的经营活动或投资行为等涉税事项做出事先安排，以达到少缴税或递延纳税目标。</w:t>
      </w:r>
    </w:p>
    <w:p>
      <w:pPr>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lang w:val="en-US" w:eastAsia="zh-CN"/>
        </w:rPr>
        <w:t>7、</w:t>
      </w:r>
      <w:r>
        <w:rPr>
          <w:rFonts w:hint="eastAsia" w:ascii="Arial" w:hAnsi="Arial" w:cs="Arial"/>
          <w:color w:val="000000"/>
          <w:sz w:val="21"/>
          <w:szCs w:val="21"/>
        </w:rPr>
        <w:t>最后，投资退出模拟清算：通过明确模拟清算退出时点如何计算收入、成本、税费等，以提前确认最终合作各方究竟共有多少利润可以分配，并进而考虑如何分配该利润，以实现合作方退出。</w:t>
      </w:r>
    </w:p>
    <w:p>
      <w:pPr>
        <w:spacing w:line="480" w:lineRule="auto"/>
        <w:outlineLvl w:val="1"/>
        <w:rPr>
          <w:rFonts w:hint="eastAsia" w:ascii="Arial" w:hAnsi="Arial" w:cs="Arial"/>
          <w:b/>
          <w:bCs/>
          <w:color w:val="000000"/>
          <w:sz w:val="21"/>
          <w:szCs w:val="21"/>
        </w:rPr>
      </w:pPr>
      <w:bookmarkStart w:id="203" w:name="_Toc19483"/>
      <w:r>
        <w:rPr>
          <w:rFonts w:hint="eastAsia" w:ascii="Arial" w:hAnsi="Arial" w:cs="Arial"/>
          <w:b/>
          <w:bCs/>
          <w:color w:val="000000"/>
          <w:sz w:val="21"/>
          <w:szCs w:val="21"/>
          <w:lang w:val="en-US" w:eastAsia="zh-CN"/>
        </w:rPr>
        <w:t>二</w:t>
      </w:r>
      <w:r>
        <w:rPr>
          <w:rFonts w:hint="eastAsia" w:ascii="Arial" w:hAnsi="Arial" w:cs="Arial"/>
          <w:b/>
          <w:bCs/>
          <w:color w:val="000000"/>
          <w:sz w:val="21"/>
          <w:szCs w:val="21"/>
        </w:rPr>
        <w:t>、代建模式固有缺陷、影响及应对</w:t>
      </w:r>
      <w:bookmarkEnd w:id="203"/>
    </w:p>
    <w:p>
      <w:pPr>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1、代建模式固有缺陷</w:t>
      </w:r>
    </w:p>
    <w:p>
      <w:pPr>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 xml:space="preserve">现有形势下，以代建模式合作投资项目具备一定显著优势，需要在过程中确定好全责的认定，和利润的合理划分，先保证投资人的前提下建立对等的合作关系，近些年在代建项目中存在着一些固有的缺陷，主要存在的缺陷为： </w:t>
      </w:r>
    </w:p>
    <w:p>
      <w:pPr>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 xml:space="preserve">①投资人与代建方存在专业壁垒，投资人难以有效管理代建方； </w:t>
      </w:r>
    </w:p>
    <w:p>
      <w:pPr>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 xml:space="preserve">②代建模式下代建方责任小，在投资人缺乏专业性的情况下，代建方将获得 过大的权力，导致责权不对等、投资人决策权易流于形式； </w:t>
      </w:r>
    </w:p>
    <w:p>
      <w:pPr>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③代建方的行为对项目收益影响巨大，但其却没有提高项目收益的内在动力，也不可能自我管理，导致原本应具备的重要管控机制缺失。</w:t>
      </w:r>
    </w:p>
    <w:p>
      <w:pPr>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2、代建模式对项目影响</w:t>
      </w:r>
    </w:p>
    <w:p>
      <w:pPr>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 xml:space="preserve">代建模式的固有缺陷，可能将严重影响投资人收益，主要体现在以下几点： </w:t>
      </w:r>
    </w:p>
    <w:p>
      <w:pPr>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 xml:space="preserve">①代建方及相关人员不当得利：不公允的关联方交易导致成本增加； </w:t>
      </w:r>
    </w:p>
    <w:p>
      <w:pPr>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 xml:space="preserve">②投资人对项目公司控制力弱：员工易受代建方引导，不以“维护投资人利益”作为自己的工作准则； </w:t>
      </w:r>
    </w:p>
    <w:p>
      <w:pPr>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 xml:space="preserve">③监管制度不到位，员工腐败、舞弊风险高：重要管控机制缺失，员工行为难以受到有效约d项目运作中统筹整合力弱：代建方不对项目运营后果负责，难以从全局角度（特别是影响项目收益的角度）考虑问题； </w:t>
      </w:r>
    </w:p>
    <w:p>
      <w:pPr>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 xml:space="preserve">④有预算无执行：代建方来控制预算执行可能会落入“自我限制”的悖论； </w:t>
      </w:r>
    </w:p>
    <w:p>
      <w:pPr>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 xml:space="preserve">f成本管理混乱：专业、高效的成本管理反而不符合代建方利益； </w:t>
      </w:r>
    </w:p>
    <w:p>
      <w:pPr>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 xml:space="preserve">⑤开发计划执行不力：代建方缺少主动且高效解决影响开发进程问题的行动力。 </w:t>
      </w:r>
    </w:p>
    <w:p>
      <w:pPr>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3、投资人管理应对</w:t>
      </w:r>
    </w:p>
    <w:p>
      <w:pPr>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制度必须先行，项目才能更有保证。制度内容包含：a内控体系；b计划预算；c财务管理；d开发管理；e成本管理；f销售管理；g要件管理共计七个关键模块必须要控制到位。最终目的是保证项目资金安全，促进各方利益的保证。</w:t>
      </w:r>
    </w:p>
    <w:p>
      <w:pPr>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①在投资决策前多方比较代建公司，在合同中落实确认好双方的权责，以项目共赢为前提条件拟定好开发建设产品形式和对应的开发投资总投资概算，具体实施过程中严格按照预算执行；</w:t>
      </w:r>
    </w:p>
    <w:p>
      <w:pPr>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 xml:space="preserve">②投资人在项目公司运转的关键节点执行控制，将投资人决策落实到位； </w:t>
      </w:r>
    </w:p>
    <w:p>
      <w:pPr>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③项目组需要有效约束代建方的行为，努力促进项目各方的正当利益得到保证，可在过程中聘请三方机构补充后台团队管理能力，实时对项目监督管理。</w:t>
      </w:r>
    </w:p>
    <w:p>
      <w:pPr>
        <w:spacing w:line="480" w:lineRule="auto"/>
        <w:outlineLvl w:val="1"/>
        <w:rPr>
          <w:rFonts w:hint="eastAsia" w:ascii="Arial" w:hAnsi="Arial" w:cs="Arial"/>
          <w:b/>
          <w:bCs/>
          <w:color w:val="000000"/>
          <w:sz w:val="21"/>
          <w:szCs w:val="21"/>
          <w:lang w:val="en-US" w:eastAsia="zh-CN"/>
        </w:rPr>
      </w:pPr>
      <w:bookmarkStart w:id="204" w:name="_Toc10995"/>
      <w:r>
        <w:rPr>
          <w:rFonts w:hint="eastAsia" w:ascii="Arial" w:hAnsi="Arial" w:cs="Arial"/>
          <w:b/>
          <w:bCs/>
          <w:color w:val="000000"/>
          <w:sz w:val="21"/>
          <w:szCs w:val="21"/>
          <w:lang w:val="en-US" w:eastAsia="zh-CN"/>
        </w:rPr>
        <w:t>三、房地产投资代建监管的重要性</w:t>
      </w:r>
      <w:bookmarkEnd w:id="204"/>
    </w:p>
    <w:p>
      <w:pPr>
        <w:spacing w:line="480" w:lineRule="auto"/>
        <w:ind w:firstLine="210" w:firstLineChars="100"/>
        <w:rPr>
          <w:rFonts w:hint="eastAsia" w:ascii="Arial" w:hAnsi="Arial" w:cs="Arial"/>
          <w:color w:val="000000"/>
          <w:sz w:val="21"/>
          <w:szCs w:val="21"/>
        </w:rPr>
      </w:pPr>
      <w:r>
        <w:rPr>
          <w:rFonts w:hint="eastAsia" w:ascii="Arial" w:hAnsi="Arial" w:cs="Arial"/>
          <w:color w:val="000000"/>
          <w:sz w:val="21"/>
          <w:szCs w:val="21"/>
        </w:rPr>
        <w:t>房地产代建项目选择第三方监管的重要性有如下四点：</w:t>
      </w:r>
    </w:p>
    <w:p>
      <w:pPr>
        <w:spacing w:line="480" w:lineRule="auto"/>
        <w:rPr>
          <w:rFonts w:hint="eastAsia" w:ascii="Arial" w:hAnsi="Arial" w:cs="Arial"/>
          <w:color w:val="000000"/>
          <w:sz w:val="21"/>
          <w:szCs w:val="21"/>
        </w:rPr>
      </w:pPr>
      <w:r>
        <w:rPr>
          <w:rFonts w:hint="eastAsia" w:ascii="Arial" w:hAnsi="Arial" w:cs="Arial"/>
          <w:color w:val="000000"/>
          <w:sz w:val="21"/>
          <w:szCs w:val="21"/>
        </w:rPr>
        <w:t>1、预警功能</w:t>
      </w:r>
    </w:p>
    <w:p>
      <w:pPr>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①企业经营状况预警：对企业财务状况、经营策略、代建公司重要人事变动以及集团公司资金情况等进行监督，发现异常及时向投资人预警。</w:t>
      </w:r>
    </w:p>
    <w:p>
      <w:pPr>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②工程进度节点预警：对工程进度、工程款支付真实性、工地工人工作状况、工程造价成本真实性等进行监督，防止代建公司关联公司分包、利益输送以及工程款不合理支付等现象。发现异常及时向投资人预警。</w:t>
      </w:r>
    </w:p>
    <w:p>
      <w:pPr>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③销售回款预警：对销售数据真实性核实、销售合同凭证检查、销售资金流向监督等，避免体外收款、销售资金与销售面积不符等情况，发现异常及时向投资人预警。</w:t>
      </w:r>
    </w:p>
    <w:p>
      <w:pPr>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④项目动态价值监控预警（预警的核心功能）：对项目的动态成本进行监督，剩余货值实时监控及时关注资金安全，发现异常及时向投资人预警。</w:t>
      </w:r>
    </w:p>
    <w:p>
      <w:pPr>
        <w:spacing w:line="480" w:lineRule="auto"/>
        <w:ind w:firstLine="210" w:firstLineChars="100"/>
        <w:rPr>
          <w:rFonts w:hint="eastAsia" w:ascii="Arial" w:hAnsi="Arial" w:cs="Arial"/>
          <w:color w:val="000000"/>
          <w:sz w:val="21"/>
          <w:szCs w:val="21"/>
        </w:rPr>
      </w:pPr>
      <w:r>
        <w:rPr>
          <w:rFonts w:hint="eastAsia" w:ascii="Arial" w:hAnsi="Arial" w:cs="Arial"/>
          <w:color w:val="000000"/>
          <w:sz w:val="21"/>
          <w:szCs w:val="21"/>
        </w:rPr>
        <w:t>2、节本增效功能</w:t>
      </w:r>
    </w:p>
    <w:p>
      <w:pPr>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 xml:space="preserve">   对权益类的房地产投资来说，严格管理工程成本支出非常有必要，因为节约的成本都是投资人的收益。</w:t>
      </w:r>
    </w:p>
    <w:p>
      <w:pPr>
        <w:spacing w:line="480" w:lineRule="auto"/>
        <w:ind w:firstLine="210" w:firstLineChars="100"/>
        <w:rPr>
          <w:rFonts w:hint="eastAsia" w:ascii="Arial" w:hAnsi="Arial" w:cs="Arial"/>
          <w:color w:val="000000"/>
          <w:sz w:val="21"/>
          <w:szCs w:val="21"/>
        </w:rPr>
      </w:pPr>
      <w:r>
        <w:rPr>
          <w:rFonts w:hint="eastAsia" w:ascii="Arial" w:hAnsi="Arial" w:cs="Arial"/>
          <w:color w:val="000000"/>
          <w:sz w:val="21"/>
          <w:szCs w:val="21"/>
        </w:rPr>
        <w:t>3、高效沟通功能</w:t>
      </w:r>
    </w:p>
    <w:p>
      <w:pPr>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 xml:space="preserve">   做好投资人与代建公司之间良好沟通的桥梁，处理好各方工作中的沟通事宜，用耐心的服务态度化解代建公司的情绪，确保沟通顺畅。</w:t>
      </w:r>
    </w:p>
    <w:p>
      <w:pPr>
        <w:spacing w:line="480" w:lineRule="auto"/>
        <w:ind w:firstLine="210" w:firstLineChars="100"/>
        <w:rPr>
          <w:rFonts w:hint="eastAsia" w:ascii="Arial" w:hAnsi="Arial" w:cs="Arial"/>
          <w:color w:val="000000"/>
          <w:sz w:val="21"/>
          <w:szCs w:val="21"/>
        </w:rPr>
      </w:pPr>
      <w:r>
        <w:rPr>
          <w:rFonts w:hint="eastAsia" w:ascii="Arial" w:hAnsi="Arial" w:cs="Arial"/>
          <w:color w:val="000000"/>
          <w:sz w:val="21"/>
          <w:szCs w:val="21"/>
        </w:rPr>
        <w:t>4、提高决策效率功能</w:t>
      </w:r>
    </w:p>
    <w:p>
      <w:pPr>
        <w:spacing w:line="480" w:lineRule="auto"/>
        <w:ind w:firstLine="420" w:firstLineChars="200"/>
        <w:rPr>
          <w:rFonts w:hint="eastAsia" w:ascii="Arial" w:hAnsi="Arial" w:cs="Arial"/>
          <w:color w:val="000000"/>
          <w:sz w:val="21"/>
          <w:szCs w:val="21"/>
        </w:rPr>
      </w:pPr>
      <w:r>
        <w:rPr>
          <w:rFonts w:hint="eastAsia" w:ascii="Arial" w:hAnsi="Arial" w:cs="Arial"/>
          <w:color w:val="000000"/>
          <w:sz w:val="21"/>
          <w:szCs w:val="21"/>
        </w:rPr>
        <w:t xml:space="preserve">   针对某一事项，在收集必要资料信息后，为投资人提供可靠专业的意见，投资人以此依据可以迅速做出决策。</w:t>
      </w:r>
    </w:p>
    <w:p>
      <w:pPr>
        <w:spacing w:line="480" w:lineRule="auto"/>
        <w:jc w:val="center"/>
        <w:rPr>
          <w:rFonts w:ascii="Arial" w:hAnsi="Arial" w:cs="Arial"/>
          <w:color w:val="000000"/>
          <w:sz w:val="21"/>
          <w:szCs w:val="21"/>
        </w:rPr>
      </w:pPr>
    </w:p>
    <w:p>
      <w:pPr>
        <w:rPr>
          <w:rFonts w:hint="eastAsia" w:ascii="Arial" w:hAnsi="Arial" w:cs="Arial"/>
          <w:color w:val="000000"/>
          <w:sz w:val="21"/>
          <w:szCs w:val="21"/>
        </w:rPr>
      </w:pPr>
      <w:r>
        <w:rPr>
          <w:rFonts w:hint="eastAsia" w:ascii="Arial" w:hAnsi="Arial" w:cs="Arial"/>
          <w:color w:val="000000"/>
          <w:sz w:val="21"/>
          <w:szCs w:val="21"/>
        </w:rPr>
        <w:br w:type="page"/>
      </w:r>
    </w:p>
    <w:p>
      <w:pPr>
        <w:spacing w:line="480" w:lineRule="auto"/>
        <w:ind w:firstLine="640" w:firstLineChars="200"/>
        <w:jc w:val="center"/>
        <w:outlineLvl w:val="0"/>
      </w:pPr>
      <w:bookmarkStart w:id="205" w:name="_Toc12733"/>
      <w:r>
        <w:rPr>
          <w:rFonts w:hint="eastAsia" w:ascii="Arial" w:hAnsi="Arial" w:eastAsia="方正黑体简体" w:cs="Arial"/>
          <w:b w:val="0"/>
          <w:bCs/>
          <w:kern w:val="44"/>
          <w:sz w:val="32"/>
          <w:szCs w:val="32"/>
          <w:lang w:val="en-US" w:eastAsia="zh-CN" w:bidi="ar-SA"/>
        </w:rPr>
        <w:t>第八章 总结</w:t>
      </w:r>
      <w:bookmarkEnd w:id="201"/>
      <w:bookmarkEnd w:id="202"/>
      <w:bookmarkEnd w:id="205"/>
    </w:p>
    <w:p>
      <w:pPr>
        <w:numPr>
          <w:ilvl w:val="255"/>
          <w:numId w:val="0"/>
        </w:numPr>
        <w:spacing w:line="480" w:lineRule="auto"/>
        <w:ind w:firstLine="420" w:firstLineChars="200"/>
        <w:rPr>
          <w:rFonts w:hint="eastAsia" w:ascii="微软雅黑" w:hAnsi="微软雅黑" w:eastAsia="微软雅黑" w:cs="微软雅黑"/>
          <w:color w:val="000000"/>
          <w:sz w:val="20"/>
          <w:szCs w:val="20"/>
          <w:lang w:bidi="ar"/>
        </w:rPr>
      </w:pPr>
      <w:r>
        <w:rPr>
          <w:rFonts w:hint="eastAsia" w:ascii="Arial" w:hAnsi="Arial" w:cs="Arial"/>
          <w:color w:val="000000"/>
          <w:sz w:val="21"/>
          <w:szCs w:val="21"/>
        </w:rPr>
        <w:t xml:space="preserve"> </w:t>
      </w:r>
      <w:bookmarkStart w:id="206" w:name="_Toc76889716"/>
      <w:bookmarkStart w:id="207" w:name="_Toc146106173"/>
      <w:bookmarkStart w:id="208" w:name="_Toc118531935"/>
      <w:bookmarkStart w:id="209" w:name="_Toc109118469"/>
      <w:bookmarkStart w:id="210" w:name="_Toc44300291"/>
      <w:r>
        <w:rPr>
          <w:rFonts w:hint="eastAsia" w:ascii="Arial" w:hAnsi="Arial" w:cs="Arial"/>
          <w:color w:val="000000"/>
          <w:sz w:val="21"/>
          <w:szCs w:val="21"/>
        </w:rPr>
        <w:t>本次报告，是根据委托人的要求，</w:t>
      </w:r>
      <w:r>
        <w:rPr>
          <w:rFonts w:hint="eastAsia" w:ascii="Arial" w:hAnsi="Arial" w:cs="Arial"/>
          <w:color w:val="000000"/>
          <w:sz w:val="21"/>
          <w:szCs w:val="21"/>
          <w:lang w:val="en-US" w:eastAsia="zh-CN"/>
        </w:rPr>
        <w:t>海鑫资产</w:t>
      </w:r>
      <w:r>
        <w:rPr>
          <w:rFonts w:hint="eastAsia" w:ascii="Arial" w:hAnsi="Arial" w:cs="Arial"/>
          <w:color w:val="000000"/>
          <w:sz w:val="21"/>
          <w:szCs w:val="21"/>
        </w:rPr>
        <w:t>已经提供的资料和我司派专人前往现场进行勘察。通过这段时间调研了大量资料以及合同合同，并与</w:t>
      </w:r>
      <w:r>
        <w:rPr>
          <w:rFonts w:hint="eastAsia" w:ascii="Arial" w:hAnsi="Arial" w:cs="Arial"/>
          <w:color w:val="000000"/>
          <w:sz w:val="21"/>
          <w:szCs w:val="21"/>
          <w:lang w:val="en-US" w:eastAsia="zh-CN"/>
        </w:rPr>
        <w:t>海鑫资产</w:t>
      </w:r>
      <w:r>
        <w:rPr>
          <w:rFonts w:hint="eastAsia" w:ascii="Arial" w:hAnsi="Arial" w:cs="Arial"/>
          <w:color w:val="000000"/>
          <w:sz w:val="21"/>
          <w:szCs w:val="21"/>
        </w:rPr>
        <w:t>相关人员访谈，同时结合现场情况，得出上述报告。因本项目从2020年开始跨度至今、代建公司终止服务、</w:t>
      </w:r>
      <w:r>
        <w:rPr>
          <w:rFonts w:hint="eastAsia" w:ascii="Arial" w:hAnsi="Arial" w:cs="Arial"/>
          <w:color w:val="000000"/>
          <w:sz w:val="21"/>
          <w:szCs w:val="21"/>
          <w:lang w:val="en-US" w:eastAsia="zh-CN"/>
        </w:rPr>
        <w:t>项目</w:t>
      </w:r>
      <w:r>
        <w:rPr>
          <w:rFonts w:hint="eastAsia" w:ascii="Arial" w:hAnsi="Arial" w:cs="Arial"/>
          <w:color w:val="000000"/>
          <w:sz w:val="21"/>
          <w:szCs w:val="21"/>
        </w:rPr>
        <w:t>公司人员清退等原因，我们通过有限资料得出上述分析和结论。建议委托人在完全了解本报告中我司提出的各部分的分析情况后，正对可能得风险项进一步开展法律层面的梳理分析，后期可告知</w:t>
      </w:r>
      <w:r>
        <w:rPr>
          <w:rFonts w:hint="eastAsia" w:ascii="Arial" w:hAnsi="Arial" w:cs="Arial"/>
          <w:color w:val="000000"/>
          <w:sz w:val="21"/>
          <w:szCs w:val="21"/>
          <w:lang w:val="en-US" w:eastAsia="zh-CN"/>
        </w:rPr>
        <w:t>海鑫资产</w:t>
      </w:r>
      <w:r>
        <w:rPr>
          <w:rFonts w:hint="eastAsia" w:ascii="Arial" w:hAnsi="Arial" w:cs="Arial"/>
          <w:color w:val="000000"/>
          <w:sz w:val="21"/>
          <w:szCs w:val="21"/>
        </w:rPr>
        <w:t>注意事项，协助其做出对应问题的处理解决，保证本项目投资的后期风险的可控，资金及资产的安全。</w:t>
      </w:r>
    </w:p>
    <w:bookmarkEnd w:id="206"/>
    <w:bookmarkEnd w:id="207"/>
    <w:bookmarkEnd w:id="208"/>
    <w:bookmarkEnd w:id="209"/>
    <w:bookmarkEnd w:id="210"/>
    <w:p>
      <w:pPr>
        <w:spacing w:line="480" w:lineRule="auto"/>
        <w:ind w:firstLine="210" w:firstLineChars="100"/>
        <w:rPr>
          <w:rFonts w:eastAsia="宋体" w:cs="Arial"/>
          <w:b w:val="0"/>
          <w:bCs/>
          <w:sz w:val="21"/>
          <w:szCs w:val="21"/>
        </w:rPr>
      </w:pPr>
      <w:bookmarkStart w:id="211" w:name="_Toc17741"/>
      <w:bookmarkStart w:id="212" w:name="_Toc15286"/>
    </w:p>
    <w:p>
      <w:pPr>
        <w:spacing w:line="480" w:lineRule="auto"/>
        <w:rPr>
          <w:rFonts w:eastAsia="宋体" w:cs="Arial"/>
          <w:b w:val="0"/>
          <w:bCs/>
          <w:sz w:val="21"/>
          <w:szCs w:val="21"/>
        </w:rPr>
      </w:pPr>
      <w:r>
        <w:rPr>
          <w:rFonts w:eastAsia="宋体" w:cs="Arial"/>
          <w:b w:val="0"/>
          <w:bCs/>
          <w:sz w:val="21"/>
          <w:szCs w:val="21"/>
        </w:rPr>
        <w:t>附</w:t>
      </w:r>
      <w:r>
        <w:rPr>
          <w:rFonts w:hint="eastAsia" w:eastAsia="宋体" w:cs="Arial"/>
          <w:b w:val="0"/>
          <w:bCs/>
          <w:sz w:val="21"/>
          <w:szCs w:val="21"/>
        </w:rPr>
        <w:t>件</w:t>
      </w:r>
      <w:r>
        <w:rPr>
          <w:rFonts w:eastAsia="宋体" w:cs="Arial"/>
          <w:b w:val="0"/>
          <w:bCs/>
          <w:sz w:val="21"/>
          <w:szCs w:val="21"/>
        </w:rPr>
        <w:t>：</w:t>
      </w:r>
      <w:bookmarkEnd w:id="211"/>
      <w:bookmarkEnd w:id="212"/>
    </w:p>
    <w:p>
      <w:pPr>
        <w:spacing w:line="480" w:lineRule="auto"/>
        <w:ind w:firstLine="210" w:firstLineChars="100"/>
        <w:rPr>
          <w:rFonts w:ascii="Arial" w:hAnsi="Arial" w:cs="Arial"/>
          <w:bCs/>
          <w:color w:val="000000"/>
          <w:sz w:val="21"/>
          <w:szCs w:val="21"/>
        </w:rPr>
      </w:pPr>
      <w:r>
        <w:rPr>
          <w:rFonts w:hint="eastAsia" w:ascii="Arial" w:hAnsi="Arial" w:cs="Arial"/>
          <w:bCs/>
          <w:color w:val="000000"/>
          <w:sz w:val="21"/>
          <w:szCs w:val="21"/>
        </w:rPr>
        <w:t>1、</w:t>
      </w:r>
      <w:r>
        <w:rPr>
          <w:rFonts w:hint="eastAsia" w:ascii="Arial" w:hAnsi="Arial" w:cs="Arial"/>
          <w:bCs/>
          <w:color w:val="000000"/>
          <w:sz w:val="21"/>
          <w:szCs w:val="21"/>
          <w:lang w:val="en-US" w:eastAsia="zh-CN"/>
        </w:rPr>
        <w:t>项目公司</w:t>
      </w:r>
      <w:r>
        <w:rPr>
          <w:rFonts w:hint="eastAsia" w:ascii="Arial" w:hAnsi="Arial" w:cs="Arial"/>
          <w:bCs/>
          <w:color w:val="000000"/>
          <w:sz w:val="21"/>
          <w:szCs w:val="21"/>
        </w:rPr>
        <w:t>营业执照</w:t>
      </w:r>
    </w:p>
    <w:p>
      <w:pPr>
        <w:spacing w:line="480" w:lineRule="auto"/>
        <w:ind w:firstLine="210" w:firstLineChars="100"/>
        <w:rPr>
          <w:rFonts w:ascii="Arial" w:hAnsi="Arial" w:cs="Arial"/>
          <w:bCs/>
          <w:color w:val="000000"/>
          <w:sz w:val="21"/>
          <w:szCs w:val="21"/>
        </w:rPr>
      </w:pPr>
      <w:bookmarkStart w:id="213" w:name="_Toc12072709"/>
      <w:bookmarkStart w:id="214" w:name="_Toc109012131"/>
      <w:r>
        <w:rPr>
          <w:rFonts w:ascii="Arial" w:hAnsi="Arial" w:cs="Arial"/>
          <w:bCs/>
          <w:color w:val="000000"/>
          <w:sz w:val="21"/>
          <w:szCs w:val="21"/>
        </w:rPr>
        <w:t>2、</w:t>
      </w:r>
      <w:bookmarkEnd w:id="213"/>
      <w:bookmarkEnd w:id="214"/>
      <w:r>
        <w:rPr>
          <w:rFonts w:hint="eastAsia" w:ascii="Arial" w:hAnsi="Arial" w:cs="Arial"/>
          <w:bCs/>
          <w:color w:val="000000"/>
          <w:sz w:val="21"/>
          <w:szCs w:val="21"/>
        </w:rPr>
        <w:t>项目</w:t>
      </w:r>
      <w:r>
        <w:rPr>
          <w:rFonts w:ascii="Arial" w:hAnsi="Arial" w:cs="Arial"/>
          <w:bCs/>
          <w:color w:val="000000"/>
          <w:sz w:val="21"/>
          <w:szCs w:val="21"/>
        </w:rPr>
        <w:t>宗地所在位置示意图</w:t>
      </w:r>
      <w:r>
        <w:rPr>
          <w:rFonts w:hint="eastAsia" w:ascii="Arial" w:hAnsi="Arial" w:cs="Arial"/>
          <w:bCs/>
          <w:color w:val="000000"/>
          <w:sz w:val="21"/>
          <w:szCs w:val="21"/>
        </w:rPr>
        <w:t>；</w:t>
      </w:r>
    </w:p>
    <w:p>
      <w:pPr>
        <w:spacing w:line="480" w:lineRule="auto"/>
        <w:ind w:firstLine="210" w:firstLineChars="100"/>
        <w:rPr>
          <w:rFonts w:ascii="Arial" w:hAnsi="Arial" w:cs="Arial"/>
          <w:bCs/>
          <w:color w:val="000000"/>
          <w:sz w:val="21"/>
          <w:szCs w:val="21"/>
        </w:rPr>
      </w:pPr>
      <w:r>
        <w:rPr>
          <w:rFonts w:hint="eastAsia" w:ascii="Arial" w:hAnsi="Arial" w:cs="Arial"/>
          <w:bCs/>
          <w:color w:val="000000"/>
          <w:sz w:val="21"/>
          <w:szCs w:val="21"/>
          <w:lang w:val="en-US" w:eastAsia="zh-CN"/>
        </w:rPr>
        <w:t>3</w:t>
      </w:r>
      <w:r>
        <w:rPr>
          <w:rFonts w:hint="eastAsia" w:ascii="Arial" w:hAnsi="Arial" w:cs="Arial"/>
          <w:bCs/>
          <w:color w:val="000000"/>
          <w:sz w:val="21"/>
          <w:szCs w:val="21"/>
        </w:rPr>
        <w:t>、合同目录清单；</w:t>
      </w:r>
    </w:p>
    <w:p>
      <w:pPr>
        <w:spacing w:line="480" w:lineRule="auto"/>
        <w:ind w:firstLine="210" w:firstLineChars="100"/>
        <w:rPr>
          <w:rFonts w:ascii="Arial" w:hAnsi="Arial" w:cs="Arial"/>
          <w:sz w:val="21"/>
          <w:szCs w:val="21"/>
        </w:rPr>
      </w:pPr>
      <w:r>
        <w:rPr>
          <w:rFonts w:hint="eastAsia" w:ascii="Arial" w:hAnsi="Arial" w:cs="Arial"/>
          <w:bCs/>
          <w:color w:val="000000"/>
          <w:sz w:val="21"/>
          <w:szCs w:val="21"/>
          <w:lang w:val="en-US" w:eastAsia="zh-CN"/>
        </w:rPr>
        <w:t>4</w:t>
      </w:r>
      <w:r>
        <w:rPr>
          <w:rFonts w:ascii="Arial" w:hAnsi="Arial" w:cs="Arial"/>
          <w:bCs/>
          <w:color w:val="000000"/>
          <w:sz w:val="21"/>
          <w:szCs w:val="21"/>
        </w:rPr>
        <w:t>、项目</w:t>
      </w:r>
      <w:r>
        <w:rPr>
          <w:rFonts w:hint="eastAsia" w:ascii="Arial" w:hAnsi="Arial" w:cs="Arial"/>
          <w:bCs/>
          <w:color w:val="000000"/>
          <w:sz w:val="21"/>
          <w:szCs w:val="21"/>
        </w:rPr>
        <w:t>调查结果</w:t>
      </w:r>
      <w:r>
        <w:rPr>
          <w:rFonts w:ascii="Arial" w:hAnsi="Arial" w:cs="Arial"/>
          <w:bCs/>
          <w:color w:val="000000"/>
          <w:sz w:val="21"/>
          <w:szCs w:val="21"/>
        </w:rPr>
        <w:t>文件</w:t>
      </w:r>
      <w:r>
        <w:rPr>
          <w:rFonts w:hint="eastAsia" w:ascii="Arial" w:hAnsi="Arial" w:cs="Arial"/>
          <w:bCs/>
          <w:color w:val="000000"/>
          <w:sz w:val="21"/>
          <w:szCs w:val="21"/>
        </w:rPr>
        <w:t>汇编；</w:t>
      </w:r>
    </w:p>
    <w:p>
      <w:pPr>
        <w:spacing w:line="480" w:lineRule="auto"/>
        <w:ind w:firstLine="210" w:firstLineChars="100"/>
        <w:rPr>
          <w:rFonts w:hint="eastAsia" w:ascii="Arial" w:hAnsi="Arial" w:eastAsia="宋体" w:cs="Arial"/>
          <w:bCs/>
          <w:color w:val="000000"/>
          <w:szCs w:val="21"/>
          <w:lang w:val="en-US" w:eastAsia="zh-CN"/>
        </w:rPr>
      </w:pPr>
      <w:r>
        <w:rPr>
          <w:rFonts w:hint="eastAsia" w:ascii="Arial" w:hAnsi="Arial" w:cs="Arial"/>
          <w:bCs/>
          <w:color w:val="000000"/>
          <w:sz w:val="21"/>
          <w:szCs w:val="21"/>
          <w:lang w:val="en-US" w:eastAsia="zh-CN"/>
        </w:rPr>
        <w:t>5</w:t>
      </w:r>
      <w:r>
        <w:rPr>
          <w:rFonts w:ascii="Arial" w:hAnsi="Arial" w:cs="Arial"/>
          <w:bCs/>
          <w:color w:val="000000"/>
          <w:sz w:val="21"/>
          <w:szCs w:val="21"/>
        </w:rPr>
        <w:t>、</w:t>
      </w:r>
      <w:r>
        <w:rPr>
          <w:rFonts w:hint="eastAsia" w:ascii="Arial" w:hAnsi="Arial" w:cs="Arial"/>
          <w:bCs/>
          <w:color w:val="000000"/>
          <w:sz w:val="21"/>
          <w:szCs w:val="21"/>
        </w:rPr>
        <w:t>公司营业</w:t>
      </w:r>
      <w:r>
        <w:rPr>
          <w:rFonts w:hint="eastAsia" w:ascii="Arial" w:hAnsi="Arial" w:cs="Arial"/>
          <w:bCs/>
          <w:color w:val="000000"/>
          <w:sz w:val="21"/>
          <w:szCs w:val="21"/>
          <w:lang w:val="en-US" w:eastAsia="zh-CN"/>
        </w:rPr>
        <w:t>执照</w:t>
      </w:r>
    </w:p>
    <w:p/>
    <w:sectPr>
      <w:headerReference r:id="rId14" w:type="first"/>
      <w:headerReference r:id="rId12" w:type="default"/>
      <w:headerReference r:id="rId13" w:type="even"/>
      <w:pgSz w:w="11906" w:h="16838"/>
      <w:pgMar w:top="1134" w:right="1134" w:bottom="1134" w:left="2041" w:header="1134" w:footer="907" w:gutter="0"/>
      <w:pgBorders>
        <w:top w:val="none" w:sz="0" w:space="0"/>
        <w:left w:val="none" w:sz="0" w:space="0"/>
        <w:bottom w:val="none" w:sz="0" w:space="0"/>
        <w:right w:val="none" w:sz="0" w:space="0"/>
      </w:pgBorders>
      <w:cols w:space="425" w:num="1"/>
      <w:titlePg/>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Arial Unicode MS"/>
    <w:panose1 w:val="02010509060101010101"/>
    <w:charset w:val="86"/>
    <w:family w:val="modern"/>
    <w:pitch w:val="default"/>
    <w:sig w:usb0="00000000" w:usb1="00000000" w:usb2="00000000" w:usb3="00000000" w:csb0="00040000" w:csb1="00000000"/>
  </w:font>
  <w:font w:name="Adobe 黑体 Std R">
    <w:altName w:val="黑体"/>
    <w:panose1 w:val="00000000000000000000"/>
    <w:charset w:val="86"/>
    <w:family w:val="swiss"/>
    <w:pitch w:val="default"/>
    <w:sig w:usb0="00000000" w:usb1="00000000" w:usb2="00000016" w:usb3="00000000" w:csb0="00060007" w:csb1="00000000"/>
  </w:font>
  <w:font w:name="方正黑体简体">
    <w:altName w:val="微软雅黑"/>
    <w:panose1 w:val="00000000000000000000"/>
    <w:charset w:val="86"/>
    <w:family w:val="auto"/>
    <w:pitch w:val="default"/>
    <w:sig w:usb0="00000000" w:usb1="00000000" w:usb2="00000010" w:usb3="00000000" w:csb0="00040000" w:csb1="00000000"/>
  </w:font>
  <w:font w:name="华文细黑">
    <w:altName w:val="Arial Unicode MS"/>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top w:val="single" w:color="auto" w:sz="4" w:space="1"/>
        <w:bottom w:val="none" w:color="auto" w:sz="0" w:space="0"/>
      </w:pBdr>
      <w:jc w:val="center"/>
      <w:rPr>
        <w:rFonts w:ascii="Arial" w:hAnsi="Arial" w:cs="Arial"/>
      </w:rPr>
    </w:pPr>
    <w:r>
      <w:rPr>
        <w:rStyle w:val="12"/>
        <w:rFonts w:ascii="Arial" w:hAnsi="Arial" w:cs="Arial"/>
      </w:rPr>
      <w:fldChar w:fldCharType="begin"/>
    </w:r>
    <w:r>
      <w:rPr>
        <w:rStyle w:val="12"/>
        <w:rFonts w:ascii="Arial" w:hAnsi="Arial" w:cs="Arial"/>
      </w:rPr>
      <w:instrText xml:space="preserve"> PAGE </w:instrText>
    </w:r>
    <w:r>
      <w:rPr>
        <w:rStyle w:val="12"/>
        <w:rFonts w:ascii="Arial" w:hAnsi="Arial" w:cs="Arial"/>
      </w:rPr>
      <w:fldChar w:fldCharType="separate"/>
    </w:r>
    <w:r>
      <w:rPr>
        <w:rStyle w:val="12"/>
        <w:rFonts w:ascii="Arial" w:hAnsi="Arial" w:cs="Arial"/>
      </w:rPr>
      <w:t>35</w:t>
    </w:r>
    <w:r>
      <w:rPr>
        <w:rStyle w:val="12"/>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top w:val="single" w:color="auto" w:sz="4" w:space="1"/>
        <w:bottom w:val="none" w:color="auto" w:sz="0" w:space="0"/>
      </w:pBdr>
      <w:jc w:val="center"/>
      <w:rPr>
        <w:rFonts w:ascii="Arial" w:hAnsi="Arial" w:cs="Arial"/>
      </w:rPr>
    </w:pPr>
    <w:r>
      <w:rPr>
        <w:rStyle w:val="12"/>
        <w:rFonts w:ascii="Arial" w:hAnsi="Arial" w:cs="Arial"/>
      </w:rPr>
      <w:fldChar w:fldCharType="begin"/>
    </w:r>
    <w:r>
      <w:rPr>
        <w:rStyle w:val="12"/>
        <w:rFonts w:ascii="Arial" w:hAnsi="Arial" w:cs="Arial"/>
      </w:rPr>
      <w:instrText xml:space="preserve"> PAGE </w:instrText>
    </w:r>
    <w:r>
      <w:rPr>
        <w:rStyle w:val="12"/>
        <w:rFonts w:ascii="Arial" w:hAnsi="Arial" w:cs="Arial"/>
      </w:rPr>
      <w:fldChar w:fldCharType="separate"/>
    </w:r>
    <w:r>
      <w:rPr>
        <w:rStyle w:val="12"/>
        <w:rFonts w:ascii="Arial" w:hAnsi="Arial" w:cs="Arial"/>
      </w:rPr>
      <w:t>4</w:t>
    </w:r>
    <w:r>
      <w:rPr>
        <w:rStyle w:val="12"/>
        <w:rFonts w:ascii="Arial" w:hAnsi="Arial" w:cs="Arial"/>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rPr>
        <w:b/>
        <w:bCs/>
        <w:sz w:val="24"/>
      </w:rPr>
    </w:pPr>
    <w:r>
      <w:drawing>
        <wp:inline distT="0" distB="0" distL="0" distR="0">
          <wp:extent cx="5899785" cy="286385"/>
          <wp:effectExtent l="0" t="0" r="13335" b="3175"/>
          <wp:docPr id="20" name="图片 20"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2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drawing>
        <wp:inline distT="0" distB="0" distL="0" distR="0">
          <wp:extent cx="5899785" cy="286385"/>
          <wp:effectExtent l="0" t="0" r="13335" b="3175"/>
          <wp:docPr id="5" name="图片 5" descr="评估报告内页页眉.jpg"/>
          <wp:cNvGraphicFramePr/>
          <a:graphic xmlns:a="http://schemas.openxmlformats.org/drawingml/2006/main">
            <a:graphicData uri="http://schemas.openxmlformats.org/drawingml/2006/picture">
              <pic:pic xmlns:pic="http://schemas.openxmlformats.org/drawingml/2006/picture">
                <pic:nvPicPr>
                  <pic:cNvPr id="5" name="图片 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drawing>
        <wp:inline distT="0" distB="0" distL="0" distR="0">
          <wp:extent cx="5899785" cy="286385"/>
          <wp:effectExtent l="0" t="0" r="13335" b="3175"/>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6" name="图片 6"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rPr>
        <w:b/>
        <w:bCs/>
        <w:sz w:val="24"/>
      </w:rPr>
    </w:pPr>
    <w:r>
      <w:drawing>
        <wp:inline distT="0" distB="0" distL="0" distR="0">
          <wp:extent cx="5899785" cy="286385"/>
          <wp:effectExtent l="0" t="0" r="13335" b="3175"/>
          <wp:docPr id="33" name="图片 33" descr="评估报告内页页眉.jpg"/>
          <wp:cNvGraphicFramePr/>
          <a:graphic xmlns:a="http://schemas.openxmlformats.org/drawingml/2006/main">
            <a:graphicData uri="http://schemas.openxmlformats.org/drawingml/2006/picture">
              <pic:pic xmlns:pic="http://schemas.openxmlformats.org/drawingml/2006/picture">
                <pic:nvPicPr>
                  <pic:cNvPr id="33" name="图片 33"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r>
      <w:drawing>
        <wp:inline distT="0" distB="0" distL="0" distR="0">
          <wp:extent cx="5899785" cy="286385"/>
          <wp:effectExtent l="0" t="0" r="13335" b="3175"/>
          <wp:docPr id="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D64F72"/>
    <w:multiLevelType w:val="singleLevel"/>
    <w:tmpl w:val="A2D64F72"/>
    <w:lvl w:ilvl="0" w:tentative="0">
      <w:start w:val="2"/>
      <w:numFmt w:val="chineseCounting"/>
      <w:suff w:val="nothing"/>
      <w:lvlText w:val="（%1）"/>
      <w:lvlJc w:val="left"/>
      <w:rPr>
        <w:rFonts w:hint="eastAsia"/>
      </w:rPr>
    </w:lvl>
  </w:abstractNum>
  <w:abstractNum w:abstractNumId="1">
    <w:nsid w:val="BE157842"/>
    <w:multiLevelType w:val="singleLevel"/>
    <w:tmpl w:val="BE157842"/>
    <w:lvl w:ilvl="0" w:tentative="0">
      <w:start w:val="4"/>
      <w:numFmt w:val="chineseCounting"/>
      <w:suff w:val="nothing"/>
      <w:lvlText w:val="%1、"/>
      <w:lvlJc w:val="left"/>
      <w:rPr>
        <w:rFonts w:hint="eastAsia"/>
      </w:rPr>
    </w:lvl>
  </w:abstractNum>
  <w:abstractNum w:abstractNumId="2">
    <w:nsid w:val="12FC7B19"/>
    <w:multiLevelType w:val="multilevel"/>
    <w:tmpl w:val="12FC7B19"/>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wY2M0ZjhhYzg0NGEyMzdmNTYzMmMyNTRiYjI5MmQifQ=="/>
  </w:docVars>
  <w:rsids>
    <w:rsidRoot w:val="5A3A44F9"/>
    <w:rsid w:val="007D0B34"/>
    <w:rsid w:val="025243B4"/>
    <w:rsid w:val="0462769F"/>
    <w:rsid w:val="0B224DC6"/>
    <w:rsid w:val="0CB21806"/>
    <w:rsid w:val="0F3B1FB3"/>
    <w:rsid w:val="13A2336A"/>
    <w:rsid w:val="18BD70C3"/>
    <w:rsid w:val="1B157B5C"/>
    <w:rsid w:val="1C163B8C"/>
    <w:rsid w:val="1E5D167B"/>
    <w:rsid w:val="21CD6F3F"/>
    <w:rsid w:val="24517DA9"/>
    <w:rsid w:val="24DB5714"/>
    <w:rsid w:val="25A64D89"/>
    <w:rsid w:val="267C6969"/>
    <w:rsid w:val="27DF5779"/>
    <w:rsid w:val="28377363"/>
    <w:rsid w:val="331F6028"/>
    <w:rsid w:val="36BA5D2F"/>
    <w:rsid w:val="394C584E"/>
    <w:rsid w:val="39672E1D"/>
    <w:rsid w:val="39B7059B"/>
    <w:rsid w:val="3A745632"/>
    <w:rsid w:val="3D3A5E92"/>
    <w:rsid w:val="3E430C30"/>
    <w:rsid w:val="3ECD4126"/>
    <w:rsid w:val="443217B8"/>
    <w:rsid w:val="49526AEB"/>
    <w:rsid w:val="4D241CFD"/>
    <w:rsid w:val="4FE972D8"/>
    <w:rsid w:val="51491D32"/>
    <w:rsid w:val="530C0299"/>
    <w:rsid w:val="59184390"/>
    <w:rsid w:val="5A3A44F9"/>
    <w:rsid w:val="60BE046A"/>
    <w:rsid w:val="613C71BD"/>
    <w:rsid w:val="6FB06B2E"/>
    <w:rsid w:val="778B00FF"/>
    <w:rsid w:val="77C74EAF"/>
    <w:rsid w:val="782563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9"/>
    <w:pPr>
      <w:keepNext/>
      <w:keepLines/>
      <w:adjustRightInd w:val="0"/>
      <w:snapToGrid w:val="0"/>
      <w:spacing w:before="600" w:after="240" w:line="360" w:lineRule="auto"/>
      <w:jc w:val="center"/>
      <w:outlineLvl w:val="0"/>
    </w:pPr>
    <w:rPr>
      <w:b/>
      <w:kern w:val="44"/>
      <w:sz w:val="44"/>
      <w:szCs w:val="20"/>
    </w:rPr>
  </w:style>
  <w:style w:type="paragraph" w:styleId="3">
    <w:name w:val="heading 2"/>
    <w:basedOn w:val="1"/>
    <w:next w:val="1"/>
    <w:qFormat/>
    <w:uiPriority w:val="9"/>
    <w:pPr>
      <w:keepNext/>
      <w:keepLines/>
      <w:adjustRightInd w:val="0"/>
      <w:spacing w:before="240" w:after="240" w:line="360" w:lineRule="auto"/>
      <w:outlineLvl w:val="1"/>
    </w:pPr>
    <w:rPr>
      <w:rFonts w:ascii="Arial" w:hAnsi="Arial" w:eastAsia="黑体"/>
      <w:b/>
      <w:sz w:val="32"/>
      <w:szCs w:val="20"/>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99"/>
  </w:style>
  <w:style w:type="paragraph" w:styleId="5">
    <w:name w:val="Plain Text"/>
    <w:basedOn w:val="1"/>
    <w:qFormat/>
    <w:uiPriority w:val="0"/>
    <w:rPr>
      <w:rFonts w:hAnsi="Courier New" w:cs="Courier New"/>
      <w:szCs w:val="21"/>
    </w:rPr>
  </w:style>
  <w:style w:type="paragraph" w:styleId="6">
    <w:name w:val="footer"/>
    <w:basedOn w:val="1"/>
    <w:qFormat/>
    <w:uiPriority w:val="99"/>
    <w:pPr>
      <w:pBdr>
        <w:bottom w:val="double" w:color="auto" w:sz="4" w:space="1"/>
      </w:pBdr>
      <w:tabs>
        <w:tab w:val="center" w:pos="4153"/>
        <w:tab w:val="right" w:pos="8306"/>
      </w:tabs>
      <w:snapToGrid w:val="0"/>
    </w:pPr>
    <w:rPr>
      <w:sz w:val="18"/>
      <w:szCs w:val="18"/>
    </w:rPr>
  </w:style>
  <w:style w:type="paragraph" w:styleId="7">
    <w:name w:val="header"/>
    <w:basedOn w:val="1"/>
    <w:qFormat/>
    <w:uiPriority w:val="99"/>
    <w:pPr>
      <w:pBdr>
        <w:bottom w:val="single" w:color="auto" w:sz="12" w:space="1"/>
      </w:pBdr>
      <w:tabs>
        <w:tab w:val="center" w:pos="4153"/>
        <w:tab w:val="right" w:pos="8306"/>
      </w:tabs>
      <w:snapToGrid w:val="0"/>
      <w:jc w:val="center"/>
    </w:pPr>
    <w:rPr>
      <w:sz w:val="18"/>
      <w:szCs w:val="18"/>
    </w:rPr>
  </w:style>
  <w:style w:type="paragraph" w:styleId="8">
    <w:name w:val="toc 1"/>
    <w:basedOn w:val="1"/>
    <w:next w:val="1"/>
    <w:qFormat/>
    <w:uiPriority w:val="39"/>
    <w:pPr>
      <w:tabs>
        <w:tab w:val="right" w:leader="dot" w:pos="8302"/>
      </w:tabs>
      <w:spacing w:before="120" w:after="240"/>
      <w:jc w:val="center"/>
    </w:pPr>
    <w:rPr>
      <w:rFonts w:ascii="Arial" w:hAnsi="Arial" w:cs="Arial"/>
      <w:b/>
      <w:bCs/>
      <w:caps/>
      <w:szCs w:val="21"/>
    </w:rPr>
  </w:style>
  <w:style w:type="paragraph" w:styleId="9">
    <w:name w:val="Normal (Web)"/>
    <w:basedOn w:val="1"/>
    <w:qFormat/>
    <w:uiPriority w:val="99"/>
    <w:pPr>
      <w:spacing w:before="100" w:beforeAutospacing="1" w:after="100" w:afterAutospacing="1"/>
    </w:pPr>
  </w:style>
  <w:style w:type="character" w:styleId="12">
    <w:name w:val="page number"/>
    <w:qFormat/>
    <w:uiPriority w:val="0"/>
  </w:style>
  <w:style w:type="character" w:styleId="13">
    <w:name w:val="annotation reference"/>
    <w:qFormat/>
    <w:uiPriority w:val="99"/>
    <w:rPr>
      <w:sz w:val="21"/>
      <w:szCs w:val="21"/>
    </w:rPr>
  </w:style>
  <w:style w:type="paragraph" w:customStyle="1" w:styleId="14">
    <w:name w:val="WPSOffice手动目录 1"/>
    <w:qFormat/>
    <w:uiPriority w:val="0"/>
    <w:rPr>
      <w:rFonts w:ascii="Times New Roman" w:hAnsi="Times New Roman" w:eastAsia="宋体" w:cs="Times New Roman"/>
      <w:lang w:val="en-US" w:eastAsia="zh-CN" w:bidi="ar-SA"/>
    </w:rPr>
  </w:style>
  <w:style w:type="paragraph" w:customStyle="1" w:styleId="15">
    <w:name w:val="WPSOffice手动目录 2"/>
    <w:qFormat/>
    <w:uiPriority w:val="0"/>
    <w:pPr>
      <w:ind w:left="200" w:leftChars="200"/>
    </w:pPr>
    <w:rPr>
      <w:rFonts w:ascii="Times New Roman" w:hAnsi="Times New Roman" w:eastAsia="宋体" w:cs="Times New Roman"/>
      <w:lang w:val="en-US" w:eastAsia="zh-CN" w:bidi="ar-SA"/>
    </w:rPr>
  </w:style>
  <w:style w:type="paragraph" w:styleId="16">
    <w:name w:val="List Paragraph"/>
    <w:basedOn w:val="1"/>
    <w:qFormat/>
    <w:uiPriority w:val="34"/>
    <w:pPr>
      <w:ind w:firstLine="420" w:firstLineChars="200"/>
    </w:pPr>
  </w:style>
  <w:style w:type="paragraph" w:customStyle="1" w:styleId="17">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theme" Target="theme/theme1.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2023-08-07T04:07:00Z</dcterms:created>
  <dc:creator>Biu~~~</dc:creator>
  <cp:lastModifiedBy>Biu~~~</cp:lastModifiedBy>
  <dcterms:modified xsi:type="dcterms:W3CDTF">2023-08-08T07:57:51Z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A7FDA22C7D3D4433957CCAC8FBB91C94_11</vt:lpwstr>
  </property>
</Properties>
</file>