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rPr>
      </w:pPr>
      <w:r>
        <w:rPr>
          <w:rFonts w:hint="eastAsia" w:ascii="Arial" w:hAnsi="Arial" w:eastAsia="宋体" w:cs="宋体"/>
          <w:kern w:val="0"/>
          <w:sz w:val="20"/>
          <w:szCs w:val="20"/>
        </w:rPr>
        <w:t>报告编号：康正评字2023-1-0834-P01DYGJ2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上海浦东发展银行股份有限公司北京市分行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北京市海淀区三里河路17号901</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w:t>
            </w:r>
            <w:r>
              <w:rPr>
                <w:rFonts w:hint="eastAsia" w:ascii="Arial" w:hAnsi="Arial" w:eastAsia="宋体" w:cs="宋体"/>
                <w:color w:val="auto"/>
                <w:kern w:val="0"/>
                <w:sz w:val="20"/>
                <w:szCs w:val="20"/>
              </w:rPr>
              <w:t>上海浦东发展银行股份有限公司</w:t>
            </w:r>
            <w:r>
              <w:rPr>
                <w:rFonts w:hint="eastAsia" w:ascii="Arial" w:hAnsi="Arial" w:eastAsia="宋体" w:cs="宋体"/>
                <w:color w:val="auto"/>
                <w:kern w:val="0"/>
                <w:sz w:val="20"/>
                <w:szCs w:val="20"/>
              </w:rPr>
              <w:t>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23</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11</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22</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北京市海淀区三里河路17号901办公用房产</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198.65</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default" w:ascii="Arial" w:hAnsi="Arial" w:eastAsia="宋体" w:cs="宋体"/>
                <w:color w:val="auto"/>
                <w:kern w:val="0"/>
                <w:sz w:val="20"/>
                <w:szCs w:val="20"/>
                <w:lang w:val="en-US" w:eastAsia="zh-CN"/>
              </w:rPr>
              <w:t>16（-3）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9</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综合</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35114</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698</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陆佰玖拾捌万元整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w:t>
            </w:r>
            <w:bookmarkStart w:id="0" w:name="_GoBack"/>
            <w:bookmarkEnd w:id="0"/>
            <w:r>
              <w:rPr>
                <w:rFonts w:hint="eastAsia" w:ascii="Arial" w:hAnsi="Arial" w:eastAsia="宋体" w:cs="宋体"/>
                <w:color w:val="auto"/>
                <w:kern w:val="0"/>
                <w:sz w:val="20"/>
                <w:szCs w:val="20"/>
              </w:rPr>
              <w:t>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rPr>
      </w:pPr>
    </w:p>
    <w:p>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三</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十一</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二十三</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BF20BE"/>
    <w:rsid w:val="0046333F"/>
    <w:rsid w:val="00795B85"/>
    <w:rsid w:val="00863392"/>
    <w:rsid w:val="00A92DEB"/>
    <w:rsid w:val="00BF20BE"/>
    <w:rsid w:val="00E95130"/>
    <w:rsid w:val="5244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985</Words>
  <Characters>1012</Characters>
  <Lines>7</Lines>
  <Paragraphs>2</Paragraphs>
  <TotalTime>2</TotalTime>
  <ScaleCrop>false</ScaleCrop>
  <LinksUpToDate>false</LinksUpToDate>
  <CharactersWithSpaces>1013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李斌</cp:lastModifiedBy>
  <dcterms:modified xsi:type="dcterms:W3CDTF">2023-11-23T05:15:51Z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D698524FE298480885E52BCE814BA498_12</vt:lpwstr>
  </property>
</Properties>
</file>