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exact"/>
        <w:ind w:left="50" w:leftChars="25" w:right="200" w:rightChars="100"/>
        <w:jc w:val="center"/>
        <w:rPr>
          <w:rFonts w:cs="Arial"/>
          <w:b/>
          <w:szCs w:val="20"/>
        </w:rPr>
      </w:pPr>
      <w:bookmarkStart w:id="0" w:name="_GoBack"/>
      <w:bookmarkEnd w:id="0"/>
      <w:r>
        <w:rPr>
          <w:rFonts w:cs="Arial"/>
          <w:b/>
          <w:szCs w:val="20"/>
        </w:rPr>
        <w:t>估值证书</w:t>
      </w:r>
    </w:p>
    <w:tbl>
      <w:tblPr>
        <w:tblStyle w:val="2"/>
        <w:tblpPr w:leftFromText="180" w:rightFromText="180" w:vertAnchor="text" w:horzAnchor="margin" w:tblpXSpec="center" w:tblpY="279"/>
        <w:tblW w:w="512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92"/>
        <w:gridCol w:w="1716"/>
        <w:gridCol w:w="2825"/>
        <w:gridCol w:w="1838"/>
        <w:gridCol w:w="1792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tblHeader/>
        </w:trPr>
        <w:tc>
          <w:tcPr>
            <w:tcW w:w="229" w:type="pct"/>
            <w:vAlign w:val="bottom"/>
          </w:tcPr>
          <w:p>
            <w:pPr>
              <w:spacing w:line="300" w:lineRule="exact"/>
              <w:ind w:left="114" w:leftChars="25" w:right="200" w:rightChars="100" w:hanging="64" w:hangingChars="32"/>
              <w:rPr>
                <w:rFonts w:cs="Arial"/>
                <w:b/>
                <w:szCs w:val="20"/>
              </w:rPr>
            </w:pPr>
          </w:p>
        </w:tc>
        <w:tc>
          <w:tcPr>
            <w:tcW w:w="1002" w:type="pct"/>
            <w:vAlign w:val="bottom"/>
          </w:tcPr>
          <w:p>
            <w:pPr>
              <w:spacing w:line="300" w:lineRule="exact"/>
              <w:ind w:left="50" w:leftChars="25" w:right="200" w:rightChars="10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物业</w:t>
            </w:r>
          </w:p>
        </w:tc>
        <w:tc>
          <w:tcPr>
            <w:tcW w:w="1649" w:type="pct"/>
            <w:vAlign w:val="bottom"/>
          </w:tcPr>
          <w:p>
            <w:pPr>
              <w:spacing w:line="300" w:lineRule="exact"/>
              <w:ind w:left="50" w:leftChars="25" w:right="200" w:rightChars="10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概况及年期</w:t>
            </w:r>
          </w:p>
        </w:tc>
        <w:tc>
          <w:tcPr>
            <w:tcW w:w="1073" w:type="pct"/>
            <w:vAlign w:val="bottom"/>
          </w:tcPr>
          <w:p>
            <w:pPr>
              <w:spacing w:line="300" w:lineRule="exact"/>
              <w:ind w:left="50" w:leftChars="25" w:right="200" w:rightChars="10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使用现况</w:t>
            </w:r>
          </w:p>
        </w:tc>
        <w:tc>
          <w:tcPr>
            <w:tcW w:w="1046" w:type="pct"/>
            <w:vAlign w:val="bottom"/>
          </w:tcPr>
          <w:p>
            <w:pPr>
              <w:autoSpaceDE w:val="0"/>
              <w:autoSpaceDN w:val="0"/>
              <w:spacing w:line="300" w:lineRule="exact"/>
              <w:ind w:left="2"/>
              <w:jc w:val="righ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于2020年6月30日</w:t>
            </w:r>
          </w:p>
          <w:p>
            <w:pPr>
              <w:spacing w:line="300" w:lineRule="exact"/>
              <w:ind w:left="2"/>
              <w:jc w:val="righ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现状下之市场价值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229" w:type="pct"/>
          </w:tcPr>
          <w:p>
            <w:pPr>
              <w:autoSpaceDE w:val="0"/>
              <w:autoSpaceDN w:val="0"/>
              <w:spacing w:line="300" w:lineRule="exact"/>
              <w:ind w:left="250" w:leftChars="25" w:right="200" w:rightChars="100" w:hanging="200" w:hangingChars="100"/>
              <w:rPr>
                <w:rFonts w:cs="Arial"/>
                <w:szCs w:val="20"/>
              </w:rPr>
            </w:pPr>
          </w:p>
        </w:tc>
        <w:tc>
          <w:tcPr>
            <w:tcW w:w="1002" w:type="pct"/>
          </w:tcPr>
          <w:p>
            <w:pPr>
              <w:spacing w:line="300" w:lineRule="exact"/>
              <w:ind w:left="50" w:leftChars="25" w:right="200" w:rightChars="100"/>
              <w:rPr>
                <w:rFonts w:cs="Arial"/>
                <w:b/>
                <w:szCs w:val="20"/>
              </w:rPr>
            </w:pPr>
          </w:p>
        </w:tc>
        <w:tc>
          <w:tcPr>
            <w:tcW w:w="1649" w:type="pct"/>
          </w:tcPr>
          <w:p>
            <w:pPr>
              <w:autoSpaceDE w:val="0"/>
              <w:autoSpaceDN w:val="0"/>
              <w:spacing w:line="300" w:lineRule="exact"/>
              <w:ind w:left="50" w:leftChars="25" w:right="200" w:rightChars="100"/>
              <w:rPr>
                <w:rFonts w:cs="Arial"/>
                <w:szCs w:val="20"/>
              </w:rPr>
            </w:pPr>
          </w:p>
        </w:tc>
        <w:tc>
          <w:tcPr>
            <w:tcW w:w="1073" w:type="pct"/>
          </w:tcPr>
          <w:p>
            <w:pPr>
              <w:autoSpaceDE w:val="0"/>
              <w:autoSpaceDN w:val="0"/>
              <w:spacing w:line="300" w:lineRule="exact"/>
              <w:ind w:left="50" w:leftChars="25" w:right="200" w:rightChars="100"/>
              <w:rPr>
                <w:rFonts w:cs="Arial"/>
                <w:szCs w:val="20"/>
              </w:rPr>
            </w:pPr>
          </w:p>
        </w:tc>
        <w:tc>
          <w:tcPr>
            <w:tcW w:w="1046" w:type="pct"/>
          </w:tcPr>
          <w:p>
            <w:pPr>
              <w:autoSpaceDE w:val="0"/>
              <w:autoSpaceDN w:val="0"/>
              <w:spacing w:line="300" w:lineRule="exact"/>
              <w:ind w:left="-100" w:leftChars="-50" w:right="100" w:rightChars="50"/>
              <w:jc w:val="right"/>
              <w:rPr>
                <w:rFonts w:cs="Arial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9" w:type="pct"/>
          </w:tcPr>
          <w:p>
            <w:pPr>
              <w:autoSpaceDE w:val="0"/>
              <w:autoSpaceDN w:val="0"/>
              <w:spacing w:line="300" w:lineRule="exact"/>
              <w:ind w:left="200" w:hanging="200" w:hangingChars="1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179.</w:t>
            </w:r>
          </w:p>
        </w:tc>
        <w:tc>
          <w:tcPr>
            <w:tcW w:w="1002" w:type="pct"/>
          </w:tcPr>
          <w:p>
            <w:pPr>
              <w:spacing w:line="300" w:lineRule="exact"/>
              <w:ind w:left="50" w:leftChars="25" w:right="200" w:rightChars="1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中国</w:t>
            </w:r>
          </w:p>
          <w:p>
            <w:pPr>
              <w:spacing w:line="300" w:lineRule="exact"/>
              <w:ind w:left="50" w:leftChars="25" w:right="200" w:rightChars="1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安徽省六安市</w:t>
            </w:r>
          </w:p>
          <w:p>
            <w:pPr>
              <w:spacing w:line="300" w:lineRule="exact"/>
              <w:ind w:left="50" w:leftChars="25" w:right="200" w:rightChars="1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金安区皋城东路以南，球拍东路以东</w:t>
            </w:r>
          </w:p>
          <w:p>
            <w:pPr>
              <w:spacing w:line="300" w:lineRule="exact"/>
              <w:ind w:left="50" w:leftChars="25" w:right="200" w:rightChars="100"/>
              <w:rPr>
                <w:rFonts w:cs="Arial"/>
                <w:szCs w:val="20"/>
              </w:rPr>
            </w:pPr>
          </w:p>
          <w:p>
            <w:pPr>
              <w:spacing w:line="300" w:lineRule="exact"/>
              <w:ind w:left="50" w:leftChars="25" w:right="200" w:rightChars="1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六安万达广场</w:t>
            </w:r>
          </w:p>
        </w:tc>
        <w:tc>
          <w:tcPr>
            <w:tcW w:w="1649" w:type="pct"/>
          </w:tcPr>
          <w:p>
            <w:pPr>
              <w:autoSpaceDE w:val="0"/>
              <w:autoSpaceDN w:val="0"/>
              <w:spacing w:line="300" w:lineRule="exact"/>
              <w:ind w:left="50" w:leftChars="25" w:right="200" w:rightChars="1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该物业坐落之地块总占地面积为37,138.00平方米，于2016年12月开业。</w:t>
            </w:r>
          </w:p>
          <w:p>
            <w:pPr>
              <w:autoSpaceDE w:val="0"/>
              <w:autoSpaceDN w:val="0"/>
              <w:spacing w:line="300" w:lineRule="exact"/>
              <w:ind w:left="50" w:leftChars="25" w:right="200" w:rightChars="100"/>
              <w:rPr>
                <w:rFonts w:cs="Arial"/>
                <w:b/>
                <w:bCs/>
                <w:szCs w:val="20"/>
              </w:rPr>
            </w:pPr>
          </w:p>
          <w:p>
            <w:pPr>
              <w:autoSpaceDE w:val="0"/>
              <w:autoSpaceDN w:val="0"/>
              <w:spacing w:line="300" w:lineRule="exact"/>
              <w:ind w:left="50" w:leftChars="25" w:right="200" w:rightChars="1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该物业为地下2层至地上4层的购物中心。该物业的概约建筑面积汇总如下：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autoSpaceDE w:val="0"/>
              <w:autoSpaceDN w:val="0"/>
              <w:spacing w:line="300" w:lineRule="exact"/>
              <w:ind w:left="50" w:leftChars="25" w:right="200" w:rightChars="100"/>
              <w:rPr>
                <w:rFonts w:cs="Arial"/>
                <w:szCs w:val="20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92"/>
              <w:gridCol w:w="151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0" w:type="auto"/>
                </w:tcPr>
                <w:p>
                  <w:pPr>
                    <w:spacing w:line="300" w:lineRule="exact"/>
                    <w:ind w:right="-124" w:rightChars="-62"/>
                    <w:rPr>
                      <w:rFonts w:cs="Arial"/>
                      <w:b/>
                      <w:bCs/>
                      <w:szCs w:val="20"/>
                    </w:rPr>
                  </w:pPr>
                  <w:r>
                    <w:rPr>
                      <w:rFonts w:cs="Arial"/>
                      <w:b/>
                      <w:szCs w:val="20"/>
                    </w:rPr>
                    <w:t>用途</w:t>
                  </w:r>
                </w:p>
              </w:tc>
              <w:tc>
                <w:tcPr>
                  <w:tcW w:w="0" w:type="auto"/>
                </w:tcPr>
                <w:p>
                  <w:pPr>
                    <w:tabs>
                      <w:tab w:val="left" w:pos="1593"/>
                    </w:tabs>
                    <w:spacing w:line="300" w:lineRule="exact"/>
                    <w:ind w:left="198" w:right="100" w:rightChars="50"/>
                    <w:jc w:val="right"/>
                    <w:rPr>
                      <w:rFonts w:cs="Arial"/>
                      <w:b/>
                      <w:bCs/>
                      <w:szCs w:val="20"/>
                    </w:rPr>
                  </w:pPr>
                  <w:r>
                    <w:rPr>
                      <w:rFonts w:cs="Arial"/>
                      <w:b/>
                      <w:szCs w:val="20"/>
                    </w:rPr>
                    <w:t>建筑面积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0" w:type="auto"/>
                </w:tcPr>
                <w:p>
                  <w:pPr>
                    <w:spacing w:line="300" w:lineRule="exact"/>
                    <w:ind w:right="-124" w:rightChars="-62"/>
                    <w:rPr>
                      <w:rFonts w:cs="Arial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>
                  <w:pPr>
                    <w:tabs>
                      <w:tab w:val="left" w:pos="1593"/>
                    </w:tabs>
                    <w:spacing w:line="300" w:lineRule="exact"/>
                    <w:ind w:left="198" w:right="100" w:rightChars="50"/>
                    <w:jc w:val="right"/>
                    <w:rPr>
                      <w:rFonts w:cs="Arial"/>
                      <w:b/>
                      <w:bCs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（平方米）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0" w:type="auto"/>
                </w:tcPr>
                <w:p>
                  <w:pPr>
                    <w:spacing w:line="300" w:lineRule="exact"/>
                    <w:ind w:right="-124" w:rightChars="-62"/>
                    <w:rPr>
                      <w:rFonts w:cs="Arial"/>
                      <w:b/>
                      <w:bCs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商业</w:t>
                  </w:r>
                </w:p>
              </w:tc>
              <w:tc>
                <w:tcPr>
                  <w:tcW w:w="0" w:type="auto"/>
                  <w:vAlign w:val="center"/>
                </w:tcPr>
                <w:p>
                  <w:pPr>
                    <w:spacing w:line="300" w:lineRule="exact"/>
                    <w:ind w:left="198" w:right="100" w:rightChars="50"/>
                    <w:jc w:val="right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100,267.80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0" w:type="auto"/>
                </w:tcPr>
                <w:p>
                  <w:pPr>
                    <w:spacing w:line="300" w:lineRule="exact"/>
                    <w:ind w:right="-124" w:rightChars="-62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车位及其他</w:t>
                  </w:r>
                </w:p>
              </w:tc>
              <w:tc>
                <w:tcPr>
                  <w:tcW w:w="0" w:type="auto"/>
                  <w:vAlign w:val="center"/>
                </w:tcPr>
                <w:p>
                  <w:pPr>
                    <w:tabs>
                      <w:tab w:val="left" w:pos="1593"/>
                    </w:tabs>
                    <w:spacing w:line="300" w:lineRule="exact"/>
                    <w:ind w:left="198" w:right="100" w:rightChars="50"/>
                    <w:jc w:val="right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44,894.73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0" w:type="auto"/>
                </w:tcPr>
                <w:p>
                  <w:pPr>
                    <w:spacing w:line="300" w:lineRule="exact"/>
                    <w:ind w:right="-124" w:rightChars="-62"/>
                    <w:rPr>
                      <w:rFonts w:cs="Arial"/>
                      <w:b/>
                      <w:bCs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合计</w:t>
                  </w:r>
                </w:p>
              </w:tc>
              <w:tc>
                <w:tcPr>
                  <w:tcW w:w="0" w:type="auto"/>
                </w:tcPr>
                <w:p>
                  <w:pPr>
                    <w:tabs>
                      <w:tab w:val="left" w:pos="1451"/>
                    </w:tabs>
                    <w:spacing w:line="300" w:lineRule="exact"/>
                    <w:ind w:left="198" w:right="100" w:rightChars="50"/>
                    <w:jc w:val="right"/>
                    <w:rPr>
                      <w:rFonts w:cs="Arial"/>
                      <w:b/>
                      <w:bCs/>
                      <w:szCs w:val="20"/>
                      <w:u w:val="double"/>
                    </w:rPr>
                  </w:pPr>
                  <w:r>
                    <w:rPr>
                      <w:rFonts w:cs="Arial"/>
                      <w:b/>
                      <w:bCs/>
                      <w:szCs w:val="20"/>
                      <w:u w:val="double"/>
                    </w:rPr>
                    <w:fldChar w:fldCharType="begin" w:fldLock="1"/>
                  </w:r>
                  <w:r>
                    <w:rPr>
                      <w:rFonts w:cs="Arial"/>
                      <w:b/>
                      <w:bCs/>
                      <w:szCs w:val="20"/>
                      <w:u w:val="double"/>
                    </w:rPr>
                    <w:instrText xml:space="preserve"> =SUM(ABOVE) </w:instrText>
                  </w:r>
                  <w:r>
                    <w:rPr>
                      <w:rFonts w:cs="Arial"/>
                      <w:b/>
                      <w:bCs/>
                      <w:szCs w:val="20"/>
                      <w:u w:val="double"/>
                    </w:rPr>
                    <w:fldChar w:fldCharType="separate"/>
                  </w:r>
                  <w:r>
                    <w:rPr>
                      <w:rFonts w:cs="Arial"/>
                      <w:b/>
                      <w:bCs/>
                      <w:szCs w:val="20"/>
                      <w:u w:val="double"/>
                    </w:rPr>
                    <w:t>145,162.53</w:t>
                  </w:r>
                  <w:r>
                    <w:rPr>
                      <w:rFonts w:cs="Arial"/>
                      <w:b/>
                      <w:bCs/>
                      <w:szCs w:val="20"/>
                      <w:u w:val="double"/>
                    </w:rPr>
                    <w:fldChar w:fldCharType="end"/>
                  </w:r>
                </w:p>
              </w:tc>
            </w:tr>
          </w:tbl>
          <w:p>
            <w:pPr>
              <w:autoSpaceDE w:val="0"/>
              <w:autoSpaceDN w:val="0"/>
              <w:spacing w:line="300" w:lineRule="exact"/>
              <w:ind w:left="50" w:leftChars="25" w:right="200" w:rightChars="100"/>
              <w:rPr>
                <w:rFonts w:cs="Arial"/>
                <w:szCs w:val="20"/>
              </w:rPr>
            </w:pPr>
          </w:p>
          <w:p>
            <w:pPr>
              <w:tabs>
                <w:tab w:val="right" w:pos="2552"/>
              </w:tabs>
              <w:autoSpaceDE w:val="0"/>
              <w:autoSpaceDN w:val="0"/>
              <w:spacing w:line="300" w:lineRule="exact"/>
              <w:ind w:left="50" w:leftChars="25" w:right="200" w:rightChars="1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该物业已获得土地使用权，作商业用途。该物业的业权状况请见附注信息。</w:t>
            </w:r>
          </w:p>
          <w:p>
            <w:pPr>
              <w:tabs>
                <w:tab w:val="right" w:pos="2552"/>
              </w:tabs>
              <w:autoSpaceDE w:val="0"/>
              <w:autoSpaceDN w:val="0"/>
              <w:spacing w:line="300" w:lineRule="exact"/>
              <w:ind w:left="50" w:leftChars="25" w:right="200" w:rightChars="100"/>
              <w:rPr>
                <w:rFonts w:cs="Arial"/>
                <w:szCs w:val="20"/>
              </w:rPr>
            </w:pPr>
          </w:p>
        </w:tc>
        <w:tc>
          <w:tcPr>
            <w:tcW w:w="1073" w:type="pct"/>
          </w:tcPr>
          <w:p>
            <w:pPr>
              <w:autoSpaceDE w:val="0"/>
              <w:autoSpaceDN w:val="0"/>
              <w:spacing w:line="300" w:lineRule="exact"/>
              <w:ind w:left="50" w:leftChars="25" w:right="54" w:rightChars="27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根据贵集团提供的资料，于价值时点该物业商业部分已出租给不同的租户使用，出租率为100%，租期最长至2039年4月30日，于价值时点统计的已出租商铺正在执行的合同月租金收入约为9,100,000元。</w:t>
            </w:r>
          </w:p>
          <w:p>
            <w:pPr>
              <w:autoSpaceDE w:val="0"/>
              <w:autoSpaceDN w:val="0"/>
              <w:spacing w:line="300" w:lineRule="exact"/>
              <w:ind w:left="50" w:leftChars="25" w:right="100" w:rightChars="50"/>
              <w:rPr>
                <w:rFonts w:cs="Arial"/>
                <w:szCs w:val="20"/>
              </w:rPr>
            </w:pPr>
          </w:p>
        </w:tc>
        <w:tc>
          <w:tcPr>
            <w:tcW w:w="1046" w:type="pct"/>
          </w:tcPr>
          <w:p>
            <w:pPr>
              <w:autoSpaceDE w:val="0"/>
              <w:autoSpaceDN w:val="0"/>
              <w:spacing w:line="300" w:lineRule="exact"/>
              <w:ind w:left="-100" w:leftChars="-50" w:right="100" w:rightChars="50"/>
              <w:jc w:val="righ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人民币</w:t>
            </w:r>
          </w:p>
          <w:p>
            <w:pPr>
              <w:autoSpaceDE w:val="0"/>
              <w:autoSpaceDN w:val="0"/>
              <w:spacing w:line="300" w:lineRule="exact"/>
              <w:ind w:left="-100" w:leftChars="-50" w:right="100" w:rightChars="50"/>
              <w:jc w:val="righ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*******元</w:t>
            </w:r>
          </w:p>
          <w:p>
            <w:pPr>
              <w:autoSpaceDE w:val="0"/>
              <w:autoSpaceDN w:val="0"/>
              <w:spacing w:line="300" w:lineRule="exact"/>
              <w:ind w:left="-100" w:leftChars="-50" w:right="100" w:rightChars="50"/>
              <w:jc w:val="right"/>
              <w:rPr>
                <w:rFonts w:cs="Arial"/>
                <w:szCs w:val="20"/>
              </w:rPr>
            </w:pPr>
          </w:p>
          <w:p>
            <w:pPr>
              <w:autoSpaceDE w:val="0"/>
              <w:autoSpaceDN w:val="0"/>
              <w:spacing w:line="300" w:lineRule="exact"/>
              <w:ind w:left="-100" w:leftChars="-50" w:right="100" w:rightChars="50"/>
              <w:jc w:val="right"/>
              <w:rPr>
                <w:rFonts w:cs="Arial"/>
                <w:szCs w:val="20"/>
              </w:rPr>
            </w:pPr>
          </w:p>
          <w:p>
            <w:pPr>
              <w:autoSpaceDE w:val="0"/>
              <w:autoSpaceDN w:val="0"/>
              <w:spacing w:line="300" w:lineRule="exact"/>
              <w:ind w:left="-100" w:leftChars="-50" w:right="100" w:rightChars="50"/>
              <w:jc w:val="right"/>
              <w:rPr>
                <w:rFonts w:cs="Arial"/>
                <w:szCs w:val="20"/>
              </w:rPr>
            </w:pPr>
          </w:p>
          <w:p>
            <w:pPr>
              <w:autoSpaceDE w:val="0"/>
              <w:autoSpaceDN w:val="0"/>
              <w:spacing w:line="300" w:lineRule="exact"/>
              <w:ind w:left="-100" w:leftChars="-50" w:right="100" w:rightChars="50"/>
              <w:jc w:val="right"/>
              <w:rPr>
                <w:rFonts w:cs="Arial"/>
                <w:szCs w:val="20"/>
              </w:rPr>
            </w:pPr>
          </w:p>
          <w:p>
            <w:pPr>
              <w:autoSpaceDE w:val="0"/>
              <w:autoSpaceDN w:val="0"/>
              <w:spacing w:line="300" w:lineRule="exact"/>
              <w:ind w:left="-100" w:leftChars="-50" w:right="100" w:rightChars="50"/>
              <w:jc w:val="right"/>
              <w:rPr>
                <w:rFonts w:cs="Arial"/>
                <w:szCs w:val="20"/>
              </w:rPr>
            </w:pPr>
          </w:p>
        </w:tc>
      </w:tr>
    </w:tbl>
    <w:p>
      <w:pPr>
        <w:spacing w:line="300" w:lineRule="exact"/>
        <w:rPr>
          <w:rFonts w:cs="Arial"/>
          <w:szCs w:val="20"/>
        </w:rPr>
      </w:pPr>
    </w:p>
    <w:p>
      <w:pPr>
        <w:spacing w:line="300" w:lineRule="exact"/>
        <w:rPr>
          <w:rFonts w:cs="Arial"/>
          <w:szCs w:val="20"/>
        </w:rPr>
      </w:pPr>
      <w:r>
        <w:rPr>
          <w:rFonts w:cs="Arial"/>
          <w:szCs w:val="20"/>
        </w:rPr>
        <w:br w:type="page"/>
      </w:r>
      <w:r>
        <w:rPr>
          <w:rFonts w:cs="Arial"/>
          <w:szCs w:val="20"/>
        </w:rPr>
        <w:t>附注：</w:t>
      </w:r>
    </w:p>
    <w:p>
      <w:pPr>
        <w:spacing w:line="300" w:lineRule="exact"/>
        <w:rPr>
          <w:rFonts w:cs="Arial"/>
          <w:szCs w:val="20"/>
          <w:lang w:eastAsia="zh-TW"/>
        </w:rPr>
      </w:pPr>
    </w:p>
    <w:p>
      <w:pPr>
        <w:numPr>
          <w:ilvl w:val="0"/>
          <w:numId w:val="1"/>
        </w:numPr>
        <w:tabs>
          <w:tab w:val="left" w:pos="851"/>
        </w:tabs>
        <w:autoSpaceDE w:val="0"/>
        <w:autoSpaceDN w:val="0"/>
        <w:spacing w:line="300" w:lineRule="exact"/>
        <w:ind w:right="-94" w:rightChars="-47"/>
        <w:rPr>
          <w:rFonts w:cs="Arial"/>
          <w:szCs w:val="20"/>
        </w:rPr>
      </w:pPr>
      <w:r>
        <w:rPr>
          <w:rFonts w:cs="Arial"/>
          <w:szCs w:val="20"/>
        </w:rPr>
        <w:t>根据以下【不动产权证书】，该物业的产权由六安万达广场投资有限公司所有，证书的详情如下：</w:t>
      </w:r>
    </w:p>
    <w:tbl>
      <w:tblPr>
        <w:tblStyle w:val="2"/>
        <w:tblW w:w="88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384"/>
        <w:gridCol w:w="884"/>
        <w:gridCol w:w="1984"/>
        <w:gridCol w:w="1276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216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exact"/>
              <w:ind w:lef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证书编号</w:t>
            </w:r>
          </w:p>
        </w:tc>
        <w:tc>
          <w:tcPr>
            <w:tcW w:w="1384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exact"/>
              <w:ind w:firstLine="198" w:firstLineChars="99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共有宗地使用权面积</w:t>
            </w:r>
          </w:p>
        </w:tc>
        <w:tc>
          <w:tcPr>
            <w:tcW w:w="88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土地</w:t>
            </w:r>
          </w:p>
          <w:p>
            <w:pPr>
              <w:spacing w:line="300" w:lineRule="exac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用途</w:t>
            </w:r>
          </w:p>
        </w:tc>
        <w:tc>
          <w:tcPr>
            <w:tcW w:w="198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ind w:leftChars="-33" w:hanging="66" w:hangingChars="33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终止日期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ind w:left="-74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建筑面积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ind w:leftChars="-37" w:hanging="74" w:hangingChars="37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房屋</w:t>
            </w:r>
          </w:p>
          <w:p>
            <w:pPr>
              <w:spacing w:line="300" w:lineRule="exact"/>
              <w:ind w:leftChars="-37" w:hanging="74" w:hangingChars="37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用途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60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exact"/>
              <w:ind w:left="-108"/>
              <w:jc w:val="center"/>
              <w:rPr>
                <w:rFonts w:cs="Arial"/>
                <w:szCs w:val="20"/>
              </w:rPr>
            </w:pPr>
          </w:p>
        </w:tc>
        <w:tc>
          <w:tcPr>
            <w:tcW w:w="1384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（平方米）</w:t>
            </w:r>
          </w:p>
        </w:tc>
        <w:tc>
          <w:tcPr>
            <w:tcW w:w="884" w:type="dxa"/>
            <w:tcBorders>
              <w:top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cs="Arial"/>
                <w:szCs w:val="20"/>
              </w:rPr>
            </w:pPr>
          </w:p>
        </w:tc>
        <w:tc>
          <w:tcPr>
            <w:tcW w:w="1984" w:type="dxa"/>
            <w:tcBorders>
              <w:top w:val="single" w:color="auto" w:sz="4" w:space="0"/>
            </w:tcBorders>
            <w:vAlign w:val="center"/>
          </w:tcPr>
          <w:p>
            <w:pPr>
              <w:spacing w:line="300" w:lineRule="exact"/>
              <w:ind w:leftChars="-33" w:hanging="66" w:hangingChars="33"/>
              <w:jc w:val="center"/>
              <w:rPr>
                <w:rFonts w:cs="Arial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  <w:vAlign w:val="center"/>
          </w:tcPr>
          <w:p>
            <w:pPr>
              <w:spacing w:line="300" w:lineRule="exact"/>
              <w:ind w:leftChars="-71" w:hanging="142" w:hangingChars="71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（平方米）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vAlign w:val="center"/>
          </w:tcPr>
          <w:p>
            <w:pPr>
              <w:spacing w:line="300" w:lineRule="exact"/>
              <w:ind w:leftChars="-37" w:hanging="74" w:hangingChars="37"/>
              <w:jc w:val="center"/>
              <w:rPr>
                <w:rFonts w:cs="Arial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160" w:type="dxa"/>
            <w:shd w:val="clear" w:color="auto" w:fill="auto"/>
            <w:noWrap/>
          </w:tcPr>
          <w:p>
            <w:pPr>
              <w:spacing w:line="300" w:lineRule="exact"/>
              <w:ind w:left="-108"/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皖2017六安市不动产权第0035164号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37,138.00</w:t>
            </w:r>
          </w:p>
        </w:tc>
        <w:tc>
          <w:tcPr>
            <w:tcW w:w="884" w:type="dxa"/>
            <w:vAlign w:val="center"/>
          </w:tcPr>
          <w:p>
            <w:pPr>
              <w:spacing w:line="300" w:lineRule="exact"/>
              <w:jc w:val="center"/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商业</w:t>
            </w:r>
          </w:p>
        </w:tc>
        <w:tc>
          <w:tcPr>
            <w:tcW w:w="1984" w:type="dxa"/>
            <w:vAlign w:val="center"/>
          </w:tcPr>
          <w:p>
            <w:pPr>
              <w:spacing w:line="300" w:lineRule="exact"/>
              <w:ind w:leftChars="-33" w:hanging="66" w:hangingChars="33"/>
              <w:jc w:val="center"/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2055年7月9日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ind w:left="-74"/>
              <w:jc w:val="center"/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93,280.01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ind w:left="74" w:hanging="74"/>
              <w:jc w:val="center"/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商业服务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160" w:type="dxa"/>
            <w:shd w:val="clear" w:color="auto" w:fill="auto"/>
            <w:noWrap/>
          </w:tcPr>
          <w:p>
            <w:pPr>
              <w:spacing w:line="300" w:lineRule="exact"/>
              <w:ind w:left="-108"/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皖2017六安市不动产权第0035165号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37,138.00</w:t>
            </w:r>
          </w:p>
        </w:tc>
        <w:tc>
          <w:tcPr>
            <w:tcW w:w="884" w:type="dxa"/>
            <w:vAlign w:val="center"/>
          </w:tcPr>
          <w:p>
            <w:pPr>
              <w:spacing w:line="300" w:lineRule="exact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商业</w:t>
            </w:r>
          </w:p>
        </w:tc>
        <w:tc>
          <w:tcPr>
            <w:tcW w:w="1984" w:type="dxa"/>
            <w:vAlign w:val="center"/>
          </w:tcPr>
          <w:p>
            <w:pPr>
              <w:spacing w:line="300" w:lineRule="exact"/>
              <w:ind w:leftChars="-33" w:hanging="66" w:hangingChars="33"/>
              <w:jc w:val="center"/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2055年7月9日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ind w:left="-74"/>
              <w:jc w:val="center"/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6,987.79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ind w:left="74" w:hanging="74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商业服务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2160" w:type="dxa"/>
            <w:shd w:val="clear" w:color="auto" w:fill="auto"/>
            <w:noWrap/>
          </w:tcPr>
          <w:p>
            <w:pPr>
              <w:spacing w:line="300" w:lineRule="exact"/>
              <w:ind w:left="-108"/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皖2017六安市不动产权第0035166号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37,138.00</w:t>
            </w:r>
          </w:p>
        </w:tc>
        <w:tc>
          <w:tcPr>
            <w:tcW w:w="884" w:type="dxa"/>
            <w:vAlign w:val="center"/>
          </w:tcPr>
          <w:p>
            <w:pPr>
              <w:spacing w:line="300" w:lineRule="exact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商业</w:t>
            </w:r>
          </w:p>
        </w:tc>
        <w:tc>
          <w:tcPr>
            <w:tcW w:w="1984" w:type="dxa"/>
            <w:vAlign w:val="center"/>
          </w:tcPr>
          <w:p>
            <w:pPr>
              <w:spacing w:line="300" w:lineRule="exact"/>
              <w:ind w:leftChars="-33" w:hanging="66" w:hangingChars="33"/>
              <w:jc w:val="center"/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2055年7月9日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ind w:left="-74"/>
              <w:jc w:val="center"/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44,894.73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ind w:left="74" w:hanging="74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非住宅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160" w:type="dxa"/>
            <w:shd w:val="clear" w:color="auto" w:fill="auto"/>
            <w:noWrap/>
            <w:vAlign w:val="center"/>
          </w:tcPr>
          <w:p>
            <w:pPr>
              <w:spacing w:line="300" w:lineRule="exact"/>
              <w:ind w:left="-108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合计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cs="Arial"/>
                <w:b/>
                <w:szCs w:val="20"/>
                <w:u w:val="double"/>
              </w:rPr>
            </w:pPr>
            <w:r>
              <w:rPr>
                <w:rFonts w:cs="Arial"/>
                <w:b/>
                <w:szCs w:val="20"/>
                <w:u w:val="double"/>
              </w:rPr>
              <w:t>37,138.00</w:t>
            </w:r>
          </w:p>
        </w:tc>
        <w:tc>
          <w:tcPr>
            <w:tcW w:w="884" w:type="dxa"/>
            <w:vAlign w:val="center"/>
          </w:tcPr>
          <w:p>
            <w:pPr>
              <w:spacing w:line="30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00" w:lineRule="exact"/>
              <w:ind w:leftChars="-33" w:hanging="66" w:hangingChars="33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  <w:vAlign w:val="center"/>
          </w:tcPr>
          <w:p>
            <w:pPr>
              <w:spacing w:line="300" w:lineRule="exact"/>
              <w:ind w:leftChars="-33" w:hanging="66" w:hangingChars="33"/>
              <w:jc w:val="center"/>
              <w:rPr>
                <w:rFonts w:cs="Arial"/>
                <w:b/>
                <w:szCs w:val="20"/>
                <w:u w:val="double"/>
              </w:rPr>
            </w:pPr>
            <w:r>
              <w:rPr>
                <w:rFonts w:cs="Arial"/>
                <w:b/>
                <w:szCs w:val="20"/>
                <w:u w:val="double"/>
              </w:rPr>
              <w:t>145,162.53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cs="Arial"/>
                <w:b/>
                <w:szCs w:val="20"/>
              </w:rPr>
            </w:pPr>
          </w:p>
        </w:tc>
      </w:tr>
    </w:tbl>
    <w:p>
      <w:pPr>
        <w:tabs>
          <w:tab w:val="left" w:pos="851"/>
        </w:tabs>
        <w:autoSpaceDE w:val="0"/>
        <w:autoSpaceDN w:val="0"/>
        <w:spacing w:line="300" w:lineRule="exact"/>
        <w:ind w:left="851" w:right="-94" w:rightChars="-47"/>
        <w:rPr>
          <w:rFonts w:cs="Arial"/>
          <w:szCs w:val="20"/>
        </w:rPr>
      </w:pPr>
    </w:p>
    <w:p>
      <w:pPr>
        <w:numPr>
          <w:ilvl w:val="0"/>
          <w:numId w:val="1"/>
        </w:numPr>
        <w:tabs>
          <w:tab w:val="left" w:pos="851"/>
        </w:tabs>
        <w:autoSpaceDE w:val="0"/>
        <w:autoSpaceDN w:val="0"/>
        <w:spacing w:line="300" w:lineRule="exact"/>
        <w:ind w:right="-94" w:rightChars="-47"/>
        <w:rPr>
          <w:rFonts w:cs="Arial"/>
          <w:szCs w:val="20"/>
        </w:rPr>
      </w:pPr>
      <w:r>
        <w:rPr>
          <w:rFonts w:cs="Arial"/>
          <w:szCs w:val="20"/>
        </w:rPr>
        <w:t>根据【营业执照】91341500343854526L号，六安万达广场投资有限公司的注册资本为人民币230,010,000元，营业期限自2015年6月3日至长期。</w:t>
      </w:r>
    </w:p>
    <w:p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E36C20"/>
    <w:multiLevelType w:val="multilevel"/>
    <w:tmpl w:val="7FE36C20"/>
    <w:lvl w:ilvl="0" w:tentative="0">
      <w:start w:val="1"/>
      <w:numFmt w:val="chineseCountingThousand"/>
      <w:lvlText w:val="(%1)"/>
      <w:lvlJc w:val="left"/>
      <w:pPr>
        <w:tabs>
          <w:tab w:val="left" w:pos="0"/>
        </w:tabs>
        <w:ind w:left="851" w:hanging="851"/>
      </w:pPr>
      <w:rPr>
        <w:rFonts w:hint="eastAsia" w:ascii="微软雅黑" w:hAnsi="微软雅黑" w:eastAsia="微软雅黑"/>
        <w:b w:val="0"/>
        <w:i w:val="0"/>
        <w:spacing w:val="0"/>
        <w:sz w:val="20"/>
        <w:szCs w:val="20"/>
      </w:rPr>
    </w:lvl>
    <w:lvl w:ilvl="1" w:tentative="0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 w:tentative="0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 w:tentative="0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 w:tentative="0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 w:tentative="0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025"/>
    <w:rsid w:val="00395025"/>
    <w:rsid w:val="00652A57"/>
    <w:rsid w:val="2528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Arial" w:hAnsi="Arial" w:eastAsia="微软雅黑" w:cstheme="minorBidi"/>
      <w:kern w:val="2"/>
      <w:sz w:val="20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spacing w:after="0" w:line="240" w:lineRule="auto"/>
    </w:pPr>
    <w:rPr>
      <w:rFonts w:ascii="Arial" w:hAnsi="Arial" w:eastAsia="微软雅黑"/>
      <w:kern w:val="2"/>
      <w:sz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5A5A7E83B2074DA0720F18E8338ABA" ma:contentTypeVersion="13" ma:contentTypeDescription="Create a new document." ma:contentTypeScope="" ma:versionID="0faab961cdd9b261548b812a90b7f625">
  <xsd:schema xmlns:xsd="http://www.w3.org/2001/XMLSchema" xmlns:xs="http://www.w3.org/2001/XMLSchema" xmlns:p="http://schemas.microsoft.com/office/2006/metadata/properties" xmlns:ns3="89ebff39-a050-465b-bc2e-4514c36b36bb" xmlns:ns4="6e34ee29-9724-4e9b-a49f-2e215c1e805f" targetNamespace="http://schemas.microsoft.com/office/2006/metadata/properties" ma:root="true" ma:fieldsID="0be247f33bf60aa6d650b942d6d6816c" ns3:_="" ns4:_="">
    <xsd:import namespace="89ebff39-a050-465b-bc2e-4514c36b36bb"/>
    <xsd:import namespace="6e34ee29-9724-4e9b-a49f-2e215c1e80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bff39-a050-465b-bc2e-4514c36b36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34ee29-9724-4e9b-a49f-2e215c1e80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08043D-A730-4926-AFBA-F4F3875AF87F}">
  <ds:schemaRefs/>
</ds:datastoreItem>
</file>

<file path=customXml/itemProps3.xml><?xml version="1.0" encoding="utf-8"?>
<ds:datastoreItem xmlns:ds="http://schemas.openxmlformats.org/officeDocument/2006/customXml" ds:itemID="{12E2D27C-FD0E-4711-86AD-60D962A7421E}">
  <ds:schemaRefs/>
</ds:datastoreItem>
</file>

<file path=customXml/itemProps4.xml><?xml version="1.0" encoding="utf-8"?>
<ds:datastoreItem xmlns:ds="http://schemas.openxmlformats.org/officeDocument/2006/customXml" ds:itemID="{E0483F7B-FF48-4C77-B2F9-E757327B4C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161</Words>
  <Characters>924</Characters>
  <Lines>7</Lines>
  <Paragraphs>2</Paragraphs>
  <TotalTime>26</TotalTime>
  <ScaleCrop>false</ScaleCrop>
  <LinksUpToDate>false</LinksUpToDate>
  <CharactersWithSpaces>1083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2020-11-20T04:02:00Z</dcterms:created>
  <dc:creator>Jenny Yu/CHN</dc:creator>
  <cp:lastModifiedBy>Administrator</cp:lastModifiedBy>
  <dcterms:modified xsi:type="dcterms:W3CDTF">2020-11-20T05:36:44Z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0x010100395A5A7E83B2074DA0720F18E8338ABA</vt:lpwstr>
  </property>
  <property fmtid="{D5CDD505-2E9C-101B-9397-08002B2CF9AE}" pid="3" name="KSOProductBuildVer">
    <vt:lpwstr>2052-11.1.0.9929</vt:lpwstr>
  </property>
</Properties>
</file>