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F0AE9" w14:textId="77777777" w:rsidR="00000000" w:rsidRDefault="00000000">
      <w:pPr>
        <w:pStyle w:val="aff0"/>
        <w:spacing w:line="320" w:lineRule="exact"/>
        <w:ind w:left="360" w:firstLineChars="0" w:firstLine="0"/>
        <w:rPr>
          <w:rFonts w:ascii="Arial" w:hAnsi="Arial" w:cs="Arial"/>
          <w:sz w:val="21"/>
          <w:szCs w:val="21"/>
        </w:rPr>
      </w:pPr>
    </w:p>
    <w:p w14:paraId="2BC2685C" w14:textId="2F2A62D3" w:rsidR="00000000" w:rsidRDefault="00CA265D">
      <w:pPr>
        <w:pStyle w:val="aff0"/>
        <w:spacing w:line="320" w:lineRule="exact"/>
        <w:ind w:firstLineChars="0" w:firstLine="0"/>
        <w:rPr>
          <w:rFonts w:ascii="Arial" w:hAnsi="Arial" w:cs="Arial"/>
          <w:b/>
          <w:sz w:val="21"/>
          <w:szCs w:val="21"/>
        </w:rPr>
      </w:pPr>
      <w:r>
        <w:rPr>
          <w:rFonts w:ascii="Arial" w:hAnsi="Arial" w:cs="Arial"/>
          <w:noProof/>
          <w:sz w:val="21"/>
          <w:szCs w:val="21"/>
          <w:lang w:val="en-US" w:eastAsia="zh-CN"/>
        </w:rPr>
        <mc:AlternateContent>
          <mc:Choice Requires="wps">
            <w:drawing>
              <wp:anchor distT="0" distB="0" distL="114300" distR="114300" simplePos="0" relativeHeight="251657728" behindDoc="0" locked="0" layoutInCell="1" allowOverlap="1" wp14:anchorId="6A13B77B" wp14:editId="308310DB">
                <wp:simplePos x="0" y="0"/>
                <wp:positionH relativeFrom="margin">
                  <wp:posOffset>-635</wp:posOffset>
                </wp:positionH>
                <wp:positionV relativeFrom="margin">
                  <wp:posOffset>4838700</wp:posOffset>
                </wp:positionV>
                <wp:extent cx="5904230" cy="2895600"/>
                <wp:effectExtent l="0" t="0" r="2540" b="1270"/>
                <wp:wrapNone/>
                <wp:docPr id="179382286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7252E" w14:textId="77777777" w:rsidR="00000000" w:rsidRDefault="00000000">
                            <w:pPr>
                              <w:pStyle w:val="aff0"/>
                              <w:numPr>
                                <w:ilvl w:val="0"/>
                                <w:numId w:val="5"/>
                              </w:numPr>
                              <w:spacing w:line="320" w:lineRule="exact"/>
                              <w:ind w:right="-93" w:firstLineChars="0"/>
                              <w:textAlignment w:val="bottom"/>
                              <w:outlineLvl w:val="0"/>
                              <w:rPr>
                                <w:rFonts w:ascii="Arial" w:eastAsia="方正黑体简体" w:hAnsi="Arial"/>
                                <w:b/>
                                <w:bCs/>
                                <w:sz w:val="21"/>
                                <w:szCs w:val="21"/>
                              </w:rPr>
                            </w:pPr>
                            <w:bookmarkStart w:id="0" w:name="_Toc97732725"/>
                            <w:bookmarkStart w:id="1" w:name="_Toc97732791"/>
                            <w:bookmarkStart w:id="2" w:name="_Toc97732841"/>
                            <w:r>
                              <w:rPr>
                                <w:rFonts w:ascii="Arial" w:eastAsia="方正黑体简体" w:hAnsi="Arial" w:hint="eastAsia"/>
                                <w:b/>
                                <w:bCs/>
                                <w:sz w:val="21"/>
                                <w:szCs w:val="21"/>
                              </w:rPr>
                              <w:t>0</w:t>
                            </w:r>
                            <w:r>
                              <w:rPr>
                                <w:rFonts w:ascii="Arial" w:eastAsia="方正黑体简体" w:hAnsi="Arial" w:hint="eastAsia"/>
                                <w:b/>
                                <w:bCs/>
                                <w:sz w:val="21"/>
                                <w:szCs w:val="21"/>
                              </w:rPr>
                              <w:t>项目名称：</w:t>
                            </w:r>
                            <w:bookmarkEnd w:id="0"/>
                            <w:bookmarkEnd w:id="1"/>
                            <w:bookmarkEnd w:id="2"/>
                          </w:p>
                          <w:p w14:paraId="728A23A2" w14:textId="77777777" w:rsidR="00000000" w:rsidRDefault="00000000">
                            <w:pPr>
                              <w:pStyle w:val="aff0"/>
                              <w:spacing w:line="320" w:lineRule="exact"/>
                              <w:ind w:left="360" w:firstLineChars="0" w:firstLine="0"/>
                              <w:textAlignment w:val="bottom"/>
                              <w:rPr>
                                <w:rFonts w:ascii="Arial" w:eastAsia="方正黑体简体" w:hAnsi="Arial" w:cs="Arial" w:hint="eastAsia"/>
                                <w:sz w:val="21"/>
                                <w:szCs w:val="21"/>
                              </w:rPr>
                            </w:pPr>
                            <w:r>
                              <w:rPr>
                                <w:rFonts w:ascii="Arial" w:eastAsia="方正黑体简体" w:hAnsi="Arial" w:cs="Arial" w:hint="eastAsia"/>
                                <w:sz w:val="21"/>
                                <w:szCs w:val="21"/>
                              </w:rPr>
                              <w:t>北京市昌平区马池口镇百泉庄村集体土地租赁住房项目集体经营性建设用地使用权地价评估</w:t>
                            </w:r>
                          </w:p>
                          <w:p w14:paraId="3885FA75" w14:textId="77777777" w:rsidR="00000000" w:rsidRDefault="00000000">
                            <w:pPr>
                              <w:textAlignment w:val="bottom"/>
                              <w:rPr>
                                <w:rFonts w:ascii="Arial" w:hAnsi="Arial" w:hint="eastAsia"/>
                              </w:rPr>
                            </w:pPr>
                          </w:p>
                          <w:p w14:paraId="06E6370B" w14:textId="77777777" w:rsidR="00000000" w:rsidRDefault="00000000">
                            <w:pPr>
                              <w:pStyle w:val="aff0"/>
                              <w:numPr>
                                <w:ilvl w:val="0"/>
                                <w:numId w:val="5"/>
                              </w:numPr>
                              <w:spacing w:line="320" w:lineRule="exact"/>
                              <w:ind w:right="-93" w:firstLineChars="0"/>
                              <w:textAlignment w:val="bottom"/>
                              <w:outlineLvl w:val="0"/>
                              <w:rPr>
                                <w:rFonts w:ascii="Arial" w:eastAsia="方正黑体简体" w:hAnsi="Arial" w:hint="eastAsia"/>
                                <w:b/>
                                <w:bCs/>
                                <w:sz w:val="21"/>
                                <w:szCs w:val="21"/>
                              </w:rPr>
                            </w:pPr>
                            <w:bookmarkStart w:id="3" w:name="_Toc97732726"/>
                            <w:bookmarkStart w:id="4" w:name="_Toc97732792"/>
                            <w:bookmarkStart w:id="5" w:name="_Toc97732842"/>
                            <w:r>
                              <w:rPr>
                                <w:rFonts w:ascii="Arial" w:eastAsia="方正黑体简体" w:hAnsi="Arial" w:hint="eastAsia"/>
                                <w:b/>
                                <w:bCs/>
                                <w:sz w:val="21"/>
                                <w:szCs w:val="21"/>
                              </w:rPr>
                              <w:t>委托方：</w:t>
                            </w:r>
                            <w:bookmarkEnd w:id="3"/>
                            <w:bookmarkEnd w:id="4"/>
                            <w:bookmarkEnd w:id="5"/>
                          </w:p>
                          <w:p w14:paraId="48DA60FC" w14:textId="77777777" w:rsidR="00000000" w:rsidRDefault="00000000">
                            <w:pPr>
                              <w:pStyle w:val="aff0"/>
                              <w:spacing w:line="320" w:lineRule="exact"/>
                              <w:ind w:left="360" w:firstLineChars="0" w:firstLine="0"/>
                              <w:textAlignment w:val="bottom"/>
                              <w:rPr>
                                <w:rFonts w:ascii="Arial" w:eastAsia="方正黑体简体" w:hAnsi="Arial" w:cs="Arial"/>
                                <w:sz w:val="21"/>
                                <w:szCs w:val="21"/>
                              </w:rPr>
                            </w:pPr>
                            <w:bookmarkStart w:id="6" w:name="_Hlk100474087"/>
                            <w:r>
                              <w:rPr>
                                <w:rFonts w:ascii="Arial" w:eastAsia="方正黑体简体" w:hAnsi="Arial" w:cs="Arial" w:hint="eastAsia"/>
                                <w:sz w:val="21"/>
                                <w:szCs w:val="21"/>
                              </w:rPr>
                              <w:t>北京保障房中心有限公司</w:t>
                            </w:r>
                          </w:p>
                          <w:bookmarkEnd w:id="6"/>
                          <w:p w14:paraId="7CC78207" w14:textId="77777777" w:rsidR="00000000" w:rsidRDefault="00000000">
                            <w:pPr>
                              <w:textAlignment w:val="bottom"/>
                              <w:rPr>
                                <w:rFonts w:ascii="Arial" w:eastAsia="方正黑体简体" w:hAnsi="Arial"/>
                              </w:rPr>
                            </w:pPr>
                          </w:p>
                          <w:p w14:paraId="0CD4489F" w14:textId="77777777" w:rsidR="00000000" w:rsidRDefault="00000000">
                            <w:pPr>
                              <w:pStyle w:val="aff0"/>
                              <w:numPr>
                                <w:ilvl w:val="0"/>
                                <w:numId w:val="5"/>
                              </w:numPr>
                              <w:spacing w:line="320" w:lineRule="exact"/>
                              <w:ind w:right="-93" w:firstLineChars="0"/>
                              <w:textAlignment w:val="bottom"/>
                              <w:outlineLvl w:val="0"/>
                              <w:rPr>
                                <w:rFonts w:ascii="Arial" w:eastAsia="方正黑体简体" w:hAnsi="Arial"/>
                                <w:b/>
                                <w:bCs/>
                                <w:sz w:val="21"/>
                                <w:szCs w:val="21"/>
                              </w:rPr>
                            </w:pPr>
                            <w:bookmarkStart w:id="7" w:name="_Toc97732793"/>
                            <w:bookmarkStart w:id="8" w:name="_Toc97732727"/>
                            <w:bookmarkStart w:id="9" w:name="_Toc97732843"/>
                            <w:r>
                              <w:rPr>
                                <w:rFonts w:ascii="Arial" w:eastAsia="方正黑体简体" w:hAnsi="Arial" w:hint="eastAsia"/>
                                <w:b/>
                                <w:bCs/>
                                <w:sz w:val="21"/>
                                <w:szCs w:val="21"/>
                              </w:rPr>
                              <w:t>受托单位：</w:t>
                            </w:r>
                            <w:bookmarkEnd w:id="7"/>
                            <w:bookmarkEnd w:id="8"/>
                            <w:bookmarkEnd w:id="9"/>
                          </w:p>
                          <w:p w14:paraId="46F2BBD3" w14:textId="77777777" w:rsidR="00000000" w:rsidRDefault="00000000">
                            <w:pPr>
                              <w:pStyle w:val="aff0"/>
                              <w:spacing w:line="320" w:lineRule="exact"/>
                              <w:ind w:left="360" w:firstLineChars="0" w:firstLine="0"/>
                              <w:textAlignment w:val="bottom"/>
                              <w:rPr>
                                <w:rFonts w:ascii="Arial" w:eastAsia="方正黑体简体" w:hAnsi="Arial" w:cs="Arial" w:hint="eastAsia"/>
                                <w:sz w:val="21"/>
                                <w:szCs w:val="21"/>
                              </w:rPr>
                            </w:pPr>
                            <w:r>
                              <w:rPr>
                                <w:rFonts w:ascii="Arial" w:eastAsia="方正黑体简体" w:hAnsi="Arial" w:hint="eastAsia"/>
                                <w:sz w:val="21"/>
                                <w:szCs w:val="21"/>
                              </w:rPr>
                              <w:t>北京康正宏基房地产评估有限公司</w:t>
                            </w:r>
                          </w:p>
                          <w:p w14:paraId="691C731A" w14:textId="77777777" w:rsidR="00000000" w:rsidRDefault="00000000">
                            <w:pPr>
                              <w:spacing w:line="320" w:lineRule="exact"/>
                              <w:textAlignment w:val="bottom"/>
                              <w:rPr>
                                <w:rFonts w:ascii="Arial" w:eastAsia="方正黑体简体" w:hAnsi="Arial"/>
                                <w:b/>
                                <w:sz w:val="21"/>
                                <w:szCs w:val="21"/>
                              </w:rPr>
                            </w:pPr>
                          </w:p>
                          <w:p w14:paraId="0378AA67" w14:textId="77777777" w:rsidR="00000000" w:rsidRDefault="00000000">
                            <w:pPr>
                              <w:pStyle w:val="aff0"/>
                              <w:numPr>
                                <w:ilvl w:val="0"/>
                                <w:numId w:val="5"/>
                              </w:numPr>
                              <w:spacing w:line="320" w:lineRule="exact"/>
                              <w:ind w:right="-93" w:firstLineChars="0"/>
                              <w:textAlignment w:val="bottom"/>
                              <w:outlineLvl w:val="0"/>
                              <w:rPr>
                                <w:rFonts w:ascii="Arial" w:eastAsia="方正黑体简体" w:hAnsi="Arial"/>
                                <w:b/>
                                <w:bCs/>
                                <w:sz w:val="21"/>
                                <w:szCs w:val="21"/>
                              </w:rPr>
                            </w:pPr>
                            <w:bookmarkStart w:id="10" w:name="_Toc97732729"/>
                            <w:bookmarkStart w:id="11" w:name="_Toc97732795"/>
                            <w:bookmarkStart w:id="12" w:name="_Toc97732845"/>
                            <w:r>
                              <w:rPr>
                                <w:rFonts w:ascii="Arial" w:eastAsia="方正黑体简体" w:hAnsi="Arial" w:hint="eastAsia"/>
                                <w:b/>
                                <w:bCs/>
                                <w:sz w:val="21"/>
                                <w:szCs w:val="21"/>
                              </w:rPr>
                              <w:t>报告编号：</w:t>
                            </w:r>
                            <w:bookmarkEnd w:id="10"/>
                            <w:bookmarkEnd w:id="11"/>
                            <w:bookmarkEnd w:id="12"/>
                          </w:p>
                          <w:p w14:paraId="472DF1DB" w14:textId="77777777" w:rsidR="00000000" w:rsidRDefault="00000000">
                            <w:pPr>
                              <w:pStyle w:val="aff0"/>
                              <w:spacing w:line="320" w:lineRule="exact"/>
                              <w:ind w:left="360" w:firstLineChars="0" w:firstLine="0"/>
                              <w:textAlignment w:val="bottom"/>
                              <w:rPr>
                                <w:rFonts w:ascii="Arial" w:eastAsia="方正黑体简体" w:hAnsi="Arial" w:cs="Arial" w:hint="eastAsia"/>
                                <w:sz w:val="21"/>
                                <w:szCs w:val="21"/>
                              </w:rPr>
                            </w:pPr>
                            <w:r>
                              <w:rPr>
                                <w:rFonts w:ascii="Arial" w:eastAsia="方正黑体简体" w:hAnsi="Arial" w:cs="Arial" w:hint="eastAsia"/>
                                <w:sz w:val="21"/>
                                <w:szCs w:val="21"/>
                              </w:rPr>
                              <w:t>康正评字</w:t>
                            </w:r>
                            <w:r>
                              <w:rPr>
                                <w:rFonts w:ascii="Arial" w:eastAsia="方正黑体简体" w:hAnsi="Arial" w:cs="Arial" w:hint="eastAsia"/>
                                <w:sz w:val="21"/>
                                <w:szCs w:val="21"/>
                              </w:rPr>
                              <w:t>2025-1-0732-F01TDCR6</w:t>
                            </w:r>
                            <w:r>
                              <w:rPr>
                                <w:rFonts w:ascii="Arial" w:eastAsia="方正黑体简体" w:hAnsi="Arial" w:cs="Arial" w:hint="eastAsia"/>
                                <w:sz w:val="21"/>
                                <w:szCs w:val="21"/>
                              </w:rPr>
                              <w:t>号</w:t>
                            </w:r>
                          </w:p>
                          <w:p w14:paraId="48A4407D" w14:textId="77777777" w:rsidR="00000000" w:rsidRDefault="00000000">
                            <w:pPr>
                              <w:pStyle w:val="aff0"/>
                              <w:spacing w:line="320" w:lineRule="exact"/>
                              <w:ind w:left="360" w:firstLineChars="0" w:firstLine="0"/>
                              <w:textAlignment w:val="bottom"/>
                              <w:rPr>
                                <w:rFonts w:ascii="Arial" w:eastAsia="方正黑体简体" w:hAnsi="Arial" w:cs="Arial" w:hint="eastAsia"/>
                                <w:sz w:val="21"/>
                                <w:szCs w:val="21"/>
                              </w:rPr>
                            </w:pPr>
                          </w:p>
                          <w:p w14:paraId="604AE4C2" w14:textId="77777777" w:rsidR="00000000" w:rsidRDefault="00000000">
                            <w:pPr>
                              <w:pStyle w:val="aff0"/>
                              <w:numPr>
                                <w:ilvl w:val="0"/>
                                <w:numId w:val="5"/>
                              </w:numPr>
                              <w:spacing w:line="320" w:lineRule="exact"/>
                              <w:ind w:right="-93" w:firstLineChars="0"/>
                              <w:textAlignment w:val="bottom"/>
                              <w:outlineLvl w:val="0"/>
                              <w:rPr>
                                <w:rFonts w:ascii="Arial" w:eastAsia="方正黑体简体" w:hAnsi="Arial"/>
                                <w:b/>
                                <w:bCs/>
                                <w:sz w:val="21"/>
                                <w:szCs w:val="21"/>
                              </w:rPr>
                            </w:pPr>
                            <w:bookmarkStart w:id="13" w:name="_Toc97732730"/>
                            <w:bookmarkStart w:id="14" w:name="_Toc97732796"/>
                            <w:bookmarkStart w:id="15" w:name="_Toc97732846"/>
                            <w:r>
                              <w:rPr>
                                <w:rFonts w:ascii="Arial" w:eastAsia="方正黑体简体" w:hAnsi="Arial" w:hint="eastAsia"/>
                                <w:b/>
                                <w:bCs/>
                                <w:sz w:val="21"/>
                                <w:szCs w:val="21"/>
                              </w:rPr>
                              <w:t>提交报告日期：</w:t>
                            </w:r>
                            <w:bookmarkEnd w:id="13"/>
                            <w:bookmarkEnd w:id="14"/>
                            <w:bookmarkEnd w:id="15"/>
                          </w:p>
                          <w:p w14:paraId="3436CF27" w14:textId="77777777" w:rsidR="00000000" w:rsidRDefault="00000000">
                            <w:pPr>
                              <w:pStyle w:val="aff0"/>
                              <w:spacing w:line="320" w:lineRule="exact"/>
                              <w:ind w:left="360" w:firstLineChars="0" w:firstLine="0"/>
                              <w:textAlignment w:val="bottom"/>
                              <w:rPr>
                                <w:rFonts w:ascii="Arial" w:eastAsia="方正黑体简体" w:hAnsi="Arial" w:cs="Arial" w:hint="eastAsia"/>
                                <w:sz w:val="21"/>
                                <w:szCs w:val="21"/>
                              </w:rPr>
                            </w:pPr>
                            <w:r>
                              <w:rPr>
                                <w:rFonts w:ascii="Arial" w:eastAsia="方正黑体简体" w:hAnsi="Arial" w:cs="Arial" w:hint="eastAsia"/>
                                <w:sz w:val="21"/>
                                <w:szCs w:val="21"/>
                              </w:rPr>
                              <w:t>2025</w:t>
                            </w:r>
                            <w:r>
                              <w:rPr>
                                <w:rFonts w:ascii="Arial" w:eastAsia="方正黑体简体" w:hAnsi="Arial" w:cs="Arial" w:hint="eastAsia"/>
                                <w:sz w:val="21"/>
                                <w:szCs w:val="21"/>
                              </w:rPr>
                              <w:t>年</w:t>
                            </w:r>
                            <w:r>
                              <w:rPr>
                                <w:rFonts w:ascii="Arial" w:eastAsia="方正黑体简体" w:hAnsi="Arial" w:cs="Arial" w:hint="eastAsia"/>
                                <w:sz w:val="21"/>
                                <w:szCs w:val="21"/>
                              </w:rPr>
                              <w:t>10</w:t>
                            </w:r>
                            <w:r>
                              <w:rPr>
                                <w:rFonts w:ascii="Arial" w:eastAsia="方正黑体简体" w:hAnsi="Arial" w:cs="Arial" w:hint="eastAsia"/>
                                <w:sz w:val="21"/>
                                <w:szCs w:val="21"/>
                              </w:rPr>
                              <w:t>月</w:t>
                            </w:r>
                            <w:r>
                              <w:rPr>
                                <w:rFonts w:ascii="Arial" w:eastAsia="方正黑体简体" w:hAnsi="Arial" w:cs="Arial" w:hint="eastAsia"/>
                                <w:sz w:val="21"/>
                                <w:szCs w:val="21"/>
                              </w:rPr>
                              <w:t>19</w:t>
                            </w:r>
                            <w:r>
                              <w:rPr>
                                <w:rFonts w:ascii="Arial" w:eastAsia="方正黑体简体" w:hAnsi="Arial" w:cs="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A13B77B" id="_x0000_t202" coordsize="21600,21600" o:spt="202" path="m,l,21600r21600,l21600,xe">
                <v:stroke joinstyle="miter"/>
                <v:path gradientshapeok="t" o:connecttype="rect"/>
              </v:shapetype>
              <v:shape id="文本框 2" o:spid="_x0000_s1026" type="#_x0000_t202" style="position:absolute;margin-left:-.05pt;margin-top:381pt;width:464.9pt;height:22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" filled="f" stroked="f">
                <v:textbox style="mso-fit-shape-to-text:t" inset="0,0,0,0">
                  <w:txbxContent>
                    <w:p w14:paraId="44E7252E" w14:textId="77777777" w:rsidR="00000000" w:rsidRDefault="00000000">
                      <w:pPr>
                        <w:pStyle w:val="aff0"/>
                        <w:numPr>
                          <w:ilvl w:val="0"/>
                          <w:numId w:val="5"/>
                        </w:numPr>
                        <w:spacing w:line="320" w:lineRule="exact"/>
                        <w:ind w:right="-93" w:firstLineChars="0"/>
                        <w:textAlignment w:val="bottom"/>
                        <w:outlineLvl w:val="0"/>
                        <w:rPr>
                          <w:rFonts w:ascii="Arial" w:eastAsia="方正黑体简体" w:hAnsi="Arial"/>
                          <w:b/>
                          <w:bCs/>
                          <w:sz w:val="21"/>
                          <w:szCs w:val="21"/>
                        </w:rPr>
                      </w:pPr>
                      <w:bookmarkStart w:id="16" w:name="_Toc97732725"/>
                      <w:bookmarkStart w:id="17" w:name="_Toc97732791"/>
                      <w:bookmarkStart w:id="18" w:name="_Toc97732841"/>
                      <w:r>
                        <w:rPr>
                          <w:rFonts w:ascii="Arial" w:eastAsia="方正黑体简体" w:hAnsi="Arial" w:hint="eastAsia"/>
                          <w:b/>
                          <w:bCs/>
                          <w:sz w:val="21"/>
                          <w:szCs w:val="21"/>
                        </w:rPr>
                        <w:t>0</w:t>
                      </w:r>
                      <w:r>
                        <w:rPr>
                          <w:rFonts w:ascii="Arial" w:eastAsia="方正黑体简体" w:hAnsi="Arial" w:hint="eastAsia"/>
                          <w:b/>
                          <w:bCs/>
                          <w:sz w:val="21"/>
                          <w:szCs w:val="21"/>
                        </w:rPr>
                        <w:t>项目名称：</w:t>
                      </w:r>
                      <w:bookmarkEnd w:id="16"/>
                      <w:bookmarkEnd w:id="17"/>
                      <w:bookmarkEnd w:id="18"/>
                    </w:p>
                    <w:p w14:paraId="728A23A2" w14:textId="77777777" w:rsidR="00000000" w:rsidRDefault="00000000">
                      <w:pPr>
                        <w:pStyle w:val="aff0"/>
                        <w:spacing w:line="320" w:lineRule="exact"/>
                        <w:ind w:left="360" w:firstLineChars="0" w:firstLine="0"/>
                        <w:textAlignment w:val="bottom"/>
                        <w:rPr>
                          <w:rFonts w:ascii="Arial" w:eastAsia="方正黑体简体" w:hAnsi="Arial" w:cs="Arial" w:hint="eastAsia"/>
                          <w:sz w:val="21"/>
                          <w:szCs w:val="21"/>
                        </w:rPr>
                      </w:pPr>
                      <w:r>
                        <w:rPr>
                          <w:rFonts w:ascii="Arial" w:eastAsia="方正黑体简体" w:hAnsi="Arial" w:cs="Arial" w:hint="eastAsia"/>
                          <w:sz w:val="21"/>
                          <w:szCs w:val="21"/>
                        </w:rPr>
                        <w:t>北京市昌平区马池口镇百泉庄村集体土地租赁住房项目集体经营性建设用地使用权地价评估</w:t>
                      </w:r>
                    </w:p>
                    <w:p w14:paraId="3885FA75" w14:textId="77777777" w:rsidR="00000000" w:rsidRDefault="00000000">
                      <w:pPr>
                        <w:textAlignment w:val="bottom"/>
                        <w:rPr>
                          <w:rFonts w:ascii="Arial" w:hAnsi="Arial" w:hint="eastAsia"/>
                        </w:rPr>
                      </w:pPr>
                    </w:p>
                    <w:p w14:paraId="06E6370B" w14:textId="77777777" w:rsidR="00000000" w:rsidRDefault="00000000">
                      <w:pPr>
                        <w:pStyle w:val="aff0"/>
                        <w:numPr>
                          <w:ilvl w:val="0"/>
                          <w:numId w:val="5"/>
                        </w:numPr>
                        <w:spacing w:line="320" w:lineRule="exact"/>
                        <w:ind w:right="-93" w:firstLineChars="0"/>
                        <w:textAlignment w:val="bottom"/>
                        <w:outlineLvl w:val="0"/>
                        <w:rPr>
                          <w:rFonts w:ascii="Arial" w:eastAsia="方正黑体简体" w:hAnsi="Arial" w:hint="eastAsia"/>
                          <w:b/>
                          <w:bCs/>
                          <w:sz w:val="21"/>
                          <w:szCs w:val="21"/>
                        </w:rPr>
                      </w:pPr>
                      <w:bookmarkStart w:id="19" w:name="_Toc97732726"/>
                      <w:bookmarkStart w:id="20" w:name="_Toc97732792"/>
                      <w:bookmarkStart w:id="21" w:name="_Toc97732842"/>
                      <w:r>
                        <w:rPr>
                          <w:rFonts w:ascii="Arial" w:eastAsia="方正黑体简体" w:hAnsi="Arial" w:hint="eastAsia"/>
                          <w:b/>
                          <w:bCs/>
                          <w:sz w:val="21"/>
                          <w:szCs w:val="21"/>
                        </w:rPr>
                        <w:t>委托方：</w:t>
                      </w:r>
                      <w:bookmarkEnd w:id="19"/>
                      <w:bookmarkEnd w:id="20"/>
                      <w:bookmarkEnd w:id="21"/>
                    </w:p>
                    <w:p w14:paraId="48DA60FC" w14:textId="77777777" w:rsidR="00000000" w:rsidRDefault="00000000">
                      <w:pPr>
                        <w:pStyle w:val="aff0"/>
                        <w:spacing w:line="320" w:lineRule="exact"/>
                        <w:ind w:left="360" w:firstLineChars="0" w:firstLine="0"/>
                        <w:textAlignment w:val="bottom"/>
                        <w:rPr>
                          <w:rFonts w:ascii="Arial" w:eastAsia="方正黑体简体" w:hAnsi="Arial" w:cs="Arial"/>
                          <w:sz w:val="21"/>
                          <w:szCs w:val="21"/>
                        </w:rPr>
                      </w:pPr>
                      <w:bookmarkStart w:id="22" w:name="_Hlk100474087"/>
                      <w:r>
                        <w:rPr>
                          <w:rFonts w:ascii="Arial" w:eastAsia="方正黑体简体" w:hAnsi="Arial" w:cs="Arial" w:hint="eastAsia"/>
                          <w:sz w:val="21"/>
                          <w:szCs w:val="21"/>
                        </w:rPr>
                        <w:t>北京保障房中心有限公司</w:t>
                      </w:r>
                    </w:p>
                    <w:bookmarkEnd w:id="22"/>
                    <w:p w14:paraId="7CC78207" w14:textId="77777777" w:rsidR="00000000" w:rsidRDefault="00000000">
                      <w:pPr>
                        <w:textAlignment w:val="bottom"/>
                        <w:rPr>
                          <w:rFonts w:ascii="Arial" w:eastAsia="方正黑体简体" w:hAnsi="Arial"/>
                        </w:rPr>
                      </w:pPr>
                    </w:p>
                    <w:p w14:paraId="0CD4489F" w14:textId="77777777" w:rsidR="00000000" w:rsidRDefault="00000000">
                      <w:pPr>
                        <w:pStyle w:val="aff0"/>
                        <w:numPr>
                          <w:ilvl w:val="0"/>
                          <w:numId w:val="5"/>
                        </w:numPr>
                        <w:spacing w:line="320" w:lineRule="exact"/>
                        <w:ind w:right="-93" w:firstLineChars="0"/>
                        <w:textAlignment w:val="bottom"/>
                        <w:outlineLvl w:val="0"/>
                        <w:rPr>
                          <w:rFonts w:ascii="Arial" w:eastAsia="方正黑体简体" w:hAnsi="Arial"/>
                          <w:b/>
                          <w:bCs/>
                          <w:sz w:val="21"/>
                          <w:szCs w:val="21"/>
                        </w:rPr>
                      </w:pPr>
                      <w:bookmarkStart w:id="23" w:name="_Toc97732793"/>
                      <w:bookmarkStart w:id="24" w:name="_Toc97732727"/>
                      <w:bookmarkStart w:id="25" w:name="_Toc97732843"/>
                      <w:r>
                        <w:rPr>
                          <w:rFonts w:ascii="Arial" w:eastAsia="方正黑体简体" w:hAnsi="Arial" w:hint="eastAsia"/>
                          <w:b/>
                          <w:bCs/>
                          <w:sz w:val="21"/>
                          <w:szCs w:val="21"/>
                        </w:rPr>
                        <w:t>受托单位：</w:t>
                      </w:r>
                      <w:bookmarkEnd w:id="23"/>
                      <w:bookmarkEnd w:id="24"/>
                      <w:bookmarkEnd w:id="25"/>
                    </w:p>
                    <w:p w14:paraId="46F2BBD3" w14:textId="77777777" w:rsidR="00000000" w:rsidRDefault="00000000">
                      <w:pPr>
                        <w:pStyle w:val="aff0"/>
                        <w:spacing w:line="320" w:lineRule="exact"/>
                        <w:ind w:left="360" w:firstLineChars="0" w:firstLine="0"/>
                        <w:textAlignment w:val="bottom"/>
                        <w:rPr>
                          <w:rFonts w:ascii="Arial" w:eastAsia="方正黑体简体" w:hAnsi="Arial" w:cs="Arial" w:hint="eastAsia"/>
                          <w:sz w:val="21"/>
                          <w:szCs w:val="21"/>
                        </w:rPr>
                      </w:pPr>
                      <w:r>
                        <w:rPr>
                          <w:rFonts w:ascii="Arial" w:eastAsia="方正黑体简体" w:hAnsi="Arial" w:hint="eastAsia"/>
                          <w:sz w:val="21"/>
                          <w:szCs w:val="21"/>
                        </w:rPr>
                        <w:t>北京康正宏基房地产评估有限公司</w:t>
                      </w:r>
                    </w:p>
                    <w:p w14:paraId="691C731A" w14:textId="77777777" w:rsidR="00000000" w:rsidRDefault="00000000">
                      <w:pPr>
                        <w:spacing w:line="320" w:lineRule="exact"/>
                        <w:textAlignment w:val="bottom"/>
                        <w:rPr>
                          <w:rFonts w:ascii="Arial" w:eastAsia="方正黑体简体" w:hAnsi="Arial"/>
                          <w:b/>
                          <w:sz w:val="21"/>
                          <w:szCs w:val="21"/>
                        </w:rPr>
                      </w:pPr>
                    </w:p>
                    <w:p w14:paraId="0378AA67" w14:textId="77777777" w:rsidR="00000000" w:rsidRDefault="00000000">
                      <w:pPr>
                        <w:pStyle w:val="aff0"/>
                        <w:numPr>
                          <w:ilvl w:val="0"/>
                          <w:numId w:val="5"/>
                        </w:numPr>
                        <w:spacing w:line="320" w:lineRule="exact"/>
                        <w:ind w:right="-93" w:firstLineChars="0"/>
                        <w:textAlignment w:val="bottom"/>
                        <w:outlineLvl w:val="0"/>
                        <w:rPr>
                          <w:rFonts w:ascii="Arial" w:eastAsia="方正黑体简体" w:hAnsi="Arial"/>
                          <w:b/>
                          <w:bCs/>
                          <w:sz w:val="21"/>
                          <w:szCs w:val="21"/>
                        </w:rPr>
                      </w:pPr>
                      <w:bookmarkStart w:id="26" w:name="_Toc97732729"/>
                      <w:bookmarkStart w:id="27" w:name="_Toc97732795"/>
                      <w:bookmarkStart w:id="28" w:name="_Toc97732845"/>
                      <w:r>
                        <w:rPr>
                          <w:rFonts w:ascii="Arial" w:eastAsia="方正黑体简体" w:hAnsi="Arial" w:hint="eastAsia"/>
                          <w:b/>
                          <w:bCs/>
                          <w:sz w:val="21"/>
                          <w:szCs w:val="21"/>
                        </w:rPr>
                        <w:t>报告编号：</w:t>
                      </w:r>
                      <w:bookmarkEnd w:id="26"/>
                      <w:bookmarkEnd w:id="27"/>
                      <w:bookmarkEnd w:id="28"/>
                    </w:p>
                    <w:p w14:paraId="472DF1DB" w14:textId="77777777" w:rsidR="00000000" w:rsidRDefault="00000000">
                      <w:pPr>
                        <w:pStyle w:val="aff0"/>
                        <w:spacing w:line="320" w:lineRule="exact"/>
                        <w:ind w:left="360" w:firstLineChars="0" w:firstLine="0"/>
                        <w:textAlignment w:val="bottom"/>
                        <w:rPr>
                          <w:rFonts w:ascii="Arial" w:eastAsia="方正黑体简体" w:hAnsi="Arial" w:cs="Arial" w:hint="eastAsia"/>
                          <w:sz w:val="21"/>
                          <w:szCs w:val="21"/>
                        </w:rPr>
                      </w:pPr>
                      <w:r>
                        <w:rPr>
                          <w:rFonts w:ascii="Arial" w:eastAsia="方正黑体简体" w:hAnsi="Arial" w:cs="Arial" w:hint="eastAsia"/>
                          <w:sz w:val="21"/>
                          <w:szCs w:val="21"/>
                        </w:rPr>
                        <w:t>康正评字</w:t>
                      </w:r>
                      <w:r>
                        <w:rPr>
                          <w:rFonts w:ascii="Arial" w:eastAsia="方正黑体简体" w:hAnsi="Arial" w:cs="Arial" w:hint="eastAsia"/>
                          <w:sz w:val="21"/>
                          <w:szCs w:val="21"/>
                        </w:rPr>
                        <w:t>2025-1-0732-F01TDCR6</w:t>
                      </w:r>
                      <w:r>
                        <w:rPr>
                          <w:rFonts w:ascii="Arial" w:eastAsia="方正黑体简体" w:hAnsi="Arial" w:cs="Arial" w:hint="eastAsia"/>
                          <w:sz w:val="21"/>
                          <w:szCs w:val="21"/>
                        </w:rPr>
                        <w:t>号</w:t>
                      </w:r>
                    </w:p>
                    <w:p w14:paraId="48A4407D" w14:textId="77777777" w:rsidR="00000000" w:rsidRDefault="00000000">
                      <w:pPr>
                        <w:pStyle w:val="aff0"/>
                        <w:spacing w:line="320" w:lineRule="exact"/>
                        <w:ind w:left="360" w:firstLineChars="0" w:firstLine="0"/>
                        <w:textAlignment w:val="bottom"/>
                        <w:rPr>
                          <w:rFonts w:ascii="Arial" w:eastAsia="方正黑体简体" w:hAnsi="Arial" w:cs="Arial" w:hint="eastAsia"/>
                          <w:sz w:val="21"/>
                          <w:szCs w:val="21"/>
                        </w:rPr>
                      </w:pPr>
                    </w:p>
                    <w:p w14:paraId="604AE4C2" w14:textId="77777777" w:rsidR="00000000" w:rsidRDefault="00000000">
                      <w:pPr>
                        <w:pStyle w:val="aff0"/>
                        <w:numPr>
                          <w:ilvl w:val="0"/>
                          <w:numId w:val="5"/>
                        </w:numPr>
                        <w:spacing w:line="320" w:lineRule="exact"/>
                        <w:ind w:right="-93" w:firstLineChars="0"/>
                        <w:textAlignment w:val="bottom"/>
                        <w:outlineLvl w:val="0"/>
                        <w:rPr>
                          <w:rFonts w:ascii="Arial" w:eastAsia="方正黑体简体" w:hAnsi="Arial"/>
                          <w:b/>
                          <w:bCs/>
                          <w:sz w:val="21"/>
                          <w:szCs w:val="21"/>
                        </w:rPr>
                      </w:pPr>
                      <w:bookmarkStart w:id="29" w:name="_Toc97732730"/>
                      <w:bookmarkStart w:id="30" w:name="_Toc97732796"/>
                      <w:bookmarkStart w:id="31" w:name="_Toc97732846"/>
                      <w:r>
                        <w:rPr>
                          <w:rFonts w:ascii="Arial" w:eastAsia="方正黑体简体" w:hAnsi="Arial" w:hint="eastAsia"/>
                          <w:b/>
                          <w:bCs/>
                          <w:sz w:val="21"/>
                          <w:szCs w:val="21"/>
                        </w:rPr>
                        <w:t>提交报告日期：</w:t>
                      </w:r>
                      <w:bookmarkEnd w:id="29"/>
                      <w:bookmarkEnd w:id="30"/>
                      <w:bookmarkEnd w:id="31"/>
                    </w:p>
                    <w:p w14:paraId="3436CF27" w14:textId="77777777" w:rsidR="00000000" w:rsidRDefault="00000000">
                      <w:pPr>
                        <w:pStyle w:val="aff0"/>
                        <w:spacing w:line="320" w:lineRule="exact"/>
                        <w:ind w:left="360" w:firstLineChars="0" w:firstLine="0"/>
                        <w:textAlignment w:val="bottom"/>
                        <w:rPr>
                          <w:rFonts w:ascii="Arial" w:eastAsia="方正黑体简体" w:hAnsi="Arial" w:cs="Arial" w:hint="eastAsia"/>
                          <w:sz w:val="21"/>
                          <w:szCs w:val="21"/>
                        </w:rPr>
                      </w:pPr>
                      <w:r>
                        <w:rPr>
                          <w:rFonts w:ascii="Arial" w:eastAsia="方正黑体简体" w:hAnsi="Arial" w:cs="Arial" w:hint="eastAsia"/>
                          <w:sz w:val="21"/>
                          <w:szCs w:val="21"/>
                        </w:rPr>
                        <w:t>2025</w:t>
                      </w:r>
                      <w:r>
                        <w:rPr>
                          <w:rFonts w:ascii="Arial" w:eastAsia="方正黑体简体" w:hAnsi="Arial" w:cs="Arial" w:hint="eastAsia"/>
                          <w:sz w:val="21"/>
                          <w:szCs w:val="21"/>
                        </w:rPr>
                        <w:t>年</w:t>
                      </w:r>
                      <w:r>
                        <w:rPr>
                          <w:rFonts w:ascii="Arial" w:eastAsia="方正黑体简体" w:hAnsi="Arial" w:cs="Arial" w:hint="eastAsia"/>
                          <w:sz w:val="21"/>
                          <w:szCs w:val="21"/>
                        </w:rPr>
                        <w:t>10</w:t>
                      </w:r>
                      <w:r>
                        <w:rPr>
                          <w:rFonts w:ascii="Arial" w:eastAsia="方正黑体简体" w:hAnsi="Arial" w:cs="Arial" w:hint="eastAsia"/>
                          <w:sz w:val="21"/>
                          <w:szCs w:val="21"/>
                        </w:rPr>
                        <w:t>月</w:t>
                      </w:r>
                      <w:r>
                        <w:rPr>
                          <w:rFonts w:ascii="Arial" w:eastAsia="方正黑体简体" w:hAnsi="Arial" w:cs="Arial" w:hint="eastAsia"/>
                          <w:sz w:val="21"/>
                          <w:szCs w:val="21"/>
                        </w:rPr>
                        <w:t>19</w:t>
                      </w:r>
                      <w:r>
                        <w:rPr>
                          <w:rFonts w:ascii="Arial" w:eastAsia="方正黑体简体" w:hAnsi="Arial" w:cs="Arial" w:hint="eastAsia"/>
                          <w:sz w:val="21"/>
                          <w:szCs w:val="21"/>
                        </w:rPr>
                        <w:t>日</w:t>
                      </w:r>
                    </w:p>
                  </w:txbxContent>
                </v:textbox>
                <w10:wrap anchorx="margin" anchory="margin"/>
              </v:shape>
            </w:pict>
          </mc:Fallback>
        </mc:AlternateContent>
      </w:r>
      <w:r w:rsidR="00000000">
        <w:rPr>
          <w:rFonts w:ascii="Arial" w:hAnsi="Arial" w:cs="Arial"/>
          <w:b/>
          <w:sz w:val="21"/>
          <w:szCs w:val="21"/>
        </w:rPr>
        <w:br w:type="page"/>
      </w:r>
    </w:p>
    <w:p w14:paraId="5C2A517C" w14:textId="77777777" w:rsidR="00000000" w:rsidRDefault="00000000">
      <w:pPr>
        <w:spacing w:line="432" w:lineRule="auto"/>
        <w:jc w:val="center"/>
        <w:rPr>
          <w:rFonts w:ascii="Arial" w:hAnsi="Arial" w:cs="Arial"/>
          <w:b/>
          <w:sz w:val="32"/>
        </w:rPr>
      </w:pPr>
    </w:p>
    <w:p w14:paraId="5E84E780" w14:textId="77777777" w:rsidR="00000000" w:rsidRDefault="00000000">
      <w:pPr>
        <w:spacing w:line="432" w:lineRule="auto"/>
        <w:jc w:val="center"/>
        <w:rPr>
          <w:rFonts w:ascii="Arial" w:hAnsi="Arial" w:cs="Arial"/>
          <w:b/>
          <w:sz w:val="32"/>
        </w:rPr>
      </w:pPr>
    </w:p>
    <w:p w14:paraId="2BB1F118" w14:textId="77777777" w:rsidR="00000000" w:rsidRDefault="00000000">
      <w:pPr>
        <w:spacing w:line="432" w:lineRule="auto"/>
        <w:jc w:val="center"/>
        <w:rPr>
          <w:rFonts w:ascii="Arial" w:hAnsi="Arial" w:cs="Arial"/>
          <w:b/>
          <w:sz w:val="32"/>
        </w:rPr>
      </w:pPr>
    </w:p>
    <w:p w14:paraId="647AE628" w14:textId="77777777" w:rsidR="00000000" w:rsidRDefault="00000000">
      <w:pPr>
        <w:spacing w:line="432" w:lineRule="auto"/>
        <w:jc w:val="center"/>
        <w:rPr>
          <w:rFonts w:ascii="Arial" w:hAnsi="Arial" w:cs="Arial"/>
          <w:b/>
          <w:sz w:val="44"/>
        </w:rPr>
      </w:pPr>
      <w:r>
        <w:rPr>
          <w:rFonts w:ascii="Arial" w:hAnsi="Arial" w:cs="Arial"/>
          <w:b/>
          <w:sz w:val="44"/>
        </w:rPr>
        <w:t>土</w:t>
      </w:r>
      <w:r>
        <w:rPr>
          <w:rFonts w:ascii="Arial" w:hAnsi="Arial" w:cs="Arial"/>
          <w:b/>
          <w:sz w:val="44"/>
        </w:rPr>
        <w:t xml:space="preserve"> </w:t>
      </w:r>
      <w:r>
        <w:rPr>
          <w:rFonts w:ascii="Arial" w:hAnsi="Arial" w:cs="Arial"/>
          <w:b/>
          <w:sz w:val="44"/>
        </w:rPr>
        <w:t>地</w:t>
      </w:r>
      <w:r>
        <w:rPr>
          <w:rFonts w:ascii="Arial" w:hAnsi="Arial" w:cs="Arial"/>
          <w:b/>
          <w:sz w:val="44"/>
        </w:rPr>
        <w:t xml:space="preserve"> </w:t>
      </w:r>
      <w:r>
        <w:rPr>
          <w:rFonts w:ascii="Arial" w:hAnsi="Arial" w:cs="Arial"/>
          <w:b/>
          <w:sz w:val="44"/>
        </w:rPr>
        <w:t>咨</w:t>
      </w:r>
      <w:r>
        <w:rPr>
          <w:rFonts w:ascii="Arial" w:hAnsi="Arial" w:cs="Arial"/>
          <w:b/>
          <w:sz w:val="44"/>
        </w:rPr>
        <w:t xml:space="preserve"> </w:t>
      </w:r>
      <w:r>
        <w:rPr>
          <w:rFonts w:ascii="Arial" w:hAnsi="Arial" w:cs="Arial"/>
          <w:b/>
          <w:sz w:val="44"/>
        </w:rPr>
        <w:t>询</w:t>
      </w:r>
      <w:r>
        <w:rPr>
          <w:rFonts w:ascii="Arial" w:hAnsi="Arial" w:cs="Arial"/>
          <w:b/>
          <w:sz w:val="44"/>
        </w:rPr>
        <w:t xml:space="preserve"> </w:t>
      </w:r>
      <w:r>
        <w:rPr>
          <w:rFonts w:ascii="Arial" w:hAnsi="Arial" w:cs="Arial"/>
          <w:b/>
          <w:sz w:val="44"/>
        </w:rPr>
        <w:t>报</w:t>
      </w:r>
      <w:r>
        <w:rPr>
          <w:rFonts w:ascii="Arial" w:hAnsi="Arial" w:cs="Arial"/>
          <w:b/>
          <w:sz w:val="44"/>
        </w:rPr>
        <w:t xml:space="preserve"> </w:t>
      </w:r>
      <w:r>
        <w:rPr>
          <w:rFonts w:ascii="Arial" w:hAnsi="Arial" w:cs="Arial"/>
          <w:b/>
          <w:sz w:val="44"/>
        </w:rPr>
        <w:t>告</w:t>
      </w:r>
    </w:p>
    <w:p w14:paraId="59DC6E76" w14:textId="77777777" w:rsidR="00000000" w:rsidRDefault="00000000">
      <w:pPr>
        <w:spacing w:line="432" w:lineRule="auto"/>
        <w:jc w:val="center"/>
        <w:rPr>
          <w:rFonts w:ascii="Arial" w:hAnsi="Arial" w:cs="Arial"/>
          <w:b/>
          <w:sz w:val="44"/>
        </w:rPr>
      </w:pPr>
    </w:p>
    <w:p w14:paraId="78868E37" w14:textId="77777777" w:rsidR="00000000" w:rsidRDefault="00000000">
      <w:pPr>
        <w:spacing w:line="432" w:lineRule="auto"/>
        <w:jc w:val="center"/>
        <w:rPr>
          <w:rFonts w:ascii="Arial" w:hAnsi="Arial" w:cs="Arial"/>
          <w:b/>
          <w:sz w:val="44"/>
        </w:rPr>
      </w:pPr>
    </w:p>
    <w:p w14:paraId="5D0ABCA7" w14:textId="77777777" w:rsidR="00000000" w:rsidRDefault="00000000">
      <w:pPr>
        <w:spacing w:line="432" w:lineRule="auto"/>
        <w:jc w:val="center"/>
        <w:rPr>
          <w:rFonts w:ascii="Arial" w:hAnsi="Arial" w:cs="Arial"/>
          <w:b/>
          <w:sz w:val="32"/>
        </w:rPr>
      </w:pPr>
    </w:p>
    <w:p w14:paraId="7FF4496D" w14:textId="77777777" w:rsidR="00000000" w:rsidRDefault="00000000">
      <w:pPr>
        <w:spacing w:line="432" w:lineRule="auto"/>
        <w:jc w:val="both"/>
        <w:rPr>
          <w:rFonts w:ascii="Arial" w:hAnsi="Arial" w:cs="Arial"/>
          <w:b/>
          <w:i/>
          <w:sz w:val="28"/>
          <w:szCs w:val="28"/>
        </w:rPr>
      </w:pPr>
      <w:r>
        <w:rPr>
          <w:rFonts w:ascii="Arial" w:hAnsi="Arial" w:cs="Arial"/>
          <w:b/>
          <w:sz w:val="32"/>
        </w:rPr>
        <w:t>项目名称：</w:t>
      </w:r>
      <w:r>
        <w:rPr>
          <w:rFonts w:ascii="Arial" w:hAnsi="Arial" w:cs="Arial" w:hint="eastAsia"/>
          <w:b/>
          <w:sz w:val="32"/>
        </w:rPr>
        <w:t>北京市昌平区马池口镇百泉庄村集体土地租赁住房项目集体经营性建设用地使用权地价评估</w:t>
      </w:r>
    </w:p>
    <w:p w14:paraId="59B1D6FA" w14:textId="77777777" w:rsidR="00000000" w:rsidRDefault="00000000">
      <w:pPr>
        <w:spacing w:line="432" w:lineRule="auto"/>
        <w:ind w:left="1925" w:hangingChars="685" w:hanging="1925"/>
        <w:jc w:val="both"/>
        <w:rPr>
          <w:rFonts w:ascii="Arial" w:hAnsi="Arial" w:cs="Arial"/>
          <w:b/>
          <w:sz w:val="28"/>
          <w:szCs w:val="28"/>
        </w:rPr>
      </w:pPr>
    </w:p>
    <w:p w14:paraId="169122BE" w14:textId="77777777" w:rsidR="00000000" w:rsidRDefault="00000000">
      <w:pPr>
        <w:spacing w:line="432" w:lineRule="auto"/>
        <w:jc w:val="both"/>
        <w:rPr>
          <w:rFonts w:ascii="Arial" w:hAnsi="Arial" w:cs="Arial"/>
          <w:b/>
          <w:sz w:val="32"/>
        </w:rPr>
      </w:pPr>
      <w:r>
        <w:rPr>
          <w:rFonts w:ascii="Arial" w:hAnsi="Arial" w:cs="Arial"/>
          <w:b/>
          <w:sz w:val="32"/>
        </w:rPr>
        <w:t>受托单位：北京康正宏基房地产评估有限公司</w:t>
      </w:r>
    </w:p>
    <w:p w14:paraId="58EE9868" w14:textId="77777777" w:rsidR="00000000" w:rsidRDefault="00000000">
      <w:pPr>
        <w:spacing w:line="432" w:lineRule="auto"/>
        <w:jc w:val="both"/>
        <w:rPr>
          <w:rFonts w:ascii="Arial" w:hAnsi="Arial" w:cs="Arial"/>
          <w:b/>
          <w:sz w:val="32"/>
        </w:rPr>
      </w:pPr>
    </w:p>
    <w:p w14:paraId="5459AF43" w14:textId="77777777" w:rsidR="00000000" w:rsidRDefault="00000000">
      <w:pPr>
        <w:spacing w:line="432" w:lineRule="auto"/>
        <w:jc w:val="both"/>
        <w:rPr>
          <w:rFonts w:ascii="Arial" w:hAnsi="Arial" w:cs="Arial"/>
          <w:b/>
          <w:sz w:val="32"/>
        </w:rPr>
      </w:pPr>
      <w:r>
        <w:rPr>
          <w:rFonts w:ascii="Arial" w:hAnsi="Arial" w:cs="Arial"/>
          <w:b/>
          <w:sz w:val="32"/>
        </w:rPr>
        <w:t>报告编号：康正评字</w:t>
      </w:r>
      <w:r>
        <w:rPr>
          <w:rFonts w:ascii="Arial" w:hAnsi="Arial" w:cs="Arial"/>
          <w:b/>
          <w:sz w:val="32"/>
        </w:rPr>
        <w:t>202</w:t>
      </w:r>
      <w:r>
        <w:rPr>
          <w:rFonts w:ascii="Arial" w:hAnsi="Arial" w:cs="Arial" w:hint="eastAsia"/>
          <w:b/>
          <w:sz w:val="32"/>
        </w:rPr>
        <w:t>5</w:t>
      </w:r>
      <w:r>
        <w:rPr>
          <w:rFonts w:ascii="Arial" w:hAnsi="Arial" w:cs="Arial"/>
          <w:b/>
          <w:sz w:val="32"/>
        </w:rPr>
        <w:t>-1-0</w:t>
      </w:r>
      <w:r>
        <w:rPr>
          <w:rFonts w:ascii="Arial" w:hAnsi="Arial" w:cs="Arial" w:hint="eastAsia"/>
          <w:b/>
          <w:sz w:val="32"/>
        </w:rPr>
        <w:t>732</w:t>
      </w:r>
      <w:r>
        <w:rPr>
          <w:rFonts w:ascii="Arial" w:hAnsi="Arial" w:cs="Arial"/>
          <w:b/>
          <w:sz w:val="32"/>
        </w:rPr>
        <w:t>-F0</w:t>
      </w:r>
      <w:r>
        <w:rPr>
          <w:rFonts w:ascii="Arial" w:hAnsi="Arial" w:cs="Arial" w:hint="eastAsia"/>
          <w:b/>
          <w:sz w:val="32"/>
        </w:rPr>
        <w:t>1</w:t>
      </w:r>
      <w:r>
        <w:rPr>
          <w:rFonts w:ascii="Arial" w:hAnsi="Arial" w:cs="Arial"/>
          <w:b/>
          <w:sz w:val="32"/>
        </w:rPr>
        <w:t>TDCR6</w:t>
      </w:r>
      <w:r>
        <w:rPr>
          <w:rFonts w:ascii="Arial" w:hAnsi="Arial" w:cs="Arial"/>
          <w:b/>
          <w:sz w:val="32"/>
        </w:rPr>
        <w:t>号</w:t>
      </w:r>
    </w:p>
    <w:p w14:paraId="0FA5833F" w14:textId="77777777" w:rsidR="00000000" w:rsidRDefault="00000000">
      <w:pPr>
        <w:spacing w:line="432" w:lineRule="auto"/>
        <w:jc w:val="both"/>
        <w:rPr>
          <w:rFonts w:ascii="Arial" w:hAnsi="Arial" w:cs="Arial"/>
          <w:b/>
          <w:sz w:val="32"/>
        </w:rPr>
      </w:pPr>
    </w:p>
    <w:p w14:paraId="5BA8BC8F" w14:textId="77777777" w:rsidR="00000000" w:rsidRDefault="00000000">
      <w:pPr>
        <w:spacing w:line="432" w:lineRule="auto"/>
        <w:jc w:val="both"/>
        <w:rPr>
          <w:rFonts w:ascii="Arial" w:hAnsi="Arial" w:cs="Arial"/>
          <w:sz w:val="44"/>
        </w:rPr>
      </w:pPr>
      <w:r>
        <w:rPr>
          <w:rFonts w:ascii="Arial" w:hAnsi="Arial" w:cs="Arial"/>
          <w:b/>
          <w:sz w:val="32"/>
        </w:rPr>
        <w:t>提交报告日期：</w:t>
      </w:r>
      <w:r>
        <w:rPr>
          <w:rFonts w:ascii="Arial" w:hAnsi="Arial" w:cs="Arial"/>
          <w:b/>
          <w:sz w:val="32"/>
        </w:rPr>
        <w:t>202</w:t>
      </w:r>
      <w:r>
        <w:rPr>
          <w:rFonts w:ascii="Arial" w:hAnsi="Arial" w:cs="Arial" w:hint="eastAsia"/>
          <w:b/>
          <w:sz w:val="32"/>
        </w:rPr>
        <w:t>5</w:t>
      </w:r>
      <w:r>
        <w:rPr>
          <w:rFonts w:ascii="Arial" w:hAnsi="Arial" w:cs="Arial"/>
          <w:b/>
          <w:sz w:val="32"/>
        </w:rPr>
        <w:t>年</w:t>
      </w:r>
      <w:r>
        <w:rPr>
          <w:rFonts w:ascii="Arial" w:hAnsi="Arial" w:cs="Arial" w:hint="eastAsia"/>
          <w:b/>
          <w:sz w:val="32"/>
        </w:rPr>
        <w:t>10</w:t>
      </w:r>
      <w:r>
        <w:rPr>
          <w:rFonts w:ascii="Arial" w:hAnsi="Arial" w:cs="Arial"/>
          <w:b/>
          <w:sz w:val="32"/>
        </w:rPr>
        <w:t>月</w:t>
      </w:r>
      <w:r>
        <w:rPr>
          <w:rFonts w:ascii="Arial" w:hAnsi="Arial" w:cs="Arial" w:hint="eastAsia"/>
          <w:b/>
          <w:sz w:val="32"/>
        </w:rPr>
        <w:t>19</w:t>
      </w:r>
      <w:r>
        <w:rPr>
          <w:rFonts w:ascii="Arial" w:hAnsi="Arial" w:cs="Arial"/>
          <w:b/>
          <w:sz w:val="32"/>
        </w:rPr>
        <w:t>日</w:t>
      </w:r>
    </w:p>
    <w:p w14:paraId="7356AE63" w14:textId="77777777" w:rsidR="00000000" w:rsidRDefault="00000000">
      <w:pPr>
        <w:spacing w:line="360" w:lineRule="auto"/>
        <w:ind w:firstLine="660"/>
        <w:jc w:val="center"/>
        <w:rPr>
          <w:rFonts w:ascii="Arial" w:hAnsi="Arial" w:cs="Arial"/>
          <w:sz w:val="44"/>
        </w:rPr>
        <w:sectPr w:rsidR="00000000">
          <w:headerReference w:type="default" r:id="rId7"/>
          <w:footerReference w:type="even" r:id="rId8"/>
          <w:footerReference w:type="default" r:id="rId9"/>
          <w:headerReference w:type="first" r:id="rId10"/>
          <w:footerReference w:type="first" r:id="rId11"/>
          <w:type w:val="continuous"/>
          <w:pgSz w:w="11907" w:h="16840"/>
          <w:pgMar w:top="1843" w:right="1304" w:bottom="1134" w:left="1304" w:header="851" w:footer="1134" w:gutter="0"/>
          <w:pgNumType w:start="0"/>
          <w:cols w:space="720"/>
          <w:titlePg/>
        </w:sectPr>
      </w:pPr>
    </w:p>
    <w:p w14:paraId="5F6CF024" w14:textId="77777777" w:rsidR="00000000" w:rsidRDefault="00000000">
      <w:pPr>
        <w:spacing w:line="360" w:lineRule="auto"/>
        <w:jc w:val="center"/>
        <w:rPr>
          <w:rFonts w:ascii="Arial" w:hAnsi="Arial" w:cs="Arial"/>
          <w:b/>
          <w:sz w:val="32"/>
          <w:szCs w:val="32"/>
        </w:rPr>
      </w:pPr>
      <w:r>
        <w:rPr>
          <w:rFonts w:ascii="Arial" w:hAnsi="Arial" w:cs="Arial"/>
          <w:b/>
          <w:sz w:val="32"/>
          <w:szCs w:val="32"/>
        </w:rPr>
        <w:lastRenderedPageBreak/>
        <w:t>目录</w:t>
      </w:r>
    </w:p>
    <w:p w14:paraId="71458FBC" w14:textId="77777777" w:rsidR="00000000" w:rsidRDefault="00000000">
      <w:pPr>
        <w:pStyle w:val="TOC1"/>
        <w:tabs>
          <w:tab w:val="clear" w:pos="840"/>
          <w:tab w:val="clear" w:pos="8654"/>
          <w:tab w:val="right" w:leader="dot" w:pos="9299"/>
        </w:tabs>
      </w:pPr>
      <w:r>
        <w:rPr>
          <w:rFonts w:ascii="Arial" w:eastAsia="宋体" w:cs="Arial"/>
        </w:rPr>
        <w:fldChar w:fldCharType="begin"/>
      </w:r>
      <w:r>
        <w:rPr>
          <w:rFonts w:ascii="Arial" w:eastAsia="宋体" w:cs="Arial"/>
        </w:rPr>
        <w:instrText xml:space="preserve"> TOC \o "1-2" \h \z \u </w:instrText>
      </w:r>
      <w:r>
        <w:rPr>
          <w:rFonts w:ascii="Arial" w:eastAsia="宋体" w:cs="Arial"/>
        </w:rPr>
        <w:fldChar w:fldCharType="separate"/>
      </w:r>
      <w:hyperlink w:anchor="_Toc9079" w:history="1">
        <w:r>
          <w:rPr>
            <w:rFonts w:ascii="Arial" w:cs="Arial"/>
          </w:rPr>
          <w:t>第一部分</w:t>
        </w:r>
        <w:r>
          <w:rPr>
            <w:rFonts w:ascii="Arial" w:cs="Arial"/>
          </w:rPr>
          <w:t xml:space="preserve">  </w:t>
        </w:r>
        <w:r>
          <w:rPr>
            <w:rFonts w:ascii="Arial" w:cs="Arial"/>
          </w:rPr>
          <w:t>摘</w:t>
        </w:r>
        <w:r>
          <w:rPr>
            <w:rFonts w:ascii="Arial" w:cs="Arial"/>
          </w:rPr>
          <w:t xml:space="preserve">  </w:t>
        </w:r>
        <w:r>
          <w:rPr>
            <w:rFonts w:ascii="Arial" w:cs="Arial"/>
          </w:rPr>
          <w:t>要</w:t>
        </w:r>
        <w:r>
          <w:tab/>
        </w:r>
        <w:r>
          <w:fldChar w:fldCharType="begin"/>
        </w:r>
        <w:r>
          <w:instrText xml:space="preserve"> PAGEREF _Toc9079 \h </w:instrText>
        </w:r>
        <w:r>
          <w:fldChar w:fldCharType="separate"/>
        </w:r>
        <w:r>
          <w:t>1</w:t>
        </w:r>
        <w:r>
          <w:fldChar w:fldCharType="end"/>
        </w:r>
      </w:hyperlink>
    </w:p>
    <w:p w14:paraId="14A80667" w14:textId="77777777" w:rsidR="00000000" w:rsidRDefault="00000000">
      <w:pPr>
        <w:pStyle w:val="TOC2"/>
        <w:tabs>
          <w:tab w:val="clear" w:pos="8931"/>
          <w:tab w:val="right" w:leader="dot" w:pos="9299"/>
        </w:tabs>
      </w:pPr>
      <w:hyperlink w:anchor="_Toc12861" w:history="1">
        <w:r>
          <w:rPr>
            <w:rFonts w:ascii="Arial" w:hAnsi="Arial" w:cs="Arial"/>
          </w:rPr>
          <w:t>一、项目名称</w:t>
        </w:r>
        <w:r>
          <w:tab/>
        </w:r>
        <w:fldSimple w:instr=" PAGEREF _Toc12861 \h ">
          <w:r>
            <w:t>1</w:t>
          </w:r>
        </w:fldSimple>
      </w:hyperlink>
    </w:p>
    <w:p w14:paraId="0D0A4E80" w14:textId="77777777" w:rsidR="00000000" w:rsidRDefault="00000000">
      <w:pPr>
        <w:pStyle w:val="TOC2"/>
        <w:tabs>
          <w:tab w:val="clear" w:pos="8931"/>
          <w:tab w:val="right" w:leader="dot" w:pos="9299"/>
        </w:tabs>
      </w:pPr>
      <w:hyperlink w:anchor="_Toc12200" w:history="1">
        <w:r>
          <w:rPr>
            <w:rFonts w:ascii="Arial" w:hAnsi="Arial" w:cs="Arial"/>
            <w:bCs/>
          </w:rPr>
          <w:t>二、委托方</w:t>
        </w:r>
        <w:r>
          <w:tab/>
        </w:r>
        <w:fldSimple w:instr=" PAGEREF _Toc12200 \h ">
          <w:r>
            <w:t>1</w:t>
          </w:r>
        </w:fldSimple>
      </w:hyperlink>
    </w:p>
    <w:p w14:paraId="5F723700" w14:textId="77777777" w:rsidR="00000000" w:rsidRDefault="00000000">
      <w:pPr>
        <w:pStyle w:val="TOC2"/>
        <w:tabs>
          <w:tab w:val="clear" w:pos="8931"/>
          <w:tab w:val="right" w:leader="dot" w:pos="9299"/>
        </w:tabs>
      </w:pPr>
      <w:hyperlink w:anchor="_Toc12130" w:history="1">
        <w:r>
          <w:rPr>
            <w:rFonts w:ascii="Arial" w:hAnsi="Arial" w:cs="Arial"/>
            <w:bCs/>
          </w:rPr>
          <w:t>三、咨询目的</w:t>
        </w:r>
        <w:r>
          <w:tab/>
        </w:r>
        <w:fldSimple w:instr=" PAGEREF _Toc12130 \h ">
          <w:r>
            <w:t>1</w:t>
          </w:r>
        </w:fldSimple>
      </w:hyperlink>
    </w:p>
    <w:p w14:paraId="3BB4E52D" w14:textId="77777777" w:rsidR="00000000" w:rsidRDefault="00000000">
      <w:pPr>
        <w:pStyle w:val="TOC2"/>
        <w:tabs>
          <w:tab w:val="clear" w:pos="8931"/>
          <w:tab w:val="right" w:leader="dot" w:pos="9299"/>
        </w:tabs>
      </w:pPr>
      <w:hyperlink w:anchor="_Toc10412" w:history="1">
        <w:r>
          <w:rPr>
            <w:rFonts w:ascii="Arial" w:hAnsi="Arial" w:cs="Arial"/>
            <w:bCs/>
          </w:rPr>
          <w:t>四、咨询期日</w:t>
        </w:r>
        <w:r>
          <w:tab/>
        </w:r>
        <w:fldSimple w:instr=" PAGEREF _Toc10412 \h ">
          <w:r>
            <w:t>1</w:t>
          </w:r>
        </w:fldSimple>
      </w:hyperlink>
    </w:p>
    <w:p w14:paraId="25C8B196" w14:textId="77777777" w:rsidR="00000000" w:rsidRDefault="00000000">
      <w:pPr>
        <w:pStyle w:val="TOC2"/>
        <w:tabs>
          <w:tab w:val="clear" w:pos="8931"/>
          <w:tab w:val="right" w:leader="dot" w:pos="9299"/>
        </w:tabs>
      </w:pPr>
      <w:hyperlink w:anchor="_Toc29207" w:history="1">
        <w:r>
          <w:rPr>
            <w:rFonts w:ascii="Arial" w:hAnsi="Arial" w:cs="Arial"/>
            <w:bCs/>
          </w:rPr>
          <w:t>五、咨询日期</w:t>
        </w:r>
        <w:r>
          <w:tab/>
        </w:r>
        <w:fldSimple w:instr=" PAGEREF _Toc29207 \h ">
          <w:r>
            <w:t>1</w:t>
          </w:r>
        </w:fldSimple>
      </w:hyperlink>
    </w:p>
    <w:p w14:paraId="1F5190D9" w14:textId="77777777" w:rsidR="00000000" w:rsidRDefault="00000000">
      <w:pPr>
        <w:pStyle w:val="TOC2"/>
        <w:tabs>
          <w:tab w:val="clear" w:pos="8931"/>
          <w:tab w:val="right" w:leader="dot" w:pos="9299"/>
        </w:tabs>
      </w:pPr>
      <w:hyperlink w:anchor="_Toc23022" w:history="1">
        <w:r>
          <w:rPr>
            <w:rFonts w:ascii="Arial" w:hAnsi="Arial" w:cs="Arial"/>
            <w:bCs/>
          </w:rPr>
          <w:t>六、地价定义</w:t>
        </w:r>
        <w:r>
          <w:tab/>
        </w:r>
        <w:fldSimple w:instr=" PAGEREF _Toc23022 \h ">
          <w:r>
            <w:t>1</w:t>
          </w:r>
        </w:fldSimple>
      </w:hyperlink>
    </w:p>
    <w:p w14:paraId="172EA801" w14:textId="77777777" w:rsidR="00000000" w:rsidRDefault="00000000">
      <w:pPr>
        <w:pStyle w:val="TOC2"/>
        <w:tabs>
          <w:tab w:val="clear" w:pos="8931"/>
          <w:tab w:val="right" w:leader="dot" w:pos="9299"/>
        </w:tabs>
      </w:pPr>
      <w:hyperlink w:anchor="_Toc27218" w:history="1">
        <w:r>
          <w:rPr>
            <w:rFonts w:ascii="Arial" w:hAnsi="Arial" w:cs="Arial"/>
          </w:rPr>
          <w:t>七、咨询结果</w:t>
        </w:r>
        <w:r>
          <w:tab/>
        </w:r>
        <w:fldSimple w:instr=" PAGEREF _Toc27218 \h ">
          <w:r>
            <w:t>3</w:t>
          </w:r>
        </w:fldSimple>
      </w:hyperlink>
    </w:p>
    <w:p w14:paraId="73EFF9AA" w14:textId="77777777" w:rsidR="00000000" w:rsidRDefault="00000000">
      <w:pPr>
        <w:pStyle w:val="TOC1"/>
        <w:tabs>
          <w:tab w:val="clear" w:pos="840"/>
          <w:tab w:val="clear" w:pos="8654"/>
          <w:tab w:val="right" w:leader="dot" w:pos="9299"/>
        </w:tabs>
      </w:pPr>
      <w:hyperlink w:anchor="_Toc10210" w:history="1">
        <w:r>
          <w:rPr>
            <w:rFonts w:ascii="Arial" w:cs="Arial"/>
          </w:rPr>
          <w:t>第二部分</w:t>
        </w:r>
        <w:r>
          <w:rPr>
            <w:rFonts w:ascii="Arial" w:cs="Arial"/>
          </w:rPr>
          <w:t xml:space="preserve">  </w:t>
        </w:r>
        <w:r>
          <w:rPr>
            <w:rFonts w:ascii="Arial" w:cs="Arial"/>
          </w:rPr>
          <w:t>咨询对象界定</w:t>
        </w:r>
        <w:r>
          <w:tab/>
        </w:r>
        <w:r>
          <w:fldChar w:fldCharType="begin"/>
        </w:r>
        <w:r>
          <w:instrText xml:space="preserve"> PAGEREF _Toc10210 \h </w:instrText>
        </w:r>
        <w:r>
          <w:fldChar w:fldCharType="separate"/>
        </w:r>
        <w:r>
          <w:t>8</w:t>
        </w:r>
        <w:r>
          <w:fldChar w:fldCharType="end"/>
        </w:r>
      </w:hyperlink>
    </w:p>
    <w:p w14:paraId="5849DDA7" w14:textId="77777777" w:rsidR="00000000" w:rsidRDefault="00000000">
      <w:pPr>
        <w:pStyle w:val="TOC2"/>
        <w:tabs>
          <w:tab w:val="clear" w:pos="8931"/>
          <w:tab w:val="right" w:leader="dot" w:pos="9299"/>
        </w:tabs>
      </w:pPr>
      <w:hyperlink w:anchor="_Toc26082" w:history="1">
        <w:r>
          <w:rPr>
            <w:rFonts w:ascii="Arial" w:hAnsi="Arial" w:cs="Arial"/>
          </w:rPr>
          <w:t>一、委托方</w:t>
        </w:r>
        <w:r>
          <w:tab/>
        </w:r>
        <w:fldSimple w:instr=" PAGEREF _Toc26082 \h ">
          <w:r>
            <w:t>8</w:t>
          </w:r>
        </w:fldSimple>
      </w:hyperlink>
    </w:p>
    <w:p w14:paraId="24C922EA" w14:textId="77777777" w:rsidR="00000000" w:rsidRDefault="00000000">
      <w:pPr>
        <w:pStyle w:val="TOC2"/>
        <w:tabs>
          <w:tab w:val="clear" w:pos="8931"/>
          <w:tab w:val="right" w:leader="dot" w:pos="9299"/>
        </w:tabs>
      </w:pPr>
      <w:hyperlink w:anchor="_Toc31157" w:history="1">
        <w:r>
          <w:rPr>
            <w:rFonts w:ascii="Arial" w:hAnsi="Arial" w:cs="Arial"/>
          </w:rPr>
          <w:t>二、咨询对象</w:t>
        </w:r>
        <w:r>
          <w:tab/>
        </w:r>
        <w:fldSimple w:instr=" PAGEREF _Toc31157 \h ">
          <w:r>
            <w:t>8</w:t>
          </w:r>
        </w:fldSimple>
      </w:hyperlink>
    </w:p>
    <w:p w14:paraId="534D3D47" w14:textId="77777777" w:rsidR="00000000" w:rsidRDefault="00000000">
      <w:pPr>
        <w:pStyle w:val="TOC2"/>
        <w:tabs>
          <w:tab w:val="clear" w:pos="8931"/>
          <w:tab w:val="right" w:leader="dot" w:pos="9299"/>
        </w:tabs>
      </w:pPr>
      <w:hyperlink w:anchor="_Toc27446" w:history="1">
        <w:r>
          <w:rPr>
            <w:rFonts w:ascii="Arial" w:hAnsi="Arial" w:cs="Arial"/>
          </w:rPr>
          <w:t>三、咨询对象概况</w:t>
        </w:r>
        <w:r>
          <w:tab/>
        </w:r>
        <w:fldSimple w:instr=" PAGEREF _Toc27446 \h ">
          <w:r>
            <w:t>8</w:t>
          </w:r>
        </w:fldSimple>
      </w:hyperlink>
    </w:p>
    <w:p w14:paraId="5534B791" w14:textId="77777777" w:rsidR="00000000" w:rsidRDefault="00000000">
      <w:pPr>
        <w:pStyle w:val="TOC2"/>
        <w:tabs>
          <w:tab w:val="clear" w:pos="8931"/>
          <w:tab w:val="right" w:leader="dot" w:pos="9299"/>
        </w:tabs>
      </w:pPr>
      <w:hyperlink w:anchor="_Toc3196" w:history="1">
        <w:r>
          <w:rPr>
            <w:rFonts w:ascii="Arial" w:hAnsi="Arial" w:cs="Arial"/>
          </w:rPr>
          <w:t>四、影响地价的因素说明</w:t>
        </w:r>
        <w:r>
          <w:tab/>
        </w:r>
        <w:fldSimple w:instr=" PAGEREF _Toc3196 \h ">
          <w:r>
            <w:t>10</w:t>
          </w:r>
        </w:fldSimple>
      </w:hyperlink>
    </w:p>
    <w:p w14:paraId="6273094B" w14:textId="77777777" w:rsidR="00000000" w:rsidRDefault="00000000">
      <w:pPr>
        <w:pStyle w:val="TOC1"/>
        <w:tabs>
          <w:tab w:val="clear" w:pos="840"/>
          <w:tab w:val="clear" w:pos="8654"/>
          <w:tab w:val="right" w:leader="dot" w:pos="9299"/>
        </w:tabs>
      </w:pPr>
      <w:hyperlink w:anchor="_Toc4411" w:history="1">
        <w:r>
          <w:rPr>
            <w:rFonts w:ascii="Arial" w:cs="Arial"/>
          </w:rPr>
          <w:t>第三部分</w:t>
        </w:r>
        <w:r>
          <w:rPr>
            <w:rFonts w:ascii="Arial" w:cs="Arial"/>
          </w:rPr>
          <w:t xml:space="preserve">  </w:t>
        </w:r>
        <w:r>
          <w:rPr>
            <w:rFonts w:ascii="Arial" w:cs="Arial"/>
          </w:rPr>
          <w:t>土地咨询结果及其使用</w:t>
        </w:r>
        <w:r>
          <w:tab/>
        </w:r>
        <w:r>
          <w:fldChar w:fldCharType="begin"/>
        </w:r>
        <w:r>
          <w:instrText xml:space="preserve"> PAGEREF _Toc4411 \h </w:instrText>
        </w:r>
        <w:r>
          <w:fldChar w:fldCharType="separate"/>
        </w:r>
        <w:r>
          <w:t>42</w:t>
        </w:r>
        <w:r>
          <w:fldChar w:fldCharType="end"/>
        </w:r>
      </w:hyperlink>
    </w:p>
    <w:p w14:paraId="7238775B" w14:textId="77777777" w:rsidR="00000000" w:rsidRDefault="00000000">
      <w:pPr>
        <w:pStyle w:val="TOC2"/>
        <w:tabs>
          <w:tab w:val="clear" w:pos="8931"/>
          <w:tab w:val="right" w:leader="dot" w:pos="9299"/>
        </w:tabs>
      </w:pPr>
      <w:hyperlink w:anchor="_Toc11126" w:history="1">
        <w:r>
          <w:rPr>
            <w:rFonts w:ascii="Arial" w:hAnsi="Arial" w:cs="Arial"/>
          </w:rPr>
          <w:t>一、估价依据</w:t>
        </w:r>
        <w:r>
          <w:tab/>
        </w:r>
        <w:fldSimple w:instr=" PAGEREF _Toc11126 \h ">
          <w:r>
            <w:t>42</w:t>
          </w:r>
        </w:fldSimple>
      </w:hyperlink>
    </w:p>
    <w:p w14:paraId="7B47DA96" w14:textId="77777777" w:rsidR="00000000" w:rsidRDefault="00000000">
      <w:pPr>
        <w:pStyle w:val="TOC2"/>
        <w:tabs>
          <w:tab w:val="clear" w:pos="8931"/>
          <w:tab w:val="right" w:leader="dot" w:pos="9299"/>
        </w:tabs>
      </w:pPr>
      <w:hyperlink w:anchor="_Toc31952" w:history="1">
        <w:r>
          <w:rPr>
            <w:rFonts w:ascii="Arial" w:hAnsi="Arial" w:cs="Arial"/>
          </w:rPr>
          <w:t>二、土地估价</w:t>
        </w:r>
        <w:r>
          <w:tab/>
        </w:r>
        <w:fldSimple w:instr=" PAGEREF _Toc31952 \h ">
          <w:r>
            <w:t>44</w:t>
          </w:r>
        </w:fldSimple>
      </w:hyperlink>
    </w:p>
    <w:p w14:paraId="0E99A880" w14:textId="77777777" w:rsidR="00000000" w:rsidRDefault="00000000">
      <w:pPr>
        <w:pStyle w:val="TOC2"/>
        <w:tabs>
          <w:tab w:val="clear" w:pos="8931"/>
          <w:tab w:val="right" w:leader="dot" w:pos="9299"/>
        </w:tabs>
      </w:pPr>
      <w:hyperlink w:anchor="_Toc7253" w:history="1">
        <w:r>
          <w:rPr>
            <w:rFonts w:ascii="Arial" w:hAnsi="Arial" w:cs="Arial"/>
          </w:rPr>
          <w:t>三、咨询结果和咨询报告的使用</w:t>
        </w:r>
        <w:r>
          <w:tab/>
        </w:r>
        <w:fldSimple w:instr=" PAGEREF _Toc7253 \h ">
          <w:r>
            <w:t>49</w:t>
          </w:r>
        </w:fldSimple>
      </w:hyperlink>
    </w:p>
    <w:p w14:paraId="37E201A7" w14:textId="77777777" w:rsidR="00000000" w:rsidRDefault="00000000">
      <w:pPr>
        <w:pStyle w:val="TOC1"/>
        <w:tabs>
          <w:tab w:val="clear" w:pos="840"/>
          <w:tab w:val="clear" w:pos="8654"/>
          <w:tab w:val="right" w:leader="dot" w:pos="9299"/>
        </w:tabs>
      </w:pPr>
      <w:hyperlink w:anchor="_Toc26617" w:history="1">
        <w:r>
          <w:rPr>
            <w:rFonts w:ascii="Arial" w:cs="Arial"/>
          </w:rPr>
          <w:t>第四部分</w:t>
        </w:r>
        <w:r>
          <w:rPr>
            <w:rFonts w:ascii="Arial" w:cs="Arial"/>
          </w:rPr>
          <w:t xml:space="preserve">  </w:t>
        </w:r>
        <w:r>
          <w:rPr>
            <w:rFonts w:ascii="Arial" w:cs="Arial"/>
          </w:rPr>
          <w:t>附</w:t>
        </w:r>
        <w:r>
          <w:rPr>
            <w:rFonts w:ascii="Arial" w:cs="Arial"/>
          </w:rPr>
          <w:t xml:space="preserve">  </w:t>
        </w:r>
        <w:r>
          <w:rPr>
            <w:rFonts w:ascii="Arial" w:cs="Arial"/>
          </w:rPr>
          <w:t>件</w:t>
        </w:r>
        <w:r>
          <w:tab/>
        </w:r>
        <w:r>
          <w:fldChar w:fldCharType="begin"/>
        </w:r>
        <w:r>
          <w:instrText xml:space="preserve"> PAGEREF _Toc26617 \h </w:instrText>
        </w:r>
        <w:r>
          <w:fldChar w:fldCharType="separate"/>
        </w:r>
        <w:r>
          <w:t>53</w:t>
        </w:r>
        <w:r>
          <w:fldChar w:fldCharType="end"/>
        </w:r>
      </w:hyperlink>
    </w:p>
    <w:p w14:paraId="7466449F" w14:textId="77777777" w:rsidR="00000000" w:rsidRDefault="00000000">
      <w:pPr>
        <w:pStyle w:val="TOC1"/>
        <w:tabs>
          <w:tab w:val="clear" w:pos="840"/>
          <w:tab w:val="clear" w:pos="8654"/>
          <w:tab w:val="right" w:leader="dot" w:pos="9299"/>
        </w:tabs>
      </w:pPr>
    </w:p>
    <w:p w14:paraId="1263899E" w14:textId="77777777" w:rsidR="00000000" w:rsidRDefault="00000000">
      <w:pPr>
        <w:spacing w:line="360" w:lineRule="auto"/>
        <w:jc w:val="center"/>
        <w:rPr>
          <w:rFonts w:ascii="Arial" w:hAnsi="Arial" w:cs="Arial"/>
          <w:sz w:val="44"/>
        </w:rPr>
      </w:pPr>
      <w:r>
        <w:rPr>
          <w:rFonts w:ascii="Arial" w:hAnsi="Arial" w:cs="Arial"/>
          <w:szCs w:val="28"/>
        </w:rPr>
        <w:fldChar w:fldCharType="end"/>
      </w:r>
    </w:p>
    <w:p w14:paraId="0FA31DA3" w14:textId="77777777" w:rsidR="00000000" w:rsidRDefault="00000000">
      <w:pPr>
        <w:spacing w:line="360" w:lineRule="auto"/>
        <w:ind w:firstLine="660"/>
        <w:jc w:val="center"/>
        <w:rPr>
          <w:rFonts w:ascii="Arial" w:hAnsi="Arial" w:cs="Arial"/>
          <w:sz w:val="44"/>
        </w:rPr>
        <w:sectPr w:rsidR="00000000">
          <w:headerReference w:type="first" r:id="rId12"/>
          <w:pgSz w:w="11907" w:h="16840"/>
          <w:pgMar w:top="1843" w:right="1304" w:bottom="1134" w:left="1304" w:header="1134" w:footer="907" w:gutter="0"/>
          <w:pgNumType w:start="0"/>
          <w:cols w:space="720"/>
          <w:titlePg/>
          <w:docGrid w:linePitch="326"/>
        </w:sectPr>
      </w:pPr>
    </w:p>
    <w:p w14:paraId="7FB4A245" w14:textId="77777777" w:rsidR="00000000" w:rsidRDefault="00000000">
      <w:pPr>
        <w:spacing w:line="360" w:lineRule="auto"/>
        <w:rPr>
          <w:rFonts w:ascii="Arial" w:hAnsi="Arial" w:cs="Arial"/>
          <w:sz w:val="44"/>
        </w:rPr>
        <w:sectPr w:rsidR="00000000">
          <w:headerReference w:type="default" r:id="rId13"/>
          <w:footerReference w:type="even" r:id="rId14"/>
          <w:footerReference w:type="default" r:id="rId15"/>
          <w:headerReference w:type="first" r:id="rId16"/>
          <w:footerReference w:type="first" r:id="rId17"/>
          <w:type w:val="continuous"/>
          <w:pgSz w:w="11907" w:h="16840"/>
          <w:pgMar w:top="1843" w:right="1304" w:bottom="1134" w:left="1304" w:header="851" w:footer="1134" w:gutter="0"/>
          <w:pgNumType w:start="1"/>
          <w:cols w:space="720"/>
          <w:titlePg/>
        </w:sectPr>
      </w:pPr>
    </w:p>
    <w:p w14:paraId="4FC229C6" w14:textId="77777777" w:rsidR="00000000" w:rsidRDefault="00000000">
      <w:pPr>
        <w:spacing w:line="360" w:lineRule="auto"/>
        <w:jc w:val="center"/>
        <w:rPr>
          <w:rFonts w:ascii="Arial" w:hAnsi="Arial" w:cs="Arial"/>
          <w:b/>
          <w:sz w:val="32"/>
        </w:rPr>
      </w:pPr>
      <w:r>
        <w:rPr>
          <w:rFonts w:ascii="Arial" w:hAnsi="Arial" w:cs="Arial"/>
          <w:b/>
          <w:sz w:val="32"/>
        </w:rPr>
        <w:lastRenderedPageBreak/>
        <w:t>土</w:t>
      </w:r>
      <w:r>
        <w:rPr>
          <w:rFonts w:ascii="Arial" w:hAnsi="Arial" w:cs="Arial"/>
          <w:b/>
          <w:sz w:val="32"/>
        </w:rPr>
        <w:t xml:space="preserve"> </w:t>
      </w:r>
      <w:r>
        <w:rPr>
          <w:rFonts w:ascii="Arial" w:hAnsi="Arial" w:cs="Arial"/>
          <w:b/>
          <w:sz w:val="32"/>
        </w:rPr>
        <w:t>地</w:t>
      </w:r>
      <w:r>
        <w:rPr>
          <w:rFonts w:ascii="Arial" w:hAnsi="Arial" w:cs="Arial"/>
          <w:b/>
          <w:sz w:val="32"/>
        </w:rPr>
        <w:t xml:space="preserve"> </w:t>
      </w:r>
      <w:r>
        <w:rPr>
          <w:rFonts w:ascii="Arial" w:hAnsi="Arial" w:cs="Arial"/>
          <w:b/>
          <w:sz w:val="32"/>
        </w:rPr>
        <w:t>咨</w:t>
      </w:r>
      <w:r>
        <w:rPr>
          <w:rFonts w:ascii="Arial" w:hAnsi="Arial" w:cs="Arial"/>
          <w:b/>
          <w:sz w:val="32"/>
        </w:rPr>
        <w:t xml:space="preserve"> </w:t>
      </w:r>
      <w:r>
        <w:rPr>
          <w:rFonts w:ascii="Arial" w:hAnsi="Arial" w:cs="Arial"/>
          <w:b/>
          <w:sz w:val="32"/>
        </w:rPr>
        <w:t>询</w:t>
      </w:r>
      <w:r>
        <w:rPr>
          <w:rFonts w:ascii="Arial" w:hAnsi="Arial" w:cs="Arial"/>
          <w:b/>
          <w:sz w:val="32"/>
        </w:rPr>
        <w:t xml:space="preserve"> </w:t>
      </w:r>
      <w:r>
        <w:rPr>
          <w:rFonts w:ascii="Arial" w:hAnsi="Arial" w:cs="Arial"/>
          <w:b/>
          <w:sz w:val="32"/>
        </w:rPr>
        <w:t>报</w:t>
      </w:r>
      <w:r>
        <w:rPr>
          <w:rFonts w:ascii="Arial" w:hAnsi="Arial" w:cs="Arial"/>
          <w:b/>
          <w:sz w:val="32"/>
        </w:rPr>
        <w:t xml:space="preserve"> </w:t>
      </w:r>
      <w:r>
        <w:rPr>
          <w:rFonts w:ascii="Arial" w:hAnsi="Arial" w:cs="Arial"/>
          <w:b/>
          <w:sz w:val="32"/>
        </w:rPr>
        <w:t>告</w:t>
      </w:r>
    </w:p>
    <w:p w14:paraId="66C982BE" w14:textId="77777777" w:rsidR="00000000" w:rsidRDefault="00000000">
      <w:pPr>
        <w:spacing w:line="360" w:lineRule="auto"/>
        <w:rPr>
          <w:rFonts w:ascii="Arial" w:hAnsi="Arial" w:cs="Arial"/>
          <w:b/>
          <w:sz w:val="32"/>
        </w:rPr>
      </w:pPr>
    </w:p>
    <w:p w14:paraId="5BA9AFDA" w14:textId="77777777" w:rsidR="00000000" w:rsidRDefault="00000000">
      <w:pPr>
        <w:tabs>
          <w:tab w:val="center" w:pos="4332"/>
          <w:tab w:val="right" w:pos="8664"/>
        </w:tabs>
        <w:spacing w:line="360" w:lineRule="auto"/>
        <w:outlineLvl w:val="0"/>
        <w:rPr>
          <w:rFonts w:ascii="Arial" w:hAnsi="Arial" w:cs="Arial"/>
          <w:sz w:val="32"/>
        </w:rPr>
      </w:pPr>
      <w:bookmarkStart w:id="32" w:name="_Toc416783516"/>
      <w:bookmarkStart w:id="33" w:name="_Toc418750878"/>
      <w:r>
        <w:rPr>
          <w:rFonts w:ascii="Arial" w:hAnsi="Arial" w:cs="Arial"/>
          <w:b/>
          <w:sz w:val="32"/>
        </w:rPr>
        <w:tab/>
      </w:r>
      <w:bookmarkStart w:id="34" w:name="_Toc469066300"/>
      <w:bookmarkStart w:id="35" w:name="_Toc9079"/>
      <w:bookmarkStart w:id="36" w:name="_Toc425250300"/>
      <w:bookmarkStart w:id="37" w:name="_Toc259"/>
      <w:r>
        <w:rPr>
          <w:rFonts w:ascii="Arial" w:hAnsi="Arial" w:cs="Arial"/>
          <w:b/>
          <w:sz w:val="32"/>
        </w:rPr>
        <w:t>第一部分</w:t>
      </w:r>
      <w:r>
        <w:rPr>
          <w:rFonts w:ascii="Arial" w:hAnsi="Arial" w:cs="Arial"/>
          <w:b/>
          <w:sz w:val="32"/>
        </w:rPr>
        <w:t xml:space="preserve">  </w:t>
      </w:r>
      <w:r>
        <w:rPr>
          <w:rFonts w:ascii="Arial" w:hAnsi="Arial" w:cs="Arial"/>
          <w:b/>
          <w:sz w:val="32"/>
        </w:rPr>
        <w:t>摘</w:t>
      </w:r>
      <w:r>
        <w:rPr>
          <w:rFonts w:ascii="Arial" w:hAnsi="Arial" w:cs="Arial"/>
          <w:b/>
          <w:sz w:val="32"/>
        </w:rPr>
        <w:t xml:space="preserve">  </w:t>
      </w:r>
      <w:r>
        <w:rPr>
          <w:rFonts w:ascii="Arial" w:hAnsi="Arial" w:cs="Arial"/>
          <w:b/>
          <w:sz w:val="32"/>
        </w:rPr>
        <w:t>要</w:t>
      </w:r>
      <w:bookmarkEnd w:id="32"/>
      <w:bookmarkEnd w:id="33"/>
      <w:bookmarkEnd w:id="34"/>
      <w:bookmarkEnd w:id="35"/>
      <w:bookmarkEnd w:id="36"/>
      <w:bookmarkEnd w:id="37"/>
      <w:r>
        <w:rPr>
          <w:rFonts w:ascii="Arial" w:hAnsi="Arial" w:cs="Arial"/>
          <w:b/>
          <w:sz w:val="32"/>
        </w:rPr>
        <w:tab/>
      </w:r>
    </w:p>
    <w:p w14:paraId="17CC2F91" w14:textId="77777777" w:rsidR="00000000" w:rsidRDefault="00000000">
      <w:pPr>
        <w:spacing w:line="360" w:lineRule="auto"/>
        <w:rPr>
          <w:rFonts w:ascii="Arial" w:hAnsi="Arial" w:cs="Arial"/>
          <w:sz w:val="28"/>
        </w:rPr>
      </w:pPr>
    </w:p>
    <w:p w14:paraId="0F497A56" w14:textId="77777777" w:rsidR="00000000" w:rsidRDefault="00000000">
      <w:pPr>
        <w:spacing w:line="360" w:lineRule="auto"/>
        <w:outlineLvl w:val="1"/>
        <w:rPr>
          <w:rFonts w:ascii="Arial" w:hAnsi="Arial" w:cs="Arial"/>
          <w:b/>
          <w:sz w:val="28"/>
        </w:rPr>
      </w:pPr>
      <w:bookmarkStart w:id="38" w:name="_Toc469066301"/>
      <w:bookmarkStart w:id="39" w:name="_Toc12861"/>
      <w:bookmarkStart w:id="40" w:name="_Toc24882"/>
      <w:bookmarkStart w:id="41" w:name="_Toc416783517"/>
      <w:bookmarkStart w:id="42" w:name="_Toc425250301"/>
      <w:bookmarkStart w:id="43" w:name="_Toc418750879"/>
      <w:r>
        <w:rPr>
          <w:rFonts w:ascii="Arial" w:hAnsi="Arial" w:cs="Arial"/>
          <w:b/>
          <w:sz w:val="28"/>
        </w:rPr>
        <w:t>一、项目名称</w:t>
      </w:r>
      <w:bookmarkEnd w:id="38"/>
      <w:bookmarkEnd w:id="39"/>
      <w:bookmarkEnd w:id="40"/>
      <w:bookmarkEnd w:id="41"/>
      <w:bookmarkEnd w:id="42"/>
      <w:bookmarkEnd w:id="43"/>
    </w:p>
    <w:p w14:paraId="10E6F29D" w14:textId="77777777" w:rsidR="00000000" w:rsidRDefault="00000000">
      <w:pPr>
        <w:spacing w:line="360" w:lineRule="auto"/>
        <w:ind w:firstLineChars="199" w:firstLine="557"/>
        <w:jc w:val="both"/>
        <w:rPr>
          <w:rFonts w:ascii="Arial" w:hAnsi="Arial" w:cs="Arial"/>
          <w:sz w:val="28"/>
        </w:rPr>
      </w:pPr>
      <w:r>
        <w:rPr>
          <w:rFonts w:ascii="Arial" w:hAnsi="Arial" w:cs="Arial" w:hint="eastAsia"/>
          <w:sz w:val="28"/>
        </w:rPr>
        <w:t>北京市昌平区马池口镇百泉庄村集体土地租赁住房项目集体经营性建设用地使用权地价评估</w:t>
      </w:r>
    </w:p>
    <w:p w14:paraId="06F61B73" w14:textId="77777777" w:rsidR="00000000" w:rsidRDefault="00000000">
      <w:pPr>
        <w:spacing w:line="360" w:lineRule="auto"/>
        <w:jc w:val="both"/>
        <w:rPr>
          <w:rFonts w:ascii="Arial" w:hAnsi="Arial" w:cs="Arial"/>
          <w:b/>
          <w:bCs/>
          <w:sz w:val="28"/>
        </w:rPr>
      </w:pPr>
    </w:p>
    <w:p w14:paraId="2A87B6E9" w14:textId="77777777" w:rsidR="00000000" w:rsidRDefault="00000000">
      <w:pPr>
        <w:spacing w:line="360" w:lineRule="auto"/>
        <w:jc w:val="both"/>
        <w:outlineLvl w:val="1"/>
        <w:rPr>
          <w:rFonts w:ascii="Arial" w:hAnsi="Arial" w:cs="Arial"/>
          <w:b/>
          <w:bCs/>
          <w:sz w:val="28"/>
        </w:rPr>
      </w:pPr>
      <w:bookmarkStart w:id="44" w:name="_Toc12200"/>
      <w:bookmarkStart w:id="45" w:name="_Toc9263"/>
      <w:bookmarkStart w:id="46" w:name="_Toc469066302"/>
      <w:bookmarkStart w:id="47" w:name="_Toc418750880"/>
      <w:bookmarkStart w:id="48" w:name="_Toc425250302"/>
      <w:bookmarkStart w:id="49" w:name="_Toc416783518"/>
      <w:r>
        <w:rPr>
          <w:rFonts w:ascii="Arial" w:hAnsi="Arial" w:cs="Arial"/>
          <w:b/>
          <w:bCs/>
          <w:sz w:val="28"/>
        </w:rPr>
        <w:t>二、委托方</w:t>
      </w:r>
      <w:bookmarkEnd w:id="44"/>
      <w:bookmarkEnd w:id="45"/>
      <w:bookmarkEnd w:id="46"/>
      <w:bookmarkEnd w:id="47"/>
      <w:bookmarkEnd w:id="48"/>
      <w:bookmarkEnd w:id="49"/>
    </w:p>
    <w:p w14:paraId="3380E1F6" w14:textId="77777777" w:rsidR="00000000" w:rsidRDefault="00000000">
      <w:pPr>
        <w:spacing w:line="360" w:lineRule="auto"/>
        <w:ind w:left="1" w:right="-85" w:firstLineChars="200" w:firstLine="560"/>
        <w:jc w:val="both"/>
        <w:rPr>
          <w:rFonts w:ascii="Arial" w:hAnsi="Arial" w:cs="Arial" w:hint="eastAsia"/>
          <w:bCs/>
          <w:sz w:val="28"/>
        </w:rPr>
      </w:pPr>
      <w:r>
        <w:rPr>
          <w:rFonts w:ascii="Arial" w:hAnsi="Arial" w:cs="Arial" w:hint="eastAsia"/>
          <w:bCs/>
          <w:sz w:val="28"/>
        </w:rPr>
        <w:t>北京保障房中心有限公司</w:t>
      </w:r>
    </w:p>
    <w:p w14:paraId="7269619F" w14:textId="77777777" w:rsidR="00000000" w:rsidRDefault="00000000">
      <w:pPr>
        <w:spacing w:line="360" w:lineRule="auto"/>
        <w:ind w:left="1" w:right="-85" w:firstLineChars="200" w:firstLine="562"/>
        <w:jc w:val="both"/>
        <w:rPr>
          <w:rFonts w:ascii="Arial" w:hAnsi="Arial" w:cs="Arial"/>
          <w:b/>
          <w:bCs/>
          <w:sz w:val="28"/>
        </w:rPr>
      </w:pPr>
    </w:p>
    <w:p w14:paraId="4FD306FF" w14:textId="77777777" w:rsidR="00000000" w:rsidRDefault="00000000">
      <w:pPr>
        <w:spacing w:line="360" w:lineRule="auto"/>
        <w:jc w:val="both"/>
        <w:outlineLvl w:val="1"/>
        <w:rPr>
          <w:rFonts w:ascii="Arial" w:hAnsi="Arial" w:cs="Arial"/>
          <w:b/>
          <w:bCs/>
          <w:sz w:val="28"/>
        </w:rPr>
      </w:pPr>
      <w:bookmarkStart w:id="50" w:name="_Toc418750881"/>
      <w:bookmarkStart w:id="51" w:name="_Toc425250303"/>
      <w:bookmarkStart w:id="52" w:name="_Toc1290"/>
      <w:bookmarkStart w:id="53" w:name="_Toc12130"/>
      <w:bookmarkStart w:id="54" w:name="_Toc416783519"/>
      <w:bookmarkStart w:id="55" w:name="_Toc469066303"/>
      <w:r>
        <w:rPr>
          <w:rFonts w:ascii="Arial" w:hAnsi="Arial" w:cs="Arial"/>
          <w:b/>
          <w:bCs/>
          <w:sz w:val="28"/>
        </w:rPr>
        <w:t>三、咨询目的</w:t>
      </w:r>
      <w:bookmarkEnd w:id="50"/>
      <w:bookmarkEnd w:id="51"/>
      <w:bookmarkEnd w:id="52"/>
      <w:bookmarkEnd w:id="53"/>
      <w:bookmarkEnd w:id="54"/>
      <w:bookmarkEnd w:id="55"/>
    </w:p>
    <w:p w14:paraId="6DC056C0" w14:textId="77777777" w:rsidR="00000000" w:rsidRDefault="00000000">
      <w:pPr>
        <w:overflowPunct w:val="0"/>
        <w:spacing w:line="480" w:lineRule="auto"/>
        <w:ind w:firstLineChars="200" w:firstLine="560"/>
        <w:jc w:val="both"/>
        <w:textAlignment w:val="auto"/>
        <w:rPr>
          <w:rFonts w:ascii="Arial" w:hAnsi="Arial" w:cs="Arial"/>
          <w:sz w:val="28"/>
        </w:rPr>
      </w:pPr>
      <w:r>
        <w:rPr>
          <w:rFonts w:ascii="Arial" w:hAnsi="Arial" w:cs="Arial" w:hint="eastAsia"/>
          <w:sz w:val="28"/>
        </w:rPr>
        <w:t>百泉庄</w:t>
      </w:r>
      <w:r>
        <w:rPr>
          <w:rFonts w:ascii="Arial" w:hAnsi="Arial" w:cs="Arial"/>
          <w:sz w:val="28"/>
        </w:rPr>
        <w:t>村经济</w:t>
      </w:r>
      <w:r>
        <w:rPr>
          <w:rFonts w:ascii="Arial" w:hAnsi="Arial" w:cs="Arial" w:hint="eastAsia"/>
          <w:sz w:val="28"/>
        </w:rPr>
        <w:t>组织</w:t>
      </w:r>
      <w:r>
        <w:rPr>
          <w:rFonts w:ascii="Arial" w:hAnsi="Arial" w:cs="Arial"/>
          <w:sz w:val="28"/>
        </w:rPr>
        <w:t>拟使用咨询对象集体土地作价入股，本次评估是为委托方了解咨询对象作价入股价格提供参考依据。</w:t>
      </w:r>
    </w:p>
    <w:p w14:paraId="06CCF618" w14:textId="77777777" w:rsidR="00000000" w:rsidRDefault="00000000">
      <w:pPr>
        <w:spacing w:line="360" w:lineRule="auto"/>
        <w:ind w:firstLineChars="200" w:firstLine="562"/>
        <w:jc w:val="both"/>
        <w:rPr>
          <w:rFonts w:ascii="Arial" w:hAnsi="Arial" w:cs="Arial"/>
          <w:b/>
          <w:bCs/>
          <w:sz w:val="28"/>
        </w:rPr>
      </w:pPr>
    </w:p>
    <w:p w14:paraId="0009B164" w14:textId="77777777" w:rsidR="00000000" w:rsidRDefault="00000000">
      <w:pPr>
        <w:spacing w:line="360" w:lineRule="auto"/>
        <w:jc w:val="both"/>
        <w:outlineLvl w:val="1"/>
        <w:rPr>
          <w:rFonts w:ascii="Arial" w:hAnsi="Arial" w:cs="Arial"/>
          <w:b/>
          <w:bCs/>
          <w:sz w:val="28"/>
        </w:rPr>
      </w:pPr>
      <w:bookmarkStart w:id="56" w:name="_Toc10165"/>
      <w:bookmarkStart w:id="57" w:name="_Toc10412"/>
      <w:bookmarkStart w:id="58" w:name="_Toc418750882"/>
      <w:bookmarkStart w:id="59" w:name="_Toc416783520"/>
      <w:bookmarkStart w:id="60" w:name="_Toc425250304"/>
      <w:bookmarkStart w:id="61" w:name="_Toc469066304"/>
      <w:r>
        <w:rPr>
          <w:rFonts w:ascii="Arial" w:hAnsi="Arial" w:cs="Arial"/>
          <w:b/>
          <w:bCs/>
          <w:sz w:val="28"/>
        </w:rPr>
        <w:t>四、咨询期日</w:t>
      </w:r>
      <w:bookmarkEnd w:id="56"/>
      <w:bookmarkEnd w:id="57"/>
      <w:bookmarkEnd w:id="58"/>
      <w:bookmarkEnd w:id="59"/>
      <w:bookmarkEnd w:id="60"/>
      <w:bookmarkEnd w:id="61"/>
    </w:p>
    <w:p w14:paraId="0EE7056D"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（评估专业人员勘察现场之日）</w:t>
      </w:r>
    </w:p>
    <w:p w14:paraId="4FC7CDA3" w14:textId="77777777" w:rsidR="00000000" w:rsidRDefault="00000000">
      <w:pPr>
        <w:spacing w:line="360" w:lineRule="auto"/>
        <w:ind w:firstLineChars="200" w:firstLine="562"/>
        <w:jc w:val="both"/>
        <w:rPr>
          <w:rFonts w:ascii="Arial" w:hAnsi="Arial" w:cs="Arial"/>
          <w:b/>
          <w:bCs/>
          <w:sz w:val="28"/>
        </w:rPr>
      </w:pPr>
    </w:p>
    <w:p w14:paraId="3F28BFB3" w14:textId="77777777" w:rsidR="00000000" w:rsidRDefault="00000000">
      <w:pPr>
        <w:tabs>
          <w:tab w:val="left" w:pos="6957"/>
        </w:tabs>
        <w:spacing w:line="360" w:lineRule="auto"/>
        <w:jc w:val="both"/>
        <w:outlineLvl w:val="1"/>
        <w:rPr>
          <w:rFonts w:ascii="Arial" w:hAnsi="Arial" w:cs="Arial"/>
          <w:b/>
          <w:bCs/>
          <w:sz w:val="28"/>
        </w:rPr>
      </w:pPr>
      <w:bookmarkStart w:id="62" w:name="_Toc416783521"/>
      <w:bookmarkStart w:id="63" w:name="_Toc26604"/>
      <w:bookmarkStart w:id="64" w:name="_Toc29207"/>
      <w:bookmarkStart w:id="65" w:name="_Toc469066305"/>
      <w:bookmarkStart w:id="66" w:name="_Toc418750883"/>
      <w:bookmarkStart w:id="67" w:name="_Toc425250305"/>
      <w:r>
        <w:rPr>
          <w:rFonts w:ascii="Arial" w:hAnsi="Arial" w:cs="Arial"/>
          <w:b/>
          <w:bCs/>
          <w:sz w:val="28"/>
        </w:rPr>
        <w:t>五、咨询日期</w:t>
      </w:r>
      <w:bookmarkEnd w:id="62"/>
      <w:bookmarkEnd w:id="63"/>
      <w:bookmarkEnd w:id="64"/>
      <w:bookmarkEnd w:id="65"/>
      <w:bookmarkEnd w:id="66"/>
      <w:bookmarkEnd w:id="67"/>
      <w:r>
        <w:rPr>
          <w:rFonts w:ascii="Arial" w:hAnsi="Arial" w:cs="Arial"/>
          <w:b/>
          <w:bCs/>
          <w:sz w:val="28"/>
        </w:rPr>
        <w:tab/>
      </w:r>
    </w:p>
    <w:p w14:paraId="194F035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至</w:t>
      </w:r>
      <w:bookmarkStart w:id="68" w:name="_Toc416783522"/>
      <w:bookmarkStart w:id="69" w:name="_Toc469066306"/>
      <w:bookmarkStart w:id="70" w:name="_Toc425250306"/>
      <w:bookmarkStart w:id="71" w:name="_Toc418750884"/>
      <w:r>
        <w:rPr>
          <w:rFonts w:ascii="Arial" w:hAnsi="Arial" w:cs="Arial" w:hint="eastAsia"/>
          <w:sz w:val="28"/>
        </w:rPr>
        <w:t>2025</w:t>
      </w:r>
      <w:r>
        <w:rPr>
          <w:rFonts w:ascii="Arial" w:hAnsi="Arial" w:cs="Arial" w:hint="eastAsia"/>
          <w:sz w:val="28"/>
        </w:rPr>
        <w:t>年</w:t>
      </w:r>
      <w:r>
        <w:rPr>
          <w:rFonts w:ascii="Arial" w:hAnsi="Arial" w:cs="Arial" w:hint="eastAsia"/>
          <w:sz w:val="28"/>
        </w:rPr>
        <w:t>10</w:t>
      </w:r>
      <w:r>
        <w:rPr>
          <w:rFonts w:ascii="Arial" w:hAnsi="Arial" w:cs="Arial" w:hint="eastAsia"/>
          <w:sz w:val="28"/>
        </w:rPr>
        <w:t>月</w:t>
      </w:r>
      <w:r>
        <w:rPr>
          <w:rFonts w:ascii="Arial" w:hAnsi="Arial" w:cs="Arial" w:hint="eastAsia"/>
          <w:sz w:val="28"/>
        </w:rPr>
        <w:t>19</w:t>
      </w:r>
      <w:r>
        <w:rPr>
          <w:rFonts w:ascii="Arial" w:hAnsi="Arial" w:cs="Arial" w:hint="eastAsia"/>
          <w:sz w:val="28"/>
        </w:rPr>
        <w:t>日</w:t>
      </w:r>
    </w:p>
    <w:p w14:paraId="07407EEC" w14:textId="77777777" w:rsidR="00000000" w:rsidRDefault="00000000">
      <w:pPr>
        <w:spacing w:line="360" w:lineRule="auto"/>
        <w:ind w:firstLineChars="200" w:firstLine="560"/>
        <w:jc w:val="both"/>
        <w:rPr>
          <w:rFonts w:ascii="Arial" w:hAnsi="Arial" w:cs="Arial"/>
          <w:sz w:val="28"/>
        </w:rPr>
      </w:pPr>
    </w:p>
    <w:p w14:paraId="5051D470" w14:textId="77777777" w:rsidR="00000000" w:rsidRDefault="00000000">
      <w:pPr>
        <w:tabs>
          <w:tab w:val="left" w:pos="6957"/>
        </w:tabs>
        <w:spacing w:line="360" w:lineRule="auto"/>
        <w:jc w:val="both"/>
        <w:outlineLvl w:val="1"/>
        <w:rPr>
          <w:rFonts w:ascii="Arial" w:hAnsi="Arial" w:cs="Arial"/>
          <w:b/>
          <w:bCs/>
          <w:sz w:val="28"/>
        </w:rPr>
      </w:pPr>
      <w:bookmarkStart w:id="72" w:name="_Toc1743"/>
      <w:bookmarkStart w:id="73" w:name="_Toc23022"/>
      <w:r>
        <w:rPr>
          <w:rFonts w:ascii="Arial" w:hAnsi="Arial" w:cs="Arial"/>
          <w:b/>
          <w:bCs/>
          <w:sz w:val="28"/>
        </w:rPr>
        <w:t>六、地价定义</w:t>
      </w:r>
      <w:bookmarkEnd w:id="68"/>
      <w:bookmarkEnd w:id="69"/>
      <w:bookmarkEnd w:id="70"/>
      <w:bookmarkEnd w:id="71"/>
      <w:bookmarkEnd w:id="72"/>
      <w:bookmarkEnd w:id="73"/>
    </w:p>
    <w:p w14:paraId="6E4FA912" w14:textId="77777777" w:rsidR="00000000" w:rsidRDefault="00000000">
      <w:pPr>
        <w:spacing w:line="360" w:lineRule="auto"/>
        <w:jc w:val="both"/>
        <w:rPr>
          <w:rFonts w:ascii="Arial" w:hAnsi="Arial" w:cs="Arial"/>
          <w:sz w:val="28"/>
        </w:rPr>
      </w:pPr>
      <w:r>
        <w:rPr>
          <w:rFonts w:ascii="Arial" w:hAnsi="Arial" w:cs="Arial"/>
          <w:sz w:val="28"/>
        </w:rPr>
        <w:t>（一）用途</w:t>
      </w:r>
    </w:p>
    <w:p w14:paraId="01161652"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经委托方介绍，拟与百泉庄</w:t>
      </w:r>
      <w:r>
        <w:rPr>
          <w:rFonts w:ascii="Arial" w:hAnsi="Arial" w:cs="Arial"/>
          <w:sz w:val="28"/>
        </w:rPr>
        <w:t>村经济</w:t>
      </w:r>
      <w:r>
        <w:rPr>
          <w:rFonts w:ascii="Arial" w:hAnsi="Arial" w:cs="Arial" w:hint="eastAsia"/>
          <w:sz w:val="28"/>
        </w:rPr>
        <w:t>组织采用股权合作模式开发建设昌平区马池口镇百泉庄村集体土地租赁住房项目，总</w:t>
      </w:r>
      <w:r>
        <w:rPr>
          <w:rFonts w:ascii="Arial" w:hAnsi="Arial" w:cs="Arial"/>
          <w:sz w:val="28"/>
        </w:rPr>
        <w:t>建设用地</w:t>
      </w:r>
      <w:r>
        <w:rPr>
          <w:rFonts w:ascii="Arial" w:hAnsi="Arial" w:cs="Arial" w:hint="eastAsia"/>
          <w:sz w:val="28"/>
        </w:rPr>
        <w:t>18132</w:t>
      </w:r>
      <w:r>
        <w:rPr>
          <w:rFonts w:ascii="Arial" w:hAnsi="Arial" w:cs="Arial" w:hint="eastAsia"/>
          <w:sz w:val="28"/>
        </w:rPr>
        <w:t>平方米</w:t>
      </w:r>
      <w:r>
        <w:rPr>
          <w:rFonts w:ascii="Arial" w:hAnsi="Arial" w:cs="Arial"/>
          <w:sz w:val="28"/>
        </w:rPr>
        <w:lastRenderedPageBreak/>
        <w:t>（</w:t>
      </w:r>
      <w:r>
        <w:rPr>
          <w:rFonts w:ascii="Arial" w:hAnsi="Arial" w:cs="Arial" w:hint="eastAsia"/>
          <w:sz w:val="28"/>
        </w:rPr>
        <w:t>27.20</w:t>
      </w:r>
      <w:r>
        <w:rPr>
          <w:rFonts w:ascii="Arial" w:hAnsi="Arial" w:cs="Arial"/>
          <w:sz w:val="28"/>
        </w:rPr>
        <w:t>亩）。</w:t>
      </w:r>
    </w:p>
    <w:p w14:paraId="47630827" w14:textId="77777777" w:rsidR="00000000" w:rsidRDefault="00000000">
      <w:pPr>
        <w:spacing w:line="360" w:lineRule="auto"/>
        <w:jc w:val="both"/>
        <w:rPr>
          <w:rFonts w:ascii="Arial" w:hAnsi="Arial" w:cs="Arial"/>
          <w:sz w:val="28"/>
        </w:rPr>
      </w:pPr>
      <w:r>
        <w:rPr>
          <w:rFonts w:ascii="Arial" w:hAnsi="Arial" w:cs="Arial"/>
          <w:sz w:val="28"/>
        </w:rPr>
        <w:t>（二）土地开发程度</w:t>
      </w:r>
    </w:p>
    <w:p w14:paraId="3D3C9B22" w14:textId="77777777" w:rsidR="00000000" w:rsidRDefault="00000000">
      <w:pPr>
        <w:spacing w:line="360" w:lineRule="auto"/>
        <w:ind w:firstLineChars="200" w:firstLine="560"/>
        <w:jc w:val="both"/>
        <w:rPr>
          <w:rFonts w:ascii="Arial" w:hAnsi="Arial" w:cs="Arial"/>
          <w:i/>
          <w:sz w:val="28"/>
        </w:rPr>
      </w:pPr>
      <w:r>
        <w:rPr>
          <w:rFonts w:ascii="Arial" w:hAnsi="Arial" w:cs="Arial"/>
          <w:sz w:val="28"/>
        </w:rPr>
        <w:t>根据委托方介绍及评估专业人员实地查勘，本次评估咨询对象实际土地开发程度为红线外市政基础设施为</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、宗地红线内场地未平整，宗地内有需要移除的树木。依据委托方介绍，该宗地以</w:t>
      </w:r>
      <w:r>
        <w:rPr>
          <w:rFonts w:ascii="Arial" w:hAnsi="Arial" w:cs="Arial"/>
          <w:sz w:val="28"/>
        </w:rPr>
        <w:t>“</w:t>
      </w:r>
      <w:r>
        <w:rPr>
          <w:rFonts w:ascii="Arial" w:hAnsi="Arial" w:cs="Arial"/>
          <w:sz w:val="28"/>
        </w:rPr>
        <w:t>三通一平</w:t>
      </w:r>
      <w:r>
        <w:rPr>
          <w:rFonts w:ascii="Arial" w:hAnsi="Arial" w:cs="Arial"/>
          <w:sz w:val="28"/>
        </w:rPr>
        <w:t>”</w:t>
      </w:r>
      <w:r>
        <w:rPr>
          <w:rFonts w:ascii="Arial" w:hAnsi="Arial" w:cs="Arial"/>
          <w:sz w:val="28"/>
        </w:rPr>
        <w:t>的形式作价入股，因此本次评估设定土地开发程度为红线外市政基础设施达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、宗地红线内场地平整。</w:t>
      </w:r>
      <w:r>
        <w:rPr>
          <w:rFonts w:ascii="Arial" w:hAnsi="Arial" w:cs="Arial"/>
          <w:spacing w:val="-12"/>
          <w:sz w:val="28"/>
        </w:rPr>
        <w:t>咨询结果</w:t>
      </w:r>
      <w:r>
        <w:rPr>
          <w:rFonts w:ascii="Arial" w:hAnsi="Arial" w:cs="Arial"/>
          <w:sz w:val="28"/>
        </w:rPr>
        <w:t>未扣除树木移除的费用。</w:t>
      </w:r>
    </w:p>
    <w:p w14:paraId="591839EC" w14:textId="77777777" w:rsidR="00000000" w:rsidRDefault="00000000">
      <w:pPr>
        <w:numPr>
          <w:ilvl w:val="0"/>
          <w:numId w:val="6"/>
        </w:numPr>
        <w:spacing w:line="360" w:lineRule="auto"/>
        <w:jc w:val="both"/>
        <w:rPr>
          <w:rFonts w:ascii="Arial" w:hAnsi="Arial" w:cs="Arial"/>
          <w:sz w:val="28"/>
        </w:rPr>
      </w:pPr>
      <w:r>
        <w:rPr>
          <w:rFonts w:ascii="Arial" w:hAnsi="Arial" w:cs="Arial"/>
          <w:sz w:val="28"/>
        </w:rPr>
        <w:t>规划利用条件</w:t>
      </w:r>
    </w:p>
    <w:p w14:paraId="1172F30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根据委托方提供的经济技术指标，</w:t>
      </w:r>
      <w:r>
        <w:rPr>
          <w:rFonts w:ascii="Arial" w:hAnsi="Arial" w:cs="Arial"/>
          <w:sz w:val="28"/>
        </w:rPr>
        <w:t>咨询对象土地面积为</w:t>
      </w:r>
      <w:r>
        <w:rPr>
          <w:rFonts w:ascii="Arial" w:hAnsi="Arial" w:cs="Arial" w:hint="eastAsia"/>
          <w:sz w:val="28"/>
        </w:rPr>
        <w:t>18132</w:t>
      </w:r>
      <w:r>
        <w:rPr>
          <w:rFonts w:ascii="Arial" w:hAnsi="Arial" w:cs="Arial"/>
          <w:sz w:val="28"/>
        </w:rPr>
        <w:t>平方米，规划建筑面积为</w:t>
      </w:r>
      <w:r>
        <w:rPr>
          <w:rFonts w:ascii="Arial" w:hAnsi="Arial" w:cs="Arial" w:hint="eastAsia"/>
          <w:sz w:val="28"/>
        </w:rPr>
        <w:t>43300</w:t>
      </w:r>
      <w:r>
        <w:rPr>
          <w:rFonts w:ascii="Arial" w:hAnsi="Arial" w:cs="Arial"/>
          <w:sz w:val="28"/>
        </w:rPr>
        <w:t>平方米。其中</w:t>
      </w:r>
      <w:r>
        <w:rPr>
          <w:rFonts w:ascii="Arial" w:hAnsi="Arial" w:cs="Arial" w:hint="eastAsia"/>
          <w:sz w:val="28"/>
        </w:rPr>
        <w:t>地上</w:t>
      </w:r>
      <w:r>
        <w:rPr>
          <w:rFonts w:ascii="Arial" w:hAnsi="Arial" w:cs="Arial"/>
          <w:sz w:val="28"/>
        </w:rPr>
        <w:t>经营性用途用房</w:t>
      </w:r>
      <w:r>
        <w:rPr>
          <w:rFonts w:ascii="Arial" w:hAnsi="Arial" w:cs="Arial" w:hint="eastAsia"/>
          <w:sz w:val="28"/>
        </w:rPr>
        <w:t>31948</w:t>
      </w:r>
      <w:r>
        <w:rPr>
          <w:rFonts w:ascii="Arial" w:hAnsi="Arial" w:cs="Arial"/>
          <w:sz w:val="28"/>
        </w:rPr>
        <w:t>平方米（其中：</w:t>
      </w:r>
      <w:r>
        <w:rPr>
          <w:rFonts w:ascii="Arial" w:hAnsi="Arial" w:cs="Arial" w:hint="eastAsia"/>
          <w:sz w:val="28"/>
        </w:rPr>
        <w:t>公寓</w:t>
      </w:r>
      <w:r>
        <w:rPr>
          <w:rFonts w:ascii="Arial" w:hAnsi="Arial" w:cs="Arial" w:hint="eastAsia"/>
          <w:sz w:val="28"/>
        </w:rPr>
        <w:t>31152</w:t>
      </w:r>
      <w:r>
        <w:rPr>
          <w:rFonts w:ascii="Arial" w:hAnsi="Arial" w:cs="Arial"/>
          <w:sz w:val="28"/>
        </w:rPr>
        <w:t>平方米，商业</w:t>
      </w:r>
      <w:r>
        <w:rPr>
          <w:rFonts w:ascii="Arial" w:hAnsi="Arial" w:cs="Arial" w:hint="eastAsia"/>
          <w:sz w:val="28"/>
        </w:rPr>
        <w:t>796</w:t>
      </w:r>
      <w:r>
        <w:rPr>
          <w:rFonts w:ascii="Arial" w:hAnsi="Arial" w:cs="Arial"/>
          <w:sz w:val="28"/>
        </w:rPr>
        <w:t>平方米）；非经营性用途用房</w:t>
      </w:r>
      <w:r>
        <w:rPr>
          <w:rFonts w:ascii="Arial" w:hAnsi="Arial" w:cs="Arial" w:hint="eastAsia"/>
          <w:sz w:val="28"/>
        </w:rPr>
        <w:t>690</w:t>
      </w:r>
      <w:r>
        <w:rPr>
          <w:rFonts w:ascii="Arial" w:hAnsi="Arial" w:cs="Arial"/>
          <w:sz w:val="28"/>
        </w:rPr>
        <w:t>平方米（其中：配套设施</w:t>
      </w:r>
      <w:r>
        <w:rPr>
          <w:rFonts w:ascii="Arial" w:hAnsi="Arial" w:cs="Arial" w:hint="eastAsia"/>
          <w:sz w:val="28"/>
        </w:rPr>
        <w:t>540</w:t>
      </w:r>
      <w:r>
        <w:rPr>
          <w:rFonts w:ascii="Arial" w:hAnsi="Arial" w:cs="Arial"/>
          <w:sz w:val="28"/>
        </w:rPr>
        <w:t>平方米，</w:t>
      </w:r>
      <w:r>
        <w:rPr>
          <w:rFonts w:ascii="Arial" w:hAnsi="Arial" w:cs="Arial" w:hint="eastAsia"/>
          <w:sz w:val="28"/>
        </w:rPr>
        <w:t>地下建筑出入口</w:t>
      </w:r>
      <w:r>
        <w:rPr>
          <w:rFonts w:ascii="Arial" w:hAnsi="Arial" w:cs="Arial" w:hint="eastAsia"/>
          <w:sz w:val="28"/>
        </w:rPr>
        <w:t>150</w:t>
      </w:r>
      <w:r>
        <w:rPr>
          <w:rFonts w:ascii="Arial" w:hAnsi="Arial" w:cs="Arial"/>
          <w:sz w:val="28"/>
        </w:rPr>
        <w:t>平方米）</w:t>
      </w:r>
      <w:r>
        <w:rPr>
          <w:rFonts w:ascii="Arial" w:hAnsi="Arial" w:cs="Arial" w:hint="eastAsia"/>
          <w:sz w:val="28"/>
        </w:rPr>
        <w:t>；地下车库</w:t>
      </w:r>
      <w:r>
        <w:rPr>
          <w:rFonts w:ascii="Arial" w:hAnsi="Arial" w:cs="Arial" w:hint="eastAsia"/>
          <w:sz w:val="28"/>
        </w:rPr>
        <w:t>218</w:t>
      </w:r>
      <w:r>
        <w:rPr>
          <w:rFonts w:ascii="Arial" w:hAnsi="Arial" w:cs="Arial" w:hint="eastAsia"/>
          <w:sz w:val="28"/>
        </w:rPr>
        <w:t>个（约</w:t>
      </w:r>
      <w:r>
        <w:rPr>
          <w:rFonts w:ascii="Arial" w:hAnsi="Arial" w:cs="Arial" w:hint="eastAsia"/>
          <w:sz w:val="28"/>
        </w:rPr>
        <w:t>5556</w:t>
      </w:r>
      <w:r>
        <w:rPr>
          <w:rFonts w:ascii="Arial" w:hAnsi="Arial" w:cs="Arial" w:hint="eastAsia"/>
          <w:sz w:val="28"/>
        </w:rPr>
        <w:t>平方米），其他</w:t>
      </w:r>
      <w:r>
        <w:rPr>
          <w:rFonts w:ascii="Arial" w:hAnsi="Arial" w:cs="Arial"/>
          <w:sz w:val="28"/>
        </w:rPr>
        <w:t>非经营性用途用房</w:t>
      </w:r>
      <w:r>
        <w:rPr>
          <w:rFonts w:ascii="Arial" w:hAnsi="Arial" w:cs="Arial" w:hint="eastAsia"/>
          <w:sz w:val="28"/>
        </w:rPr>
        <w:t>约</w:t>
      </w:r>
      <w:r>
        <w:rPr>
          <w:rFonts w:ascii="Arial" w:hAnsi="Arial" w:cs="Arial" w:hint="eastAsia"/>
          <w:sz w:val="28"/>
        </w:rPr>
        <w:t>5106</w:t>
      </w:r>
      <w:r>
        <w:rPr>
          <w:rFonts w:ascii="Arial" w:hAnsi="Arial" w:cs="Arial" w:hint="eastAsia"/>
          <w:sz w:val="28"/>
        </w:rPr>
        <w:t>平方米。规划利用条件如下：</w:t>
      </w:r>
    </w:p>
    <w:tbl>
      <w:tblPr>
        <w:tblpPr w:leftFromText="180" w:rightFromText="180" w:vertAnchor="text" w:horzAnchor="margin" w:tblpX="1" w:tblpY="143"/>
        <w:tblW w:w="9450" w:type="dxa"/>
        <w:tblInd w:w="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000" w:firstRow="0" w:lastRow="0" w:firstColumn="0" w:lastColumn="0" w:noHBand="0" w:noVBand="0"/>
      </w:tblPr>
      <w:tblGrid>
        <w:gridCol w:w="1165"/>
        <w:gridCol w:w="1020"/>
        <w:gridCol w:w="3341"/>
        <w:gridCol w:w="1488"/>
        <w:gridCol w:w="2436"/>
      </w:tblGrid>
      <w:tr w:rsidR="00000000" w14:paraId="7A3F0871" w14:textId="77777777">
        <w:trPr>
          <w:trHeight w:val="280"/>
        </w:trPr>
        <w:tc>
          <w:tcPr>
            <w:tcW w:w="5526" w:type="dxa"/>
            <w:gridSpan w:val="3"/>
            <w:tcBorders>
              <w:bottom w:val="single" w:sz="4" w:space="0" w:color="auto"/>
              <w:right w:val="single" w:sz="4" w:space="0" w:color="auto"/>
            </w:tcBorders>
            <w:noWrap/>
            <w:vAlign w:val="center"/>
          </w:tcPr>
          <w:p w14:paraId="01E1C9F5"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sz="4" w:space="0" w:color="auto"/>
              <w:right w:val="single" w:sz="4" w:space="0" w:color="auto"/>
            </w:tcBorders>
            <w:noWrap/>
            <w:vAlign w:val="center"/>
          </w:tcPr>
          <w:p w14:paraId="4E0D65E3"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sz="4" w:space="0" w:color="auto"/>
              <w:right w:val="single" w:sz="4" w:space="0" w:color="auto"/>
            </w:tcBorders>
            <w:noWrap/>
            <w:vAlign w:val="center"/>
          </w:tcPr>
          <w:p w14:paraId="730AA3E9"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数量</w:t>
            </w:r>
          </w:p>
        </w:tc>
      </w:tr>
      <w:tr w:rsidR="00000000" w14:paraId="7B6677A8"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5F33DF58"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sz="4" w:space="0" w:color="auto"/>
              <w:right w:val="single" w:sz="4" w:space="0" w:color="auto"/>
            </w:tcBorders>
            <w:noWrap/>
            <w:vAlign w:val="center"/>
          </w:tcPr>
          <w:p w14:paraId="640C1C64"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3FAA17F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000000" w14:paraId="57CF98BC"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25095DD2"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建设用地面积</w:t>
            </w:r>
          </w:p>
        </w:tc>
        <w:tc>
          <w:tcPr>
            <w:tcW w:w="1488" w:type="dxa"/>
            <w:tcBorders>
              <w:top w:val="nil"/>
              <w:left w:val="nil"/>
              <w:bottom w:val="single" w:sz="4" w:space="0" w:color="auto"/>
              <w:right w:val="single" w:sz="4" w:space="0" w:color="auto"/>
            </w:tcBorders>
            <w:noWrap/>
            <w:vAlign w:val="center"/>
          </w:tcPr>
          <w:p w14:paraId="73610971"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6CB4312E"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000000" w14:paraId="53EB58F5"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52235B35"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总建筑面积</w:t>
            </w:r>
          </w:p>
        </w:tc>
        <w:tc>
          <w:tcPr>
            <w:tcW w:w="1488" w:type="dxa"/>
            <w:tcBorders>
              <w:top w:val="nil"/>
              <w:left w:val="nil"/>
              <w:bottom w:val="single" w:sz="4" w:space="0" w:color="auto"/>
              <w:right w:val="single" w:sz="4" w:space="0" w:color="auto"/>
            </w:tcBorders>
            <w:noWrap/>
            <w:vAlign w:val="center"/>
          </w:tcPr>
          <w:p w14:paraId="316EE436"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0635AAEF"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43300</w:t>
            </w:r>
          </w:p>
        </w:tc>
      </w:tr>
      <w:tr w:rsidR="00000000" w14:paraId="1699A9FF" w14:textId="77777777">
        <w:trPr>
          <w:trHeight w:val="280"/>
        </w:trPr>
        <w:tc>
          <w:tcPr>
            <w:tcW w:w="1165" w:type="dxa"/>
            <w:vMerge w:val="restart"/>
            <w:tcBorders>
              <w:top w:val="nil"/>
              <w:right w:val="single" w:sz="4" w:space="0" w:color="auto"/>
            </w:tcBorders>
            <w:noWrap/>
            <w:vAlign w:val="center"/>
          </w:tcPr>
          <w:p w14:paraId="06C08972"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sz="4" w:space="0" w:color="auto"/>
              <w:left w:val="nil"/>
              <w:bottom w:val="single" w:sz="4" w:space="0" w:color="auto"/>
              <w:right w:val="single" w:sz="4" w:space="0" w:color="auto"/>
            </w:tcBorders>
            <w:noWrap/>
            <w:vAlign w:val="center"/>
          </w:tcPr>
          <w:p w14:paraId="2365971C"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sz="4" w:space="0" w:color="auto"/>
              <w:right w:val="single" w:sz="4" w:space="0" w:color="auto"/>
            </w:tcBorders>
            <w:noWrap/>
            <w:vAlign w:val="center"/>
          </w:tcPr>
          <w:p w14:paraId="0B62C59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67432970"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32638</w:t>
            </w:r>
          </w:p>
        </w:tc>
      </w:tr>
      <w:tr w:rsidR="00000000" w14:paraId="455B3B7B" w14:textId="77777777">
        <w:trPr>
          <w:trHeight w:val="280"/>
        </w:trPr>
        <w:tc>
          <w:tcPr>
            <w:tcW w:w="1165" w:type="dxa"/>
            <w:vMerge/>
            <w:tcBorders>
              <w:right w:val="single" w:sz="4" w:space="0" w:color="auto"/>
            </w:tcBorders>
            <w:vAlign w:val="center"/>
          </w:tcPr>
          <w:p w14:paraId="201B5C3A" w14:textId="77777777" w:rsidR="00000000" w:rsidRDefault="00000000">
            <w:pPr>
              <w:widowControl/>
              <w:spacing w:line="240" w:lineRule="auto"/>
              <w:jc w:val="center"/>
              <w:rPr>
                <w:rFonts w:ascii="Arial" w:hAnsi="Arial" w:cs="Arial"/>
                <w:color w:val="000000"/>
                <w:sz w:val="20"/>
              </w:rPr>
            </w:pPr>
          </w:p>
        </w:tc>
        <w:tc>
          <w:tcPr>
            <w:tcW w:w="1020" w:type="dxa"/>
            <w:vMerge w:val="restart"/>
            <w:tcBorders>
              <w:top w:val="nil"/>
              <w:left w:val="single" w:sz="4" w:space="0" w:color="auto"/>
              <w:bottom w:val="single" w:sz="4" w:space="0" w:color="auto"/>
              <w:right w:val="single" w:sz="4" w:space="0" w:color="auto"/>
            </w:tcBorders>
            <w:noWrap/>
            <w:vAlign w:val="center"/>
          </w:tcPr>
          <w:p w14:paraId="54ADE693"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sz="4" w:space="0" w:color="auto"/>
              <w:right w:val="single" w:sz="4" w:space="0" w:color="auto"/>
            </w:tcBorders>
            <w:noWrap/>
            <w:vAlign w:val="center"/>
          </w:tcPr>
          <w:p w14:paraId="2E737683"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公寓建筑面积</w:t>
            </w:r>
          </w:p>
        </w:tc>
        <w:tc>
          <w:tcPr>
            <w:tcW w:w="1488" w:type="dxa"/>
            <w:tcBorders>
              <w:top w:val="nil"/>
              <w:left w:val="nil"/>
              <w:bottom w:val="single" w:sz="4" w:space="0" w:color="auto"/>
              <w:right w:val="single" w:sz="4" w:space="0" w:color="auto"/>
            </w:tcBorders>
            <w:noWrap/>
            <w:vAlign w:val="center"/>
          </w:tcPr>
          <w:p w14:paraId="1E9642A7"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0587C9F4"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31152</w:t>
            </w:r>
          </w:p>
        </w:tc>
      </w:tr>
      <w:tr w:rsidR="00000000" w14:paraId="5D87C3D8" w14:textId="77777777">
        <w:trPr>
          <w:trHeight w:val="280"/>
        </w:trPr>
        <w:tc>
          <w:tcPr>
            <w:tcW w:w="1165" w:type="dxa"/>
            <w:vMerge/>
            <w:tcBorders>
              <w:right w:val="single" w:sz="4" w:space="0" w:color="auto"/>
            </w:tcBorders>
            <w:vAlign w:val="center"/>
          </w:tcPr>
          <w:p w14:paraId="5805AD1B" w14:textId="77777777" w:rsidR="00000000" w:rsidRDefault="00000000">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14:paraId="6CCED353"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558E1448"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商业建筑面积</w:t>
            </w:r>
          </w:p>
        </w:tc>
        <w:tc>
          <w:tcPr>
            <w:tcW w:w="1488" w:type="dxa"/>
            <w:tcBorders>
              <w:top w:val="nil"/>
              <w:left w:val="nil"/>
              <w:bottom w:val="single" w:sz="4" w:space="0" w:color="auto"/>
              <w:right w:val="single" w:sz="4" w:space="0" w:color="auto"/>
            </w:tcBorders>
            <w:noWrap/>
            <w:vAlign w:val="center"/>
          </w:tcPr>
          <w:p w14:paraId="46ACF52F"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7446DC8B"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796</w:t>
            </w:r>
          </w:p>
        </w:tc>
      </w:tr>
      <w:tr w:rsidR="00000000" w14:paraId="55731332" w14:textId="77777777">
        <w:trPr>
          <w:trHeight w:val="280"/>
        </w:trPr>
        <w:tc>
          <w:tcPr>
            <w:tcW w:w="1165" w:type="dxa"/>
            <w:vMerge/>
            <w:tcBorders>
              <w:right w:val="single" w:sz="4" w:space="0" w:color="auto"/>
            </w:tcBorders>
            <w:vAlign w:val="center"/>
          </w:tcPr>
          <w:p w14:paraId="3C711F58" w14:textId="77777777" w:rsidR="00000000" w:rsidRDefault="00000000">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14:paraId="5ACC3FB2"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68B46980"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地下建筑出入口</w:t>
            </w:r>
          </w:p>
        </w:tc>
        <w:tc>
          <w:tcPr>
            <w:tcW w:w="1488" w:type="dxa"/>
            <w:tcBorders>
              <w:top w:val="nil"/>
              <w:left w:val="nil"/>
              <w:bottom w:val="single" w:sz="4" w:space="0" w:color="auto"/>
              <w:right w:val="single" w:sz="4" w:space="0" w:color="auto"/>
            </w:tcBorders>
            <w:noWrap/>
            <w:vAlign w:val="center"/>
          </w:tcPr>
          <w:p w14:paraId="6C404B88"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799EA028"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150</w:t>
            </w:r>
          </w:p>
        </w:tc>
      </w:tr>
      <w:tr w:rsidR="00000000" w14:paraId="12A073BA" w14:textId="77777777">
        <w:trPr>
          <w:trHeight w:val="280"/>
        </w:trPr>
        <w:tc>
          <w:tcPr>
            <w:tcW w:w="1165" w:type="dxa"/>
            <w:vMerge/>
            <w:tcBorders>
              <w:right w:val="single" w:sz="4" w:space="0" w:color="auto"/>
            </w:tcBorders>
            <w:vAlign w:val="center"/>
          </w:tcPr>
          <w:p w14:paraId="3AB437F6" w14:textId="77777777" w:rsidR="00000000" w:rsidRDefault="00000000">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14:paraId="2ED3A731"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08C1DFF1"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配套设施面积</w:t>
            </w:r>
          </w:p>
        </w:tc>
        <w:tc>
          <w:tcPr>
            <w:tcW w:w="1488" w:type="dxa"/>
            <w:tcBorders>
              <w:top w:val="nil"/>
              <w:left w:val="nil"/>
              <w:bottom w:val="single" w:sz="4" w:space="0" w:color="auto"/>
              <w:right w:val="single" w:sz="4" w:space="0" w:color="auto"/>
            </w:tcBorders>
            <w:noWrap/>
            <w:vAlign w:val="center"/>
          </w:tcPr>
          <w:p w14:paraId="10B8CB90"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1C6610D5"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540</w:t>
            </w:r>
          </w:p>
        </w:tc>
      </w:tr>
      <w:tr w:rsidR="00000000" w14:paraId="431C66AC" w14:textId="77777777">
        <w:trPr>
          <w:trHeight w:val="280"/>
        </w:trPr>
        <w:tc>
          <w:tcPr>
            <w:tcW w:w="1165" w:type="dxa"/>
            <w:vMerge/>
            <w:tcBorders>
              <w:right w:val="single" w:sz="4" w:space="0" w:color="auto"/>
            </w:tcBorders>
            <w:vAlign w:val="center"/>
          </w:tcPr>
          <w:p w14:paraId="308470D3" w14:textId="77777777" w:rsidR="00000000" w:rsidRDefault="00000000">
            <w:pPr>
              <w:widowControl/>
              <w:spacing w:line="240" w:lineRule="auto"/>
              <w:jc w:val="center"/>
              <w:rPr>
                <w:rFonts w:ascii="Arial" w:hAnsi="Arial" w:cs="Arial"/>
                <w:color w:val="000000"/>
                <w:sz w:val="20"/>
              </w:rPr>
            </w:pPr>
          </w:p>
        </w:tc>
        <w:tc>
          <w:tcPr>
            <w:tcW w:w="4361" w:type="dxa"/>
            <w:gridSpan w:val="2"/>
            <w:tcBorders>
              <w:top w:val="single" w:sz="4" w:space="0" w:color="auto"/>
              <w:left w:val="single" w:sz="4" w:space="0" w:color="auto"/>
              <w:bottom w:val="single" w:sz="4" w:space="0" w:color="auto"/>
              <w:right w:val="single" w:sz="4" w:space="0" w:color="auto"/>
            </w:tcBorders>
            <w:vAlign w:val="center"/>
          </w:tcPr>
          <w:p w14:paraId="63E928B7" w14:textId="77777777" w:rsidR="00000000" w:rsidRDefault="00000000">
            <w:pPr>
              <w:widowControl/>
              <w:spacing w:line="240" w:lineRule="auto"/>
              <w:jc w:val="center"/>
              <w:rPr>
                <w:rFonts w:ascii="Arial" w:hAnsi="Arial" w:cs="Arial" w:hint="eastAsia"/>
                <w:color w:val="000000"/>
                <w:sz w:val="20"/>
              </w:rPr>
            </w:pPr>
            <w:r>
              <w:rPr>
                <w:rFonts w:ascii="Arial" w:hAnsi="Arial" w:cs="Arial"/>
                <w:color w:val="000000"/>
                <w:sz w:val="20"/>
              </w:rPr>
              <w:t>地下建筑面积</w:t>
            </w:r>
          </w:p>
        </w:tc>
        <w:tc>
          <w:tcPr>
            <w:tcW w:w="1488" w:type="dxa"/>
            <w:tcBorders>
              <w:top w:val="nil"/>
              <w:left w:val="nil"/>
              <w:bottom w:val="single" w:sz="4" w:space="0" w:color="auto"/>
              <w:right w:val="single" w:sz="4" w:space="0" w:color="auto"/>
            </w:tcBorders>
            <w:noWrap/>
            <w:vAlign w:val="center"/>
          </w:tcPr>
          <w:p w14:paraId="02CBDB10"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619F9B7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10662</w:t>
            </w:r>
          </w:p>
        </w:tc>
      </w:tr>
      <w:tr w:rsidR="00000000" w14:paraId="3D6AD5AA" w14:textId="77777777">
        <w:trPr>
          <w:trHeight w:val="280"/>
        </w:trPr>
        <w:tc>
          <w:tcPr>
            <w:tcW w:w="1165" w:type="dxa"/>
            <w:vMerge/>
            <w:tcBorders>
              <w:right w:val="single" w:sz="4" w:space="0" w:color="auto"/>
            </w:tcBorders>
            <w:vAlign w:val="center"/>
          </w:tcPr>
          <w:p w14:paraId="339BACAD" w14:textId="77777777" w:rsidR="00000000" w:rsidRDefault="00000000">
            <w:pPr>
              <w:widowControl/>
              <w:spacing w:line="240" w:lineRule="auto"/>
              <w:jc w:val="center"/>
              <w:rPr>
                <w:rFonts w:ascii="Arial" w:hAnsi="Arial" w:cs="Arial"/>
                <w:color w:val="000000"/>
                <w:sz w:val="20"/>
              </w:rPr>
            </w:pPr>
          </w:p>
        </w:tc>
        <w:tc>
          <w:tcPr>
            <w:tcW w:w="1020" w:type="dxa"/>
            <w:vMerge w:val="restart"/>
            <w:tcBorders>
              <w:top w:val="single" w:sz="4" w:space="0" w:color="auto"/>
              <w:left w:val="single" w:sz="4" w:space="0" w:color="auto"/>
              <w:bottom w:val="single" w:sz="4" w:space="0" w:color="auto"/>
              <w:right w:val="single" w:sz="4" w:space="0" w:color="auto"/>
            </w:tcBorders>
            <w:vAlign w:val="center"/>
          </w:tcPr>
          <w:p w14:paraId="763C3AAB"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sz="4" w:space="0" w:color="auto"/>
              <w:left w:val="nil"/>
              <w:bottom w:val="single" w:sz="4" w:space="0" w:color="auto"/>
              <w:right w:val="single" w:sz="4" w:space="0" w:color="auto"/>
            </w:tcBorders>
            <w:noWrap/>
            <w:vAlign w:val="center"/>
          </w:tcPr>
          <w:p w14:paraId="7FA39972"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人防建筑面积</w:t>
            </w:r>
          </w:p>
        </w:tc>
        <w:tc>
          <w:tcPr>
            <w:tcW w:w="1488" w:type="dxa"/>
            <w:tcBorders>
              <w:top w:val="nil"/>
              <w:left w:val="nil"/>
              <w:bottom w:val="single" w:sz="4" w:space="0" w:color="auto"/>
              <w:right w:val="single" w:sz="4" w:space="0" w:color="auto"/>
            </w:tcBorders>
            <w:noWrap/>
            <w:vAlign w:val="center"/>
          </w:tcPr>
          <w:p w14:paraId="424296D6"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0FA1634A"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2837</w:t>
            </w:r>
          </w:p>
        </w:tc>
      </w:tr>
      <w:tr w:rsidR="00000000" w14:paraId="781E1416" w14:textId="77777777">
        <w:trPr>
          <w:trHeight w:val="280"/>
        </w:trPr>
        <w:tc>
          <w:tcPr>
            <w:tcW w:w="1165" w:type="dxa"/>
            <w:vMerge/>
            <w:tcBorders>
              <w:right w:val="single" w:sz="4" w:space="0" w:color="auto"/>
            </w:tcBorders>
            <w:vAlign w:val="center"/>
          </w:tcPr>
          <w:p w14:paraId="4693B50C" w14:textId="77777777" w:rsidR="00000000" w:rsidRDefault="00000000">
            <w:pPr>
              <w:widowControl/>
              <w:spacing w:line="240" w:lineRule="auto"/>
              <w:jc w:val="center"/>
              <w:rPr>
                <w:rFonts w:ascii="Arial" w:hAnsi="Arial" w:cs="Arial"/>
                <w:color w:val="000000"/>
                <w:sz w:val="20"/>
              </w:rPr>
            </w:pPr>
          </w:p>
        </w:tc>
        <w:tc>
          <w:tcPr>
            <w:tcW w:w="1020" w:type="dxa"/>
            <w:vMerge/>
            <w:tcBorders>
              <w:top w:val="single" w:sz="4" w:space="0" w:color="auto"/>
              <w:left w:val="single" w:sz="4" w:space="0" w:color="auto"/>
              <w:right w:val="single" w:sz="4" w:space="0" w:color="auto"/>
            </w:tcBorders>
            <w:vAlign w:val="center"/>
          </w:tcPr>
          <w:p w14:paraId="2B95627B" w14:textId="77777777" w:rsidR="00000000" w:rsidRDefault="00000000">
            <w:pPr>
              <w:widowControl/>
              <w:spacing w:line="240" w:lineRule="auto"/>
              <w:jc w:val="center"/>
              <w:rPr>
                <w:rFonts w:ascii="Arial" w:hAnsi="Arial" w:cs="Arial"/>
                <w:color w:val="000000"/>
                <w:sz w:val="20"/>
              </w:rPr>
            </w:pPr>
          </w:p>
        </w:tc>
        <w:tc>
          <w:tcPr>
            <w:tcW w:w="3341" w:type="dxa"/>
            <w:tcBorders>
              <w:top w:val="single" w:sz="4" w:space="0" w:color="auto"/>
              <w:left w:val="nil"/>
              <w:bottom w:val="single" w:sz="4" w:space="0" w:color="auto"/>
              <w:right w:val="single" w:sz="4" w:space="0" w:color="auto"/>
            </w:tcBorders>
            <w:noWrap/>
            <w:vAlign w:val="center"/>
          </w:tcPr>
          <w:p w14:paraId="1CEFC95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地下机动车库面积</w:t>
            </w:r>
          </w:p>
        </w:tc>
        <w:tc>
          <w:tcPr>
            <w:tcW w:w="1488" w:type="dxa"/>
            <w:tcBorders>
              <w:top w:val="nil"/>
              <w:left w:val="nil"/>
              <w:bottom w:val="single" w:sz="4" w:space="0" w:color="auto"/>
              <w:right w:val="single" w:sz="4" w:space="0" w:color="auto"/>
            </w:tcBorders>
            <w:noWrap/>
            <w:vAlign w:val="center"/>
          </w:tcPr>
          <w:p w14:paraId="360C2BCE"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0BF95AD3"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5556</w:t>
            </w:r>
          </w:p>
        </w:tc>
      </w:tr>
      <w:tr w:rsidR="00000000" w14:paraId="2A25F7BD" w14:textId="77777777">
        <w:trPr>
          <w:trHeight w:val="280"/>
        </w:trPr>
        <w:tc>
          <w:tcPr>
            <w:tcW w:w="1165" w:type="dxa"/>
            <w:vMerge/>
            <w:tcBorders>
              <w:right w:val="single" w:sz="4" w:space="0" w:color="auto"/>
            </w:tcBorders>
            <w:vAlign w:val="center"/>
          </w:tcPr>
          <w:p w14:paraId="34F57C1D" w14:textId="77777777" w:rsidR="00000000" w:rsidRDefault="00000000">
            <w:pPr>
              <w:widowControl/>
              <w:spacing w:line="240" w:lineRule="auto"/>
              <w:jc w:val="center"/>
              <w:rPr>
                <w:rFonts w:ascii="Arial" w:hAnsi="Arial" w:cs="Arial"/>
                <w:color w:val="000000"/>
                <w:sz w:val="20"/>
              </w:rPr>
            </w:pPr>
          </w:p>
        </w:tc>
        <w:tc>
          <w:tcPr>
            <w:tcW w:w="1020" w:type="dxa"/>
            <w:vMerge/>
            <w:tcBorders>
              <w:left w:val="single" w:sz="4" w:space="0" w:color="auto"/>
              <w:right w:val="single" w:sz="4" w:space="0" w:color="auto"/>
            </w:tcBorders>
            <w:vAlign w:val="center"/>
          </w:tcPr>
          <w:p w14:paraId="48A74292"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53B1B34E"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自行车</w:t>
            </w:r>
          </w:p>
        </w:tc>
        <w:tc>
          <w:tcPr>
            <w:tcW w:w="1488" w:type="dxa"/>
            <w:tcBorders>
              <w:top w:val="nil"/>
              <w:left w:val="nil"/>
              <w:bottom w:val="single" w:sz="4" w:space="0" w:color="auto"/>
              <w:right w:val="single" w:sz="4" w:space="0" w:color="auto"/>
            </w:tcBorders>
            <w:noWrap/>
            <w:vAlign w:val="center"/>
          </w:tcPr>
          <w:p w14:paraId="63389020"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0BFDFED5"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979</w:t>
            </w:r>
          </w:p>
        </w:tc>
      </w:tr>
      <w:tr w:rsidR="00000000" w14:paraId="25AC788F" w14:textId="77777777">
        <w:trPr>
          <w:trHeight w:val="280"/>
        </w:trPr>
        <w:tc>
          <w:tcPr>
            <w:tcW w:w="1165" w:type="dxa"/>
            <w:vMerge/>
            <w:tcBorders>
              <w:right w:val="single" w:sz="4" w:space="0" w:color="auto"/>
            </w:tcBorders>
            <w:vAlign w:val="center"/>
          </w:tcPr>
          <w:p w14:paraId="0D9DD6A5" w14:textId="77777777" w:rsidR="00000000" w:rsidRDefault="00000000">
            <w:pPr>
              <w:widowControl/>
              <w:spacing w:line="240" w:lineRule="auto"/>
              <w:jc w:val="center"/>
              <w:rPr>
                <w:rFonts w:ascii="Arial" w:hAnsi="Arial" w:cs="Arial"/>
                <w:color w:val="000000"/>
                <w:sz w:val="20"/>
              </w:rPr>
            </w:pPr>
          </w:p>
        </w:tc>
        <w:tc>
          <w:tcPr>
            <w:tcW w:w="1020" w:type="dxa"/>
            <w:vMerge/>
            <w:tcBorders>
              <w:left w:val="single" w:sz="4" w:space="0" w:color="auto"/>
              <w:bottom w:val="single" w:sz="4" w:space="0" w:color="auto"/>
              <w:right w:val="single" w:sz="4" w:space="0" w:color="auto"/>
            </w:tcBorders>
            <w:vAlign w:val="center"/>
          </w:tcPr>
          <w:p w14:paraId="7B402844"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6755BEF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设备用房</w:t>
            </w:r>
          </w:p>
        </w:tc>
        <w:tc>
          <w:tcPr>
            <w:tcW w:w="1488" w:type="dxa"/>
            <w:tcBorders>
              <w:top w:val="nil"/>
              <w:left w:val="nil"/>
              <w:bottom w:val="single" w:sz="4" w:space="0" w:color="auto"/>
              <w:right w:val="single" w:sz="4" w:space="0" w:color="auto"/>
            </w:tcBorders>
            <w:noWrap/>
            <w:vAlign w:val="center"/>
          </w:tcPr>
          <w:p w14:paraId="5F8C437A"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2305842D"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12900</w:t>
            </w:r>
          </w:p>
        </w:tc>
      </w:tr>
      <w:tr w:rsidR="00000000" w14:paraId="23FDA75C"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6499C0FE"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sz="4" w:space="0" w:color="auto"/>
              <w:right w:val="single" w:sz="4" w:space="0" w:color="auto"/>
            </w:tcBorders>
            <w:noWrap/>
            <w:vAlign w:val="center"/>
          </w:tcPr>
          <w:p w14:paraId="798DAF34"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sz="4" w:space="0" w:color="auto"/>
              <w:right w:val="single" w:sz="4" w:space="0" w:color="auto"/>
            </w:tcBorders>
            <w:noWrap/>
            <w:vAlign w:val="center"/>
          </w:tcPr>
          <w:p w14:paraId="4B87636A"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1090</w:t>
            </w:r>
          </w:p>
        </w:tc>
      </w:tr>
      <w:tr w:rsidR="00000000" w14:paraId="60B5EE51"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550A43B2"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机动车停车位</w:t>
            </w:r>
          </w:p>
        </w:tc>
        <w:tc>
          <w:tcPr>
            <w:tcW w:w="1488" w:type="dxa"/>
            <w:tcBorders>
              <w:top w:val="nil"/>
              <w:left w:val="nil"/>
              <w:bottom w:val="single" w:sz="4" w:space="0" w:color="auto"/>
              <w:right w:val="single" w:sz="4" w:space="0" w:color="auto"/>
            </w:tcBorders>
            <w:noWrap/>
            <w:vAlign w:val="center"/>
          </w:tcPr>
          <w:p w14:paraId="05D3E440"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个</w:t>
            </w:r>
          </w:p>
        </w:tc>
        <w:tc>
          <w:tcPr>
            <w:tcW w:w="2436" w:type="dxa"/>
            <w:tcBorders>
              <w:top w:val="nil"/>
              <w:left w:val="nil"/>
              <w:bottom w:val="single" w:sz="4" w:space="0" w:color="auto"/>
              <w:right w:val="single" w:sz="4" w:space="0" w:color="auto"/>
            </w:tcBorders>
            <w:noWrap/>
            <w:vAlign w:val="center"/>
          </w:tcPr>
          <w:p w14:paraId="2CE823E6"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218</w:t>
            </w:r>
          </w:p>
        </w:tc>
      </w:tr>
      <w:tr w:rsidR="00000000" w14:paraId="06CD07C0"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3E84895E"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sz="4" w:space="0" w:color="auto"/>
              <w:right w:val="single" w:sz="4" w:space="0" w:color="auto"/>
            </w:tcBorders>
            <w:noWrap/>
            <w:vAlign w:val="center"/>
          </w:tcPr>
          <w:p w14:paraId="7D96C338"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1BCC4703"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1.8</w:t>
            </w:r>
          </w:p>
        </w:tc>
      </w:tr>
      <w:tr w:rsidR="00000000" w14:paraId="5F6FF94B"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02AEF312"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sz="4" w:space="0" w:color="auto"/>
              <w:right w:val="single" w:sz="4" w:space="0" w:color="auto"/>
            </w:tcBorders>
            <w:noWrap/>
            <w:vAlign w:val="center"/>
          </w:tcPr>
          <w:p w14:paraId="0CAFB45C"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4BA6F774"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29.93</w:t>
            </w:r>
            <w:r>
              <w:rPr>
                <w:rFonts w:ascii="Arial" w:hAnsi="Arial" w:cs="Arial"/>
                <w:color w:val="000000"/>
                <w:sz w:val="20"/>
              </w:rPr>
              <w:t>%</w:t>
            </w:r>
          </w:p>
        </w:tc>
      </w:tr>
      <w:tr w:rsidR="00000000" w14:paraId="77654A0E"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65BB8CD5"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sz="4" w:space="0" w:color="auto"/>
              <w:right w:val="single" w:sz="4" w:space="0" w:color="auto"/>
            </w:tcBorders>
            <w:noWrap/>
            <w:vAlign w:val="center"/>
          </w:tcPr>
          <w:p w14:paraId="6716B85E"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6DABEB0D"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30.0</w:t>
            </w:r>
            <w:r>
              <w:rPr>
                <w:rFonts w:ascii="Arial" w:hAnsi="Arial" w:cs="Arial" w:hint="eastAsia"/>
                <w:color w:val="000000"/>
                <w:sz w:val="20"/>
              </w:rPr>
              <w:t>0%</w:t>
            </w:r>
          </w:p>
        </w:tc>
      </w:tr>
    </w:tbl>
    <w:p w14:paraId="03D6F081" w14:textId="77777777" w:rsidR="00000000" w:rsidRDefault="00000000">
      <w:pPr>
        <w:spacing w:line="360" w:lineRule="auto"/>
        <w:ind w:firstLineChars="200" w:firstLine="560"/>
        <w:jc w:val="both"/>
        <w:rPr>
          <w:rFonts w:ascii="Arial" w:hAnsi="Arial" w:cs="Arial" w:hint="eastAsia"/>
          <w:sz w:val="28"/>
        </w:rPr>
      </w:pPr>
    </w:p>
    <w:p w14:paraId="67D52A40" w14:textId="77777777" w:rsidR="00000000" w:rsidRDefault="00000000">
      <w:pPr>
        <w:numPr>
          <w:ilvl w:val="0"/>
          <w:numId w:val="6"/>
        </w:numPr>
        <w:spacing w:line="360" w:lineRule="auto"/>
        <w:jc w:val="both"/>
        <w:rPr>
          <w:rFonts w:ascii="Arial" w:hAnsi="Arial" w:cs="Arial"/>
          <w:sz w:val="28"/>
        </w:rPr>
      </w:pPr>
      <w:r>
        <w:rPr>
          <w:rFonts w:ascii="Arial" w:hAnsi="Arial" w:cs="Arial"/>
          <w:sz w:val="28"/>
        </w:rPr>
        <w:lastRenderedPageBreak/>
        <w:t>土地使用年限</w:t>
      </w:r>
    </w:p>
    <w:p w14:paraId="77C2CB96" w14:textId="77777777" w:rsidR="00000000" w:rsidRDefault="00000000">
      <w:pPr>
        <w:spacing w:line="360" w:lineRule="auto"/>
        <w:ind w:firstLineChars="200" w:firstLine="560"/>
        <w:jc w:val="both"/>
        <w:rPr>
          <w:rFonts w:ascii="Arial" w:hAnsi="Arial" w:cs="Arial"/>
          <w:sz w:val="28"/>
        </w:rPr>
      </w:pP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hint="eastAsia"/>
          <w:sz w:val="28"/>
        </w:rPr>
        <w:t>[</w:t>
      </w:r>
      <w:r>
        <w:rPr>
          <w:rFonts w:ascii="Arial" w:hAnsi="Arial" w:cs="Arial" w:hint="eastAsia"/>
          <w:sz w:val="28"/>
        </w:rPr>
        <w:t>京规自发</w:t>
      </w:r>
      <w:r>
        <w:rPr>
          <w:rFonts w:ascii="Arial" w:hAnsi="Arial" w:cs="Arial" w:hint="eastAsia"/>
          <w:sz w:val="28"/>
        </w:rPr>
        <w:t>[2018]64</w:t>
      </w:r>
      <w:r>
        <w:rPr>
          <w:rFonts w:ascii="Arial" w:hAnsi="Arial" w:cs="Arial" w:hint="eastAsia"/>
          <w:sz w:val="28"/>
        </w:rPr>
        <w:t>号</w:t>
      </w:r>
      <w:r>
        <w:rPr>
          <w:rFonts w:ascii="Arial" w:hAnsi="Arial" w:cs="Arial" w:hint="eastAsia"/>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年。根据委托方提供的相关资料及对开发建设项目建设安排，联营期限</w:t>
      </w:r>
      <w:r>
        <w:rPr>
          <w:rFonts w:ascii="Arial" w:hAnsi="Arial" w:cs="Arial"/>
          <w:sz w:val="28"/>
        </w:rPr>
        <w:t>50</w:t>
      </w:r>
      <w:r>
        <w:rPr>
          <w:rFonts w:ascii="Arial" w:hAnsi="Arial" w:cs="Arial"/>
          <w:sz w:val="28"/>
        </w:rPr>
        <w:t>年自项目公司成立开始计算。</w:t>
      </w:r>
    </w:p>
    <w:p w14:paraId="070940BE" w14:textId="77777777" w:rsidR="00000000" w:rsidRDefault="00000000">
      <w:pPr>
        <w:spacing w:line="360" w:lineRule="auto"/>
        <w:ind w:firstLineChars="200" w:firstLine="560"/>
        <w:jc w:val="both"/>
        <w:rPr>
          <w:rFonts w:ascii="Arial" w:hAnsi="Arial" w:cs="Arial"/>
          <w:sz w:val="28"/>
        </w:rPr>
      </w:pPr>
      <w:r>
        <w:rPr>
          <w:rFonts w:ascii="Arial" w:hAnsi="Arial" w:cs="Arial"/>
          <w:sz w:val="28"/>
        </w:rPr>
        <w:t>本次估价的</w:t>
      </w:r>
      <w:r>
        <w:rPr>
          <w:rFonts w:ascii="Arial" w:hAnsi="Arial" w:cs="Arial"/>
          <w:sz w:val="28"/>
        </w:rPr>
        <w:t>“</w:t>
      </w:r>
      <w:r>
        <w:rPr>
          <w:rFonts w:ascii="Arial" w:hAnsi="Arial" w:cs="Arial"/>
          <w:sz w:val="28"/>
        </w:rPr>
        <w:t>集体建设用地使用权价格</w:t>
      </w:r>
      <w:r>
        <w:rPr>
          <w:rFonts w:ascii="Arial" w:hAnsi="Arial" w:cs="Arial"/>
          <w:sz w:val="28"/>
        </w:rPr>
        <w:t>”</w:t>
      </w:r>
      <w:r>
        <w:rPr>
          <w:rFonts w:ascii="Arial" w:hAnsi="Arial" w:cs="Arial"/>
          <w:sz w:val="28"/>
        </w:rPr>
        <w:t>是指咨询对象土地所有权为集体所有，在公开市场条件下，于咨询期日</w:t>
      </w:r>
      <w:r>
        <w:rPr>
          <w:rFonts w:ascii="Arial" w:hAnsi="Arial" w:cs="Arial" w:hint="eastAsia"/>
          <w:sz w:val="28"/>
        </w:rPr>
        <w:t>2025</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，在规划利用条件下，设定土地开发程度为宗地红线外市政基础设施达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（即通路、通上水、通下水）、宗地红线内场地平整，设定用途为</w:t>
      </w:r>
      <w:r>
        <w:rPr>
          <w:rFonts w:ascii="Arial" w:hAnsi="Arial" w:cs="Arial" w:hint="eastAsia"/>
          <w:sz w:val="28"/>
        </w:rPr>
        <w:t>公寓</w:t>
      </w:r>
      <w:r>
        <w:rPr>
          <w:rFonts w:ascii="Arial" w:hAnsi="Arial" w:cs="Arial"/>
          <w:sz w:val="28"/>
        </w:rPr>
        <w:t>、商业、地下车库，剩余土地使用年限为</w:t>
      </w:r>
      <w:r>
        <w:rPr>
          <w:rFonts w:ascii="Arial" w:hAnsi="Arial" w:cs="Arial"/>
          <w:sz w:val="28"/>
        </w:rPr>
        <w:t>50</w:t>
      </w:r>
      <w:r>
        <w:rPr>
          <w:rFonts w:ascii="Arial" w:hAnsi="Arial" w:cs="Arial"/>
          <w:sz w:val="28"/>
        </w:rPr>
        <w:t>年的集体建设用地使用权价格。</w:t>
      </w:r>
    </w:p>
    <w:p w14:paraId="09056742" w14:textId="77777777" w:rsidR="00000000" w:rsidRDefault="00000000">
      <w:pPr>
        <w:spacing w:line="360" w:lineRule="auto"/>
        <w:ind w:firstLineChars="200" w:firstLine="562"/>
        <w:jc w:val="both"/>
        <w:rPr>
          <w:rFonts w:ascii="Arial" w:hAnsi="Arial" w:cs="Arial"/>
          <w:b/>
          <w:sz w:val="28"/>
        </w:rPr>
      </w:pPr>
    </w:p>
    <w:p w14:paraId="2F57053A" w14:textId="77777777" w:rsidR="00000000" w:rsidRDefault="00000000">
      <w:pPr>
        <w:spacing w:line="360" w:lineRule="auto"/>
        <w:outlineLvl w:val="1"/>
        <w:rPr>
          <w:rFonts w:ascii="Arial" w:hAnsi="Arial" w:cs="Arial"/>
          <w:b/>
          <w:sz w:val="28"/>
        </w:rPr>
      </w:pPr>
      <w:bookmarkStart w:id="74" w:name="_Toc27218"/>
      <w:bookmarkStart w:id="75" w:name="_Toc17152"/>
      <w:bookmarkStart w:id="76" w:name="_Toc416783523"/>
      <w:bookmarkStart w:id="77" w:name="_Toc418750885"/>
      <w:bookmarkStart w:id="78" w:name="_Toc469066307"/>
      <w:bookmarkStart w:id="79" w:name="_Toc425250307"/>
      <w:r>
        <w:rPr>
          <w:rFonts w:ascii="Arial" w:hAnsi="Arial" w:cs="Arial"/>
          <w:b/>
          <w:sz w:val="28"/>
        </w:rPr>
        <w:t>七、咨询结果</w:t>
      </w:r>
      <w:bookmarkEnd w:id="74"/>
      <w:bookmarkEnd w:id="75"/>
      <w:bookmarkEnd w:id="76"/>
      <w:bookmarkEnd w:id="77"/>
      <w:bookmarkEnd w:id="78"/>
      <w:bookmarkEnd w:id="79"/>
    </w:p>
    <w:p w14:paraId="38704907" w14:textId="77777777" w:rsidR="00000000" w:rsidRDefault="00000000">
      <w:pPr>
        <w:spacing w:line="360" w:lineRule="auto"/>
        <w:ind w:firstLineChars="200" w:firstLine="56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46AE6BE8" w14:textId="77777777" w:rsidR="00000000" w:rsidRDefault="00000000">
      <w:pPr>
        <w:spacing w:line="360" w:lineRule="auto"/>
        <w:ind w:firstLineChars="200" w:firstLine="560"/>
        <w:jc w:val="both"/>
        <w:rPr>
          <w:rFonts w:ascii="Arial" w:hAnsi="Arial" w:cs="Arial"/>
          <w:sz w:val="28"/>
        </w:rPr>
      </w:pPr>
      <w:r>
        <w:rPr>
          <w:rFonts w:ascii="Arial" w:hAnsi="Arial" w:cs="Arial"/>
          <w:sz w:val="28"/>
        </w:rPr>
        <w:t>集体建设用地使用权价格：</w:t>
      </w:r>
      <w:r>
        <w:rPr>
          <w:rFonts w:ascii="Arial" w:hAnsi="Arial" w:cs="Arial" w:hint="eastAsia"/>
          <w:sz w:val="28"/>
        </w:rPr>
        <w:t>2438.16</w:t>
      </w:r>
      <w:r>
        <w:rPr>
          <w:rFonts w:ascii="Arial" w:hAnsi="Arial" w:cs="Arial"/>
          <w:sz w:val="28"/>
        </w:rPr>
        <w:t>万元</w:t>
      </w:r>
    </w:p>
    <w:p w14:paraId="2C6E7F5F" w14:textId="77777777" w:rsidR="00000000" w:rsidRDefault="00000000">
      <w:pPr>
        <w:spacing w:line="360" w:lineRule="auto"/>
        <w:ind w:firstLine="570"/>
        <w:jc w:val="both"/>
        <w:rPr>
          <w:rFonts w:ascii="Arial" w:hAnsi="Arial" w:cs="Arial"/>
          <w:sz w:val="28"/>
        </w:rPr>
      </w:pPr>
      <w:r>
        <w:rPr>
          <w:rFonts w:ascii="Arial" w:hAnsi="Arial" w:cs="Arial"/>
          <w:sz w:val="28"/>
        </w:rPr>
        <w:t>大写金额：人民币</w:t>
      </w:r>
      <w:r>
        <w:rPr>
          <w:rFonts w:ascii="Arial" w:hAnsi="Arial" w:cs="Arial" w:hint="eastAsia"/>
          <w:sz w:val="28"/>
        </w:rPr>
        <w:t>贰仟肆佰叁拾捌万壹仟陆佰</w:t>
      </w:r>
      <w:r>
        <w:rPr>
          <w:rFonts w:ascii="Arial" w:hAnsi="Arial" w:cs="Arial"/>
          <w:sz w:val="28"/>
        </w:rPr>
        <w:t>元整</w:t>
      </w:r>
    </w:p>
    <w:p w14:paraId="26191C0E" w14:textId="77777777" w:rsidR="00000000" w:rsidRDefault="00000000">
      <w:pPr>
        <w:spacing w:line="360" w:lineRule="auto"/>
        <w:ind w:firstLine="570"/>
        <w:jc w:val="both"/>
        <w:rPr>
          <w:rFonts w:ascii="Arial" w:hAnsi="Arial" w:cs="Arial"/>
          <w:sz w:val="28"/>
        </w:rPr>
      </w:pPr>
      <w:r>
        <w:rPr>
          <w:rFonts w:ascii="Arial" w:hAnsi="Arial" w:cs="Arial"/>
          <w:sz w:val="28"/>
        </w:rPr>
        <w:t>单位面积地价：</w:t>
      </w:r>
      <w:r>
        <w:rPr>
          <w:rFonts w:ascii="Arial" w:hAnsi="Arial" w:cs="Arial" w:hint="eastAsia"/>
          <w:sz w:val="28"/>
        </w:rPr>
        <w:t>1439</w:t>
      </w:r>
      <w:r>
        <w:rPr>
          <w:rFonts w:ascii="Arial" w:hAnsi="Arial" w:cs="Arial"/>
          <w:sz w:val="28"/>
        </w:rPr>
        <w:t>元</w:t>
      </w:r>
      <w:r>
        <w:rPr>
          <w:rFonts w:ascii="Arial" w:hAnsi="Arial" w:cs="Arial"/>
          <w:sz w:val="28"/>
        </w:rPr>
        <w:t>/</w:t>
      </w:r>
      <w:r>
        <w:rPr>
          <w:rFonts w:ascii="Arial" w:hAnsi="Arial" w:cs="Arial"/>
          <w:sz w:val="28"/>
        </w:rPr>
        <w:t>平方米</w:t>
      </w:r>
    </w:p>
    <w:p w14:paraId="2C5615EF" w14:textId="77777777" w:rsidR="00000000" w:rsidRDefault="00000000">
      <w:pPr>
        <w:spacing w:line="360" w:lineRule="auto"/>
        <w:ind w:firstLine="570"/>
        <w:jc w:val="both"/>
        <w:rPr>
          <w:rFonts w:ascii="Arial" w:hAnsi="Arial" w:cs="Arial"/>
          <w:sz w:val="28"/>
        </w:rPr>
      </w:pPr>
      <w:r>
        <w:rPr>
          <w:rFonts w:ascii="Arial" w:hAnsi="Arial" w:cs="Arial"/>
          <w:sz w:val="28"/>
        </w:rPr>
        <w:t>楼面地价：</w:t>
      </w:r>
      <w:r>
        <w:rPr>
          <w:rFonts w:ascii="Arial" w:hAnsi="Arial" w:cs="Arial" w:hint="eastAsia"/>
          <w:sz w:val="28"/>
        </w:rPr>
        <w:t>603</w:t>
      </w:r>
      <w:r>
        <w:rPr>
          <w:rFonts w:ascii="Arial" w:hAnsi="Arial" w:cs="Arial"/>
          <w:sz w:val="28"/>
        </w:rPr>
        <w:t>元</w:t>
      </w:r>
      <w:r>
        <w:rPr>
          <w:rFonts w:ascii="Arial" w:hAnsi="Arial" w:cs="Arial"/>
          <w:sz w:val="28"/>
        </w:rPr>
        <w:t>/</w:t>
      </w:r>
      <w:r>
        <w:rPr>
          <w:rFonts w:ascii="Arial" w:hAnsi="Arial" w:cs="Arial"/>
          <w:sz w:val="28"/>
        </w:rPr>
        <w:t>平方米</w:t>
      </w:r>
    </w:p>
    <w:p w14:paraId="7D944B49" w14:textId="77777777" w:rsidR="00000000" w:rsidRDefault="00000000">
      <w:pPr>
        <w:spacing w:line="360" w:lineRule="auto"/>
        <w:ind w:firstLineChars="200" w:firstLine="560"/>
        <w:jc w:val="both"/>
        <w:rPr>
          <w:rFonts w:ascii="Arial" w:hAnsi="Arial" w:cs="Arial"/>
          <w:sz w:val="28"/>
        </w:rPr>
      </w:pPr>
      <w:r>
        <w:rPr>
          <w:rFonts w:ascii="Arial" w:hAnsi="Arial" w:cs="Arial"/>
          <w:sz w:val="28"/>
        </w:rPr>
        <w:t>备注：</w:t>
      </w:r>
    </w:p>
    <w:p w14:paraId="3D192B14" w14:textId="77777777" w:rsidR="00000000" w:rsidRDefault="00000000">
      <w:pPr>
        <w:spacing w:line="360" w:lineRule="auto"/>
        <w:ind w:firstLineChars="200" w:firstLine="560"/>
        <w:jc w:val="both"/>
        <w:rPr>
          <w:rFonts w:ascii="Arial" w:hAnsi="Arial" w:cs="Arial"/>
          <w:sz w:val="28"/>
        </w:rPr>
      </w:pPr>
      <w:r>
        <w:rPr>
          <w:rFonts w:ascii="Arial" w:hAnsi="Arial" w:cs="Arial"/>
          <w:sz w:val="28"/>
        </w:rPr>
        <w:t xml:space="preserve">1. </w:t>
      </w:r>
      <w:r>
        <w:rPr>
          <w:rFonts w:ascii="Arial" w:hAnsi="Arial" w:cs="Arial"/>
          <w:sz w:val="28"/>
        </w:rPr>
        <w:t>在本次评估过程中，目前该开发项目尚未正式进行开发施工，评估</w:t>
      </w:r>
      <w:r>
        <w:rPr>
          <w:rFonts w:ascii="Arial" w:hAnsi="Arial" w:cs="Arial"/>
          <w:sz w:val="28"/>
        </w:rPr>
        <w:lastRenderedPageBreak/>
        <w:t>专业人员尚未取得《</w:t>
      </w:r>
      <w:r>
        <w:rPr>
          <w:rFonts w:ascii="Arial" w:hAnsi="Arial" w:cs="Arial"/>
          <w:sz w:val="28"/>
        </w:rPr>
        <w:t xml:space="preserve"> “</w:t>
      </w:r>
      <w:r>
        <w:rPr>
          <w:rFonts w:ascii="Arial" w:hAnsi="Arial" w:cs="Arial"/>
          <w:sz w:val="28"/>
        </w:rPr>
        <w:t>多规合一</w:t>
      </w:r>
      <w:r>
        <w:rPr>
          <w:rFonts w:ascii="Arial" w:hAnsi="Arial" w:cs="Arial"/>
          <w:sz w:val="28"/>
        </w:rPr>
        <w:t>”</w:t>
      </w:r>
      <w:r>
        <w:rPr>
          <w:rFonts w:ascii="Arial" w:hAnsi="Arial" w:cs="Arial"/>
          <w:sz w:val="28"/>
        </w:rPr>
        <w:t>协同平台初审意见的函》、《北京市发展和改革委员会关于</w:t>
      </w:r>
      <w:r>
        <w:rPr>
          <w:rFonts w:ascii="Arial" w:hAnsi="Arial" w:cs="Arial" w:hint="eastAsia"/>
          <w:sz w:val="28"/>
        </w:rPr>
        <w:t>昌平区马池口镇百泉庄村</w:t>
      </w:r>
      <w:r>
        <w:rPr>
          <w:rFonts w:ascii="Arial" w:hAnsi="Arial" w:cs="Arial"/>
          <w:sz w:val="28"/>
        </w:rPr>
        <w:t>经济</w:t>
      </w:r>
      <w:r>
        <w:rPr>
          <w:rFonts w:ascii="Arial" w:hAnsi="Arial" w:cs="Arial" w:hint="eastAsia"/>
          <w:sz w:val="28"/>
        </w:rPr>
        <w:t>组织</w:t>
      </w:r>
      <w:r>
        <w:rPr>
          <w:rFonts w:ascii="Arial" w:hAnsi="Arial" w:cs="Arial"/>
          <w:sz w:val="28"/>
        </w:rPr>
        <w:t>集体土地租赁住房项目核准的批复》等相关项目资料，本次评估过程中涉及的相关测算参数主要是依据委托方提供的</w:t>
      </w:r>
      <w:r>
        <w:rPr>
          <w:rFonts w:ascii="Arial" w:hAnsi="Arial" w:cs="Arial" w:hint="eastAsia"/>
          <w:sz w:val="28"/>
        </w:rPr>
        <w:t>相关资料</w:t>
      </w:r>
      <w:r>
        <w:rPr>
          <w:rFonts w:ascii="Arial" w:hAnsi="Arial" w:cs="Arial"/>
          <w:sz w:val="28"/>
        </w:rPr>
        <w:t>及介绍的情况</w:t>
      </w:r>
      <w:r>
        <w:rPr>
          <w:rFonts w:ascii="Arial" w:hAnsi="Arial" w:cs="Arial" w:hint="eastAsia"/>
          <w:sz w:val="28"/>
        </w:rPr>
        <w:t>进行</w:t>
      </w:r>
      <w:r>
        <w:rPr>
          <w:rFonts w:ascii="Arial" w:hAnsi="Arial" w:cs="Arial"/>
          <w:sz w:val="28"/>
        </w:rPr>
        <w:t>测算，如上述数据发生变化，可能会对目前的</w:t>
      </w:r>
      <w:r>
        <w:rPr>
          <w:rFonts w:ascii="Arial" w:hAnsi="Arial" w:cs="Arial" w:hint="eastAsia"/>
          <w:sz w:val="28"/>
        </w:rPr>
        <w:t>咨询</w:t>
      </w:r>
      <w:r>
        <w:rPr>
          <w:rFonts w:ascii="Arial" w:hAnsi="Arial" w:cs="Arial"/>
          <w:sz w:val="28"/>
        </w:rPr>
        <w:t>结论产生影响。</w:t>
      </w:r>
    </w:p>
    <w:p w14:paraId="099665FA" w14:textId="77777777" w:rsidR="00000000" w:rsidRDefault="00000000">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69D2D4C6" w14:textId="77777777" w:rsidR="00000000" w:rsidRDefault="00000000">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．本次剩余法测算过程中，项目运营收入、成本、费用等为开发项目过程中以及建成后出租经济行为产生的相关收入和成本、费用，未包含开发项目建成后运营期与物业管理相关的收入、成本、费用；</w:t>
      </w:r>
    </w:p>
    <w:p w14:paraId="5839AF88" w14:textId="77777777" w:rsidR="00000000" w:rsidRDefault="00000000">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sz w:val="28"/>
        </w:rPr>
        <w:t>[</w:t>
      </w:r>
      <w:r>
        <w:rPr>
          <w:rFonts w:ascii="Arial" w:hAnsi="Arial" w:cs="Arial"/>
          <w:sz w:val="28"/>
        </w:rPr>
        <w:t>京规自发</w:t>
      </w:r>
      <w:r>
        <w:rPr>
          <w:rFonts w:ascii="Arial" w:hAnsi="Arial" w:cs="Arial"/>
          <w:sz w:val="28"/>
        </w:rPr>
        <w:t>[2018]64</w:t>
      </w:r>
      <w:r>
        <w:rPr>
          <w:rFonts w:ascii="Arial" w:hAnsi="Arial" w:cs="Arial"/>
          <w:sz w:val="28"/>
        </w:rPr>
        <w:t>号</w:t>
      </w:r>
      <w:r>
        <w:rPr>
          <w:rFonts w:ascii="Arial" w:hAnsi="Arial" w:cs="Arial"/>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年。根据委托方提供的相关资料及对开发建设项目建设安排，联营期限</w:t>
      </w:r>
      <w:r>
        <w:rPr>
          <w:rFonts w:ascii="Arial" w:hAnsi="Arial" w:cs="Arial"/>
          <w:sz w:val="28"/>
        </w:rPr>
        <w:t>50</w:t>
      </w:r>
      <w:r>
        <w:rPr>
          <w:rFonts w:ascii="Arial" w:hAnsi="Arial" w:cs="Arial"/>
          <w:sz w:val="28"/>
        </w:rPr>
        <w:t>年自项目公司成立开始计算。根据相关规定，该开发项目只能采取出租的形式获得项目收入，</w:t>
      </w:r>
      <w:commentRangeStart w:id="80"/>
      <w:r>
        <w:rPr>
          <w:rFonts w:ascii="Arial" w:hAnsi="Arial" w:cs="Arial"/>
          <w:sz w:val="28"/>
        </w:rPr>
        <w:t>介于</w:t>
      </w:r>
      <w:commentRangeEnd w:id="80"/>
      <w:r w:rsidR="00AB18F1">
        <w:rPr>
          <w:rStyle w:val="afe"/>
        </w:rPr>
        <w:commentReference w:id="80"/>
      </w:r>
      <w:r>
        <w:rPr>
          <w:rFonts w:ascii="Arial" w:hAnsi="Arial" w:cs="Arial"/>
          <w:sz w:val="28"/>
        </w:rPr>
        <w:t>收益期过长，本次评估考虑折现；合作期限</w:t>
      </w:r>
      <w:r>
        <w:rPr>
          <w:rFonts w:ascii="Arial" w:hAnsi="Arial" w:cs="Arial"/>
          <w:sz w:val="28"/>
        </w:rPr>
        <w:t>50</w:t>
      </w:r>
      <w:r>
        <w:rPr>
          <w:rFonts w:ascii="Arial" w:hAnsi="Arial" w:cs="Arial"/>
          <w:sz w:val="28"/>
        </w:rPr>
        <w:t>年结束后的后续处理模式，由于目前针对退出时相关政策</w:t>
      </w:r>
      <w:commentRangeStart w:id="81"/>
      <w:r>
        <w:rPr>
          <w:rFonts w:ascii="Arial" w:hAnsi="Arial" w:cs="Arial"/>
          <w:sz w:val="28"/>
        </w:rPr>
        <w:t>行</w:t>
      </w:r>
      <w:commentRangeEnd w:id="81"/>
      <w:r w:rsidR="00AB18F1">
        <w:rPr>
          <w:rStyle w:val="afe"/>
        </w:rPr>
        <w:commentReference w:id="81"/>
      </w:r>
      <w:r>
        <w:rPr>
          <w:rFonts w:ascii="Arial" w:hAnsi="Arial" w:cs="Arial"/>
          <w:sz w:val="28"/>
        </w:rPr>
        <w:t>文件尚未正式出台，故届时将按照有关规定执行。综上所述，本次评估只</w:t>
      </w:r>
      <w:r>
        <w:rPr>
          <w:rFonts w:ascii="Arial" w:hAnsi="Arial" w:cs="Arial"/>
          <w:sz w:val="28"/>
        </w:rPr>
        <w:lastRenderedPageBreak/>
        <w:t>考虑</w:t>
      </w:r>
      <w:r>
        <w:rPr>
          <w:rFonts w:ascii="Arial" w:hAnsi="Arial" w:cs="Arial"/>
          <w:sz w:val="28"/>
        </w:rPr>
        <w:t>50</w:t>
      </w:r>
      <w:r>
        <w:rPr>
          <w:rFonts w:ascii="Arial" w:hAnsi="Arial" w:cs="Arial"/>
          <w:sz w:val="28"/>
        </w:rPr>
        <w:t>年合作期限内的收益。</w:t>
      </w:r>
    </w:p>
    <w:p w14:paraId="380FDB0F" w14:textId="77777777" w:rsidR="00000000" w:rsidRDefault="00000000">
      <w:pPr>
        <w:spacing w:line="360" w:lineRule="auto"/>
        <w:ind w:firstLineChars="200" w:firstLine="560"/>
        <w:jc w:val="both"/>
        <w:rPr>
          <w:rFonts w:ascii="Arial" w:hAnsi="Arial" w:cs="Arial"/>
          <w:sz w:val="28"/>
        </w:rPr>
      </w:pPr>
    </w:p>
    <w:p w14:paraId="5353A271" w14:textId="77777777" w:rsidR="00000000" w:rsidRDefault="00000000">
      <w:pPr>
        <w:numPr>
          <w:ilvl w:val="0"/>
          <w:numId w:val="7"/>
        </w:numPr>
        <w:spacing w:line="360" w:lineRule="auto"/>
        <w:rPr>
          <w:rFonts w:ascii="Arial" w:hAnsi="Arial" w:cs="Arial"/>
          <w:b/>
          <w:sz w:val="28"/>
        </w:rPr>
      </w:pPr>
      <w:bookmarkStart w:id="82" w:name="_Toc469066309"/>
      <w:bookmarkStart w:id="83" w:name="_Toc425250311"/>
      <w:bookmarkStart w:id="84" w:name="_Toc418750889"/>
      <w:bookmarkStart w:id="85" w:name="_Toc416783526"/>
      <w:r>
        <w:rPr>
          <w:rFonts w:ascii="Arial" w:hAnsi="Arial" w:cs="Arial"/>
          <w:b/>
          <w:sz w:val="28"/>
        </w:rPr>
        <w:t>土地估价机构</w:t>
      </w:r>
      <w:bookmarkEnd w:id="82"/>
      <w:bookmarkEnd w:id="83"/>
      <w:bookmarkEnd w:id="84"/>
      <w:bookmarkEnd w:id="85"/>
    </w:p>
    <w:p w14:paraId="4A8BBAA4" w14:textId="77777777" w:rsidR="00000000" w:rsidRDefault="00000000">
      <w:pPr>
        <w:spacing w:line="360" w:lineRule="auto"/>
        <w:rPr>
          <w:rFonts w:ascii="Arial" w:hAnsi="Arial" w:cs="Arial"/>
          <w:b/>
          <w:sz w:val="28"/>
        </w:rPr>
      </w:pPr>
    </w:p>
    <w:p w14:paraId="6D840D80" w14:textId="77777777" w:rsidR="00000000" w:rsidRDefault="00000000">
      <w:pPr>
        <w:spacing w:line="360" w:lineRule="auto"/>
        <w:rPr>
          <w:rFonts w:ascii="Arial" w:hAnsi="Arial" w:cs="Arial"/>
          <w:b/>
          <w:sz w:val="28"/>
        </w:rPr>
      </w:pPr>
    </w:p>
    <w:p w14:paraId="7E06E53A" w14:textId="77777777" w:rsidR="00000000" w:rsidRDefault="00000000">
      <w:pPr>
        <w:spacing w:line="360" w:lineRule="auto"/>
        <w:rPr>
          <w:rFonts w:ascii="Arial" w:hAnsi="Arial" w:cs="Arial"/>
          <w:b/>
          <w:sz w:val="28"/>
        </w:rPr>
      </w:pPr>
    </w:p>
    <w:p w14:paraId="6994DA7A" w14:textId="77777777" w:rsidR="00000000" w:rsidRDefault="00000000">
      <w:pPr>
        <w:spacing w:line="360" w:lineRule="auto"/>
        <w:rPr>
          <w:rFonts w:ascii="Arial" w:hAnsi="Arial" w:cs="Arial"/>
          <w:sz w:val="28"/>
        </w:rPr>
      </w:pPr>
      <w:r>
        <w:rPr>
          <w:rFonts w:ascii="Arial" w:hAnsi="Arial" w:cs="Arial"/>
          <w:sz w:val="28"/>
        </w:rPr>
        <w:t xml:space="preserve"> </w:t>
      </w:r>
    </w:p>
    <w:p w14:paraId="0E8E76A1" w14:textId="77777777" w:rsidR="00000000" w:rsidRDefault="00000000">
      <w:pPr>
        <w:spacing w:line="360" w:lineRule="auto"/>
        <w:rPr>
          <w:rFonts w:ascii="Arial" w:hAnsi="Arial" w:cs="Arial"/>
          <w:sz w:val="28"/>
        </w:rPr>
      </w:pPr>
      <w:r>
        <w:rPr>
          <w:rFonts w:ascii="Arial" w:hAnsi="Arial" w:cs="Arial"/>
          <w:sz w:val="28"/>
        </w:rPr>
        <w:t xml:space="preserve">                              </w:t>
      </w:r>
    </w:p>
    <w:tbl>
      <w:tblPr>
        <w:tblW w:w="0" w:type="auto"/>
        <w:jc w:val="right"/>
        <w:tblInd w:w="0" w:type="dxa"/>
        <w:tblLayout w:type="fixed"/>
        <w:tblCellMar>
          <w:top w:w="28" w:type="dxa"/>
          <w:left w:w="85" w:type="dxa"/>
          <w:bottom w:w="28" w:type="dxa"/>
          <w:right w:w="85" w:type="dxa"/>
        </w:tblCellMar>
        <w:tblLook w:val="0000" w:firstRow="0" w:lastRow="0" w:firstColumn="0" w:lastColumn="0" w:noHBand="0" w:noVBand="0"/>
      </w:tblPr>
      <w:tblGrid>
        <w:gridCol w:w="4445"/>
      </w:tblGrid>
      <w:tr w:rsidR="00000000" w14:paraId="15D42BC6" w14:textId="77777777">
        <w:trPr>
          <w:jc w:val="right"/>
        </w:trPr>
        <w:tc>
          <w:tcPr>
            <w:tcW w:w="4445" w:type="dxa"/>
          </w:tcPr>
          <w:p w14:paraId="0A69BF14" w14:textId="77777777" w:rsidR="00000000" w:rsidRDefault="00000000">
            <w:pPr>
              <w:spacing w:line="360" w:lineRule="auto"/>
              <w:rPr>
                <w:rFonts w:ascii="Arial" w:hAnsi="Arial" w:cs="Arial"/>
                <w:sz w:val="28"/>
                <w:szCs w:val="21"/>
              </w:rPr>
            </w:pPr>
            <w:r>
              <w:rPr>
                <w:rFonts w:ascii="Arial" w:hAnsi="Arial" w:cs="Arial"/>
                <w:sz w:val="28"/>
                <w:szCs w:val="21"/>
              </w:rPr>
              <w:t>北京康正宏基房地产评估有限公司</w:t>
            </w:r>
          </w:p>
        </w:tc>
      </w:tr>
      <w:tr w:rsidR="00000000" w14:paraId="210680E9" w14:textId="77777777">
        <w:trPr>
          <w:trHeight w:val="1431"/>
          <w:jc w:val="right"/>
        </w:trPr>
        <w:tc>
          <w:tcPr>
            <w:tcW w:w="4445" w:type="dxa"/>
          </w:tcPr>
          <w:p w14:paraId="07A005AD" w14:textId="77777777" w:rsidR="00000000" w:rsidRDefault="00000000">
            <w:pPr>
              <w:spacing w:line="480" w:lineRule="auto"/>
              <w:rPr>
                <w:rFonts w:ascii="Arial" w:hAnsi="Arial" w:cs="Arial"/>
                <w:sz w:val="28"/>
                <w:szCs w:val="21"/>
              </w:rPr>
            </w:pPr>
            <w:commentRangeStart w:id="86"/>
            <w:r>
              <w:rPr>
                <w:rFonts w:ascii="Arial" w:hAnsi="Arial" w:cs="Arial"/>
                <w:sz w:val="28"/>
                <w:szCs w:val="21"/>
              </w:rPr>
              <w:t>法定代表人：</w:t>
            </w:r>
            <w:commentRangeEnd w:id="86"/>
            <w:r w:rsidR="00AB18F1">
              <w:rPr>
                <w:rStyle w:val="afe"/>
              </w:rPr>
              <w:commentReference w:id="86"/>
            </w:r>
          </w:p>
        </w:tc>
      </w:tr>
      <w:tr w:rsidR="00000000" w14:paraId="4AB0D74D" w14:textId="77777777">
        <w:trPr>
          <w:cantSplit/>
          <w:jc w:val="right"/>
        </w:trPr>
        <w:tc>
          <w:tcPr>
            <w:tcW w:w="4445" w:type="dxa"/>
          </w:tcPr>
          <w:p w14:paraId="118C33ED" w14:textId="77777777" w:rsidR="00000000" w:rsidRDefault="00000000">
            <w:pPr>
              <w:spacing w:line="240" w:lineRule="auto"/>
              <w:jc w:val="right"/>
              <w:rPr>
                <w:rFonts w:ascii="Arial" w:hAnsi="Arial" w:cs="Arial"/>
                <w:sz w:val="28"/>
                <w:szCs w:val="21"/>
              </w:rPr>
            </w:pPr>
            <w:r>
              <w:rPr>
                <w:rFonts w:ascii="Arial" w:hAnsi="Arial" w:cs="Arial"/>
                <w:sz w:val="28"/>
                <w:szCs w:val="21"/>
              </w:rPr>
              <w:t>二</w:t>
            </w:r>
            <w:r>
              <w:rPr>
                <w:rFonts w:ascii="Arial" w:hAnsi="Arial" w:cs="Arial" w:hint="eastAsia"/>
                <w:sz w:val="28"/>
                <w:szCs w:val="21"/>
              </w:rPr>
              <w:t>〇</w:t>
            </w:r>
            <w:r>
              <w:rPr>
                <w:rFonts w:ascii="Arial" w:hAnsi="Arial" w:cs="Arial"/>
                <w:sz w:val="28"/>
                <w:szCs w:val="21"/>
              </w:rPr>
              <w:t>二</w:t>
            </w:r>
            <w:r>
              <w:rPr>
                <w:rFonts w:ascii="Arial" w:hAnsi="Arial" w:cs="Arial" w:hint="eastAsia"/>
                <w:sz w:val="28"/>
                <w:szCs w:val="21"/>
              </w:rPr>
              <w:t>五</w:t>
            </w:r>
            <w:r>
              <w:rPr>
                <w:rFonts w:ascii="Arial" w:hAnsi="Arial" w:cs="Arial"/>
                <w:sz w:val="28"/>
                <w:szCs w:val="21"/>
              </w:rPr>
              <w:t>年</w:t>
            </w:r>
            <w:r>
              <w:rPr>
                <w:rFonts w:ascii="Arial" w:hAnsi="Arial" w:cs="Arial" w:hint="eastAsia"/>
                <w:sz w:val="28"/>
              </w:rPr>
              <w:t>十</w:t>
            </w:r>
            <w:r>
              <w:rPr>
                <w:rFonts w:ascii="Arial" w:hAnsi="Arial" w:cs="Arial"/>
                <w:sz w:val="28"/>
              </w:rPr>
              <w:t>月</w:t>
            </w:r>
            <w:r>
              <w:rPr>
                <w:rFonts w:ascii="Arial" w:hAnsi="Arial" w:cs="Arial" w:hint="eastAsia"/>
                <w:sz w:val="28"/>
              </w:rPr>
              <w:t>十九</w:t>
            </w:r>
            <w:r>
              <w:rPr>
                <w:rFonts w:ascii="Arial" w:hAnsi="Arial" w:cs="Arial"/>
                <w:sz w:val="28"/>
              </w:rPr>
              <w:t>日</w:t>
            </w:r>
          </w:p>
        </w:tc>
      </w:tr>
    </w:tbl>
    <w:p w14:paraId="7D407465" w14:textId="77777777" w:rsidR="00000000" w:rsidRDefault="00000000">
      <w:pPr>
        <w:spacing w:line="360" w:lineRule="auto"/>
        <w:rPr>
          <w:rFonts w:ascii="Arial" w:hAnsi="Arial" w:cs="Arial"/>
          <w:sz w:val="28"/>
        </w:rPr>
      </w:pPr>
    </w:p>
    <w:p w14:paraId="2CBE3536" w14:textId="77777777" w:rsidR="00000000" w:rsidRDefault="00000000">
      <w:pPr>
        <w:spacing w:line="360" w:lineRule="auto"/>
        <w:ind w:firstLineChars="1600" w:firstLine="4480"/>
        <w:jc w:val="right"/>
        <w:rPr>
          <w:rFonts w:ascii="Arial" w:hAnsi="Arial" w:cs="Arial"/>
          <w:sz w:val="28"/>
        </w:rPr>
      </w:pPr>
    </w:p>
    <w:p w14:paraId="180C2F76" w14:textId="77777777" w:rsidR="00000000" w:rsidRDefault="00000000">
      <w:pPr>
        <w:spacing w:line="360" w:lineRule="auto"/>
        <w:ind w:firstLineChars="1600" w:firstLine="4480"/>
        <w:rPr>
          <w:rFonts w:ascii="Arial" w:hAnsi="Arial" w:cs="Arial"/>
          <w:sz w:val="28"/>
        </w:rPr>
        <w:sectPr w:rsidR="00000000">
          <w:footerReference w:type="first" r:id="rId21"/>
          <w:pgSz w:w="11907" w:h="16840"/>
          <w:pgMar w:top="1843" w:right="1304" w:bottom="1134" w:left="1304" w:header="1134" w:footer="907" w:gutter="0"/>
          <w:pgNumType w:start="1"/>
          <w:cols w:space="720"/>
          <w:titlePg/>
          <w:docGrid w:linePitch="326"/>
        </w:sectPr>
      </w:pPr>
    </w:p>
    <w:p w14:paraId="2685895A" w14:textId="77777777" w:rsidR="00000000" w:rsidRDefault="00000000">
      <w:pPr>
        <w:spacing w:line="240" w:lineRule="auto"/>
        <w:outlineLvl w:val="1"/>
        <w:rPr>
          <w:rFonts w:ascii="Arial" w:hAnsi="Arial" w:cs="Arial"/>
          <w:b/>
          <w:sz w:val="28"/>
        </w:rPr>
      </w:pPr>
      <w:bookmarkStart w:id="87" w:name="_Toc418750890"/>
      <w:bookmarkStart w:id="88" w:name="_Toc425250312"/>
      <w:bookmarkStart w:id="89" w:name="_Toc416783527"/>
      <w:bookmarkStart w:id="90" w:name="_Toc23949"/>
      <w:bookmarkStart w:id="91" w:name="_Toc469066310"/>
      <w:bookmarkStart w:id="92" w:name="_Toc25816"/>
      <w:r>
        <w:rPr>
          <w:rFonts w:ascii="Arial" w:hAnsi="Arial" w:cs="Arial"/>
          <w:bCs/>
          <w:sz w:val="28"/>
        </w:rPr>
        <w:lastRenderedPageBreak/>
        <w:t>附</w:t>
      </w:r>
      <w:r>
        <w:rPr>
          <w:rFonts w:ascii="Arial" w:hAnsi="Arial" w:cs="Arial"/>
          <w:b/>
          <w:sz w:val="28"/>
        </w:rPr>
        <w:t xml:space="preserve">                                           </w:t>
      </w:r>
      <w:r>
        <w:rPr>
          <w:rFonts w:ascii="Arial" w:hAnsi="Arial" w:cs="Arial"/>
          <w:b/>
          <w:sz w:val="28"/>
        </w:rPr>
        <w:t>咨询结果一览表</w:t>
      </w:r>
      <w:bookmarkEnd w:id="87"/>
      <w:bookmarkEnd w:id="88"/>
      <w:bookmarkEnd w:id="89"/>
      <w:bookmarkEnd w:id="90"/>
      <w:bookmarkEnd w:id="91"/>
      <w:bookmarkEnd w:id="92"/>
    </w:p>
    <w:p w14:paraId="6BF3001C" w14:textId="77777777" w:rsidR="00000000" w:rsidRDefault="00000000">
      <w:pPr>
        <w:spacing w:line="240" w:lineRule="auto"/>
        <w:rPr>
          <w:rFonts w:ascii="Arial" w:hAnsi="Arial" w:cs="Arial"/>
          <w:bCs/>
          <w:sz w:val="18"/>
        </w:rPr>
      </w:pPr>
      <w:r>
        <w:rPr>
          <w:rFonts w:ascii="Arial" w:hAnsi="Arial" w:cs="Arial"/>
          <w:bCs/>
          <w:sz w:val="18"/>
        </w:rPr>
        <w:t>估价机构：</w:t>
      </w:r>
      <w:r>
        <w:rPr>
          <w:rFonts w:ascii="Arial" w:hAnsi="Arial" w:cs="Arial"/>
          <w:sz w:val="18"/>
        </w:rPr>
        <w:t>北京康正宏基房地产评估有限公司</w:t>
      </w:r>
      <w:r>
        <w:rPr>
          <w:rFonts w:ascii="Arial" w:hAnsi="Arial" w:cs="Arial"/>
          <w:sz w:val="18"/>
        </w:rPr>
        <w:t xml:space="preserve"> </w:t>
      </w:r>
      <w:r>
        <w:rPr>
          <w:rFonts w:ascii="Arial" w:hAnsi="Arial" w:cs="Arial"/>
          <w:bCs/>
          <w:sz w:val="18"/>
        </w:rPr>
        <w:t xml:space="preserve">  </w:t>
      </w:r>
      <w:r>
        <w:rPr>
          <w:rFonts w:ascii="Arial" w:hAnsi="Arial" w:cs="Arial" w:hint="eastAsia"/>
          <w:bCs/>
          <w:sz w:val="18"/>
        </w:rPr>
        <w:t>咨询报告</w:t>
      </w:r>
      <w:r>
        <w:rPr>
          <w:rFonts w:ascii="Arial" w:hAnsi="Arial" w:cs="Arial"/>
          <w:bCs/>
          <w:sz w:val="18"/>
        </w:rPr>
        <w:t>编号：康正评</w:t>
      </w:r>
      <w:r>
        <w:rPr>
          <w:rFonts w:ascii="Arial" w:hAnsi="Arial" w:cs="Arial" w:hint="eastAsia"/>
          <w:bCs/>
          <w:sz w:val="18"/>
        </w:rPr>
        <w:t>字</w:t>
      </w:r>
      <w:r>
        <w:rPr>
          <w:rFonts w:ascii="Arial" w:hAnsi="Arial" w:cs="Arial" w:hint="eastAsia"/>
          <w:bCs/>
          <w:sz w:val="18"/>
        </w:rPr>
        <w:t>2025-1-0732-F01TDCR6</w:t>
      </w:r>
      <w:r>
        <w:rPr>
          <w:rFonts w:ascii="Arial" w:hAnsi="Arial" w:cs="Arial" w:hint="eastAsia"/>
          <w:bCs/>
          <w:sz w:val="18"/>
        </w:rPr>
        <w:t>号</w:t>
      </w:r>
      <w:r>
        <w:rPr>
          <w:rFonts w:ascii="Arial" w:hAnsi="Arial" w:cs="Arial" w:hint="eastAsia"/>
          <w:bCs/>
          <w:sz w:val="18"/>
        </w:rPr>
        <w:t xml:space="preserve">   </w:t>
      </w:r>
      <w:r>
        <w:rPr>
          <w:rFonts w:ascii="Arial" w:hAnsi="Arial" w:cs="Arial"/>
          <w:bCs/>
          <w:sz w:val="18"/>
        </w:rPr>
        <w:t>咨询期日：</w:t>
      </w:r>
      <w:r>
        <w:rPr>
          <w:rFonts w:ascii="Arial" w:hAnsi="Arial" w:cs="Arial" w:hint="eastAsia"/>
          <w:bCs/>
          <w:sz w:val="18"/>
        </w:rPr>
        <w:t>2025</w:t>
      </w:r>
      <w:r>
        <w:rPr>
          <w:rFonts w:ascii="Arial" w:hAnsi="Arial" w:cs="Arial" w:hint="eastAsia"/>
          <w:bCs/>
          <w:sz w:val="18"/>
        </w:rPr>
        <w:t>年</w:t>
      </w:r>
      <w:r>
        <w:rPr>
          <w:rFonts w:ascii="Arial" w:hAnsi="Arial" w:cs="Arial" w:hint="eastAsia"/>
          <w:bCs/>
          <w:sz w:val="18"/>
        </w:rPr>
        <w:t>9</w:t>
      </w:r>
      <w:r>
        <w:rPr>
          <w:rFonts w:ascii="Arial" w:hAnsi="Arial" w:cs="Arial" w:hint="eastAsia"/>
          <w:bCs/>
          <w:sz w:val="18"/>
        </w:rPr>
        <w:t>月</w:t>
      </w:r>
      <w:r>
        <w:rPr>
          <w:rFonts w:ascii="Arial" w:hAnsi="Arial" w:cs="Arial" w:hint="eastAsia"/>
          <w:bCs/>
          <w:sz w:val="18"/>
        </w:rPr>
        <w:t>22</w:t>
      </w:r>
      <w:r>
        <w:rPr>
          <w:rFonts w:ascii="Arial" w:hAnsi="Arial" w:cs="Arial" w:hint="eastAsia"/>
          <w:bCs/>
          <w:sz w:val="18"/>
        </w:rPr>
        <w:t>日</w:t>
      </w:r>
      <w:r>
        <w:rPr>
          <w:rFonts w:ascii="Arial" w:hAnsi="Arial" w:cs="Arial"/>
          <w:bCs/>
          <w:sz w:val="18"/>
        </w:rPr>
        <w:t xml:space="preserve">  </w:t>
      </w:r>
    </w:p>
    <w:tbl>
      <w:tblPr>
        <w:tblW w:w="15876" w:type="dxa"/>
        <w:jc w:val="center"/>
        <w:tblInd w:w="0"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000" w:firstRow="0" w:lastRow="0" w:firstColumn="0" w:lastColumn="0" w:noHBand="0" w:noVBand="0"/>
      </w:tblPr>
      <w:tblGrid>
        <w:gridCol w:w="991"/>
        <w:gridCol w:w="795"/>
        <w:gridCol w:w="1187"/>
        <w:gridCol w:w="1148"/>
        <w:gridCol w:w="1039"/>
        <w:gridCol w:w="747"/>
        <w:gridCol w:w="747"/>
        <w:gridCol w:w="576"/>
        <w:gridCol w:w="576"/>
        <w:gridCol w:w="576"/>
        <w:gridCol w:w="862"/>
        <w:gridCol w:w="862"/>
        <w:gridCol w:w="1005"/>
        <w:gridCol w:w="953"/>
        <w:gridCol w:w="953"/>
        <w:gridCol w:w="953"/>
        <w:gridCol w:w="953"/>
        <w:gridCol w:w="953"/>
      </w:tblGrid>
      <w:tr w:rsidR="00000000" w14:paraId="16467C0C" w14:textId="77777777">
        <w:trPr>
          <w:cantSplit/>
          <w:jc w:val="center"/>
        </w:trPr>
        <w:tc>
          <w:tcPr>
            <w:tcW w:w="991" w:type="dxa"/>
            <w:vMerge w:val="restart"/>
            <w:vAlign w:val="center"/>
          </w:tcPr>
          <w:p w14:paraId="645817C6" w14:textId="77777777" w:rsidR="00000000" w:rsidRDefault="00000000">
            <w:pPr>
              <w:spacing w:line="240" w:lineRule="exact"/>
              <w:rPr>
                <w:rFonts w:ascii="Arial" w:hAnsi="Arial" w:cs="Arial"/>
                <w:bCs/>
                <w:sz w:val="18"/>
                <w:szCs w:val="18"/>
              </w:rPr>
            </w:pPr>
            <w:r>
              <w:rPr>
                <w:rFonts w:ascii="Arial" w:hAnsi="Arial" w:cs="Arial"/>
                <w:bCs/>
                <w:sz w:val="18"/>
                <w:szCs w:val="18"/>
              </w:rPr>
              <w:t>咨询期日土地使用</w:t>
            </w:r>
            <w:r>
              <w:rPr>
                <w:rFonts w:ascii="Arial" w:hAnsi="Arial" w:cs="Arial" w:hint="eastAsia"/>
                <w:bCs/>
                <w:sz w:val="18"/>
                <w:szCs w:val="18"/>
              </w:rPr>
              <w:t>权人</w:t>
            </w:r>
          </w:p>
        </w:tc>
        <w:tc>
          <w:tcPr>
            <w:tcW w:w="795" w:type="dxa"/>
            <w:vMerge w:val="restart"/>
            <w:vAlign w:val="center"/>
          </w:tcPr>
          <w:p w14:paraId="2294EC76" w14:textId="77777777" w:rsidR="00000000" w:rsidRDefault="00000000">
            <w:pPr>
              <w:spacing w:line="240" w:lineRule="exact"/>
              <w:rPr>
                <w:rFonts w:ascii="Arial" w:hAnsi="Arial" w:cs="Arial"/>
                <w:bCs/>
                <w:sz w:val="18"/>
                <w:szCs w:val="18"/>
              </w:rPr>
            </w:pPr>
            <w:r>
              <w:rPr>
                <w:rFonts w:ascii="Arial" w:hAnsi="Arial" w:cs="Arial"/>
                <w:bCs/>
                <w:sz w:val="18"/>
                <w:szCs w:val="18"/>
              </w:rPr>
              <w:t>宗地编号</w:t>
            </w:r>
          </w:p>
        </w:tc>
        <w:tc>
          <w:tcPr>
            <w:tcW w:w="1187" w:type="dxa"/>
            <w:vMerge w:val="restart"/>
            <w:vAlign w:val="center"/>
          </w:tcPr>
          <w:p w14:paraId="46402310" w14:textId="77777777" w:rsidR="00000000" w:rsidRDefault="00000000">
            <w:pPr>
              <w:spacing w:line="240" w:lineRule="exact"/>
              <w:rPr>
                <w:rFonts w:ascii="Arial" w:hAnsi="Arial" w:cs="Arial"/>
                <w:bCs/>
                <w:sz w:val="18"/>
                <w:szCs w:val="18"/>
              </w:rPr>
            </w:pPr>
            <w:r>
              <w:rPr>
                <w:rFonts w:ascii="Arial" w:hAnsi="Arial" w:cs="Arial"/>
                <w:bCs/>
                <w:sz w:val="18"/>
                <w:szCs w:val="18"/>
              </w:rPr>
              <w:t>宗地名称</w:t>
            </w:r>
          </w:p>
        </w:tc>
        <w:tc>
          <w:tcPr>
            <w:tcW w:w="1148" w:type="dxa"/>
            <w:vMerge w:val="restart"/>
            <w:vAlign w:val="center"/>
          </w:tcPr>
          <w:p w14:paraId="258DFF7F" w14:textId="77777777" w:rsidR="00000000" w:rsidRDefault="00000000">
            <w:pPr>
              <w:spacing w:line="240" w:lineRule="exact"/>
              <w:rPr>
                <w:rFonts w:ascii="Arial" w:hAnsi="Arial" w:cs="Arial"/>
                <w:bCs/>
                <w:sz w:val="18"/>
                <w:szCs w:val="18"/>
              </w:rPr>
            </w:pPr>
            <w:r>
              <w:rPr>
                <w:rFonts w:ascii="Arial" w:hAnsi="Arial" w:cs="Arial"/>
                <w:bCs/>
                <w:sz w:val="18"/>
                <w:szCs w:val="18"/>
              </w:rPr>
              <w:t>土地使用证编号</w:t>
            </w:r>
          </w:p>
        </w:tc>
        <w:tc>
          <w:tcPr>
            <w:tcW w:w="2533" w:type="dxa"/>
            <w:gridSpan w:val="3"/>
            <w:vAlign w:val="center"/>
          </w:tcPr>
          <w:p w14:paraId="538F6714" w14:textId="77777777" w:rsidR="00000000" w:rsidRDefault="00000000">
            <w:pPr>
              <w:spacing w:line="240" w:lineRule="exact"/>
              <w:ind w:rightChars="-45" w:right="-108"/>
              <w:rPr>
                <w:rFonts w:ascii="Arial" w:hAnsi="Arial" w:cs="Arial"/>
                <w:bCs/>
                <w:sz w:val="18"/>
                <w:szCs w:val="18"/>
              </w:rPr>
            </w:pPr>
            <w:r>
              <w:rPr>
                <w:rFonts w:ascii="Arial" w:hAnsi="Arial" w:cs="Arial"/>
                <w:bCs/>
                <w:sz w:val="18"/>
                <w:szCs w:val="18"/>
              </w:rPr>
              <w:t>咨询期日的用途</w:t>
            </w:r>
          </w:p>
        </w:tc>
        <w:tc>
          <w:tcPr>
            <w:tcW w:w="1728" w:type="dxa"/>
            <w:gridSpan w:val="3"/>
            <w:vAlign w:val="center"/>
          </w:tcPr>
          <w:p w14:paraId="3F725018" w14:textId="77777777" w:rsidR="00000000" w:rsidRDefault="00000000">
            <w:pPr>
              <w:spacing w:line="240" w:lineRule="exact"/>
              <w:rPr>
                <w:rFonts w:ascii="Arial" w:hAnsi="Arial" w:cs="Arial"/>
                <w:bCs/>
                <w:sz w:val="18"/>
                <w:szCs w:val="18"/>
              </w:rPr>
            </w:pPr>
            <w:r>
              <w:rPr>
                <w:rFonts w:ascii="Arial" w:hAnsi="Arial" w:cs="Arial"/>
                <w:bCs/>
                <w:sz w:val="18"/>
                <w:szCs w:val="18"/>
              </w:rPr>
              <w:t>容积率</w:t>
            </w:r>
          </w:p>
        </w:tc>
        <w:tc>
          <w:tcPr>
            <w:tcW w:w="862" w:type="dxa"/>
            <w:vMerge w:val="restart"/>
            <w:vAlign w:val="center"/>
          </w:tcPr>
          <w:p w14:paraId="1F777CCA" w14:textId="77777777" w:rsidR="00000000" w:rsidRDefault="00000000">
            <w:pPr>
              <w:spacing w:line="240" w:lineRule="exact"/>
              <w:rPr>
                <w:rFonts w:ascii="Arial" w:hAnsi="Arial" w:cs="Arial"/>
                <w:bCs/>
                <w:sz w:val="18"/>
                <w:szCs w:val="18"/>
              </w:rPr>
            </w:pPr>
            <w:r>
              <w:rPr>
                <w:rFonts w:ascii="Arial" w:hAnsi="Arial" w:cs="Arial"/>
                <w:bCs/>
                <w:sz w:val="18"/>
                <w:szCs w:val="18"/>
              </w:rPr>
              <w:t>咨询期日的实际土地开发程度</w:t>
            </w:r>
          </w:p>
        </w:tc>
        <w:tc>
          <w:tcPr>
            <w:tcW w:w="862" w:type="dxa"/>
            <w:vMerge w:val="restart"/>
            <w:vAlign w:val="center"/>
          </w:tcPr>
          <w:p w14:paraId="45FB2394" w14:textId="77777777" w:rsidR="00000000" w:rsidRDefault="00000000">
            <w:pPr>
              <w:spacing w:line="240" w:lineRule="exact"/>
              <w:rPr>
                <w:rFonts w:ascii="Arial" w:hAnsi="Arial" w:cs="Arial"/>
                <w:bCs/>
                <w:sz w:val="18"/>
                <w:szCs w:val="18"/>
              </w:rPr>
            </w:pPr>
            <w:r>
              <w:rPr>
                <w:rFonts w:ascii="Arial" w:hAnsi="Arial" w:cs="Arial"/>
                <w:bCs/>
                <w:sz w:val="18"/>
                <w:szCs w:val="18"/>
              </w:rPr>
              <w:t>估价设定的土地开发程度</w:t>
            </w:r>
          </w:p>
        </w:tc>
        <w:tc>
          <w:tcPr>
            <w:tcW w:w="1005" w:type="dxa"/>
            <w:vMerge w:val="restart"/>
            <w:vAlign w:val="center"/>
          </w:tcPr>
          <w:p w14:paraId="4E90C892" w14:textId="77777777" w:rsidR="00000000" w:rsidRDefault="00000000">
            <w:pPr>
              <w:spacing w:line="240" w:lineRule="exact"/>
              <w:rPr>
                <w:rFonts w:ascii="Arial" w:hAnsi="Arial" w:cs="Arial"/>
                <w:bCs/>
                <w:sz w:val="18"/>
                <w:szCs w:val="18"/>
              </w:rPr>
            </w:pPr>
            <w:r>
              <w:rPr>
                <w:rFonts w:ascii="Arial" w:hAnsi="Arial" w:cs="Arial"/>
                <w:bCs/>
                <w:sz w:val="18"/>
                <w:szCs w:val="18"/>
              </w:rPr>
              <w:t>土地使用年限</w:t>
            </w:r>
            <w:r>
              <w:rPr>
                <w:rFonts w:ascii="Arial" w:hAnsi="Arial" w:cs="Arial"/>
                <w:bCs/>
                <w:sz w:val="18"/>
                <w:szCs w:val="18"/>
              </w:rPr>
              <w:t>/</w:t>
            </w:r>
            <w:r>
              <w:rPr>
                <w:rFonts w:ascii="Arial" w:hAnsi="Arial" w:cs="Arial"/>
                <w:bCs/>
                <w:sz w:val="18"/>
                <w:szCs w:val="18"/>
              </w:rPr>
              <w:t>年</w:t>
            </w:r>
          </w:p>
        </w:tc>
        <w:tc>
          <w:tcPr>
            <w:tcW w:w="953" w:type="dxa"/>
            <w:vMerge w:val="restart"/>
            <w:vAlign w:val="center"/>
          </w:tcPr>
          <w:p w14:paraId="236B60C8" w14:textId="77777777" w:rsidR="00000000" w:rsidRDefault="00000000">
            <w:pPr>
              <w:spacing w:line="240" w:lineRule="exact"/>
              <w:rPr>
                <w:rFonts w:ascii="Arial" w:hAnsi="Arial" w:cs="Arial"/>
                <w:bCs/>
                <w:sz w:val="18"/>
                <w:szCs w:val="18"/>
              </w:rPr>
            </w:pPr>
            <w:r>
              <w:rPr>
                <w:rFonts w:ascii="Arial" w:hAnsi="Arial" w:cs="Arial"/>
                <w:bCs/>
                <w:sz w:val="18"/>
                <w:szCs w:val="18"/>
              </w:rPr>
              <w:t>土地面积</w:t>
            </w:r>
            <w:r>
              <w:rPr>
                <w:rFonts w:ascii="Arial" w:hAnsi="Arial" w:cs="Arial"/>
                <w:bCs/>
                <w:sz w:val="18"/>
                <w:szCs w:val="18"/>
              </w:rPr>
              <w:t>/</w:t>
            </w:r>
            <w:r>
              <w:rPr>
                <w:rFonts w:ascii="Arial" w:hAnsi="Arial" w:cs="Arial"/>
                <w:bCs/>
                <w:sz w:val="18"/>
                <w:szCs w:val="18"/>
              </w:rPr>
              <w:t>㎡</w:t>
            </w:r>
          </w:p>
        </w:tc>
        <w:tc>
          <w:tcPr>
            <w:tcW w:w="953" w:type="dxa"/>
            <w:vMerge w:val="restart"/>
            <w:vAlign w:val="center"/>
          </w:tcPr>
          <w:p w14:paraId="696CA707" w14:textId="77777777" w:rsidR="00000000" w:rsidRDefault="00000000">
            <w:pPr>
              <w:spacing w:line="240" w:lineRule="exact"/>
              <w:rPr>
                <w:rFonts w:ascii="Arial" w:hAnsi="Arial" w:cs="Arial"/>
                <w:bCs/>
                <w:sz w:val="18"/>
                <w:szCs w:val="18"/>
              </w:rPr>
            </w:pPr>
            <w:r>
              <w:rPr>
                <w:rFonts w:ascii="Arial" w:hAnsi="Arial" w:cs="Arial"/>
                <w:bCs/>
                <w:sz w:val="18"/>
                <w:szCs w:val="18"/>
              </w:rPr>
              <w:t>规划建筑面积</w:t>
            </w:r>
            <w:r>
              <w:rPr>
                <w:rFonts w:ascii="Arial" w:hAnsi="Arial" w:cs="Arial"/>
                <w:bCs/>
                <w:sz w:val="18"/>
                <w:szCs w:val="18"/>
              </w:rPr>
              <w:t>/</w:t>
            </w:r>
            <w:r>
              <w:rPr>
                <w:rFonts w:ascii="Arial" w:hAnsi="Arial" w:cs="Arial"/>
                <w:bCs/>
                <w:sz w:val="18"/>
                <w:szCs w:val="18"/>
              </w:rPr>
              <w:t>㎡</w:t>
            </w:r>
          </w:p>
        </w:tc>
        <w:tc>
          <w:tcPr>
            <w:tcW w:w="953" w:type="dxa"/>
            <w:vMerge w:val="restart"/>
            <w:vAlign w:val="center"/>
          </w:tcPr>
          <w:p w14:paraId="0850B799" w14:textId="77777777" w:rsidR="00000000" w:rsidRDefault="00000000">
            <w:pPr>
              <w:spacing w:line="240" w:lineRule="exact"/>
              <w:rPr>
                <w:rFonts w:ascii="Arial" w:hAnsi="Arial" w:cs="Arial"/>
                <w:bCs/>
                <w:sz w:val="18"/>
                <w:szCs w:val="18"/>
              </w:rPr>
            </w:pPr>
            <w:r>
              <w:rPr>
                <w:rFonts w:ascii="Arial" w:hAnsi="Arial" w:cs="Arial"/>
                <w:bCs/>
                <w:sz w:val="18"/>
                <w:szCs w:val="18"/>
              </w:rPr>
              <w:t>单位面积地价</w:t>
            </w:r>
            <w:r>
              <w:rPr>
                <w:rFonts w:ascii="Arial" w:hAnsi="Arial" w:cs="Arial"/>
                <w:bCs/>
                <w:sz w:val="18"/>
                <w:szCs w:val="18"/>
              </w:rPr>
              <w:t>/</w:t>
            </w:r>
          </w:p>
          <w:p w14:paraId="1BA02C52" w14:textId="77777777" w:rsidR="00000000" w:rsidRDefault="00000000">
            <w:pPr>
              <w:spacing w:line="240" w:lineRule="exact"/>
              <w:rPr>
                <w:rFonts w:ascii="Arial" w:hAnsi="Arial" w:cs="Arial"/>
                <w:bCs/>
                <w:sz w:val="18"/>
                <w:szCs w:val="18"/>
              </w:rPr>
            </w:pPr>
            <w:r>
              <w:rPr>
                <w:rFonts w:ascii="Arial" w:hAnsi="Arial" w:cs="Arial"/>
                <w:bCs/>
                <w:sz w:val="18"/>
                <w:szCs w:val="18"/>
              </w:rPr>
              <w:t>元</w:t>
            </w:r>
            <w:r>
              <w:rPr>
                <w:rFonts w:ascii="Arial" w:hAnsi="Arial" w:cs="Arial"/>
                <w:bCs/>
                <w:sz w:val="18"/>
                <w:szCs w:val="18"/>
              </w:rPr>
              <w:t>/</w:t>
            </w:r>
            <w:r>
              <w:rPr>
                <w:rFonts w:ascii="Arial" w:hAnsi="Arial" w:cs="Arial"/>
                <w:bCs/>
                <w:sz w:val="18"/>
                <w:szCs w:val="18"/>
              </w:rPr>
              <w:t>㎡</w:t>
            </w:r>
          </w:p>
        </w:tc>
        <w:tc>
          <w:tcPr>
            <w:tcW w:w="953" w:type="dxa"/>
            <w:vMerge w:val="restart"/>
            <w:vAlign w:val="center"/>
          </w:tcPr>
          <w:p w14:paraId="6AD1010E" w14:textId="77777777" w:rsidR="00000000" w:rsidRDefault="00000000">
            <w:pPr>
              <w:spacing w:line="240" w:lineRule="exact"/>
              <w:rPr>
                <w:rFonts w:ascii="Arial" w:hAnsi="Arial" w:cs="Arial"/>
                <w:bCs/>
                <w:sz w:val="18"/>
                <w:szCs w:val="18"/>
              </w:rPr>
            </w:pPr>
            <w:r>
              <w:rPr>
                <w:rFonts w:ascii="Arial" w:hAnsi="Arial" w:cs="Arial"/>
                <w:bCs/>
                <w:sz w:val="18"/>
                <w:szCs w:val="18"/>
              </w:rPr>
              <w:t>楼面地价</w:t>
            </w:r>
            <w:r>
              <w:rPr>
                <w:rFonts w:ascii="Arial" w:hAnsi="Arial" w:cs="Arial"/>
                <w:bCs/>
                <w:sz w:val="18"/>
                <w:szCs w:val="18"/>
              </w:rPr>
              <w:t>/</w:t>
            </w:r>
            <w:r>
              <w:rPr>
                <w:rFonts w:ascii="Arial" w:hAnsi="Arial" w:cs="Arial"/>
                <w:bCs/>
                <w:sz w:val="18"/>
                <w:szCs w:val="18"/>
              </w:rPr>
              <w:t>元</w:t>
            </w:r>
            <w:r>
              <w:rPr>
                <w:rFonts w:ascii="Arial" w:hAnsi="Arial" w:cs="Arial"/>
                <w:bCs/>
                <w:sz w:val="18"/>
                <w:szCs w:val="18"/>
              </w:rPr>
              <w:t>/</w:t>
            </w:r>
            <w:r>
              <w:rPr>
                <w:rFonts w:ascii="Arial" w:hAnsi="Arial" w:cs="Arial"/>
                <w:bCs/>
                <w:sz w:val="18"/>
                <w:szCs w:val="18"/>
              </w:rPr>
              <w:t>㎡</w:t>
            </w:r>
          </w:p>
        </w:tc>
        <w:tc>
          <w:tcPr>
            <w:tcW w:w="953" w:type="dxa"/>
            <w:vMerge w:val="restart"/>
            <w:vAlign w:val="center"/>
          </w:tcPr>
          <w:p w14:paraId="6F2269EC" w14:textId="77777777" w:rsidR="00000000" w:rsidRDefault="00000000">
            <w:pPr>
              <w:spacing w:line="240" w:lineRule="exact"/>
              <w:rPr>
                <w:rFonts w:ascii="Arial" w:hAnsi="Arial" w:cs="Arial"/>
                <w:bCs/>
                <w:sz w:val="18"/>
                <w:szCs w:val="18"/>
              </w:rPr>
            </w:pPr>
            <w:r>
              <w:rPr>
                <w:rFonts w:ascii="Arial" w:hAnsi="Arial" w:cs="Arial"/>
                <w:bCs/>
                <w:sz w:val="18"/>
                <w:szCs w:val="18"/>
              </w:rPr>
              <w:t>总地价</w:t>
            </w:r>
            <w:r>
              <w:rPr>
                <w:rFonts w:ascii="Arial" w:hAnsi="Arial" w:cs="Arial"/>
                <w:bCs/>
                <w:sz w:val="18"/>
                <w:szCs w:val="18"/>
              </w:rPr>
              <w:t>/</w:t>
            </w:r>
            <w:r>
              <w:rPr>
                <w:rFonts w:ascii="Arial" w:hAnsi="Arial" w:cs="Arial"/>
                <w:bCs/>
                <w:sz w:val="18"/>
                <w:szCs w:val="18"/>
              </w:rPr>
              <w:t>万元</w:t>
            </w:r>
          </w:p>
        </w:tc>
      </w:tr>
      <w:tr w:rsidR="00000000" w14:paraId="3ECECCB7" w14:textId="77777777">
        <w:trPr>
          <w:cantSplit/>
          <w:jc w:val="center"/>
        </w:trPr>
        <w:tc>
          <w:tcPr>
            <w:tcW w:w="991" w:type="dxa"/>
            <w:vMerge/>
            <w:vAlign w:val="center"/>
          </w:tcPr>
          <w:p w14:paraId="29118ED5" w14:textId="77777777" w:rsidR="00000000" w:rsidRDefault="00000000">
            <w:pPr>
              <w:spacing w:line="240" w:lineRule="exact"/>
              <w:rPr>
                <w:rFonts w:ascii="Arial" w:hAnsi="Arial" w:cs="Arial"/>
                <w:bCs/>
                <w:sz w:val="18"/>
                <w:szCs w:val="18"/>
              </w:rPr>
            </w:pPr>
          </w:p>
        </w:tc>
        <w:tc>
          <w:tcPr>
            <w:tcW w:w="795" w:type="dxa"/>
            <w:vMerge/>
          </w:tcPr>
          <w:p w14:paraId="21A15D3E" w14:textId="77777777" w:rsidR="00000000" w:rsidRDefault="00000000">
            <w:pPr>
              <w:spacing w:line="240" w:lineRule="exact"/>
              <w:rPr>
                <w:rFonts w:ascii="Arial" w:hAnsi="Arial" w:cs="Arial"/>
                <w:bCs/>
                <w:sz w:val="18"/>
                <w:szCs w:val="18"/>
              </w:rPr>
            </w:pPr>
          </w:p>
        </w:tc>
        <w:tc>
          <w:tcPr>
            <w:tcW w:w="1187" w:type="dxa"/>
            <w:vMerge/>
            <w:vAlign w:val="center"/>
          </w:tcPr>
          <w:p w14:paraId="4682E186" w14:textId="77777777" w:rsidR="00000000" w:rsidRDefault="00000000">
            <w:pPr>
              <w:spacing w:line="240" w:lineRule="exact"/>
              <w:rPr>
                <w:rFonts w:ascii="Arial" w:hAnsi="Arial" w:cs="Arial"/>
                <w:bCs/>
                <w:sz w:val="18"/>
                <w:szCs w:val="18"/>
              </w:rPr>
            </w:pPr>
          </w:p>
        </w:tc>
        <w:tc>
          <w:tcPr>
            <w:tcW w:w="1148" w:type="dxa"/>
            <w:vMerge/>
            <w:vAlign w:val="center"/>
          </w:tcPr>
          <w:p w14:paraId="2612AEE4" w14:textId="77777777" w:rsidR="00000000" w:rsidRDefault="00000000">
            <w:pPr>
              <w:spacing w:line="240" w:lineRule="exact"/>
              <w:rPr>
                <w:rFonts w:ascii="Arial" w:hAnsi="Arial" w:cs="Arial"/>
                <w:bCs/>
                <w:sz w:val="18"/>
                <w:szCs w:val="18"/>
              </w:rPr>
            </w:pPr>
          </w:p>
        </w:tc>
        <w:tc>
          <w:tcPr>
            <w:tcW w:w="1039" w:type="dxa"/>
            <w:vAlign w:val="center"/>
          </w:tcPr>
          <w:p w14:paraId="35CC392B" w14:textId="77777777" w:rsidR="00000000" w:rsidRDefault="00000000">
            <w:pPr>
              <w:spacing w:line="240" w:lineRule="exact"/>
              <w:rPr>
                <w:rFonts w:ascii="Arial" w:hAnsi="Arial" w:cs="Arial"/>
                <w:bCs/>
                <w:sz w:val="18"/>
                <w:szCs w:val="18"/>
              </w:rPr>
            </w:pPr>
            <w:r>
              <w:rPr>
                <w:rFonts w:ascii="Arial" w:hAnsi="Arial" w:cs="Arial"/>
                <w:bCs/>
                <w:sz w:val="18"/>
                <w:szCs w:val="18"/>
              </w:rPr>
              <w:t>证载</w:t>
            </w:r>
          </w:p>
        </w:tc>
        <w:tc>
          <w:tcPr>
            <w:tcW w:w="747" w:type="dxa"/>
            <w:vAlign w:val="center"/>
          </w:tcPr>
          <w:p w14:paraId="76BA0660" w14:textId="77777777" w:rsidR="00000000" w:rsidRDefault="00000000">
            <w:pPr>
              <w:spacing w:line="240" w:lineRule="exact"/>
              <w:rPr>
                <w:rFonts w:ascii="Arial" w:hAnsi="Arial" w:cs="Arial"/>
                <w:bCs/>
                <w:sz w:val="18"/>
                <w:szCs w:val="18"/>
              </w:rPr>
            </w:pPr>
            <w:r>
              <w:rPr>
                <w:rFonts w:ascii="Arial" w:hAnsi="Arial" w:cs="Arial"/>
                <w:bCs/>
                <w:sz w:val="18"/>
                <w:szCs w:val="18"/>
              </w:rPr>
              <w:t>实际</w:t>
            </w:r>
          </w:p>
        </w:tc>
        <w:tc>
          <w:tcPr>
            <w:tcW w:w="747" w:type="dxa"/>
            <w:vAlign w:val="center"/>
          </w:tcPr>
          <w:p w14:paraId="59939652" w14:textId="77777777" w:rsidR="00000000" w:rsidRDefault="00000000">
            <w:pPr>
              <w:spacing w:line="240" w:lineRule="exact"/>
              <w:ind w:rightChars="-45" w:right="-108"/>
              <w:rPr>
                <w:rFonts w:ascii="Arial" w:hAnsi="Arial" w:cs="Arial"/>
                <w:bCs/>
                <w:sz w:val="18"/>
                <w:szCs w:val="18"/>
              </w:rPr>
            </w:pPr>
            <w:r>
              <w:rPr>
                <w:rFonts w:ascii="Arial" w:hAnsi="Arial" w:cs="Arial"/>
                <w:bCs/>
                <w:sz w:val="18"/>
                <w:szCs w:val="18"/>
              </w:rPr>
              <w:t>设定</w:t>
            </w:r>
          </w:p>
        </w:tc>
        <w:tc>
          <w:tcPr>
            <w:tcW w:w="576" w:type="dxa"/>
            <w:vAlign w:val="center"/>
          </w:tcPr>
          <w:p w14:paraId="0DFAB4F7" w14:textId="77777777" w:rsidR="00000000" w:rsidRDefault="00000000">
            <w:pPr>
              <w:spacing w:line="240" w:lineRule="exact"/>
              <w:rPr>
                <w:rFonts w:ascii="Arial" w:hAnsi="Arial" w:cs="Arial"/>
                <w:bCs/>
                <w:sz w:val="18"/>
                <w:szCs w:val="18"/>
              </w:rPr>
            </w:pPr>
            <w:r>
              <w:rPr>
                <w:rFonts w:ascii="Arial" w:hAnsi="Arial" w:cs="Arial"/>
                <w:bCs/>
                <w:sz w:val="18"/>
                <w:szCs w:val="18"/>
              </w:rPr>
              <w:t>规划</w:t>
            </w:r>
          </w:p>
        </w:tc>
        <w:tc>
          <w:tcPr>
            <w:tcW w:w="576" w:type="dxa"/>
            <w:vAlign w:val="center"/>
          </w:tcPr>
          <w:p w14:paraId="65FD0DCB" w14:textId="77777777" w:rsidR="00000000" w:rsidRDefault="00000000">
            <w:pPr>
              <w:spacing w:line="240" w:lineRule="exact"/>
              <w:rPr>
                <w:rFonts w:ascii="Arial" w:hAnsi="Arial" w:cs="Arial"/>
                <w:bCs/>
                <w:sz w:val="18"/>
                <w:szCs w:val="18"/>
              </w:rPr>
            </w:pPr>
            <w:r>
              <w:rPr>
                <w:rFonts w:ascii="Arial" w:hAnsi="Arial" w:cs="Arial"/>
                <w:bCs/>
                <w:sz w:val="18"/>
                <w:szCs w:val="18"/>
              </w:rPr>
              <w:t>实际</w:t>
            </w:r>
          </w:p>
        </w:tc>
        <w:tc>
          <w:tcPr>
            <w:tcW w:w="576" w:type="dxa"/>
            <w:vAlign w:val="center"/>
          </w:tcPr>
          <w:p w14:paraId="38070913" w14:textId="77777777" w:rsidR="00000000" w:rsidRDefault="00000000">
            <w:pPr>
              <w:spacing w:line="240" w:lineRule="exact"/>
              <w:rPr>
                <w:rFonts w:ascii="Arial" w:hAnsi="Arial" w:cs="Arial"/>
                <w:bCs/>
                <w:sz w:val="18"/>
                <w:szCs w:val="18"/>
              </w:rPr>
            </w:pPr>
            <w:r>
              <w:rPr>
                <w:rFonts w:ascii="Arial" w:hAnsi="Arial" w:cs="Arial"/>
                <w:bCs/>
                <w:sz w:val="18"/>
                <w:szCs w:val="18"/>
              </w:rPr>
              <w:t>设定</w:t>
            </w:r>
          </w:p>
        </w:tc>
        <w:tc>
          <w:tcPr>
            <w:tcW w:w="862" w:type="dxa"/>
            <w:vMerge/>
            <w:vAlign w:val="center"/>
          </w:tcPr>
          <w:p w14:paraId="00F40010" w14:textId="77777777" w:rsidR="00000000" w:rsidRDefault="00000000">
            <w:pPr>
              <w:spacing w:line="240" w:lineRule="exact"/>
              <w:rPr>
                <w:rFonts w:ascii="Arial" w:hAnsi="Arial" w:cs="Arial"/>
                <w:bCs/>
                <w:sz w:val="18"/>
                <w:szCs w:val="18"/>
              </w:rPr>
            </w:pPr>
          </w:p>
        </w:tc>
        <w:tc>
          <w:tcPr>
            <w:tcW w:w="862" w:type="dxa"/>
            <w:vMerge/>
            <w:vAlign w:val="center"/>
          </w:tcPr>
          <w:p w14:paraId="2BB31757" w14:textId="77777777" w:rsidR="00000000" w:rsidRDefault="00000000">
            <w:pPr>
              <w:spacing w:line="240" w:lineRule="exact"/>
              <w:rPr>
                <w:rFonts w:ascii="Arial" w:hAnsi="Arial" w:cs="Arial"/>
                <w:bCs/>
                <w:sz w:val="18"/>
                <w:szCs w:val="18"/>
              </w:rPr>
            </w:pPr>
          </w:p>
        </w:tc>
        <w:tc>
          <w:tcPr>
            <w:tcW w:w="1005" w:type="dxa"/>
            <w:vMerge/>
            <w:vAlign w:val="center"/>
          </w:tcPr>
          <w:p w14:paraId="109340EC" w14:textId="77777777" w:rsidR="00000000" w:rsidRDefault="00000000">
            <w:pPr>
              <w:spacing w:line="240" w:lineRule="exact"/>
              <w:rPr>
                <w:rFonts w:ascii="Arial" w:hAnsi="Arial" w:cs="Arial"/>
                <w:bCs/>
                <w:sz w:val="18"/>
                <w:szCs w:val="18"/>
              </w:rPr>
            </w:pPr>
          </w:p>
        </w:tc>
        <w:tc>
          <w:tcPr>
            <w:tcW w:w="953" w:type="dxa"/>
            <w:vMerge/>
            <w:vAlign w:val="center"/>
          </w:tcPr>
          <w:p w14:paraId="7C2E5451" w14:textId="77777777" w:rsidR="00000000" w:rsidRDefault="00000000">
            <w:pPr>
              <w:spacing w:line="240" w:lineRule="exact"/>
              <w:rPr>
                <w:rFonts w:ascii="Arial" w:hAnsi="Arial" w:cs="Arial"/>
                <w:bCs/>
                <w:sz w:val="18"/>
                <w:szCs w:val="18"/>
              </w:rPr>
            </w:pPr>
          </w:p>
        </w:tc>
        <w:tc>
          <w:tcPr>
            <w:tcW w:w="953" w:type="dxa"/>
            <w:vMerge/>
            <w:vAlign w:val="center"/>
          </w:tcPr>
          <w:p w14:paraId="1865A0ED" w14:textId="77777777" w:rsidR="00000000" w:rsidRDefault="00000000">
            <w:pPr>
              <w:spacing w:line="240" w:lineRule="exact"/>
              <w:rPr>
                <w:rFonts w:ascii="Arial" w:hAnsi="Arial" w:cs="Arial"/>
                <w:bCs/>
                <w:sz w:val="18"/>
                <w:szCs w:val="18"/>
              </w:rPr>
            </w:pPr>
          </w:p>
        </w:tc>
        <w:tc>
          <w:tcPr>
            <w:tcW w:w="953" w:type="dxa"/>
            <w:vMerge/>
            <w:vAlign w:val="center"/>
          </w:tcPr>
          <w:p w14:paraId="0DDB58C7" w14:textId="77777777" w:rsidR="00000000" w:rsidRDefault="00000000">
            <w:pPr>
              <w:spacing w:line="240" w:lineRule="exact"/>
              <w:rPr>
                <w:rFonts w:ascii="Arial" w:hAnsi="Arial" w:cs="Arial"/>
                <w:bCs/>
                <w:sz w:val="18"/>
                <w:szCs w:val="18"/>
              </w:rPr>
            </w:pPr>
          </w:p>
        </w:tc>
        <w:tc>
          <w:tcPr>
            <w:tcW w:w="953" w:type="dxa"/>
            <w:vMerge/>
            <w:vAlign w:val="center"/>
          </w:tcPr>
          <w:p w14:paraId="32E97202" w14:textId="77777777" w:rsidR="00000000" w:rsidRDefault="00000000">
            <w:pPr>
              <w:spacing w:line="240" w:lineRule="exact"/>
              <w:rPr>
                <w:rFonts w:ascii="Arial" w:hAnsi="Arial" w:cs="Arial"/>
                <w:bCs/>
                <w:sz w:val="18"/>
                <w:szCs w:val="18"/>
              </w:rPr>
            </w:pPr>
          </w:p>
        </w:tc>
        <w:tc>
          <w:tcPr>
            <w:tcW w:w="953" w:type="dxa"/>
            <w:vMerge/>
            <w:vAlign w:val="center"/>
          </w:tcPr>
          <w:p w14:paraId="40C7748B" w14:textId="77777777" w:rsidR="00000000" w:rsidRDefault="00000000">
            <w:pPr>
              <w:spacing w:line="240" w:lineRule="exact"/>
              <w:rPr>
                <w:rFonts w:ascii="Arial" w:hAnsi="Arial" w:cs="Arial"/>
                <w:bCs/>
                <w:sz w:val="18"/>
                <w:szCs w:val="18"/>
              </w:rPr>
            </w:pPr>
          </w:p>
        </w:tc>
      </w:tr>
      <w:tr w:rsidR="00000000" w14:paraId="4BA80BB7" w14:textId="77777777">
        <w:trPr>
          <w:cantSplit/>
          <w:jc w:val="center"/>
        </w:trPr>
        <w:tc>
          <w:tcPr>
            <w:tcW w:w="991" w:type="dxa"/>
            <w:vAlign w:val="center"/>
          </w:tcPr>
          <w:p w14:paraId="1E90689E" w14:textId="77777777" w:rsidR="00000000" w:rsidRDefault="00000000">
            <w:pPr>
              <w:spacing w:line="240" w:lineRule="exact"/>
              <w:rPr>
                <w:rFonts w:ascii="Arial" w:hAnsi="Arial" w:cs="Arial"/>
                <w:bCs/>
                <w:sz w:val="18"/>
                <w:szCs w:val="18"/>
              </w:rPr>
            </w:pPr>
            <w:r>
              <w:rPr>
                <w:rFonts w:ascii="Arial" w:hAnsi="Arial" w:cs="Arial" w:hint="eastAsia"/>
                <w:bCs/>
                <w:sz w:val="18"/>
                <w:szCs w:val="18"/>
              </w:rPr>
              <w:t>百泉庄村经济组织</w:t>
            </w:r>
          </w:p>
        </w:tc>
        <w:tc>
          <w:tcPr>
            <w:tcW w:w="795" w:type="dxa"/>
            <w:vAlign w:val="center"/>
          </w:tcPr>
          <w:p w14:paraId="250A2A99" w14:textId="77777777" w:rsidR="00000000" w:rsidRDefault="00000000">
            <w:pPr>
              <w:spacing w:line="240" w:lineRule="exact"/>
              <w:rPr>
                <w:rFonts w:ascii="Arial" w:hAnsi="Arial" w:cs="Arial"/>
                <w:bCs/>
                <w:sz w:val="18"/>
                <w:szCs w:val="18"/>
              </w:rPr>
            </w:pPr>
            <w:r>
              <w:rPr>
                <w:rFonts w:ascii="Arial" w:hAnsi="Arial" w:cs="Arial" w:hint="eastAsia"/>
                <w:bCs/>
                <w:sz w:val="18"/>
                <w:szCs w:val="18"/>
              </w:rPr>
              <w:t>——</w:t>
            </w:r>
          </w:p>
        </w:tc>
        <w:tc>
          <w:tcPr>
            <w:tcW w:w="1187" w:type="dxa"/>
            <w:vAlign w:val="center"/>
          </w:tcPr>
          <w:p w14:paraId="12110813" w14:textId="77777777" w:rsidR="00000000" w:rsidRDefault="00000000">
            <w:pPr>
              <w:spacing w:line="240" w:lineRule="exact"/>
              <w:rPr>
                <w:rFonts w:ascii="Arial" w:hAnsi="Arial" w:cs="Arial"/>
                <w:bCs/>
                <w:sz w:val="18"/>
                <w:szCs w:val="18"/>
              </w:rPr>
            </w:pPr>
            <w:r>
              <w:rPr>
                <w:rFonts w:ascii="Arial" w:hAnsi="Arial" w:cs="Arial"/>
                <w:bCs/>
                <w:sz w:val="18"/>
                <w:szCs w:val="18"/>
              </w:rPr>
              <w:t>北京市</w:t>
            </w:r>
            <w:r>
              <w:rPr>
                <w:rFonts w:ascii="Arial" w:hAnsi="Arial" w:cs="Arial" w:hint="eastAsia"/>
                <w:bCs/>
                <w:sz w:val="18"/>
                <w:szCs w:val="18"/>
              </w:rPr>
              <w:t>昌平区马池口镇百泉庄村集体土地租赁住房项目集体经营性建设用地使用权</w:t>
            </w:r>
          </w:p>
        </w:tc>
        <w:tc>
          <w:tcPr>
            <w:tcW w:w="1148" w:type="dxa"/>
            <w:vAlign w:val="center"/>
          </w:tcPr>
          <w:p w14:paraId="326F883C" w14:textId="77777777" w:rsidR="00000000" w:rsidRDefault="00000000">
            <w:pPr>
              <w:spacing w:line="240" w:lineRule="exact"/>
              <w:rPr>
                <w:rFonts w:ascii="Arial" w:hAnsi="Arial" w:cs="Arial"/>
                <w:bCs/>
                <w:sz w:val="18"/>
                <w:szCs w:val="18"/>
              </w:rPr>
            </w:pPr>
            <w:r>
              <w:rPr>
                <w:rFonts w:ascii="Arial" w:hAnsi="Arial" w:cs="Arial" w:hint="eastAsia"/>
                <w:bCs/>
                <w:sz w:val="18"/>
                <w:szCs w:val="18"/>
              </w:rPr>
              <w:t>——</w:t>
            </w:r>
          </w:p>
        </w:tc>
        <w:tc>
          <w:tcPr>
            <w:tcW w:w="1039" w:type="dxa"/>
            <w:vAlign w:val="center"/>
          </w:tcPr>
          <w:p w14:paraId="7BCA3CA3" w14:textId="77777777" w:rsidR="00000000" w:rsidRDefault="00000000">
            <w:pPr>
              <w:spacing w:line="240" w:lineRule="exact"/>
              <w:rPr>
                <w:rFonts w:ascii="Arial" w:hAnsi="Arial" w:cs="Arial"/>
                <w:bCs/>
                <w:sz w:val="18"/>
                <w:szCs w:val="18"/>
              </w:rPr>
            </w:pPr>
            <w:r>
              <w:rPr>
                <w:rFonts w:ascii="Arial" w:hAnsi="Arial" w:cs="Arial" w:hint="eastAsia"/>
                <w:bCs/>
                <w:sz w:val="18"/>
                <w:szCs w:val="18"/>
              </w:rPr>
              <w:t>——</w:t>
            </w:r>
          </w:p>
        </w:tc>
        <w:tc>
          <w:tcPr>
            <w:tcW w:w="747" w:type="dxa"/>
            <w:vAlign w:val="center"/>
          </w:tcPr>
          <w:p w14:paraId="18852710" w14:textId="77777777" w:rsidR="00000000" w:rsidRDefault="00000000">
            <w:pPr>
              <w:spacing w:line="240" w:lineRule="exact"/>
              <w:rPr>
                <w:rFonts w:ascii="Arial" w:hAnsi="Arial" w:cs="Arial" w:hint="eastAsia"/>
                <w:bCs/>
                <w:sz w:val="18"/>
                <w:szCs w:val="18"/>
              </w:rPr>
            </w:pPr>
            <w:r>
              <w:rPr>
                <w:rFonts w:ascii="Arial" w:hAnsi="Arial" w:cs="Arial" w:hint="eastAsia"/>
                <w:bCs/>
                <w:sz w:val="18"/>
                <w:szCs w:val="18"/>
              </w:rPr>
              <w:t>——</w:t>
            </w:r>
          </w:p>
        </w:tc>
        <w:tc>
          <w:tcPr>
            <w:tcW w:w="747" w:type="dxa"/>
            <w:vAlign w:val="center"/>
          </w:tcPr>
          <w:p w14:paraId="47384F61" w14:textId="77777777" w:rsidR="00000000" w:rsidRDefault="00000000">
            <w:pPr>
              <w:spacing w:line="240" w:lineRule="exact"/>
              <w:rPr>
                <w:rFonts w:ascii="Arial" w:hAnsi="Arial" w:cs="Arial"/>
                <w:bCs/>
                <w:sz w:val="18"/>
                <w:szCs w:val="18"/>
              </w:rPr>
            </w:pPr>
            <w:r>
              <w:rPr>
                <w:rFonts w:ascii="Arial" w:hAnsi="Arial" w:cs="Arial" w:hint="eastAsia"/>
                <w:bCs/>
                <w:sz w:val="18"/>
                <w:szCs w:val="18"/>
              </w:rPr>
              <w:t>集租房</w:t>
            </w:r>
          </w:p>
        </w:tc>
        <w:tc>
          <w:tcPr>
            <w:tcW w:w="576" w:type="dxa"/>
            <w:vAlign w:val="center"/>
          </w:tcPr>
          <w:p w14:paraId="564A096A" w14:textId="77777777" w:rsidR="00000000" w:rsidRDefault="00000000">
            <w:pPr>
              <w:spacing w:line="240" w:lineRule="exact"/>
              <w:rPr>
                <w:rFonts w:ascii="Arial" w:hAnsi="Arial" w:cs="Arial"/>
                <w:bCs/>
                <w:sz w:val="18"/>
                <w:szCs w:val="18"/>
              </w:rPr>
            </w:pPr>
            <w:r>
              <w:rPr>
                <w:rFonts w:ascii="Arial" w:hAnsi="Arial" w:cs="Arial"/>
                <w:bCs/>
                <w:sz w:val="18"/>
                <w:szCs w:val="18"/>
              </w:rPr>
              <w:t>1.8</w:t>
            </w:r>
          </w:p>
        </w:tc>
        <w:tc>
          <w:tcPr>
            <w:tcW w:w="576" w:type="dxa"/>
            <w:vAlign w:val="center"/>
          </w:tcPr>
          <w:p w14:paraId="715804CA" w14:textId="77777777" w:rsidR="00000000" w:rsidRDefault="00000000">
            <w:pPr>
              <w:spacing w:line="240" w:lineRule="exact"/>
              <w:rPr>
                <w:rFonts w:ascii="Arial" w:hAnsi="Arial" w:cs="Arial"/>
                <w:bCs/>
                <w:sz w:val="18"/>
                <w:szCs w:val="18"/>
              </w:rPr>
            </w:pPr>
            <w:r>
              <w:rPr>
                <w:rFonts w:ascii="Arial" w:hAnsi="Arial" w:cs="Arial" w:hint="eastAsia"/>
                <w:bCs/>
                <w:sz w:val="18"/>
                <w:szCs w:val="18"/>
              </w:rPr>
              <w:t>——</w:t>
            </w:r>
          </w:p>
        </w:tc>
        <w:tc>
          <w:tcPr>
            <w:tcW w:w="576" w:type="dxa"/>
            <w:vAlign w:val="center"/>
          </w:tcPr>
          <w:p w14:paraId="58BCBF0E" w14:textId="77777777" w:rsidR="00000000" w:rsidRDefault="00000000">
            <w:pPr>
              <w:spacing w:line="240" w:lineRule="exact"/>
              <w:rPr>
                <w:rFonts w:ascii="Arial" w:hAnsi="Arial" w:cs="Arial"/>
                <w:bCs/>
                <w:sz w:val="18"/>
                <w:szCs w:val="18"/>
              </w:rPr>
            </w:pPr>
            <w:r>
              <w:rPr>
                <w:rFonts w:ascii="Arial" w:hAnsi="Arial" w:cs="Arial"/>
                <w:bCs/>
                <w:sz w:val="18"/>
                <w:szCs w:val="18"/>
              </w:rPr>
              <w:t>1.8</w:t>
            </w:r>
          </w:p>
        </w:tc>
        <w:tc>
          <w:tcPr>
            <w:tcW w:w="862" w:type="dxa"/>
            <w:vAlign w:val="center"/>
          </w:tcPr>
          <w:p w14:paraId="5BFA57B9" w14:textId="77777777" w:rsidR="00000000" w:rsidRDefault="00000000">
            <w:pPr>
              <w:spacing w:line="240" w:lineRule="exact"/>
              <w:rPr>
                <w:rFonts w:ascii="Arial" w:hAnsi="Arial" w:cs="Arial"/>
                <w:bCs/>
                <w:sz w:val="18"/>
                <w:szCs w:val="18"/>
              </w:rPr>
            </w:pPr>
            <w:r>
              <w:rPr>
                <w:rFonts w:ascii="Arial" w:hAnsi="Arial" w:cs="Arial"/>
                <w:bCs/>
                <w:sz w:val="18"/>
                <w:szCs w:val="18"/>
              </w:rPr>
              <w:t>三通</w:t>
            </w:r>
            <w:r>
              <w:rPr>
                <w:rFonts w:ascii="Arial" w:hAnsi="Arial" w:cs="Arial" w:hint="eastAsia"/>
                <w:bCs/>
                <w:sz w:val="18"/>
                <w:szCs w:val="18"/>
              </w:rPr>
              <w:t>、宗地红线内场地未平整，宗地内有需要移除的树木</w:t>
            </w:r>
            <w:r>
              <w:rPr>
                <w:rFonts w:ascii="Arial" w:hAnsi="Arial" w:cs="Arial"/>
                <w:bCs/>
                <w:sz w:val="18"/>
                <w:szCs w:val="18"/>
              </w:rPr>
              <w:t>一平</w:t>
            </w:r>
          </w:p>
        </w:tc>
        <w:tc>
          <w:tcPr>
            <w:tcW w:w="862" w:type="dxa"/>
            <w:vAlign w:val="center"/>
          </w:tcPr>
          <w:p w14:paraId="2E0433AB" w14:textId="77777777" w:rsidR="00000000" w:rsidRDefault="00000000">
            <w:pPr>
              <w:spacing w:line="240" w:lineRule="exact"/>
              <w:rPr>
                <w:rFonts w:ascii="Arial" w:hAnsi="Arial" w:cs="Arial"/>
                <w:bCs/>
                <w:sz w:val="18"/>
                <w:szCs w:val="18"/>
              </w:rPr>
            </w:pPr>
            <w:r>
              <w:rPr>
                <w:rFonts w:ascii="Arial" w:hAnsi="Arial" w:cs="Arial"/>
                <w:bCs/>
                <w:sz w:val="18"/>
                <w:szCs w:val="18"/>
              </w:rPr>
              <w:t>三通一平</w:t>
            </w:r>
          </w:p>
        </w:tc>
        <w:tc>
          <w:tcPr>
            <w:tcW w:w="1005" w:type="dxa"/>
            <w:vAlign w:val="center"/>
          </w:tcPr>
          <w:p w14:paraId="723EEA54" w14:textId="77777777" w:rsidR="00000000" w:rsidRDefault="00000000">
            <w:pPr>
              <w:spacing w:line="240" w:lineRule="exact"/>
              <w:rPr>
                <w:rFonts w:ascii="Arial" w:hAnsi="Arial" w:cs="Arial"/>
                <w:bCs/>
                <w:sz w:val="18"/>
                <w:szCs w:val="18"/>
              </w:rPr>
            </w:pPr>
            <w:r>
              <w:rPr>
                <w:rFonts w:ascii="Arial" w:hAnsi="Arial" w:cs="Arial"/>
                <w:bCs/>
                <w:sz w:val="18"/>
                <w:szCs w:val="18"/>
              </w:rPr>
              <w:t>50</w:t>
            </w:r>
          </w:p>
        </w:tc>
        <w:tc>
          <w:tcPr>
            <w:tcW w:w="953" w:type="dxa"/>
            <w:vAlign w:val="center"/>
          </w:tcPr>
          <w:p w14:paraId="72B09618" w14:textId="77777777" w:rsidR="00000000" w:rsidRDefault="00000000">
            <w:pPr>
              <w:spacing w:line="240" w:lineRule="exact"/>
              <w:rPr>
                <w:rFonts w:ascii="Arial" w:hAnsi="Arial" w:cs="Arial"/>
                <w:bCs/>
                <w:sz w:val="18"/>
                <w:szCs w:val="18"/>
              </w:rPr>
            </w:pPr>
            <w:r>
              <w:rPr>
                <w:rFonts w:ascii="Arial" w:hAnsi="Arial" w:cs="Arial" w:hint="eastAsia"/>
                <w:bCs/>
                <w:sz w:val="18"/>
                <w:szCs w:val="18"/>
              </w:rPr>
              <w:t>18132</w:t>
            </w:r>
          </w:p>
        </w:tc>
        <w:tc>
          <w:tcPr>
            <w:tcW w:w="953" w:type="dxa"/>
            <w:vAlign w:val="center"/>
          </w:tcPr>
          <w:p w14:paraId="7B7B010A" w14:textId="77777777" w:rsidR="00000000" w:rsidRDefault="00000000">
            <w:pPr>
              <w:spacing w:line="240" w:lineRule="exact"/>
              <w:rPr>
                <w:rFonts w:ascii="Arial" w:hAnsi="Arial" w:cs="Arial"/>
                <w:bCs/>
                <w:sz w:val="18"/>
                <w:szCs w:val="18"/>
              </w:rPr>
            </w:pPr>
            <w:r>
              <w:rPr>
                <w:rFonts w:ascii="Arial" w:hAnsi="Arial" w:cs="Arial" w:hint="eastAsia"/>
                <w:bCs/>
                <w:sz w:val="18"/>
                <w:szCs w:val="18"/>
              </w:rPr>
              <w:t>43300</w:t>
            </w:r>
          </w:p>
        </w:tc>
        <w:tc>
          <w:tcPr>
            <w:tcW w:w="953" w:type="dxa"/>
            <w:vAlign w:val="center"/>
          </w:tcPr>
          <w:p w14:paraId="38E3D33F" w14:textId="77777777" w:rsidR="00000000" w:rsidRDefault="00000000">
            <w:pPr>
              <w:spacing w:line="240" w:lineRule="exact"/>
              <w:rPr>
                <w:rFonts w:ascii="Arial" w:hAnsi="Arial" w:cs="Arial"/>
                <w:bCs/>
                <w:sz w:val="18"/>
                <w:szCs w:val="18"/>
              </w:rPr>
            </w:pPr>
            <w:r>
              <w:rPr>
                <w:rFonts w:ascii="Arial" w:hAnsi="Arial" w:cs="Arial" w:hint="eastAsia"/>
                <w:bCs/>
                <w:sz w:val="18"/>
                <w:szCs w:val="18"/>
              </w:rPr>
              <w:t>1439</w:t>
            </w:r>
          </w:p>
        </w:tc>
        <w:tc>
          <w:tcPr>
            <w:tcW w:w="953" w:type="dxa"/>
            <w:vAlign w:val="center"/>
          </w:tcPr>
          <w:p w14:paraId="172BE00C" w14:textId="77777777" w:rsidR="00000000" w:rsidRDefault="00000000">
            <w:pPr>
              <w:spacing w:line="240" w:lineRule="exact"/>
              <w:rPr>
                <w:rFonts w:ascii="Arial" w:hAnsi="Arial" w:cs="Arial" w:hint="eastAsia"/>
                <w:bCs/>
                <w:sz w:val="18"/>
                <w:szCs w:val="18"/>
              </w:rPr>
            </w:pPr>
            <w:r>
              <w:rPr>
                <w:rFonts w:ascii="Arial" w:hAnsi="Arial" w:cs="Arial" w:hint="eastAsia"/>
                <w:bCs/>
                <w:sz w:val="18"/>
                <w:szCs w:val="18"/>
              </w:rPr>
              <w:t>603</w:t>
            </w:r>
          </w:p>
        </w:tc>
        <w:tc>
          <w:tcPr>
            <w:tcW w:w="953" w:type="dxa"/>
            <w:vAlign w:val="center"/>
          </w:tcPr>
          <w:p w14:paraId="093EDCC4" w14:textId="77777777" w:rsidR="00000000" w:rsidRDefault="00000000">
            <w:pPr>
              <w:spacing w:line="240" w:lineRule="exact"/>
              <w:rPr>
                <w:rFonts w:ascii="Arial" w:hAnsi="Arial" w:cs="Arial" w:hint="eastAsia"/>
                <w:bCs/>
                <w:sz w:val="18"/>
                <w:szCs w:val="18"/>
              </w:rPr>
            </w:pPr>
            <w:r>
              <w:rPr>
                <w:rFonts w:ascii="Arial" w:hAnsi="Arial" w:cs="Arial" w:hint="eastAsia"/>
                <w:bCs/>
                <w:sz w:val="18"/>
                <w:szCs w:val="18"/>
              </w:rPr>
              <w:t>2438.16</w:t>
            </w:r>
          </w:p>
        </w:tc>
      </w:tr>
      <w:tr w:rsidR="00000000" w14:paraId="5EB5A847" w14:textId="77777777">
        <w:trPr>
          <w:cantSplit/>
          <w:jc w:val="center"/>
        </w:trPr>
        <w:tc>
          <w:tcPr>
            <w:tcW w:w="14923" w:type="dxa"/>
            <w:gridSpan w:val="17"/>
            <w:tcBorders>
              <w:left w:val="nil"/>
              <w:bottom w:val="nil"/>
              <w:right w:val="nil"/>
            </w:tcBorders>
            <w:vAlign w:val="center"/>
          </w:tcPr>
          <w:p w14:paraId="08D65462" w14:textId="77777777" w:rsidR="00000000" w:rsidRDefault="00000000">
            <w:pPr>
              <w:spacing w:line="240" w:lineRule="exact"/>
              <w:rPr>
                <w:rFonts w:ascii="Arial" w:hAnsi="Arial" w:cs="Arial"/>
                <w:b/>
                <w:bCs/>
                <w:sz w:val="18"/>
                <w:szCs w:val="18"/>
              </w:rPr>
            </w:pPr>
            <w:r>
              <w:rPr>
                <w:rFonts w:ascii="Arial" w:hAnsi="Arial" w:cs="Arial"/>
                <w:sz w:val="18"/>
                <w:szCs w:val="18"/>
              </w:rPr>
              <w:t>币种：人民币</w:t>
            </w:r>
          </w:p>
        </w:tc>
        <w:tc>
          <w:tcPr>
            <w:tcW w:w="953" w:type="dxa"/>
            <w:tcBorders>
              <w:left w:val="nil"/>
              <w:bottom w:val="nil"/>
              <w:right w:val="nil"/>
            </w:tcBorders>
            <w:vAlign w:val="center"/>
          </w:tcPr>
          <w:p w14:paraId="216FF278" w14:textId="77777777" w:rsidR="00000000" w:rsidRDefault="00000000">
            <w:pPr>
              <w:spacing w:line="240" w:lineRule="exact"/>
              <w:rPr>
                <w:rFonts w:ascii="Arial" w:hAnsi="Arial" w:cs="Arial"/>
                <w:b/>
                <w:bCs/>
                <w:sz w:val="18"/>
                <w:szCs w:val="18"/>
                <w:u w:val="single"/>
              </w:rPr>
            </w:pPr>
          </w:p>
        </w:tc>
      </w:tr>
    </w:tbl>
    <w:p w14:paraId="7A059EF4" w14:textId="77777777" w:rsidR="00000000" w:rsidRDefault="00000000">
      <w:pPr>
        <w:spacing w:line="360" w:lineRule="auto"/>
        <w:rPr>
          <w:rFonts w:ascii="Arial" w:hAnsi="Arial" w:cs="Arial"/>
          <w:sz w:val="18"/>
          <w:szCs w:val="18"/>
        </w:rPr>
      </w:pPr>
    </w:p>
    <w:p w14:paraId="44AFFDD0" w14:textId="77777777" w:rsidR="00000000" w:rsidRDefault="00000000">
      <w:pPr>
        <w:spacing w:line="360" w:lineRule="auto"/>
        <w:rPr>
          <w:rFonts w:ascii="Arial" w:hAnsi="Arial" w:cs="Arial"/>
          <w:sz w:val="28"/>
          <w:szCs w:val="28"/>
        </w:rPr>
      </w:pPr>
      <w:r>
        <w:rPr>
          <w:rFonts w:ascii="Arial" w:hAnsi="Arial" w:cs="Arial"/>
          <w:sz w:val="28"/>
          <w:szCs w:val="28"/>
        </w:rPr>
        <w:t>（转下页）</w:t>
      </w:r>
    </w:p>
    <w:p w14:paraId="2EA8E21D" w14:textId="77777777" w:rsidR="00000000" w:rsidRDefault="00000000">
      <w:pPr>
        <w:spacing w:line="360" w:lineRule="auto"/>
        <w:jc w:val="right"/>
        <w:rPr>
          <w:rFonts w:ascii="Arial" w:hAnsi="Arial" w:cs="Arial"/>
          <w:b/>
          <w:sz w:val="18"/>
          <w:szCs w:val="18"/>
        </w:rPr>
        <w:sectPr w:rsidR="00000000">
          <w:headerReference w:type="default" r:id="rId22"/>
          <w:footerReference w:type="default" r:id="rId23"/>
          <w:headerReference w:type="first" r:id="rId24"/>
          <w:pgSz w:w="16840" w:h="11907" w:orient="landscape"/>
          <w:pgMar w:top="2041" w:right="1134" w:bottom="1134" w:left="1134" w:header="1304" w:footer="1020" w:gutter="0"/>
          <w:cols w:space="720"/>
          <w:titlePg/>
          <w:docGrid w:linePitch="326"/>
        </w:sectPr>
      </w:pPr>
    </w:p>
    <w:p w14:paraId="1FF74C4D" w14:textId="77777777" w:rsidR="00000000" w:rsidRDefault="00000000">
      <w:pPr>
        <w:spacing w:line="360" w:lineRule="auto"/>
        <w:ind w:left="1"/>
        <w:jc w:val="both"/>
        <w:rPr>
          <w:rFonts w:ascii="Arial" w:hAnsi="Arial" w:cs="Arial"/>
          <w:b/>
        </w:rPr>
      </w:pPr>
      <w:r>
        <w:rPr>
          <w:rFonts w:ascii="Arial" w:hAnsi="Arial" w:cs="Arial"/>
          <w:b/>
        </w:rPr>
        <w:lastRenderedPageBreak/>
        <w:t>一、上述咨询结果的限定条件</w:t>
      </w:r>
    </w:p>
    <w:p w14:paraId="6D36F0AC" w14:textId="77777777" w:rsidR="00000000" w:rsidRDefault="00000000">
      <w:pPr>
        <w:spacing w:line="360" w:lineRule="auto"/>
        <w:jc w:val="both"/>
        <w:rPr>
          <w:rFonts w:ascii="Arial" w:hAnsi="Arial" w:cs="Arial"/>
          <w:bCs/>
        </w:rPr>
      </w:pPr>
      <w:r>
        <w:rPr>
          <w:rFonts w:ascii="Arial" w:hAnsi="Arial" w:cs="Arial"/>
          <w:bCs/>
        </w:rPr>
        <w:t>（一）土地权利限制：截至咨询期日，咨询对象未设定抵押、租赁等他项权利；</w:t>
      </w:r>
      <w:r>
        <w:rPr>
          <w:rFonts w:ascii="Arial" w:hAnsi="Arial" w:cs="Arial"/>
          <w:bCs/>
        </w:rPr>
        <w:t xml:space="preserve"> </w:t>
      </w:r>
    </w:p>
    <w:p w14:paraId="6FBBFA5B" w14:textId="77777777" w:rsidR="00000000" w:rsidRDefault="00000000">
      <w:pPr>
        <w:spacing w:line="360" w:lineRule="auto"/>
        <w:jc w:val="both"/>
        <w:rPr>
          <w:rFonts w:ascii="Arial" w:hAnsi="Arial" w:cs="Arial"/>
          <w:bCs/>
        </w:rPr>
      </w:pPr>
      <w:r>
        <w:rPr>
          <w:rFonts w:ascii="Arial" w:hAnsi="Arial" w:cs="Arial"/>
          <w:bCs/>
        </w:rPr>
        <w:t>（二）基础设施条件：咨询对象实际开发程度为</w:t>
      </w:r>
      <w:r>
        <w:rPr>
          <w:rFonts w:ascii="Arial" w:hAnsi="Arial" w:cs="Arial" w:hint="eastAsia"/>
          <w:bCs/>
        </w:rPr>
        <w:t>“三通”、宗地红线内场地未平整，宗地内有需要移除的树木</w:t>
      </w:r>
      <w:r>
        <w:rPr>
          <w:rFonts w:ascii="Arial" w:hAnsi="Arial" w:cs="Arial"/>
          <w:bCs/>
        </w:rPr>
        <w:t>；本次评估设定开发程度为</w:t>
      </w:r>
      <w:r>
        <w:rPr>
          <w:rFonts w:ascii="Arial" w:hAnsi="Arial" w:cs="Arial"/>
          <w:bCs/>
        </w:rPr>
        <w:t xml:space="preserve">“ </w:t>
      </w:r>
      <w:r>
        <w:rPr>
          <w:rFonts w:ascii="Arial" w:hAnsi="Arial" w:cs="Arial"/>
          <w:bCs/>
        </w:rPr>
        <w:t>三通一平</w:t>
      </w:r>
      <w:r>
        <w:rPr>
          <w:rFonts w:ascii="Arial" w:hAnsi="Arial" w:cs="Arial"/>
          <w:bCs/>
        </w:rPr>
        <w:t>”</w:t>
      </w:r>
      <w:r>
        <w:rPr>
          <w:rFonts w:ascii="Arial" w:hAnsi="Arial" w:cs="Arial"/>
          <w:bCs/>
        </w:rPr>
        <w:t>；</w:t>
      </w:r>
    </w:p>
    <w:p w14:paraId="19806946" w14:textId="77777777" w:rsidR="00000000" w:rsidRDefault="00000000">
      <w:pPr>
        <w:spacing w:line="360" w:lineRule="auto"/>
        <w:ind w:left="2"/>
        <w:jc w:val="both"/>
        <w:rPr>
          <w:rFonts w:ascii="Arial" w:hAnsi="Arial" w:cs="Arial"/>
          <w:bCs/>
        </w:rPr>
      </w:pPr>
      <w:r>
        <w:rPr>
          <w:rFonts w:ascii="Arial" w:hAnsi="Arial" w:cs="Arial"/>
          <w:bCs/>
        </w:rPr>
        <w:t>（三）规划限制条件：</w:t>
      </w:r>
      <w:r>
        <w:rPr>
          <w:rFonts w:ascii="Arial" w:eastAsia="仿宋_GB2312;仿宋" w:hAnsi="Arial" w:cs="Arial"/>
          <w:bCs/>
        </w:rPr>
        <w:t>委托方及</w:t>
      </w:r>
      <w:r>
        <w:rPr>
          <w:rFonts w:ascii="Arial" w:eastAsia="仿宋_GB2312;仿宋" w:hAnsi="Arial" w:cs="Arial" w:hint="eastAsia"/>
          <w:bCs/>
        </w:rPr>
        <w:t>土地使用权人</w:t>
      </w:r>
      <w:r>
        <w:rPr>
          <w:rFonts w:ascii="Arial" w:eastAsia="仿宋_GB2312;仿宋" w:hAnsi="Arial" w:cs="Arial"/>
          <w:bCs/>
        </w:rPr>
        <w:t>未提供咨询对象的规划资料</w:t>
      </w:r>
      <w:r>
        <w:rPr>
          <w:rFonts w:ascii="Arial" w:hAnsi="Arial" w:cs="Arial"/>
          <w:bCs/>
        </w:rPr>
        <w:t>；</w:t>
      </w:r>
      <w:r>
        <w:rPr>
          <w:rFonts w:ascii="Arial" w:hAnsi="Arial" w:cs="Arial"/>
          <w:bCs/>
        </w:rPr>
        <w:t xml:space="preserve"> </w:t>
      </w:r>
    </w:p>
    <w:p w14:paraId="6E5371C7" w14:textId="77777777" w:rsidR="00000000" w:rsidRDefault="00000000">
      <w:pPr>
        <w:spacing w:line="360" w:lineRule="auto"/>
        <w:ind w:left="2"/>
        <w:jc w:val="both"/>
        <w:rPr>
          <w:rFonts w:ascii="Arial" w:hAnsi="Arial" w:cs="Arial"/>
          <w:bCs/>
        </w:rPr>
      </w:pPr>
      <w:r>
        <w:rPr>
          <w:rFonts w:ascii="Arial" w:hAnsi="Arial" w:cs="Arial"/>
          <w:bCs/>
        </w:rPr>
        <w:t>（四）影响土地价格的其他限定条件：无。</w:t>
      </w:r>
    </w:p>
    <w:p w14:paraId="1240C6D9" w14:textId="77777777" w:rsidR="00000000" w:rsidRDefault="00000000">
      <w:pPr>
        <w:spacing w:line="360" w:lineRule="auto"/>
        <w:jc w:val="both"/>
        <w:rPr>
          <w:rFonts w:ascii="Arial" w:hAnsi="Arial" w:cs="Arial"/>
          <w:bCs/>
        </w:rPr>
      </w:pPr>
      <w:r>
        <w:rPr>
          <w:rFonts w:ascii="Arial" w:hAnsi="Arial" w:cs="Arial"/>
          <w:b/>
        </w:rPr>
        <w:t>二、其他需要说明的事项</w:t>
      </w:r>
      <w:r>
        <w:rPr>
          <w:rFonts w:ascii="Arial" w:hAnsi="Arial" w:cs="Arial"/>
          <w:bCs/>
        </w:rPr>
        <w:t>：详见报告中的特殊事项说明及假设和限制条件。</w:t>
      </w:r>
    </w:p>
    <w:p w14:paraId="5A192781" w14:textId="77777777" w:rsidR="00000000" w:rsidRDefault="00000000">
      <w:pPr>
        <w:spacing w:line="360" w:lineRule="auto"/>
        <w:rPr>
          <w:rFonts w:ascii="Arial" w:hAnsi="Arial" w:cs="Arial"/>
          <w:bCs/>
        </w:rPr>
      </w:pPr>
      <w:r>
        <w:rPr>
          <w:rFonts w:ascii="Arial" w:hAnsi="Arial" w:cs="Arial"/>
          <w:bCs/>
        </w:rPr>
        <w:t xml:space="preserve"> </w:t>
      </w:r>
    </w:p>
    <w:p w14:paraId="120D744E" w14:textId="77777777" w:rsidR="00000000" w:rsidRDefault="00000000">
      <w:pPr>
        <w:spacing w:line="360" w:lineRule="auto"/>
        <w:ind w:firstLine="7500"/>
        <w:jc w:val="right"/>
        <w:rPr>
          <w:rFonts w:ascii="Arial" w:hAnsi="Arial" w:cs="Arial"/>
          <w:bCs/>
        </w:rPr>
      </w:pPr>
    </w:p>
    <w:p w14:paraId="29339227" w14:textId="77777777" w:rsidR="00000000" w:rsidRDefault="00000000">
      <w:pPr>
        <w:spacing w:line="360" w:lineRule="auto"/>
        <w:ind w:firstLine="7500"/>
        <w:jc w:val="right"/>
        <w:rPr>
          <w:rFonts w:ascii="Arial" w:hAnsi="Arial" w:cs="Arial" w:hint="eastAsia"/>
          <w:bCs/>
        </w:rPr>
      </w:pPr>
    </w:p>
    <w:p w14:paraId="3A7AB663" w14:textId="77777777" w:rsidR="00000000" w:rsidRDefault="00000000">
      <w:pPr>
        <w:spacing w:line="360" w:lineRule="auto"/>
        <w:ind w:firstLine="3828"/>
        <w:jc w:val="right"/>
        <w:rPr>
          <w:rFonts w:ascii="Arial" w:hAnsi="Arial" w:cs="Arial"/>
          <w:bCs/>
        </w:rPr>
      </w:pPr>
      <w:r>
        <w:rPr>
          <w:rFonts w:ascii="Arial" w:hAnsi="Arial" w:cs="Arial"/>
          <w:bCs/>
        </w:rPr>
        <w:t>估价机构：北京康正宏基房地产评估有限公司</w:t>
      </w:r>
    </w:p>
    <w:p w14:paraId="10B3D41A" w14:textId="77777777" w:rsidR="00000000" w:rsidRDefault="00000000">
      <w:pPr>
        <w:spacing w:line="360" w:lineRule="auto"/>
        <w:jc w:val="right"/>
        <w:rPr>
          <w:rFonts w:ascii="Arial" w:hAnsi="Arial" w:cs="Arial" w:hint="eastAsia"/>
          <w:sz w:val="28"/>
        </w:rPr>
      </w:pPr>
      <w:r>
        <w:rPr>
          <w:rFonts w:ascii="Arial" w:hAnsi="Arial" w:cs="Arial" w:hint="eastAsia"/>
          <w:bCs/>
        </w:rPr>
        <w:t>2025</w:t>
      </w:r>
      <w:r>
        <w:rPr>
          <w:rFonts w:ascii="Arial" w:hAnsi="Arial" w:cs="Arial" w:hint="eastAsia"/>
          <w:bCs/>
        </w:rPr>
        <w:t>年</w:t>
      </w:r>
      <w:r>
        <w:rPr>
          <w:rFonts w:ascii="Arial" w:hAnsi="Arial" w:cs="Arial" w:hint="eastAsia"/>
          <w:bCs/>
        </w:rPr>
        <w:t>10</w:t>
      </w:r>
      <w:r>
        <w:rPr>
          <w:rFonts w:ascii="Arial" w:hAnsi="Arial" w:cs="Arial" w:hint="eastAsia"/>
          <w:bCs/>
        </w:rPr>
        <w:t>月</w:t>
      </w:r>
      <w:r>
        <w:rPr>
          <w:rFonts w:ascii="Arial" w:hAnsi="Arial" w:cs="Arial" w:hint="eastAsia"/>
          <w:bCs/>
        </w:rPr>
        <w:t>19</w:t>
      </w:r>
      <w:r>
        <w:rPr>
          <w:rFonts w:ascii="Arial" w:hAnsi="Arial" w:cs="Arial" w:hint="eastAsia"/>
          <w:bCs/>
        </w:rPr>
        <w:t>日</w:t>
      </w:r>
    </w:p>
    <w:p w14:paraId="5DDC9EA5" w14:textId="77777777" w:rsidR="00000000" w:rsidRDefault="00000000">
      <w:pPr>
        <w:spacing w:line="360" w:lineRule="auto"/>
        <w:ind w:firstLineChars="1600" w:firstLine="4480"/>
        <w:rPr>
          <w:rFonts w:ascii="Arial" w:hAnsi="Arial" w:cs="Arial"/>
          <w:sz w:val="28"/>
        </w:rPr>
        <w:sectPr w:rsidR="00000000">
          <w:headerReference w:type="first" r:id="rId25"/>
          <w:pgSz w:w="11907" w:h="16840"/>
          <w:pgMar w:top="1843" w:right="1304" w:bottom="1134" w:left="1304" w:header="1134" w:footer="850" w:gutter="0"/>
          <w:cols w:space="720"/>
          <w:titlePg/>
          <w:docGrid w:linePitch="326"/>
        </w:sectPr>
      </w:pPr>
    </w:p>
    <w:p w14:paraId="73BEF86E" w14:textId="77777777" w:rsidR="00000000" w:rsidRDefault="00000000">
      <w:pPr>
        <w:spacing w:line="360" w:lineRule="auto"/>
        <w:jc w:val="center"/>
        <w:outlineLvl w:val="0"/>
        <w:rPr>
          <w:rFonts w:ascii="Arial" w:hAnsi="Arial" w:cs="Arial"/>
          <w:b/>
          <w:sz w:val="32"/>
        </w:rPr>
      </w:pPr>
      <w:bookmarkStart w:id="93" w:name="_Toc10210"/>
      <w:bookmarkStart w:id="94" w:name="_Toc425250313"/>
      <w:bookmarkStart w:id="95" w:name="_Toc4982"/>
      <w:bookmarkStart w:id="96" w:name="_Toc418750891"/>
      <w:bookmarkStart w:id="97" w:name="_Toc416783528"/>
      <w:bookmarkStart w:id="98" w:name="_Toc469066311"/>
      <w:r>
        <w:rPr>
          <w:rFonts w:ascii="Arial" w:hAnsi="Arial" w:cs="Arial"/>
          <w:b/>
          <w:sz w:val="32"/>
        </w:rPr>
        <w:lastRenderedPageBreak/>
        <w:t>第二部分</w:t>
      </w:r>
      <w:r>
        <w:rPr>
          <w:rFonts w:ascii="Arial" w:hAnsi="Arial" w:cs="Arial"/>
          <w:b/>
          <w:sz w:val="32"/>
        </w:rPr>
        <w:t xml:space="preserve">  </w:t>
      </w:r>
      <w:r>
        <w:rPr>
          <w:rFonts w:ascii="Arial" w:hAnsi="Arial" w:cs="Arial"/>
          <w:b/>
          <w:sz w:val="32"/>
        </w:rPr>
        <w:t>咨询对象界定</w:t>
      </w:r>
      <w:bookmarkEnd w:id="93"/>
      <w:bookmarkEnd w:id="94"/>
      <w:bookmarkEnd w:id="95"/>
      <w:bookmarkEnd w:id="96"/>
      <w:bookmarkEnd w:id="97"/>
      <w:bookmarkEnd w:id="98"/>
    </w:p>
    <w:p w14:paraId="004D81A9" w14:textId="77777777" w:rsidR="00000000" w:rsidRDefault="00000000">
      <w:pPr>
        <w:spacing w:line="360" w:lineRule="auto"/>
        <w:rPr>
          <w:rFonts w:ascii="Arial" w:hAnsi="Arial" w:cs="Arial"/>
          <w:sz w:val="28"/>
        </w:rPr>
      </w:pPr>
    </w:p>
    <w:p w14:paraId="3873E0E0" w14:textId="77777777" w:rsidR="00000000" w:rsidRDefault="00000000">
      <w:pPr>
        <w:spacing w:line="360" w:lineRule="auto"/>
        <w:outlineLvl w:val="1"/>
        <w:rPr>
          <w:rFonts w:ascii="Arial" w:hAnsi="Arial" w:cs="Arial"/>
          <w:b/>
          <w:sz w:val="28"/>
        </w:rPr>
      </w:pPr>
      <w:bookmarkStart w:id="99" w:name="_Toc416783529"/>
      <w:bookmarkStart w:id="100" w:name="_Toc469066312"/>
      <w:bookmarkStart w:id="101" w:name="_Toc425250314"/>
      <w:bookmarkStart w:id="102" w:name="_Toc18492"/>
      <w:bookmarkStart w:id="103" w:name="_Toc418750892"/>
      <w:bookmarkStart w:id="104" w:name="_Toc26082"/>
      <w:r>
        <w:rPr>
          <w:rFonts w:ascii="Arial" w:hAnsi="Arial" w:cs="Arial"/>
          <w:b/>
          <w:sz w:val="28"/>
        </w:rPr>
        <w:t>一、委托方</w:t>
      </w:r>
      <w:bookmarkEnd w:id="99"/>
      <w:bookmarkEnd w:id="100"/>
      <w:bookmarkEnd w:id="101"/>
      <w:bookmarkEnd w:id="102"/>
      <w:bookmarkEnd w:id="103"/>
      <w:bookmarkEnd w:id="104"/>
    </w:p>
    <w:p w14:paraId="5086B8DB" w14:textId="77777777" w:rsidR="00000000" w:rsidRDefault="00000000">
      <w:pPr>
        <w:spacing w:line="360" w:lineRule="auto"/>
        <w:ind w:firstLine="570"/>
        <w:jc w:val="both"/>
        <w:rPr>
          <w:rFonts w:ascii="Arial" w:hAnsi="Arial" w:cs="Arial"/>
          <w:sz w:val="28"/>
        </w:rPr>
      </w:pPr>
      <w:r>
        <w:rPr>
          <w:rFonts w:ascii="Arial" w:hAnsi="Arial" w:cs="Arial"/>
          <w:sz w:val="28"/>
        </w:rPr>
        <w:t>本次评估委托方为</w:t>
      </w:r>
      <w:r>
        <w:rPr>
          <w:rFonts w:ascii="Arial" w:hAnsi="Arial" w:cs="Arial" w:hint="eastAsia"/>
          <w:sz w:val="28"/>
        </w:rPr>
        <w:t>北京保障房中心有限公司</w:t>
      </w:r>
      <w:r>
        <w:rPr>
          <w:rFonts w:ascii="Arial" w:hAnsi="Arial" w:cs="Arial"/>
          <w:sz w:val="28"/>
        </w:rPr>
        <w:t>，</w:t>
      </w:r>
      <w:r>
        <w:rPr>
          <w:rFonts w:ascii="Arial" w:hAnsi="Arial" w:cs="Arial" w:hint="eastAsia"/>
          <w:sz w:val="28"/>
        </w:rPr>
        <w:t>非</w:t>
      </w:r>
      <w:r>
        <w:rPr>
          <w:rFonts w:ascii="Arial" w:hAnsi="Arial" w:cs="Arial"/>
          <w:sz w:val="28"/>
        </w:rPr>
        <w:t>咨询对象的土地使用权人。</w:t>
      </w:r>
    </w:p>
    <w:p w14:paraId="5B6E9CB9" w14:textId="77777777" w:rsidR="00000000" w:rsidRDefault="00000000">
      <w:pPr>
        <w:spacing w:line="360" w:lineRule="auto"/>
        <w:ind w:firstLineChars="200" w:firstLine="560"/>
        <w:jc w:val="both"/>
        <w:rPr>
          <w:rFonts w:ascii="Arial" w:hAnsi="Arial" w:cs="Arial" w:hint="eastAsia"/>
          <w:sz w:val="28"/>
        </w:rPr>
      </w:pPr>
      <w:r>
        <w:rPr>
          <w:rFonts w:ascii="Arial" w:hAnsi="Arial" w:cs="Arial"/>
          <w:sz w:val="28"/>
        </w:rPr>
        <w:t>单位名称：</w:t>
      </w:r>
      <w:r>
        <w:rPr>
          <w:rFonts w:ascii="Arial" w:hAnsi="Arial" w:cs="Arial" w:hint="eastAsia"/>
          <w:sz w:val="28"/>
        </w:rPr>
        <w:t>北京保障房中心有限公司</w:t>
      </w:r>
    </w:p>
    <w:p w14:paraId="3D7F4604" w14:textId="77777777" w:rsidR="00000000" w:rsidRDefault="00000000">
      <w:pPr>
        <w:spacing w:line="360" w:lineRule="auto"/>
        <w:ind w:leftChars="232" w:left="1957" w:hangingChars="500" w:hanging="1400"/>
        <w:jc w:val="both"/>
        <w:rPr>
          <w:rFonts w:ascii="Arial" w:hAnsi="Arial" w:cs="Arial" w:hint="eastAsia"/>
          <w:sz w:val="28"/>
        </w:rPr>
      </w:pPr>
      <w:r>
        <w:rPr>
          <w:rFonts w:ascii="Arial" w:hAnsi="Arial" w:cs="Arial" w:hint="eastAsia"/>
          <w:sz w:val="28"/>
        </w:rPr>
        <w:t>地</w:t>
      </w:r>
      <w:r>
        <w:rPr>
          <w:rFonts w:ascii="Arial" w:hAnsi="Arial" w:cs="Arial" w:hint="eastAsia"/>
          <w:sz w:val="28"/>
        </w:rPr>
        <w:t xml:space="preserve">    </w:t>
      </w:r>
      <w:r>
        <w:rPr>
          <w:rFonts w:ascii="Arial" w:hAnsi="Arial" w:cs="Arial" w:hint="eastAsia"/>
          <w:sz w:val="28"/>
        </w:rPr>
        <w:t>址</w:t>
      </w:r>
      <w:r>
        <w:rPr>
          <w:rFonts w:ascii="Arial" w:hAnsi="Arial" w:cs="Arial"/>
          <w:sz w:val="28"/>
        </w:rPr>
        <w:t>：</w:t>
      </w:r>
      <w:r>
        <w:rPr>
          <w:rFonts w:ascii="仿宋_GB2312;仿宋" w:eastAsia="仿宋_GB2312;仿宋" w:hAnsi="仿宋_GB2312;仿宋" w:cs="Arial Narrow"/>
          <w:sz w:val="28"/>
        </w:rPr>
        <w:t>北京市丰台区南四环中路10号</w:t>
      </w:r>
    </w:p>
    <w:p w14:paraId="56ADD501" w14:textId="77777777" w:rsidR="00000000" w:rsidRDefault="00000000">
      <w:pPr>
        <w:spacing w:line="360" w:lineRule="auto"/>
        <w:ind w:firstLineChars="200" w:firstLine="560"/>
        <w:jc w:val="both"/>
        <w:rPr>
          <w:rFonts w:ascii="Arial" w:hAnsi="Arial" w:cs="Arial" w:hint="eastAsia"/>
          <w:sz w:val="28"/>
        </w:rPr>
      </w:pPr>
      <w:r>
        <w:rPr>
          <w:rFonts w:ascii="Arial" w:hAnsi="Arial" w:cs="Arial"/>
          <w:sz w:val="28"/>
        </w:rPr>
        <w:t>联</w:t>
      </w:r>
      <w:r>
        <w:rPr>
          <w:rFonts w:ascii="Arial" w:hAnsi="Arial" w:cs="Arial"/>
          <w:sz w:val="28"/>
        </w:rPr>
        <w:t xml:space="preserve"> </w:t>
      </w:r>
      <w:r>
        <w:rPr>
          <w:rFonts w:ascii="Arial" w:hAnsi="Arial" w:cs="Arial"/>
          <w:sz w:val="28"/>
        </w:rPr>
        <w:t>系</w:t>
      </w:r>
      <w:r>
        <w:rPr>
          <w:rFonts w:ascii="Arial" w:hAnsi="Arial" w:cs="Arial"/>
          <w:sz w:val="28"/>
        </w:rPr>
        <w:t xml:space="preserve"> </w:t>
      </w:r>
      <w:r>
        <w:rPr>
          <w:rFonts w:ascii="Arial" w:hAnsi="Arial" w:cs="Arial"/>
          <w:sz w:val="28"/>
        </w:rPr>
        <w:t>人：</w:t>
      </w:r>
      <w:r>
        <w:rPr>
          <w:rFonts w:ascii="Arial" w:eastAsia="仿宋_GB2312;仿宋" w:hAnsi="Arial" w:cs="Arial"/>
          <w:sz w:val="28"/>
        </w:rPr>
        <w:t>岳翠兰</w:t>
      </w:r>
    </w:p>
    <w:p w14:paraId="65D16120" w14:textId="77777777" w:rsidR="00000000" w:rsidRDefault="00000000">
      <w:pPr>
        <w:spacing w:line="360" w:lineRule="auto"/>
        <w:jc w:val="both"/>
        <w:rPr>
          <w:rFonts w:ascii="Arial" w:hAnsi="Arial" w:cs="Arial"/>
          <w:b/>
          <w:sz w:val="28"/>
        </w:rPr>
      </w:pPr>
    </w:p>
    <w:p w14:paraId="2C87F9B1" w14:textId="77777777" w:rsidR="00000000" w:rsidRDefault="00000000">
      <w:pPr>
        <w:spacing w:line="360" w:lineRule="auto"/>
        <w:outlineLvl w:val="1"/>
        <w:rPr>
          <w:rFonts w:ascii="Arial" w:hAnsi="Arial" w:cs="Arial"/>
          <w:b/>
          <w:sz w:val="28"/>
        </w:rPr>
      </w:pPr>
      <w:bookmarkStart w:id="105" w:name="_Toc425250315"/>
      <w:bookmarkStart w:id="106" w:name="_Toc418750893"/>
      <w:bookmarkStart w:id="107" w:name="_Toc31157"/>
      <w:bookmarkStart w:id="108" w:name="_Toc416783530"/>
      <w:bookmarkStart w:id="109" w:name="_Toc12506"/>
      <w:bookmarkStart w:id="110" w:name="_Toc469066313"/>
      <w:r>
        <w:rPr>
          <w:rFonts w:ascii="Arial" w:hAnsi="Arial" w:cs="Arial"/>
          <w:b/>
          <w:sz w:val="28"/>
        </w:rPr>
        <w:t>二、咨询对象</w:t>
      </w:r>
      <w:bookmarkEnd w:id="105"/>
      <w:bookmarkEnd w:id="106"/>
      <w:bookmarkEnd w:id="107"/>
      <w:bookmarkEnd w:id="108"/>
      <w:bookmarkEnd w:id="109"/>
      <w:bookmarkEnd w:id="110"/>
    </w:p>
    <w:p w14:paraId="7782D8CF" w14:textId="77777777" w:rsidR="00000000" w:rsidRDefault="00000000">
      <w:pPr>
        <w:tabs>
          <w:tab w:val="left" w:pos="9027"/>
        </w:tabs>
        <w:spacing w:line="360" w:lineRule="auto"/>
        <w:ind w:firstLineChars="200" w:firstLine="560"/>
        <w:jc w:val="both"/>
        <w:rPr>
          <w:rFonts w:ascii="Arial" w:hAnsi="Arial" w:cs="Arial" w:hint="eastAsia"/>
          <w:sz w:val="18"/>
          <w:szCs w:val="18"/>
        </w:rPr>
      </w:pPr>
      <w:r>
        <w:rPr>
          <w:rFonts w:ascii="Arial" w:hAnsi="Arial" w:cs="Arial" w:hint="eastAsia"/>
          <w:sz w:val="28"/>
        </w:rPr>
        <w:t>根据委托方介绍</w:t>
      </w:r>
      <w:r>
        <w:rPr>
          <w:rFonts w:ascii="Arial" w:hAnsi="Arial" w:cs="Arial" w:hint="eastAsia"/>
          <w:sz w:val="28"/>
        </w:rPr>
        <w:t>,</w:t>
      </w:r>
      <w:r>
        <w:rPr>
          <w:rFonts w:ascii="Arial" w:hAnsi="Arial" w:cs="Arial"/>
          <w:sz w:val="28"/>
        </w:rPr>
        <w:t>咨询对象为</w:t>
      </w:r>
      <w:r>
        <w:rPr>
          <w:rFonts w:ascii="Arial" w:hAnsi="Arial" w:cs="Arial" w:hint="eastAsia"/>
          <w:sz w:val="28"/>
        </w:rPr>
        <w:t>北京保障房中心有限公司拟</w:t>
      </w:r>
      <w:r>
        <w:rPr>
          <w:rFonts w:ascii="Arial" w:hAnsi="Arial" w:cs="Arial"/>
          <w:sz w:val="28"/>
        </w:rPr>
        <w:t>使用的集体建设用地。咨询对象土地面积为</w:t>
      </w:r>
      <w:r>
        <w:rPr>
          <w:rFonts w:ascii="Arial" w:hAnsi="Arial" w:cs="Arial" w:hint="eastAsia"/>
          <w:sz w:val="28"/>
        </w:rPr>
        <w:t>18132</w:t>
      </w:r>
      <w:r>
        <w:rPr>
          <w:rFonts w:ascii="Arial" w:hAnsi="Arial" w:cs="Arial"/>
          <w:sz w:val="28"/>
        </w:rPr>
        <w:t>平方米，规划建筑面积为</w:t>
      </w:r>
      <w:r>
        <w:rPr>
          <w:rFonts w:ascii="Arial" w:hAnsi="Arial" w:cs="Arial" w:hint="eastAsia"/>
          <w:sz w:val="28"/>
        </w:rPr>
        <w:t>43300</w:t>
      </w:r>
      <w:r>
        <w:rPr>
          <w:rFonts w:ascii="Arial" w:hAnsi="Arial" w:cs="Arial"/>
          <w:sz w:val="28"/>
        </w:rPr>
        <w:t>平方米。其中</w:t>
      </w:r>
      <w:r>
        <w:rPr>
          <w:rFonts w:ascii="Arial" w:hAnsi="Arial" w:cs="Arial" w:hint="eastAsia"/>
          <w:sz w:val="28"/>
        </w:rPr>
        <w:t>地上</w:t>
      </w:r>
      <w:r>
        <w:rPr>
          <w:rFonts w:ascii="Arial" w:hAnsi="Arial" w:cs="Arial"/>
          <w:sz w:val="28"/>
        </w:rPr>
        <w:t>经营性用途用房</w:t>
      </w:r>
      <w:r>
        <w:rPr>
          <w:rFonts w:ascii="Arial" w:hAnsi="Arial" w:cs="Arial" w:hint="eastAsia"/>
          <w:sz w:val="28"/>
        </w:rPr>
        <w:t>31948</w:t>
      </w:r>
      <w:r>
        <w:rPr>
          <w:rFonts w:ascii="Arial" w:hAnsi="Arial" w:cs="Arial"/>
          <w:sz w:val="28"/>
        </w:rPr>
        <w:t>平方米（其中：</w:t>
      </w:r>
      <w:r>
        <w:rPr>
          <w:rFonts w:ascii="Arial" w:hAnsi="Arial" w:cs="Arial" w:hint="eastAsia"/>
          <w:sz w:val="28"/>
        </w:rPr>
        <w:t>公寓</w:t>
      </w:r>
      <w:r>
        <w:rPr>
          <w:rFonts w:ascii="Arial" w:hAnsi="Arial" w:cs="Arial" w:hint="eastAsia"/>
          <w:sz w:val="28"/>
        </w:rPr>
        <w:t>31152</w:t>
      </w:r>
      <w:r>
        <w:rPr>
          <w:rFonts w:ascii="Arial" w:hAnsi="Arial" w:cs="Arial"/>
          <w:sz w:val="28"/>
        </w:rPr>
        <w:t>平方米，商业</w:t>
      </w:r>
      <w:r>
        <w:rPr>
          <w:rFonts w:ascii="Arial" w:hAnsi="Arial" w:cs="Arial" w:hint="eastAsia"/>
          <w:sz w:val="28"/>
        </w:rPr>
        <w:t>796</w:t>
      </w:r>
      <w:r>
        <w:rPr>
          <w:rFonts w:ascii="Arial" w:hAnsi="Arial" w:cs="Arial"/>
          <w:sz w:val="28"/>
        </w:rPr>
        <w:t>平方米）；非经营性用途用房</w:t>
      </w:r>
      <w:r>
        <w:rPr>
          <w:rFonts w:ascii="Arial" w:hAnsi="Arial" w:cs="Arial" w:hint="eastAsia"/>
          <w:sz w:val="28"/>
        </w:rPr>
        <w:t>690</w:t>
      </w:r>
      <w:r>
        <w:rPr>
          <w:rFonts w:ascii="Arial" w:hAnsi="Arial" w:cs="Arial"/>
          <w:sz w:val="28"/>
        </w:rPr>
        <w:t>平方米（其中：配套设施</w:t>
      </w:r>
      <w:r>
        <w:rPr>
          <w:rFonts w:ascii="Arial" w:hAnsi="Arial" w:cs="Arial" w:hint="eastAsia"/>
          <w:sz w:val="28"/>
        </w:rPr>
        <w:t>540</w:t>
      </w:r>
      <w:r>
        <w:rPr>
          <w:rFonts w:ascii="Arial" w:hAnsi="Arial" w:cs="Arial"/>
          <w:sz w:val="28"/>
        </w:rPr>
        <w:t>平方米，</w:t>
      </w:r>
      <w:r>
        <w:rPr>
          <w:rFonts w:ascii="Arial" w:hAnsi="Arial" w:cs="Arial" w:hint="eastAsia"/>
          <w:sz w:val="28"/>
        </w:rPr>
        <w:t>地下建筑出入口</w:t>
      </w:r>
      <w:r>
        <w:rPr>
          <w:rFonts w:ascii="Arial" w:hAnsi="Arial" w:cs="Arial" w:hint="eastAsia"/>
          <w:sz w:val="28"/>
        </w:rPr>
        <w:t>150</w:t>
      </w:r>
      <w:r>
        <w:rPr>
          <w:rFonts w:ascii="Arial" w:hAnsi="Arial" w:cs="Arial"/>
          <w:sz w:val="28"/>
        </w:rPr>
        <w:t>平方米）</w:t>
      </w:r>
      <w:r>
        <w:rPr>
          <w:rFonts w:ascii="Arial" w:hAnsi="Arial" w:cs="Arial" w:hint="eastAsia"/>
          <w:sz w:val="28"/>
        </w:rPr>
        <w:t>；地下车库</w:t>
      </w:r>
      <w:r>
        <w:rPr>
          <w:rFonts w:ascii="Arial" w:hAnsi="Arial" w:cs="Arial" w:hint="eastAsia"/>
          <w:sz w:val="28"/>
        </w:rPr>
        <w:t>218</w:t>
      </w:r>
      <w:r>
        <w:rPr>
          <w:rFonts w:ascii="Arial" w:hAnsi="Arial" w:cs="Arial" w:hint="eastAsia"/>
          <w:sz w:val="28"/>
        </w:rPr>
        <w:t>个（约</w:t>
      </w:r>
      <w:r>
        <w:rPr>
          <w:rFonts w:ascii="Arial" w:hAnsi="Arial" w:cs="Arial" w:hint="eastAsia"/>
          <w:sz w:val="28"/>
        </w:rPr>
        <w:t>5556</w:t>
      </w:r>
      <w:r>
        <w:rPr>
          <w:rFonts w:ascii="Arial" w:hAnsi="Arial" w:cs="Arial" w:hint="eastAsia"/>
          <w:sz w:val="28"/>
        </w:rPr>
        <w:t>平方米），其他</w:t>
      </w:r>
      <w:r>
        <w:rPr>
          <w:rFonts w:ascii="Arial" w:hAnsi="Arial" w:cs="Arial"/>
          <w:sz w:val="28"/>
        </w:rPr>
        <w:t>非经营性用途用房</w:t>
      </w:r>
      <w:r>
        <w:rPr>
          <w:rFonts w:ascii="Arial" w:hAnsi="Arial" w:cs="Arial" w:hint="eastAsia"/>
          <w:sz w:val="28"/>
        </w:rPr>
        <w:t>约</w:t>
      </w:r>
      <w:r>
        <w:rPr>
          <w:rFonts w:ascii="Arial" w:hAnsi="Arial" w:cs="Arial" w:hint="eastAsia"/>
          <w:sz w:val="28"/>
        </w:rPr>
        <w:t>5106</w:t>
      </w:r>
      <w:r>
        <w:rPr>
          <w:rFonts w:ascii="Arial" w:hAnsi="Arial" w:cs="Arial" w:hint="eastAsia"/>
          <w:sz w:val="28"/>
        </w:rPr>
        <w:t>平方米。</w:t>
      </w:r>
    </w:p>
    <w:p w14:paraId="71C47169" w14:textId="77777777" w:rsidR="00000000" w:rsidRDefault="00000000">
      <w:pPr>
        <w:spacing w:line="360" w:lineRule="auto"/>
        <w:jc w:val="both"/>
        <w:rPr>
          <w:rFonts w:ascii="Arial" w:hAnsi="Arial" w:cs="Arial"/>
          <w:b/>
          <w:sz w:val="21"/>
          <w:szCs w:val="21"/>
        </w:rPr>
      </w:pPr>
    </w:p>
    <w:p w14:paraId="183FBEDC" w14:textId="77777777" w:rsidR="00000000" w:rsidRDefault="00000000">
      <w:pPr>
        <w:spacing w:line="360" w:lineRule="auto"/>
        <w:outlineLvl w:val="1"/>
        <w:rPr>
          <w:rFonts w:ascii="Arial" w:hAnsi="Arial" w:cs="Arial"/>
          <w:b/>
          <w:sz w:val="28"/>
        </w:rPr>
      </w:pPr>
      <w:bookmarkStart w:id="111" w:name="_Toc469066314"/>
      <w:bookmarkStart w:id="112" w:name="_Toc416783531"/>
      <w:bookmarkStart w:id="113" w:name="_Toc425250316"/>
      <w:bookmarkStart w:id="114" w:name="_Toc418750894"/>
      <w:bookmarkStart w:id="115" w:name="_Toc736"/>
      <w:bookmarkStart w:id="116" w:name="_Toc27446"/>
      <w:r>
        <w:rPr>
          <w:rFonts w:ascii="Arial" w:hAnsi="Arial" w:cs="Arial"/>
          <w:b/>
          <w:sz w:val="28"/>
        </w:rPr>
        <w:t>三、咨询对象概况</w:t>
      </w:r>
      <w:bookmarkEnd w:id="111"/>
      <w:bookmarkEnd w:id="112"/>
      <w:bookmarkEnd w:id="113"/>
      <w:bookmarkEnd w:id="114"/>
      <w:bookmarkEnd w:id="115"/>
      <w:bookmarkEnd w:id="116"/>
    </w:p>
    <w:p w14:paraId="6089BF2F" w14:textId="77777777" w:rsidR="00000000" w:rsidRDefault="00000000">
      <w:pPr>
        <w:spacing w:line="360" w:lineRule="auto"/>
        <w:jc w:val="both"/>
        <w:rPr>
          <w:rFonts w:ascii="Arial" w:hAnsi="Arial" w:cs="Arial"/>
          <w:sz w:val="28"/>
        </w:rPr>
      </w:pPr>
      <w:r>
        <w:rPr>
          <w:rFonts w:ascii="Arial" w:hAnsi="Arial" w:cs="Arial"/>
          <w:sz w:val="28"/>
        </w:rPr>
        <w:t>（一）土地登记状况</w:t>
      </w:r>
    </w:p>
    <w:p w14:paraId="1F784FEF" w14:textId="77777777" w:rsidR="00000000" w:rsidRDefault="00000000">
      <w:pPr>
        <w:spacing w:line="360" w:lineRule="auto"/>
        <w:ind w:firstLineChars="200" w:firstLine="560"/>
        <w:jc w:val="both"/>
        <w:rPr>
          <w:rFonts w:ascii="Arial" w:hAnsi="Arial" w:cs="Arial"/>
          <w:sz w:val="28"/>
        </w:rPr>
      </w:pPr>
      <w:r>
        <w:rPr>
          <w:rFonts w:ascii="Arial" w:hAnsi="Arial" w:cs="Arial"/>
          <w:bCs/>
          <w:sz w:val="28"/>
        </w:rPr>
        <w:t>土地来源：咨询对象为</w:t>
      </w:r>
      <w:r>
        <w:rPr>
          <w:rFonts w:ascii="Arial" w:hAnsi="Arial" w:cs="Arial"/>
          <w:sz w:val="28"/>
        </w:rPr>
        <w:t>北京市</w:t>
      </w:r>
      <w:r>
        <w:rPr>
          <w:rFonts w:ascii="Arial" w:hAnsi="Arial" w:cs="Arial" w:hint="eastAsia"/>
          <w:sz w:val="28"/>
        </w:rPr>
        <w:t>昌平区马池口镇百泉庄村集体土地租赁住房项目</w:t>
      </w:r>
      <w:r>
        <w:rPr>
          <w:rFonts w:ascii="Arial" w:hAnsi="Arial" w:cs="Arial"/>
          <w:sz w:val="28"/>
        </w:rPr>
        <w:t>用地</w:t>
      </w:r>
      <w:r>
        <w:rPr>
          <w:rFonts w:ascii="Arial" w:hAnsi="Arial" w:cs="Arial"/>
          <w:bCs/>
          <w:sz w:val="28"/>
        </w:rPr>
        <w:t>，</w:t>
      </w:r>
      <w:bookmarkStart w:id="117" w:name="_Hlk108623027"/>
      <w:r>
        <w:rPr>
          <w:rFonts w:ascii="Arial" w:hAnsi="Arial" w:cs="Arial" w:hint="eastAsia"/>
          <w:bCs/>
          <w:sz w:val="28"/>
        </w:rPr>
        <w:t>根据委托方介绍，</w:t>
      </w:r>
      <w:bookmarkEnd w:id="117"/>
      <w:r>
        <w:rPr>
          <w:rFonts w:ascii="Arial" w:hAnsi="Arial" w:cs="Arial" w:hint="eastAsia"/>
          <w:sz w:val="28"/>
        </w:rPr>
        <w:t>百泉庄村经济组织</w:t>
      </w:r>
      <w:r>
        <w:rPr>
          <w:rFonts w:ascii="Arial" w:hAnsi="Arial" w:cs="Arial"/>
          <w:sz w:val="28"/>
        </w:rPr>
        <w:t>为</w:t>
      </w:r>
      <w:r>
        <w:rPr>
          <w:rFonts w:ascii="Arial" w:hAnsi="Arial" w:cs="Arial"/>
          <w:bCs/>
          <w:sz w:val="28"/>
        </w:rPr>
        <w:t>咨询对象</w:t>
      </w:r>
      <w:bookmarkStart w:id="118" w:name="_Hlk108623014"/>
      <w:r>
        <w:rPr>
          <w:rFonts w:ascii="Arial" w:hAnsi="Arial" w:cs="Arial"/>
          <w:bCs/>
          <w:sz w:val="28"/>
        </w:rPr>
        <w:t>集体建设用地使用权人</w:t>
      </w:r>
      <w:bookmarkEnd w:id="118"/>
      <w:r>
        <w:rPr>
          <w:rFonts w:ascii="Arial" w:hAnsi="Arial" w:cs="Arial"/>
          <w:sz w:val="28"/>
        </w:rPr>
        <w:t>。</w:t>
      </w:r>
    </w:p>
    <w:p w14:paraId="659F3FD7" w14:textId="77777777" w:rsidR="00000000" w:rsidRDefault="00000000">
      <w:pPr>
        <w:spacing w:line="360" w:lineRule="auto"/>
        <w:ind w:firstLineChars="200" w:firstLine="560"/>
        <w:jc w:val="both"/>
        <w:rPr>
          <w:rFonts w:ascii="Arial" w:hAnsi="Arial" w:cs="Arial"/>
          <w:sz w:val="28"/>
        </w:rPr>
      </w:pPr>
      <w:r>
        <w:rPr>
          <w:rFonts w:ascii="Arial" w:hAnsi="Arial" w:cs="Arial"/>
          <w:sz w:val="28"/>
        </w:rPr>
        <w:t>土地面积：</w:t>
      </w:r>
      <w:r>
        <w:rPr>
          <w:rFonts w:ascii="Arial" w:hAnsi="Arial" w:cs="Arial" w:hint="eastAsia"/>
          <w:sz w:val="28"/>
        </w:rPr>
        <w:t>18132</w:t>
      </w:r>
      <w:r>
        <w:rPr>
          <w:rFonts w:ascii="Arial" w:hAnsi="Arial" w:cs="Arial"/>
          <w:sz w:val="28"/>
        </w:rPr>
        <w:t>平方米</w:t>
      </w:r>
    </w:p>
    <w:p w14:paraId="296107E7" w14:textId="77777777" w:rsidR="00000000" w:rsidRDefault="00000000">
      <w:pPr>
        <w:spacing w:line="360" w:lineRule="auto"/>
        <w:ind w:firstLineChars="200" w:firstLine="560"/>
        <w:jc w:val="both"/>
        <w:rPr>
          <w:rFonts w:ascii="Arial" w:hAnsi="Arial" w:cs="Arial" w:hint="eastAsia"/>
          <w:sz w:val="28"/>
        </w:rPr>
      </w:pPr>
      <w:r>
        <w:rPr>
          <w:rFonts w:ascii="Arial" w:hAnsi="Arial" w:cs="Arial"/>
          <w:sz w:val="28"/>
        </w:rPr>
        <w:t>咨询对象现状四至：</w:t>
      </w:r>
      <w:r>
        <w:rPr>
          <w:rFonts w:ascii="Arial" w:hAnsi="Arial" w:cs="Arial" w:hint="eastAsia"/>
          <w:sz w:val="28"/>
        </w:rPr>
        <w:t>东至水屯路，北至规划城市</w:t>
      </w:r>
      <w:commentRangeStart w:id="119"/>
      <w:r>
        <w:rPr>
          <w:rFonts w:ascii="Arial" w:hAnsi="Arial" w:cs="Arial" w:hint="eastAsia"/>
          <w:sz w:val="28"/>
        </w:rPr>
        <w:t>之路</w:t>
      </w:r>
      <w:commentRangeEnd w:id="119"/>
      <w:r w:rsidR="00AB18F1">
        <w:rPr>
          <w:rStyle w:val="afe"/>
        </w:rPr>
        <w:commentReference w:id="119"/>
      </w:r>
      <w:r>
        <w:rPr>
          <w:rFonts w:ascii="Arial" w:hAnsi="Arial" w:cs="Arial" w:hint="eastAsia"/>
          <w:sz w:val="28"/>
        </w:rPr>
        <w:t>，西至规划城市</w:t>
      </w:r>
      <w:commentRangeStart w:id="120"/>
      <w:r>
        <w:rPr>
          <w:rFonts w:ascii="Arial" w:hAnsi="Arial" w:cs="Arial" w:hint="eastAsia"/>
          <w:sz w:val="28"/>
        </w:rPr>
        <w:t>之路</w:t>
      </w:r>
      <w:commentRangeEnd w:id="120"/>
      <w:r w:rsidR="00AB18F1">
        <w:rPr>
          <w:rStyle w:val="afe"/>
        </w:rPr>
        <w:commentReference w:id="120"/>
      </w:r>
      <w:r>
        <w:rPr>
          <w:rFonts w:ascii="Arial" w:hAnsi="Arial" w:cs="Arial" w:hint="eastAsia"/>
          <w:sz w:val="28"/>
        </w:rPr>
        <w:t>，南至规划工业园区。</w:t>
      </w:r>
    </w:p>
    <w:p w14:paraId="0A78F8DF" w14:textId="77777777" w:rsidR="00000000" w:rsidRDefault="00000000">
      <w:pPr>
        <w:spacing w:line="360" w:lineRule="auto"/>
        <w:jc w:val="both"/>
        <w:rPr>
          <w:rFonts w:ascii="Arial" w:hAnsi="Arial" w:cs="Arial"/>
          <w:sz w:val="28"/>
        </w:rPr>
      </w:pPr>
      <w:r>
        <w:rPr>
          <w:rFonts w:ascii="Arial" w:hAnsi="Arial" w:cs="Arial"/>
          <w:sz w:val="28"/>
        </w:rPr>
        <w:t>（二）土地权利状况</w:t>
      </w:r>
    </w:p>
    <w:p w14:paraId="5DF02F38" w14:textId="77777777" w:rsidR="00000000" w:rsidRDefault="00000000">
      <w:pPr>
        <w:spacing w:line="360" w:lineRule="auto"/>
        <w:ind w:firstLineChars="200" w:firstLine="560"/>
        <w:jc w:val="both"/>
        <w:rPr>
          <w:rFonts w:ascii="Arial" w:hAnsi="Arial" w:cs="Arial"/>
          <w:sz w:val="28"/>
        </w:rPr>
      </w:pPr>
      <w:r>
        <w:rPr>
          <w:rFonts w:ascii="Arial" w:hAnsi="Arial" w:cs="Arial"/>
          <w:sz w:val="28"/>
        </w:rPr>
        <w:lastRenderedPageBreak/>
        <w:t>咨询对象为集体土地，土地使用权人为</w:t>
      </w:r>
      <w:r>
        <w:rPr>
          <w:rFonts w:ascii="Arial" w:hAnsi="Arial" w:cs="Arial" w:hint="eastAsia"/>
          <w:sz w:val="28"/>
        </w:rPr>
        <w:t>百泉庄村经济组织</w:t>
      </w:r>
      <w:r>
        <w:rPr>
          <w:rFonts w:ascii="Arial" w:hAnsi="Arial" w:cs="Arial"/>
          <w:sz w:val="28"/>
        </w:rPr>
        <w:t>，</w:t>
      </w:r>
      <w:r>
        <w:rPr>
          <w:rFonts w:ascii="Arial" w:hAnsi="Arial" w:cs="Arial" w:hint="eastAsia"/>
          <w:sz w:val="28"/>
        </w:rPr>
        <w:t>根据委托方介绍，截至报告出具日，</w:t>
      </w:r>
      <w:r>
        <w:rPr>
          <w:rFonts w:ascii="Arial" w:hAnsi="Arial" w:cs="Arial"/>
          <w:sz w:val="28"/>
        </w:rPr>
        <w:t>咨询对象</w:t>
      </w:r>
      <w:r>
        <w:rPr>
          <w:rFonts w:ascii="Arial" w:hAnsi="Arial" w:cs="Arial" w:hint="eastAsia"/>
          <w:sz w:val="28"/>
        </w:rPr>
        <w:t>尚未</w:t>
      </w:r>
      <w:r>
        <w:rPr>
          <w:rFonts w:ascii="Arial" w:hAnsi="Arial" w:cs="Arial"/>
          <w:sz w:val="28"/>
        </w:rPr>
        <w:t>取得《集体土地所有权证》。</w:t>
      </w:r>
    </w:p>
    <w:p w14:paraId="625057A0" w14:textId="77777777" w:rsidR="00000000" w:rsidRDefault="00000000">
      <w:pPr>
        <w:spacing w:line="360" w:lineRule="auto"/>
        <w:ind w:firstLineChars="200" w:firstLine="560"/>
        <w:jc w:val="both"/>
        <w:rPr>
          <w:rFonts w:ascii="Arial" w:hAnsi="Arial" w:cs="Arial"/>
          <w:sz w:val="28"/>
        </w:rPr>
      </w:pPr>
      <w:r>
        <w:rPr>
          <w:rFonts w:ascii="Arial" w:hAnsi="Arial" w:cs="Arial"/>
          <w:sz w:val="28"/>
        </w:rPr>
        <w:t>评估专业人员根据委托方所提供的资料，未发现有抵押、租赁的登记信息，本次评估设定咨询对象不存在抵押、租赁等他项权利。</w:t>
      </w:r>
    </w:p>
    <w:p w14:paraId="3F3E7EA0" w14:textId="77777777" w:rsidR="00000000" w:rsidRDefault="00000000">
      <w:pPr>
        <w:spacing w:line="360" w:lineRule="auto"/>
        <w:jc w:val="both"/>
        <w:rPr>
          <w:rFonts w:ascii="Arial" w:hAnsi="Arial" w:cs="Arial"/>
          <w:sz w:val="28"/>
        </w:rPr>
      </w:pPr>
      <w:r>
        <w:rPr>
          <w:rFonts w:ascii="Arial" w:hAnsi="Arial" w:cs="Arial"/>
          <w:sz w:val="28"/>
        </w:rPr>
        <w:t>（三）土地利用状况</w:t>
      </w:r>
    </w:p>
    <w:p w14:paraId="5B8C905F" w14:textId="77777777" w:rsidR="00000000" w:rsidRDefault="00000000">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土地规划设计条件</w:t>
      </w:r>
    </w:p>
    <w:p w14:paraId="3A8B7AF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根据委托方提供的经济技术指标，规划利用条件如下：</w:t>
      </w:r>
    </w:p>
    <w:tbl>
      <w:tblPr>
        <w:tblpPr w:leftFromText="180" w:rightFromText="180" w:vertAnchor="text" w:horzAnchor="margin" w:tblpX="1" w:tblpY="143"/>
        <w:tblW w:w="9450" w:type="dxa"/>
        <w:tblInd w:w="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000" w:firstRow="0" w:lastRow="0" w:firstColumn="0" w:lastColumn="0" w:noHBand="0" w:noVBand="0"/>
      </w:tblPr>
      <w:tblGrid>
        <w:gridCol w:w="1165"/>
        <w:gridCol w:w="1020"/>
        <w:gridCol w:w="3341"/>
        <w:gridCol w:w="1488"/>
        <w:gridCol w:w="2436"/>
      </w:tblGrid>
      <w:tr w:rsidR="00000000" w14:paraId="09586EA7" w14:textId="77777777">
        <w:trPr>
          <w:trHeight w:val="280"/>
        </w:trPr>
        <w:tc>
          <w:tcPr>
            <w:tcW w:w="5526" w:type="dxa"/>
            <w:gridSpan w:val="3"/>
            <w:tcBorders>
              <w:bottom w:val="single" w:sz="4" w:space="0" w:color="auto"/>
              <w:right w:val="single" w:sz="4" w:space="0" w:color="auto"/>
            </w:tcBorders>
            <w:noWrap/>
            <w:vAlign w:val="center"/>
          </w:tcPr>
          <w:p w14:paraId="13F8D8CE"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sz="4" w:space="0" w:color="auto"/>
              <w:right w:val="single" w:sz="4" w:space="0" w:color="auto"/>
            </w:tcBorders>
            <w:noWrap/>
            <w:vAlign w:val="center"/>
          </w:tcPr>
          <w:p w14:paraId="4CA21B78"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sz="4" w:space="0" w:color="auto"/>
              <w:right w:val="single" w:sz="4" w:space="0" w:color="auto"/>
            </w:tcBorders>
            <w:noWrap/>
            <w:vAlign w:val="center"/>
          </w:tcPr>
          <w:p w14:paraId="0204B31F"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数量</w:t>
            </w:r>
          </w:p>
        </w:tc>
      </w:tr>
      <w:tr w:rsidR="00000000" w14:paraId="35CF78A6"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2099AD9A"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sz="4" w:space="0" w:color="auto"/>
              <w:right w:val="single" w:sz="4" w:space="0" w:color="auto"/>
            </w:tcBorders>
            <w:noWrap/>
            <w:vAlign w:val="center"/>
          </w:tcPr>
          <w:p w14:paraId="42A5A881"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683E36F6"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000000" w14:paraId="7234DF3E"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735446C0"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建设用地面积</w:t>
            </w:r>
          </w:p>
        </w:tc>
        <w:tc>
          <w:tcPr>
            <w:tcW w:w="1488" w:type="dxa"/>
            <w:tcBorders>
              <w:top w:val="nil"/>
              <w:left w:val="nil"/>
              <w:bottom w:val="single" w:sz="4" w:space="0" w:color="auto"/>
              <w:right w:val="single" w:sz="4" w:space="0" w:color="auto"/>
            </w:tcBorders>
            <w:noWrap/>
            <w:vAlign w:val="center"/>
          </w:tcPr>
          <w:p w14:paraId="032B3AC6"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2C7A7DB2"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000000" w14:paraId="48B93D10"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71654C9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总建筑面积</w:t>
            </w:r>
          </w:p>
        </w:tc>
        <w:tc>
          <w:tcPr>
            <w:tcW w:w="1488" w:type="dxa"/>
            <w:tcBorders>
              <w:top w:val="nil"/>
              <w:left w:val="nil"/>
              <w:bottom w:val="single" w:sz="4" w:space="0" w:color="auto"/>
              <w:right w:val="single" w:sz="4" w:space="0" w:color="auto"/>
            </w:tcBorders>
            <w:noWrap/>
            <w:vAlign w:val="center"/>
          </w:tcPr>
          <w:p w14:paraId="56388C2E"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5266B1A1"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43300</w:t>
            </w:r>
          </w:p>
        </w:tc>
      </w:tr>
      <w:tr w:rsidR="00000000" w14:paraId="51A2DFBD" w14:textId="77777777">
        <w:trPr>
          <w:trHeight w:val="280"/>
        </w:trPr>
        <w:tc>
          <w:tcPr>
            <w:tcW w:w="1165" w:type="dxa"/>
            <w:vMerge w:val="restart"/>
            <w:tcBorders>
              <w:top w:val="nil"/>
              <w:right w:val="single" w:sz="4" w:space="0" w:color="auto"/>
            </w:tcBorders>
            <w:noWrap/>
            <w:vAlign w:val="center"/>
          </w:tcPr>
          <w:p w14:paraId="056864E9"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sz="4" w:space="0" w:color="auto"/>
              <w:left w:val="nil"/>
              <w:bottom w:val="single" w:sz="4" w:space="0" w:color="auto"/>
              <w:right w:val="single" w:sz="4" w:space="0" w:color="auto"/>
            </w:tcBorders>
            <w:noWrap/>
            <w:vAlign w:val="center"/>
          </w:tcPr>
          <w:p w14:paraId="10F3E6CF"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sz="4" w:space="0" w:color="auto"/>
              <w:right w:val="single" w:sz="4" w:space="0" w:color="auto"/>
            </w:tcBorders>
            <w:noWrap/>
            <w:vAlign w:val="center"/>
          </w:tcPr>
          <w:p w14:paraId="77EA5475"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73B714B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32638</w:t>
            </w:r>
          </w:p>
        </w:tc>
      </w:tr>
      <w:tr w:rsidR="00000000" w14:paraId="5115BDA5" w14:textId="77777777">
        <w:trPr>
          <w:trHeight w:val="280"/>
        </w:trPr>
        <w:tc>
          <w:tcPr>
            <w:tcW w:w="1165" w:type="dxa"/>
            <w:vMerge/>
            <w:tcBorders>
              <w:right w:val="single" w:sz="4" w:space="0" w:color="auto"/>
            </w:tcBorders>
            <w:vAlign w:val="center"/>
          </w:tcPr>
          <w:p w14:paraId="706E2A1A" w14:textId="77777777" w:rsidR="00000000" w:rsidRDefault="00000000">
            <w:pPr>
              <w:widowControl/>
              <w:spacing w:line="240" w:lineRule="auto"/>
              <w:jc w:val="center"/>
              <w:rPr>
                <w:rFonts w:ascii="Arial" w:hAnsi="Arial" w:cs="Arial"/>
                <w:color w:val="000000"/>
                <w:sz w:val="20"/>
              </w:rPr>
            </w:pPr>
          </w:p>
        </w:tc>
        <w:tc>
          <w:tcPr>
            <w:tcW w:w="1020" w:type="dxa"/>
            <w:vMerge w:val="restart"/>
            <w:tcBorders>
              <w:top w:val="nil"/>
              <w:left w:val="single" w:sz="4" w:space="0" w:color="auto"/>
              <w:bottom w:val="single" w:sz="4" w:space="0" w:color="auto"/>
              <w:right w:val="single" w:sz="4" w:space="0" w:color="auto"/>
            </w:tcBorders>
            <w:noWrap/>
            <w:vAlign w:val="center"/>
          </w:tcPr>
          <w:p w14:paraId="4D521C7C"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sz="4" w:space="0" w:color="auto"/>
              <w:right w:val="single" w:sz="4" w:space="0" w:color="auto"/>
            </w:tcBorders>
            <w:noWrap/>
            <w:vAlign w:val="center"/>
          </w:tcPr>
          <w:p w14:paraId="621B9065"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公寓建筑面积</w:t>
            </w:r>
          </w:p>
        </w:tc>
        <w:tc>
          <w:tcPr>
            <w:tcW w:w="1488" w:type="dxa"/>
            <w:tcBorders>
              <w:top w:val="nil"/>
              <w:left w:val="nil"/>
              <w:bottom w:val="single" w:sz="4" w:space="0" w:color="auto"/>
              <w:right w:val="single" w:sz="4" w:space="0" w:color="auto"/>
            </w:tcBorders>
            <w:noWrap/>
            <w:vAlign w:val="center"/>
          </w:tcPr>
          <w:p w14:paraId="567F5A3E"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6EB5D76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31152</w:t>
            </w:r>
          </w:p>
        </w:tc>
      </w:tr>
      <w:tr w:rsidR="00000000" w14:paraId="3A5CEAF5" w14:textId="77777777">
        <w:trPr>
          <w:trHeight w:val="280"/>
        </w:trPr>
        <w:tc>
          <w:tcPr>
            <w:tcW w:w="1165" w:type="dxa"/>
            <w:vMerge/>
            <w:tcBorders>
              <w:right w:val="single" w:sz="4" w:space="0" w:color="auto"/>
            </w:tcBorders>
            <w:vAlign w:val="center"/>
          </w:tcPr>
          <w:p w14:paraId="4A194F5D" w14:textId="77777777" w:rsidR="00000000" w:rsidRDefault="00000000">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14:paraId="48067641"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3AF382CA"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商业建筑面积</w:t>
            </w:r>
          </w:p>
        </w:tc>
        <w:tc>
          <w:tcPr>
            <w:tcW w:w="1488" w:type="dxa"/>
            <w:tcBorders>
              <w:top w:val="nil"/>
              <w:left w:val="nil"/>
              <w:bottom w:val="single" w:sz="4" w:space="0" w:color="auto"/>
              <w:right w:val="single" w:sz="4" w:space="0" w:color="auto"/>
            </w:tcBorders>
            <w:noWrap/>
            <w:vAlign w:val="center"/>
          </w:tcPr>
          <w:p w14:paraId="2AED5DCB"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6F34097D"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796</w:t>
            </w:r>
          </w:p>
        </w:tc>
      </w:tr>
      <w:tr w:rsidR="00000000" w14:paraId="7B5840C0" w14:textId="77777777">
        <w:trPr>
          <w:trHeight w:val="280"/>
        </w:trPr>
        <w:tc>
          <w:tcPr>
            <w:tcW w:w="1165" w:type="dxa"/>
            <w:vMerge/>
            <w:tcBorders>
              <w:right w:val="single" w:sz="4" w:space="0" w:color="auto"/>
            </w:tcBorders>
            <w:vAlign w:val="center"/>
          </w:tcPr>
          <w:p w14:paraId="19AE9E3C" w14:textId="77777777" w:rsidR="00000000" w:rsidRDefault="00000000">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14:paraId="5AF9267B"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23462FDA"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地下建筑出入口</w:t>
            </w:r>
          </w:p>
        </w:tc>
        <w:tc>
          <w:tcPr>
            <w:tcW w:w="1488" w:type="dxa"/>
            <w:tcBorders>
              <w:top w:val="nil"/>
              <w:left w:val="nil"/>
              <w:bottom w:val="single" w:sz="4" w:space="0" w:color="auto"/>
              <w:right w:val="single" w:sz="4" w:space="0" w:color="auto"/>
            </w:tcBorders>
            <w:noWrap/>
            <w:vAlign w:val="center"/>
          </w:tcPr>
          <w:p w14:paraId="56A678A3"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4B6EF921"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150</w:t>
            </w:r>
          </w:p>
        </w:tc>
      </w:tr>
      <w:tr w:rsidR="00000000" w14:paraId="15CDB42B" w14:textId="77777777">
        <w:trPr>
          <w:trHeight w:val="280"/>
        </w:trPr>
        <w:tc>
          <w:tcPr>
            <w:tcW w:w="1165" w:type="dxa"/>
            <w:vMerge/>
            <w:tcBorders>
              <w:right w:val="single" w:sz="4" w:space="0" w:color="auto"/>
            </w:tcBorders>
            <w:vAlign w:val="center"/>
          </w:tcPr>
          <w:p w14:paraId="03B8F6D2" w14:textId="77777777" w:rsidR="00000000" w:rsidRDefault="00000000">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14:paraId="69E18D82"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0CFEAF6A"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配套设施面积</w:t>
            </w:r>
          </w:p>
        </w:tc>
        <w:tc>
          <w:tcPr>
            <w:tcW w:w="1488" w:type="dxa"/>
            <w:tcBorders>
              <w:top w:val="nil"/>
              <w:left w:val="nil"/>
              <w:bottom w:val="single" w:sz="4" w:space="0" w:color="auto"/>
              <w:right w:val="single" w:sz="4" w:space="0" w:color="auto"/>
            </w:tcBorders>
            <w:noWrap/>
            <w:vAlign w:val="center"/>
          </w:tcPr>
          <w:p w14:paraId="219C1A4D"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7CA9B690"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540</w:t>
            </w:r>
          </w:p>
        </w:tc>
      </w:tr>
      <w:tr w:rsidR="00000000" w14:paraId="3505C085" w14:textId="77777777">
        <w:trPr>
          <w:trHeight w:val="280"/>
        </w:trPr>
        <w:tc>
          <w:tcPr>
            <w:tcW w:w="1165" w:type="dxa"/>
            <w:vMerge/>
            <w:tcBorders>
              <w:right w:val="single" w:sz="4" w:space="0" w:color="auto"/>
            </w:tcBorders>
            <w:vAlign w:val="center"/>
          </w:tcPr>
          <w:p w14:paraId="0F8580DC" w14:textId="77777777" w:rsidR="00000000" w:rsidRDefault="00000000">
            <w:pPr>
              <w:widowControl/>
              <w:spacing w:line="240" w:lineRule="auto"/>
              <w:jc w:val="center"/>
              <w:rPr>
                <w:rFonts w:ascii="Arial" w:hAnsi="Arial" w:cs="Arial"/>
                <w:color w:val="000000"/>
                <w:sz w:val="20"/>
              </w:rPr>
            </w:pPr>
          </w:p>
        </w:tc>
        <w:tc>
          <w:tcPr>
            <w:tcW w:w="4361" w:type="dxa"/>
            <w:gridSpan w:val="2"/>
            <w:tcBorders>
              <w:top w:val="single" w:sz="4" w:space="0" w:color="auto"/>
              <w:left w:val="single" w:sz="4" w:space="0" w:color="auto"/>
              <w:bottom w:val="single" w:sz="4" w:space="0" w:color="auto"/>
              <w:right w:val="single" w:sz="4" w:space="0" w:color="auto"/>
            </w:tcBorders>
            <w:vAlign w:val="center"/>
          </w:tcPr>
          <w:p w14:paraId="0FAD23FC" w14:textId="77777777" w:rsidR="00000000" w:rsidRDefault="00000000">
            <w:pPr>
              <w:widowControl/>
              <w:spacing w:line="240" w:lineRule="auto"/>
              <w:jc w:val="center"/>
              <w:rPr>
                <w:rFonts w:ascii="Arial" w:hAnsi="Arial" w:cs="Arial" w:hint="eastAsia"/>
                <w:color w:val="000000"/>
                <w:sz w:val="20"/>
              </w:rPr>
            </w:pPr>
            <w:r>
              <w:rPr>
                <w:rFonts w:ascii="Arial" w:hAnsi="Arial" w:cs="Arial"/>
                <w:color w:val="000000"/>
                <w:sz w:val="20"/>
              </w:rPr>
              <w:t>地下建筑面积</w:t>
            </w:r>
          </w:p>
        </w:tc>
        <w:tc>
          <w:tcPr>
            <w:tcW w:w="1488" w:type="dxa"/>
            <w:tcBorders>
              <w:top w:val="nil"/>
              <w:left w:val="nil"/>
              <w:bottom w:val="single" w:sz="4" w:space="0" w:color="auto"/>
              <w:right w:val="single" w:sz="4" w:space="0" w:color="auto"/>
            </w:tcBorders>
            <w:noWrap/>
            <w:vAlign w:val="center"/>
          </w:tcPr>
          <w:p w14:paraId="004A2689"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37B4FAC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10662</w:t>
            </w:r>
          </w:p>
        </w:tc>
      </w:tr>
      <w:tr w:rsidR="00000000" w14:paraId="1292043C" w14:textId="77777777">
        <w:trPr>
          <w:trHeight w:val="280"/>
        </w:trPr>
        <w:tc>
          <w:tcPr>
            <w:tcW w:w="1165" w:type="dxa"/>
            <w:vMerge/>
            <w:tcBorders>
              <w:right w:val="single" w:sz="4" w:space="0" w:color="auto"/>
            </w:tcBorders>
            <w:vAlign w:val="center"/>
          </w:tcPr>
          <w:p w14:paraId="38B78BD4" w14:textId="77777777" w:rsidR="00000000" w:rsidRDefault="00000000">
            <w:pPr>
              <w:widowControl/>
              <w:spacing w:line="240" w:lineRule="auto"/>
              <w:jc w:val="center"/>
              <w:rPr>
                <w:rFonts w:ascii="Arial" w:hAnsi="Arial" w:cs="Arial"/>
                <w:color w:val="000000"/>
                <w:sz w:val="20"/>
              </w:rPr>
            </w:pPr>
          </w:p>
        </w:tc>
        <w:tc>
          <w:tcPr>
            <w:tcW w:w="1020" w:type="dxa"/>
            <w:vMerge w:val="restart"/>
            <w:tcBorders>
              <w:top w:val="single" w:sz="4" w:space="0" w:color="auto"/>
              <w:left w:val="single" w:sz="4" w:space="0" w:color="auto"/>
              <w:bottom w:val="single" w:sz="4" w:space="0" w:color="auto"/>
              <w:right w:val="single" w:sz="4" w:space="0" w:color="auto"/>
            </w:tcBorders>
            <w:vAlign w:val="center"/>
          </w:tcPr>
          <w:p w14:paraId="747C11DD"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sz="4" w:space="0" w:color="auto"/>
              <w:left w:val="nil"/>
              <w:bottom w:val="single" w:sz="4" w:space="0" w:color="auto"/>
              <w:right w:val="single" w:sz="4" w:space="0" w:color="auto"/>
            </w:tcBorders>
            <w:noWrap/>
            <w:vAlign w:val="center"/>
          </w:tcPr>
          <w:p w14:paraId="56C640EC"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人防建筑面积</w:t>
            </w:r>
          </w:p>
        </w:tc>
        <w:tc>
          <w:tcPr>
            <w:tcW w:w="1488" w:type="dxa"/>
            <w:tcBorders>
              <w:top w:val="nil"/>
              <w:left w:val="nil"/>
              <w:bottom w:val="single" w:sz="4" w:space="0" w:color="auto"/>
              <w:right w:val="single" w:sz="4" w:space="0" w:color="auto"/>
            </w:tcBorders>
            <w:noWrap/>
            <w:vAlign w:val="center"/>
          </w:tcPr>
          <w:p w14:paraId="0EB57E78"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63C1882D"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2837</w:t>
            </w:r>
          </w:p>
        </w:tc>
      </w:tr>
      <w:tr w:rsidR="00000000" w14:paraId="6B8C9545" w14:textId="77777777">
        <w:trPr>
          <w:trHeight w:val="280"/>
        </w:trPr>
        <w:tc>
          <w:tcPr>
            <w:tcW w:w="1165" w:type="dxa"/>
            <w:vMerge/>
            <w:tcBorders>
              <w:right w:val="single" w:sz="4" w:space="0" w:color="auto"/>
            </w:tcBorders>
            <w:vAlign w:val="center"/>
          </w:tcPr>
          <w:p w14:paraId="06B93C21" w14:textId="77777777" w:rsidR="00000000" w:rsidRDefault="00000000">
            <w:pPr>
              <w:widowControl/>
              <w:spacing w:line="240" w:lineRule="auto"/>
              <w:jc w:val="center"/>
              <w:rPr>
                <w:rFonts w:ascii="Arial" w:hAnsi="Arial" w:cs="Arial"/>
                <w:color w:val="000000"/>
                <w:sz w:val="20"/>
              </w:rPr>
            </w:pPr>
          </w:p>
        </w:tc>
        <w:tc>
          <w:tcPr>
            <w:tcW w:w="1020" w:type="dxa"/>
            <w:vMerge/>
            <w:tcBorders>
              <w:top w:val="single" w:sz="4" w:space="0" w:color="auto"/>
              <w:left w:val="single" w:sz="4" w:space="0" w:color="auto"/>
              <w:right w:val="single" w:sz="4" w:space="0" w:color="auto"/>
            </w:tcBorders>
            <w:vAlign w:val="center"/>
          </w:tcPr>
          <w:p w14:paraId="0B4478A9" w14:textId="77777777" w:rsidR="00000000" w:rsidRDefault="00000000">
            <w:pPr>
              <w:widowControl/>
              <w:spacing w:line="240" w:lineRule="auto"/>
              <w:jc w:val="center"/>
              <w:rPr>
                <w:rFonts w:ascii="Arial" w:hAnsi="Arial" w:cs="Arial"/>
                <w:color w:val="000000"/>
                <w:sz w:val="20"/>
              </w:rPr>
            </w:pPr>
          </w:p>
        </w:tc>
        <w:tc>
          <w:tcPr>
            <w:tcW w:w="3341" w:type="dxa"/>
            <w:tcBorders>
              <w:top w:val="single" w:sz="4" w:space="0" w:color="auto"/>
              <w:left w:val="nil"/>
              <w:bottom w:val="single" w:sz="4" w:space="0" w:color="auto"/>
              <w:right w:val="single" w:sz="4" w:space="0" w:color="auto"/>
            </w:tcBorders>
            <w:noWrap/>
            <w:vAlign w:val="center"/>
          </w:tcPr>
          <w:p w14:paraId="5CD5A77C"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地下机动车库面积</w:t>
            </w:r>
          </w:p>
        </w:tc>
        <w:tc>
          <w:tcPr>
            <w:tcW w:w="1488" w:type="dxa"/>
            <w:tcBorders>
              <w:top w:val="nil"/>
              <w:left w:val="nil"/>
              <w:bottom w:val="single" w:sz="4" w:space="0" w:color="auto"/>
              <w:right w:val="single" w:sz="4" w:space="0" w:color="auto"/>
            </w:tcBorders>
            <w:noWrap/>
            <w:vAlign w:val="center"/>
          </w:tcPr>
          <w:p w14:paraId="0B8733D1"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5CDB7E63"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5556</w:t>
            </w:r>
          </w:p>
        </w:tc>
      </w:tr>
      <w:tr w:rsidR="00000000" w14:paraId="2394D8FA" w14:textId="77777777">
        <w:trPr>
          <w:trHeight w:val="280"/>
        </w:trPr>
        <w:tc>
          <w:tcPr>
            <w:tcW w:w="1165" w:type="dxa"/>
            <w:vMerge/>
            <w:tcBorders>
              <w:right w:val="single" w:sz="4" w:space="0" w:color="auto"/>
            </w:tcBorders>
            <w:vAlign w:val="center"/>
          </w:tcPr>
          <w:p w14:paraId="0B477B32" w14:textId="77777777" w:rsidR="00000000" w:rsidRDefault="00000000">
            <w:pPr>
              <w:widowControl/>
              <w:spacing w:line="240" w:lineRule="auto"/>
              <w:jc w:val="center"/>
              <w:rPr>
                <w:rFonts w:ascii="Arial" w:hAnsi="Arial" w:cs="Arial"/>
                <w:color w:val="000000"/>
                <w:sz w:val="20"/>
              </w:rPr>
            </w:pPr>
          </w:p>
        </w:tc>
        <w:tc>
          <w:tcPr>
            <w:tcW w:w="1020" w:type="dxa"/>
            <w:vMerge/>
            <w:tcBorders>
              <w:left w:val="single" w:sz="4" w:space="0" w:color="auto"/>
              <w:right w:val="single" w:sz="4" w:space="0" w:color="auto"/>
            </w:tcBorders>
            <w:vAlign w:val="center"/>
          </w:tcPr>
          <w:p w14:paraId="504DDBD8"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55F7CD87"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自行车</w:t>
            </w:r>
          </w:p>
        </w:tc>
        <w:tc>
          <w:tcPr>
            <w:tcW w:w="1488" w:type="dxa"/>
            <w:tcBorders>
              <w:top w:val="nil"/>
              <w:left w:val="nil"/>
              <w:bottom w:val="single" w:sz="4" w:space="0" w:color="auto"/>
              <w:right w:val="single" w:sz="4" w:space="0" w:color="auto"/>
            </w:tcBorders>
            <w:noWrap/>
            <w:vAlign w:val="center"/>
          </w:tcPr>
          <w:p w14:paraId="1E9488A4"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434AB1D4"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979</w:t>
            </w:r>
          </w:p>
        </w:tc>
      </w:tr>
      <w:tr w:rsidR="00000000" w14:paraId="0959D9B7" w14:textId="77777777">
        <w:trPr>
          <w:trHeight w:val="280"/>
        </w:trPr>
        <w:tc>
          <w:tcPr>
            <w:tcW w:w="1165" w:type="dxa"/>
            <w:vMerge/>
            <w:tcBorders>
              <w:right w:val="single" w:sz="4" w:space="0" w:color="auto"/>
            </w:tcBorders>
            <w:vAlign w:val="center"/>
          </w:tcPr>
          <w:p w14:paraId="2054A2D3" w14:textId="77777777" w:rsidR="00000000" w:rsidRDefault="00000000">
            <w:pPr>
              <w:widowControl/>
              <w:spacing w:line="240" w:lineRule="auto"/>
              <w:jc w:val="center"/>
              <w:rPr>
                <w:rFonts w:ascii="Arial" w:hAnsi="Arial" w:cs="Arial"/>
                <w:color w:val="000000"/>
                <w:sz w:val="20"/>
              </w:rPr>
            </w:pPr>
          </w:p>
        </w:tc>
        <w:tc>
          <w:tcPr>
            <w:tcW w:w="1020" w:type="dxa"/>
            <w:vMerge/>
            <w:tcBorders>
              <w:left w:val="single" w:sz="4" w:space="0" w:color="auto"/>
              <w:bottom w:val="single" w:sz="4" w:space="0" w:color="auto"/>
              <w:right w:val="single" w:sz="4" w:space="0" w:color="auto"/>
            </w:tcBorders>
            <w:vAlign w:val="center"/>
          </w:tcPr>
          <w:p w14:paraId="69F72E60"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4ABAFBC8"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设备用房</w:t>
            </w:r>
          </w:p>
        </w:tc>
        <w:tc>
          <w:tcPr>
            <w:tcW w:w="1488" w:type="dxa"/>
            <w:tcBorders>
              <w:top w:val="nil"/>
              <w:left w:val="nil"/>
              <w:bottom w:val="single" w:sz="4" w:space="0" w:color="auto"/>
              <w:right w:val="single" w:sz="4" w:space="0" w:color="auto"/>
            </w:tcBorders>
            <w:noWrap/>
            <w:vAlign w:val="center"/>
          </w:tcPr>
          <w:p w14:paraId="0259F882"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509F4654"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12900</w:t>
            </w:r>
          </w:p>
        </w:tc>
      </w:tr>
      <w:tr w:rsidR="00000000" w14:paraId="4599795D"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5701F9C0"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sz="4" w:space="0" w:color="auto"/>
              <w:right w:val="single" w:sz="4" w:space="0" w:color="auto"/>
            </w:tcBorders>
            <w:noWrap/>
            <w:vAlign w:val="center"/>
          </w:tcPr>
          <w:p w14:paraId="01D72467"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sz="4" w:space="0" w:color="auto"/>
              <w:right w:val="single" w:sz="4" w:space="0" w:color="auto"/>
            </w:tcBorders>
            <w:noWrap/>
            <w:vAlign w:val="center"/>
          </w:tcPr>
          <w:p w14:paraId="359C3B3E"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1090</w:t>
            </w:r>
          </w:p>
        </w:tc>
      </w:tr>
      <w:tr w:rsidR="00000000" w14:paraId="07A049D6"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2BD1CC56"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机动车停车位</w:t>
            </w:r>
          </w:p>
        </w:tc>
        <w:tc>
          <w:tcPr>
            <w:tcW w:w="1488" w:type="dxa"/>
            <w:tcBorders>
              <w:top w:val="nil"/>
              <w:left w:val="nil"/>
              <w:bottom w:val="single" w:sz="4" w:space="0" w:color="auto"/>
              <w:right w:val="single" w:sz="4" w:space="0" w:color="auto"/>
            </w:tcBorders>
            <w:noWrap/>
            <w:vAlign w:val="center"/>
          </w:tcPr>
          <w:p w14:paraId="2A98DA22"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个</w:t>
            </w:r>
          </w:p>
        </w:tc>
        <w:tc>
          <w:tcPr>
            <w:tcW w:w="2436" w:type="dxa"/>
            <w:tcBorders>
              <w:top w:val="nil"/>
              <w:left w:val="nil"/>
              <w:bottom w:val="single" w:sz="4" w:space="0" w:color="auto"/>
              <w:right w:val="single" w:sz="4" w:space="0" w:color="auto"/>
            </w:tcBorders>
            <w:noWrap/>
            <w:vAlign w:val="center"/>
          </w:tcPr>
          <w:p w14:paraId="44F50A7D"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218</w:t>
            </w:r>
          </w:p>
        </w:tc>
      </w:tr>
      <w:tr w:rsidR="00000000" w14:paraId="442CCD75"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2B3D43DA"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sz="4" w:space="0" w:color="auto"/>
              <w:right w:val="single" w:sz="4" w:space="0" w:color="auto"/>
            </w:tcBorders>
            <w:noWrap/>
            <w:vAlign w:val="center"/>
          </w:tcPr>
          <w:p w14:paraId="6860C302"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63260222"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1.8</w:t>
            </w:r>
          </w:p>
        </w:tc>
      </w:tr>
      <w:tr w:rsidR="00000000" w14:paraId="77AA2188"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05D2EC0E"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sz="4" w:space="0" w:color="auto"/>
              <w:right w:val="single" w:sz="4" w:space="0" w:color="auto"/>
            </w:tcBorders>
            <w:noWrap/>
            <w:vAlign w:val="center"/>
          </w:tcPr>
          <w:p w14:paraId="07B693CE"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0250FA97"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29.93</w:t>
            </w:r>
            <w:r>
              <w:rPr>
                <w:rFonts w:ascii="Arial" w:hAnsi="Arial" w:cs="Arial"/>
                <w:color w:val="000000"/>
                <w:sz w:val="20"/>
              </w:rPr>
              <w:t>%</w:t>
            </w:r>
          </w:p>
        </w:tc>
      </w:tr>
      <w:tr w:rsidR="00000000" w14:paraId="394B5BCD"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54D564D4"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sz="4" w:space="0" w:color="auto"/>
              <w:right w:val="single" w:sz="4" w:space="0" w:color="auto"/>
            </w:tcBorders>
            <w:noWrap/>
            <w:vAlign w:val="center"/>
          </w:tcPr>
          <w:p w14:paraId="198A04B1"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5EE2AE73"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30.0</w:t>
            </w:r>
            <w:r>
              <w:rPr>
                <w:rFonts w:ascii="Arial" w:hAnsi="Arial" w:cs="Arial" w:hint="eastAsia"/>
                <w:color w:val="000000"/>
                <w:sz w:val="20"/>
              </w:rPr>
              <w:t>0%</w:t>
            </w:r>
          </w:p>
        </w:tc>
      </w:tr>
    </w:tbl>
    <w:p w14:paraId="1B0DA223" w14:textId="77777777" w:rsidR="00000000" w:rsidRDefault="00000000">
      <w:pPr>
        <w:spacing w:beforeLines="100" w:before="240" w:line="360" w:lineRule="auto"/>
        <w:ind w:firstLineChars="200" w:firstLine="552"/>
        <w:jc w:val="both"/>
        <w:rPr>
          <w:rFonts w:ascii="Arial" w:hAnsi="Arial" w:cs="Arial"/>
          <w:sz w:val="28"/>
        </w:rPr>
      </w:pPr>
      <w:r>
        <w:rPr>
          <w:rFonts w:ascii="Arial"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Pr>
          <w:rFonts w:ascii="Arial" w:hAnsi="Arial" w:cs="Arial"/>
          <w:sz w:val="28"/>
        </w:rPr>
        <w:t>。</w:t>
      </w:r>
    </w:p>
    <w:p w14:paraId="7511EA4F" w14:textId="77777777" w:rsidR="00000000" w:rsidRDefault="00000000">
      <w:pPr>
        <w:spacing w:line="360" w:lineRule="auto"/>
        <w:ind w:firstLineChars="200" w:firstLine="512"/>
        <w:jc w:val="both"/>
        <w:rPr>
          <w:rFonts w:ascii="Arial" w:hAnsi="Arial" w:cs="Arial"/>
          <w:spacing w:val="-12"/>
          <w:sz w:val="28"/>
        </w:rPr>
      </w:pPr>
      <w:r>
        <w:rPr>
          <w:rFonts w:ascii="Arial" w:hAnsi="Arial" w:cs="Arial"/>
          <w:spacing w:val="-12"/>
          <w:sz w:val="28"/>
        </w:rPr>
        <w:t>2.</w:t>
      </w:r>
      <w:r>
        <w:rPr>
          <w:rFonts w:ascii="Arial" w:hAnsi="Arial" w:cs="Arial"/>
          <w:spacing w:val="-12"/>
          <w:sz w:val="28"/>
        </w:rPr>
        <w:t>土地利用现状</w:t>
      </w:r>
    </w:p>
    <w:p w14:paraId="4B56D17C" w14:textId="77777777" w:rsidR="00000000" w:rsidRDefault="00000000">
      <w:pPr>
        <w:spacing w:line="360" w:lineRule="auto"/>
        <w:ind w:firstLineChars="200" w:firstLine="512"/>
        <w:jc w:val="both"/>
        <w:rPr>
          <w:rFonts w:ascii="Arial" w:hAnsi="Arial" w:cs="Arial"/>
          <w:sz w:val="28"/>
        </w:rPr>
      </w:pPr>
      <w:r>
        <w:rPr>
          <w:rFonts w:ascii="Arial" w:hAnsi="Arial" w:cs="Arial"/>
          <w:spacing w:val="-12"/>
          <w:sz w:val="28"/>
        </w:rPr>
        <w:t>根据评估专业人员实地查勘，截至咨询期日，咨询对象宗地红线外达</w:t>
      </w:r>
      <w:r>
        <w:rPr>
          <w:rFonts w:ascii="Arial" w:hAnsi="Arial" w:cs="Arial"/>
          <w:spacing w:val="-12"/>
          <w:sz w:val="28"/>
        </w:rPr>
        <w:t>“</w:t>
      </w:r>
      <w:r>
        <w:rPr>
          <w:rFonts w:ascii="Arial" w:hAnsi="Arial" w:cs="Arial"/>
          <w:spacing w:val="-12"/>
          <w:sz w:val="28"/>
        </w:rPr>
        <w:t>三通</w:t>
      </w:r>
      <w:r>
        <w:rPr>
          <w:rFonts w:ascii="Arial" w:hAnsi="Arial" w:cs="Arial"/>
          <w:spacing w:val="-12"/>
          <w:sz w:val="28"/>
        </w:rPr>
        <w:t>”</w:t>
      </w:r>
      <w:r>
        <w:rPr>
          <w:rFonts w:ascii="Arial" w:hAnsi="Arial" w:cs="Arial"/>
          <w:spacing w:val="-12"/>
          <w:sz w:val="28"/>
        </w:rPr>
        <w:t>，红线内场地尚未平整，</w:t>
      </w:r>
      <w:r>
        <w:rPr>
          <w:rFonts w:ascii="Arial" w:hAnsi="Arial" w:cs="Arial"/>
          <w:sz w:val="28"/>
        </w:rPr>
        <w:t>宗地红线内有需要移除的树木</w:t>
      </w:r>
      <w:r>
        <w:rPr>
          <w:rFonts w:ascii="Arial" w:hAnsi="Arial" w:cs="Arial"/>
          <w:spacing w:val="-12"/>
          <w:sz w:val="28"/>
        </w:rPr>
        <w:t>。本次评估咨询结果</w:t>
      </w:r>
      <w:r>
        <w:rPr>
          <w:rFonts w:ascii="Arial" w:hAnsi="Arial" w:cs="Arial"/>
          <w:sz w:val="28"/>
        </w:rPr>
        <w:t>未扣除树木移除的费用。</w:t>
      </w:r>
    </w:p>
    <w:p w14:paraId="5CAF5464" w14:textId="77777777" w:rsidR="00000000" w:rsidRDefault="00000000">
      <w:pPr>
        <w:spacing w:line="360" w:lineRule="auto"/>
        <w:outlineLvl w:val="1"/>
        <w:rPr>
          <w:rFonts w:ascii="Arial" w:hAnsi="Arial" w:cs="Arial"/>
          <w:b/>
          <w:sz w:val="28"/>
        </w:rPr>
      </w:pPr>
      <w:bookmarkStart w:id="121" w:name="_Toc3196"/>
      <w:bookmarkStart w:id="122" w:name="_Toc469066315"/>
      <w:bookmarkStart w:id="123" w:name="_Toc425250317"/>
      <w:bookmarkStart w:id="124" w:name="_Toc18209"/>
      <w:bookmarkStart w:id="125" w:name="_Toc416783532"/>
      <w:bookmarkStart w:id="126" w:name="_Toc418750895"/>
      <w:r>
        <w:rPr>
          <w:rFonts w:ascii="Arial" w:hAnsi="Arial" w:cs="Arial"/>
          <w:b/>
          <w:sz w:val="28"/>
        </w:rPr>
        <w:lastRenderedPageBreak/>
        <w:t>四、影响地价的因素说明</w:t>
      </w:r>
      <w:bookmarkEnd w:id="121"/>
      <w:bookmarkEnd w:id="122"/>
      <w:bookmarkEnd w:id="123"/>
      <w:bookmarkEnd w:id="124"/>
      <w:bookmarkEnd w:id="125"/>
      <w:bookmarkEnd w:id="126"/>
    </w:p>
    <w:p w14:paraId="4D457212" w14:textId="77777777" w:rsidR="00000000" w:rsidRDefault="00000000">
      <w:pPr>
        <w:spacing w:line="360" w:lineRule="auto"/>
        <w:jc w:val="both"/>
        <w:rPr>
          <w:rFonts w:ascii="宋体" w:hAnsi="宋体" w:cs="宋体" w:hint="eastAsia"/>
          <w:sz w:val="28"/>
          <w:szCs w:val="28"/>
        </w:rPr>
      </w:pPr>
      <w:r>
        <w:rPr>
          <w:rFonts w:ascii="宋体" w:hAnsi="宋体" w:cs="宋体" w:hint="eastAsia"/>
          <w:sz w:val="28"/>
          <w:szCs w:val="28"/>
        </w:rPr>
        <w:t>（一） 一般因素</w:t>
      </w:r>
    </w:p>
    <w:p w14:paraId="7C35EC09"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1.</w:t>
      </w:r>
      <w:r>
        <w:rPr>
          <w:rFonts w:ascii="Arial" w:hAnsi="Arial" w:cs="Arial" w:hint="eastAsia"/>
          <w:sz w:val="28"/>
        </w:rPr>
        <w:t>城市资源状况</w:t>
      </w:r>
    </w:p>
    <w:p w14:paraId="3BAD0AC2"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地理位置：北京，简称“京”，是中华人民共和国的首都，是全国的政治中心、文化中心，是世界著名古都和现代化国际城市。北京位于北纬</w:t>
      </w:r>
      <w:r>
        <w:rPr>
          <w:rFonts w:ascii="Arial" w:hAnsi="Arial" w:cs="Arial" w:hint="eastAsia"/>
          <w:sz w:val="28"/>
        </w:rPr>
        <w:t>39</w:t>
      </w:r>
      <w:r>
        <w:rPr>
          <w:rFonts w:ascii="Arial" w:hAnsi="Arial" w:cs="Arial" w:hint="eastAsia"/>
          <w:sz w:val="28"/>
        </w:rPr>
        <w:t>度</w:t>
      </w:r>
      <w:r>
        <w:rPr>
          <w:rFonts w:ascii="Arial" w:hAnsi="Arial" w:cs="Arial" w:hint="eastAsia"/>
          <w:sz w:val="28"/>
        </w:rPr>
        <w:t>56</w:t>
      </w:r>
      <w:r>
        <w:rPr>
          <w:rFonts w:ascii="Arial" w:hAnsi="Arial" w:cs="Arial" w:hint="eastAsia"/>
          <w:sz w:val="28"/>
        </w:rPr>
        <w:t>分、东经</w:t>
      </w:r>
      <w:r>
        <w:rPr>
          <w:rFonts w:ascii="Arial" w:hAnsi="Arial" w:cs="Arial" w:hint="eastAsia"/>
          <w:sz w:val="28"/>
        </w:rPr>
        <w:t>116</w:t>
      </w:r>
      <w:r>
        <w:rPr>
          <w:rFonts w:ascii="Arial" w:hAnsi="Arial" w:cs="Arial" w:hint="eastAsia"/>
          <w:sz w:val="28"/>
        </w:rPr>
        <w:t>度</w:t>
      </w:r>
      <w:r>
        <w:rPr>
          <w:rFonts w:ascii="Arial" w:hAnsi="Arial" w:cs="Arial" w:hint="eastAsia"/>
          <w:sz w:val="28"/>
        </w:rPr>
        <w:t>20</w:t>
      </w:r>
      <w:r>
        <w:rPr>
          <w:rFonts w:ascii="Arial" w:hAnsi="Arial" w:cs="Arial" w:hint="eastAsia"/>
          <w:sz w:val="28"/>
        </w:rPr>
        <w:t>分，地处华北大平原的北部，东面与天津市毗连，其余均与河北省相邻。</w:t>
      </w:r>
    </w:p>
    <w:p w14:paraId="7882871F"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城市人口：</w:t>
      </w:r>
      <w:bookmarkStart w:id="127" w:name="OLE_LINK34"/>
      <w:bookmarkStart w:id="128" w:name="OLE_LINK33"/>
      <w:bookmarkStart w:id="129" w:name="OLE_LINK38"/>
      <w:r>
        <w:rPr>
          <w:rFonts w:ascii="Arial" w:hAnsi="Arial" w:cs="Arial" w:hint="eastAsia"/>
          <w:sz w:val="28"/>
        </w:rPr>
        <w:t>截至</w:t>
      </w:r>
      <w:r>
        <w:rPr>
          <w:rFonts w:ascii="Arial" w:hAnsi="Arial" w:cs="Arial" w:hint="eastAsia"/>
          <w:sz w:val="28"/>
        </w:rPr>
        <w:t>2024</w:t>
      </w:r>
      <w:r>
        <w:rPr>
          <w:rFonts w:ascii="Arial" w:hAnsi="Arial" w:cs="Arial" w:hint="eastAsia"/>
          <w:sz w:val="28"/>
        </w:rPr>
        <w:t>年年末，北京市常住人口为</w:t>
      </w:r>
      <w:r>
        <w:rPr>
          <w:rFonts w:ascii="Arial" w:hAnsi="Arial" w:cs="Arial" w:hint="eastAsia"/>
          <w:sz w:val="28"/>
        </w:rPr>
        <w:t>2183.2</w:t>
      </w:r>
      <w:r>
        <w:rPr>
          <w:rFonts w:ascii="Arial" w:hAnsi="Arial" w:cs="Arial" w:hint="eastAsia"/>
          <w:sz w:val="28"/>
        </w:rPr>
        <w:t>万人，从年龄构成看，</w:t>
      </w:r>
      <w:r>
        <w:rPr>
          <w:rFonts w:ascii="Arial" w:hAnsi="Arial" w:cs="Arial" w:hint="eastAsia"/>
          <w:sz w:val="28"/>
        </w:rPr>
        <w:t>0-14</w:t>
      </w:r>
      <w:r>
        <w:rPr>
          <w:rFonts w:ascii="Arial" w:hAnsi="Arial" w:cs="Arial" w:hint="eastAsia"/>
          <w:sz w:val="28"/>
        </w:rPr>
        <w:t>岁常住人口</w:t>
      </w:r>
      <w:r>
        <w:rPr>
          <w:rFonts w:ascii="Arial" w:hAnsi="Arial" w:cs="Arial" w:hint="eastAsia"/>
          <w:sz w:val="28"/>
        </w:rPr>
        <w:t>261.2</w:t>
      </w:r>
      <w:r>
        <w:rPr>
          <w:rFonts w:ascii="Arial" w:hAnsi="Arial" w:cs="Arial" w:hint="eastAsia"/>
          <w:sz w:val="28"/>
        </w:rPr>
        <w:t>万人，占全市常住人口的比重为</w:t>
      </w:r>
      <w:r>
        <w:rPr>
          <w:rFonts w:ascii="Arial" w:hAnsi="Arial" w:cs="Arial" w:hint="eastAsia"/>
          <w:sz w:val="28"/>
        </w:rPr>
        <w:t>12.0%</w:t>
      </w:r>
      <w:r>
        <w:rPr>
          <w:rFonts w:ascii="Arial" w:hAnsi="Arial" w:cs="Arial" w:hint="eastAsia"/>
          <w:sz w:val="28"/>
        </w:rPr>
        <w:t>；</w:t>
      </w:r>
      <w:r>
        <w:rPr>
          <w:rFonts w:ascii="Arial" w:hAnsi="Arial" w:cs="Arial" w:hint="eastAsia"/>
          <w:sz w:val="28"/>
        </w:rPr>
        <w:t>15-59</w:t>
      </w:r>
      <w:r>
        <w:rPr>
          <w:rFonts w:ascii="Arial" w:hAnsi="Arial" w:cs="Arial" w:hint="eastAsia"/>
          <w:sz w:val="28"/>
        </w:rPr>
        <w:t>岁常住人口</w:t>
      </w:r>
      <w:r>
        <w:rPr>
          <w:rFonts w:ascii="Arial" w:hAnsi="Arial" w:cs="Arial" w:hint="eastAsia"/>
          <w:sz w:val="28"/>
        </w:rPr>
        <w:t>1408.0</w:t>
      </w:r>
      <w:r>
        <w:rPr>
          <w:rFonts w:ascii="Arial" w:hAnsi="Arial" w:cs="Arial" w:hint="eastAsia"/>
          <w:sz w:val="28"/>
        </w:rPr>
        <w:t>万人，占</w:t>
      </w:r>
      <w:r>
        <w:rPr>
          <w:rFonts w:ascii="Arial" w:hAnsi="Arial" w:cs="Arial" w:hint="eastAsia"/>
          <w:sz w:val="28"/>
        </w:rPr>
        <w:t>64.5%</w:t>
      </w:r>
      <w:r>
        <w:rPr>
          <w:rFonts w:ascii="Arial" w:hAnsi="Arial" w:cs="Arial" w:hint="eastAsia"/>
          <w:sz w:val="28"/>
        </w:rPr>
        <w:t>；</w:t>
      </w:r>
      <w:r>
        <w:rPr>
          <w:rFonts w:ascii="Arial" w:hAnsi="Arial" w:cs="Arial" w:hint="eastAsia"/>
          <w:sz w:val="28"/>
        </w:rPr>
        <w:t>60</w:t>
      </w:r>
      <w:r>
        <w:rPr>
          <w:rFonts w:ascii="Arial" w:hAnsi="Arial" w:cs="Arial" w:hint="eastAsia"/>
          <w:sz w:val="28"/>
        </w:rPr>
        <w:t>岁及以上常住人口</w:t>
      </w:r>
      <w:r>
        <w:rPr>
          <w:rFonts w:ascii="Arial" w:hAnsi="Arial" w:cs="Arial" w:hint="eastAsia"/>
          <w:sz w:val="28"/>
        </w:rPr>
        <w:t>514.0</w:t>
      </w:r>
      <w:r>
        <w:rPr>
          <w:rFonts w:ascii="Arial" w:hAnsi="Arial" w:cs="Arial" w:hint="eastAsia"/>
          <w:sz w:val="28"/>
        </w:rPr>
        <w:t>万人，占</w:t>
      </w:r>
      <w:r>
        <w:rPr>
          <w:rFonts w:ascii="Arial" w:hAnsi="Arial" w:cs="Arial" w:hint="eastAsia"/>
          <w:sz w:val="28"/>
        </w:rPr>
        <w:t>23.5%</w:t>
      </w:r>
      <w:r>
        <w:rPr>
          <w:rFonts w:ascii="Arial" w:hAnsi="Arial" w:cs="Arial" w:hint="eastAsia"/>
          <w:sz w:val="28"/>
        </w:rPr>
        <w:t>。</w:t>
      </w:r>
    </w:p>
    <w:p w14:paraId="42869783"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2020-2024</w:t>
      </w:r>
      <w:r>
        <w:rPr>
          <w:rFonts w:ascii="Arial" w:hAnsi="Arial" w:cs="Arial" w:hint="eastAsia"/>
          <w:sz w:val="28"/>
        </w:rPr>
        <w:t>年常住人口增量及增长速度</w:t>
      </w:r>
    </w:p>
    <w:p w14:paraId="406F621E" w14:textId="3711647B" w:rsidR="00000000" w:rsidRDefault="00CA265D">
      <w:pPr>
        <w:spacing w:line="360" w:lineRule="auto"/>
        <w:ind w:firstLineChars="200" w:firstLine="560"/>
        <w:jc w:val="both"/>
        <w:rPr>
          <w:rFonts w:ascii="Arial" w:hAnsi="Arial" w:cs="Arial" w:hint="eastAsia"/>
          <w:sz w:val="28"/>
        </w:rPr>
      </w:pPr>
      <w:bookmarkStart w:id="130" w:name="_Hlk195084670"/>
      <w:bookmarkEnd w:id="127"/>
      <w:bookmarkEnd w:id="128"/>
      <w:bookmarkEnd w:id="129"/>
      <w:r>
        <w:rPr>
          <w:rFonts w:ascii="Arial" w:hAnsi="Arial" w:cs="Arial" w:hint="eastAsia"/>
          <w:noProof/>
          <w:sz w:val="28"/>
        </w:rPr>
        <w:drawing>
          <wp:inline distT="0" distB="0" distL="0" distR="0" wp14:anchorId="1345D21C" wp14:editId="359BDA45">
            <wp:extent cx="5906770" cy="2172335"/>
            <wp:effectExtent l="0" t="0" r="0" b="0"/>
            <wp:docPr id="8" name="图片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130"/>
    </w:p>
    <w:p w14:paraId="0C13F776"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城市面积：北京市下辖</w:t>
      </w:r>
      <w:r>
        <w:rPr>
          <w:rFonts w:ascii="Arial" w:hAnsi="Arial" w:cs="Arial" w:hint="eastAsia"/>
          <w:sz w:val="28"/>
        </w:rPr>
        <w:t>16</w:t>
      </w:r>
      <w:r>
        <w:rPr>
          <w:rFonts w:ascii="Arial" w:hAnsi="Arial" w:cs="Arial" w:hint="eastAsia"/>
          <w:sz w:val="28"/>
        </w:rPr>
        <w:t>个区（即东城、西城、海淀、朝阳、丰台、顺义、昌平、通州、门头沟、石景山、房山、大兴、怀柔、平谷、密云、延庆），行政辖区总面积为</w:t>
      </w:r>
      <w:r>
        <w:rPr>
          <w:rFonts w:ascii="Arial" w:hAnsi="Arial" w:cs="Arial" w:hint="eastAsia"/>
          <w:sz w:val="28"/>
        </w:rPr>
        <w:t>16410</w:t>
      </w:r>
      <w:r>
        <w:rPr>
          <w:rFonts w:ascii="Arial" w:hAnsi="Arial" w:cs="Arial" w:hint="eastAsia"/>
          <w:sz w:val="28"/>
        </w:rPr>
        <w:t>平方公里。</w:t>
      </w:r>
    </w:p>
    <w:p w14:paraId="7509262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城市自然条件：北京气候属暖温带半湿润半干旱季风气候，夏季高温多雨，冬季寒冷干燥，春、秋短促。全年无霜期</w:t>
      </w:r>
      <w:r>
        <w:rPr>
          <w:rFonts w:ascii="Arial" w:hAnsi="Arial" w:cs="Arial" w:hint="eastAsia"/>
          <w:sz w:val="28"/>
        </w:rPr>
        <w:t>180</w:t>
      </w:r>
      <w:r>
        <w:rPr>
          <w:rFonts w:ascii="Arial" w:hAnsi="Arial" w:cs="Arial" w:hint="eastAsia"/>
          <w:sz w:val="28"/>
        </w:rPr>
        <w:t>～</w:t>
      </w:r>
      <w:r>
        <w:rPr>
          <w:rFonts w:ascii="Arial" w:hAnsi="Arial" w:cs="Arial" w:hint="eastAsia"/>
          <w:sz w:val="28"/>
        </w:rPr>
        <w:t>200</w:t>
      </w:r>
      <w:r>
        <w:rPr>
          <w:rFonts w:ascii="Arial" w:hAnsi="Arial" w:cs="Arial" w:hint="eastAsia"/>
          <w:sz w:val="28"/>
        </w:rPr>
        <w:t>天，西部山区较短。地势西北高、东南低。西部、北部和东北部三面环山，东南部是一片缓缓向渤海倾斜的平原。北京市天然河道自西向东贯穿五大水系：拒马河水</w:t>
      </w:r>
      <w:r>
        <w:rPr>
          <w:rFonts w:ascii="Arial" w:hAnsi="Arial" w:cs="Arial" w:hint="eastAsia"/>
          <w:sz w:val="28"/>
        </w:rPr>
        <w:lastRenderedPageBreak/>
        <w:t>系、永定河水系、北运河水系、潮白河水系和蓟运河水系。多由西北部山地发源，向东南蜿蜒流经平原地区，最后分别在海河汇入渤海（蓟运河除外）。北京市有水库</w:t>
      </w:r>
      <w:r>
        <w:rPr>
          <w:rFonts w:ascii="Arial" w:hAnsi="Arial" w:cs="Arial" w:hint="eastAsia"/>
          <w:sz w:val="28"/>
        </w:rPr>
        <w:t>85</w:t>
      </w:r>
      <w:r>
        <w:rPr>
          <w:rFonts w:ascii="Arial" w:hAnsi="Arial" w:cs="Arial" w:hint="eastAsia"/>
          <w:sz w:val="28"/>
        </w:rPr>
        <w:t>座，其中大型水库有密云水库、官厅水库、怀柔水库、海子水库。北京市地下水多年平均补给量约为</w:t>
      </w:r>
      <w:r>
        <w:rPr>
          <w:rFonts w:ascii="Arial" w:hAnsi="Arial" w:cs="Arial" w:hint="eastAsia"/>
          <w:sz w:val="28"/>
        </w:rPr>
        <w:t>29.21</w:t>
      </w:r>
      <w:r>
        <w:rPr>
          <w:rFonts w:ascii="Arial" w:hAnsi="Arial" w:cs="Arial" w:hint="eastAsia"/>
          <w:sz w:val="28"/>
        </w:rPr>
        <w:t>亿立方米，平均年可开采量约</w:t>
      </w:r>
      <w:r>
        <w:rPr>
          <w:rFonts w:ascii="Arial" w:hAnsi="Arial" w:cs="Arial" w:hint="eastAsia"/>
          <w:sz w:val="28"/>
        </w:rPr>
        <w:t>24~25</w:t>
      </w:r>
      <w:r>
        <w:rPr>
          <w:rFonts w:ascii="Arial" w:hAnsi="Arial" w:cs="Arial" w:hint="eastAsia"/>
          <w:sz w:val="28"/>
        </w:rPr>
        <w:t>亿立方米。一次性天然水资源年平均总量为</w:t>
      </w:r>
      <w:r>
        <w:rPr>
          <w:rFonts w:ascii="Arial" w:hAnsi="Arial" w:cs="Arial" w:hint="eastAsia"/>
          <w:sz w:val="28"/>
        </w:rPr>
        <w:t>55.21</w:t>
      </w:r>
      <w:r>
        <w:rPr>
          <w:rFonts w:ascii="Arial" w:hAnsi="Arial" w:cs="Arial" w:hint="eastAsia"/>
          <w:sz w:val="28"/>
        </w:rPr>
        <w:t>亿立方米。</w:t>
      </w:r>
    </w:p>
    <w:p w14:paraId="7B0ABB60"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土地利用状况：</w:t>
      </w:r>
      <w:r>
        <w:rPr>
          <w:rFonts w:ascii="Arial" w:hAnsi="Arial" w:cs="Arial" w:hint="eastAsia"/>
          <w:sz w:val="28"/>
        </w:rPr>
        <w:t>2021</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5</w:t>
      </w:r>
      <w:r>
        <w:rPr>
          <w:rFonts w:ascii="Arial" w:hAnsi="Arial" w:cs="Arial" w:hint="eastAsia"/>
          <w:sz w:val="28"/>
        </w:rPr>
        <w:t>日，北京市发布第三次全国国土调查主要数据公报。数据显示，北京市现有耕地</w:t>
      </w:r>
      <w:r>
        <w:rPr>
          <w:rFonts w:ascii="Arial" w:hAnsi="Arial" w:cs="Arial" w:hint="eastAsia"/>
          <w:sz w:val="28"/>
        </w:rPr>
        <w:t>93547.9</w:t>
      </w:r>
      <w:r>
        <w:rPr>
          <w:rFonts w:ascii="Arial" w:hAnsi="Arial" w:cs="Arial" w:hint="eastAsia"/>
          <w:sz w:val="28"/>
        </w:rPr>
        <w:t>公顷（</w:t>
      </w:r>
      <w:r>
        <w:rPr>
          <w:rFonts w:ascii="Arial" w:hAnsi="Arial" w:cs="Arial" w:hint="eastAsia"/>
          <w:sz w:val="28"/>
        </w:rPr>
        <w:t>1403218.5</w:t>
      </w:r>
      <w:r>
        <w:rPr>
          <w:rFonts w:ascii="Arial" w:hAnsi="Arial" w:cs="Arial" w:hint="eastAsia"/>
          <w:sz w:val="28"/>
        </w:rPr>
        <w:t>亩）、园地</w:t>
      </w:r>
      <w:r>
        <w:rPr>
          <w:rFonts w:ascii="Arial" w:hAnsi="Arial" w:cs="Arial" w:hint="eastAsia"/>
          <w:sz w:val="28"/>
        </w:rPr>
        <w:t>126274.55</w:t>
      </w:r>
      <w:r>
        <w:rPr>
          <w:rFonts w:ascii="Arial" w:hAnsi="Arial" w:cs="Arial" w:hint="eastAsia"/>
          <w:sz w:val="28"/>
        </w:rPr>
        <w:t>公顷（</w:t>
      </w:r>
      <w:r>
        <w:rPr>
          <w:rFonts w:ascii="Arial" w:hAnsi="Arial" w:cs="Arial" w:hint="eastAsia"/>
          <w:sz w:val="28"/>
        </w:rPr>
        <w:t>1894118.25</w:t>
      </w:r>
      <w:r>
        <w:rPr>
          <w:rFonts w:ascii="Arial" w:hAnsi="Arial" w:cs="Arial" w:hint="eastAsia"/>
          <w:sz w:val="28"/>
        </w:rPr>
        <w:t>亩）、林地</w:t>
      </w:r>
      <w:r>
        <w:rPr>
          <w:rFonts w:ascii="Arial" w:hAnsi="Arial" w:cs="Arial" w:hint="eastAsia"/>
          <w:sz w:val="28"/>
        </w:rPr>
        <w:t>967628.62</w:t>
      </w:r>
      <w:r>
        <w:rPr>
          <w:rFonts w:ascii="Arial" w:hAnsi="Arial" w:cs="Arial" w:hint="eastAsia"/>
          <w:sz w:val="28"/>
        </w:rPr>
        <w:t>公顷（</w:t>
      </w:r>
      <w:r>
        <w:rPr>
          <w:rFonts w:ascii="Arial" w:hAnsi="Arial" w:cs="Arial" w:hint="eastAsia"/>
          <w:sz w:val="28"/>
        </w:rPr>
        <w:t>14514429.3</w:t>
      </w:r>
      <w:r>
        <w:rPr>
          <w:rFonts w:ascii="Arial" w:hAnsi="Arial" w:cs="Arial" w:hint="eastAsia"/>
          <w:sz w:val="28"/>
        </w:rPr>
        <w:t>亩）、草地</w:t>
      </w:r>
      <w:r>
        <w:rPr>
          <w:rFonts w:ascii="Arial" w:hAnsi="Arial" w:cs="Arial" w:hint="eastAsia"/>
          <w:sz w:val="28"/>
        </w:rPr>
        <w:t>14460.44</w:t>
      </w:r>
      <w:r>
        <w:rPr>
          <w:rFonts w:ascii="Arial" w:hAnsi="Arial" w:cs="Arial" w:hint="eastAsia"/>
          <w:sz w:val="28"/>
        </w:rPr>
        <w:t>公顷（</w:t>
      </w:r>
      <w:r>
        <w:rPr>
          <w:rFonts w:ascii="Arial" w:hAnsi="Arial" w:cs="Arial" w:hint="eastAsia"/>
          <w:sz w:val="28"/>
        </w:rPr>
        <w:t>216906.6</w:t>
      </w:r>
      <w:r>
        <w:rPr>
          <w:rFonts w:ascii="Arial" w:hAnsi="Arial" w:cs="Arial" w:hint="eastAsia"/>
          <w:sz w:val="28"/>
        </w:rPr>
        <w:t>亩）、湿地</w:t>
      </w:r>
      <w:r>
        <w:rPr>
          <w:rFonts w:ascii="Arial" w:hAnsi="Arial" w:cs="Arial" w:hint="eastAsia"/>
          <w:sz w:val="28"/>
        </w:rPr>
        <w:t>3107.98</w:t>
      </w:r>
      <w:r>
        <w:rPr>
          <w:rFonts w:ascii="Arial" w:hAnsi="Arial" w:cs="Arial" w:hint="eastAsia"/>
          <w:sz w:val="28"/>
        </w:rPr>
        <w:t>公顷（</w:t>
      </w:r>
      <w:r>
        <w:rPr>
          <w:rFonts w:ascii="Arial" w:hAnsi="Arial" w:cs="Arial" w:hint="eastAsia"/>
          <w:sz w:val="28"/>
        </w:rPr>
        <w:t>46619.7</w:t>
      </w:r>
      <w:r>
        <w:rPr>
          <w:rFonts w:ascii="Arial" w:hAnsi="Arial" w:cs="Arial" w:hint="eastAsia"/>
          <w:sz w:val="28"/>
        </w:rPr>
        <w:t>亩）、城镇村及工矿用地</w:t>
      </w:r>
      <w:r>
        <w:rPr>
          <w:rFonts w:ascii="Arial" w:hAnsi="Arial" w:cs="Arial" w:hint="eastAsia"/>
          <w:sz w:val="28"/>
        </w:rPr>
        <w:t>313643.87</w:t>
      </w:r>
      <w:r>
        <w:rPr>
          <w:rFonts w:ascii="Arial" w:hAnsi="Arial" w:cs="Arial" w:hint="eastAsia"/>
          <w:sz w:val="28"/>
        </w:rPr>
        <w:t>公顷（</w:t>
      </w:r>
      <w:r>
        <w:rPr>
          <w:rFonts w:ascii="Arial" w:hAnsi="Arial" w:cs="Arial" w:hint="eastAsia"/>
          <w:sz w:val="28"/>
        </w:rPr>
        <w:t>4704658.05</w:t>
      </w:r>
      <w:r>
        <w:rPr>
          <w:rFonts w:ascii="Arial" w:hAnsi="Arial" w:cs="Arial" w:hint="eastAsia"/>
          <w:sz w:val="28"/>
        </w:rPr>
        <w:t>亩）、交通运输用地</w:t>
      </w:r>
      <w:r>
        <w:rPr>
          <w:rFonts w:ascii="Arial" w:hAnsi="Arial" w:cs="Arial" w:hint="eastAsia"/>
          <w:sz w:val="28"/>
        </w:rPr>
        <w:t>49281.38</w:t>
      </w:r>
      <w:r>
        <w:rPr>
          <w:rFonts w:ascii="Arial" w:hAnsi="Arial" w:cs="Arial" w:hint="eastAsia"/>
          <w:sz w:val="28"/>
        </w:rPr>
        <w:t>公顷（</w:t>
      </w:r>
      <w:r>
        <w:rPr>
          <w:rFonts w:ascii="Arial" w:hAnsi="Arial" w:cs="Arial" w:hint="eastAsia"/>
          <w:sz w:val="28"/>
        </w:rPr>
        <w:t>739220.7</w:t>
      </w:r>
      <w:r>
        <w:rPr>
          <w:rFonts w:ascii="Arial" w:hAnsi="Arial" w:cs="Arial" w:hint="eastAsia"/>
          <w:sz w:val="28"/>
        </w:rPr>
        <w:t>亩）、水域及水利设施用地</w:t>
      </w:r>
      <w:r>
        <w:rPr>
          <w:rFonts w:ascii="Arial" w:hAnsi="Arial" w:cs="Arial" w:hint="eastAsia"/>
          <w:sz w:val="28"/>
        </w:rPr>
        <w:t>61704</w:t>
      </w:r>
      <w:r>
        <w:rPr>
          <w:rFonts w:ascii="Arial" w:hAnsi="Arial" w:cs="Arial" w:hint="eastAsia"/>
          <w:sz w:val="28"/>
        </w:rPr>
        <w:t>公顷（</w:t>
      </w:r>
      <w:r>
        <w:rPr>
          <w:rFonts w:ascii="Arial" w:hAnsi="Arial" w:cs="Arial" w:hint="eastAsia"/>
          <w:sz w:val="28"/>
        </w:rPr>
        <w:t>925560</w:t>
      </w:r>
      <w:r>
        <w:rPr>
          <w:rFonts w:ascii="Arial" w:hAnsi="Arial" w:cs="Arial" w:hint="eastAsia"/>
          <w:sz w:val="28"/>
        </w:rPr>
        <w:t>亩），其余为其他土地。三调数据显示，北京市以林、园、水、草、湿地和公园绿地为主的生态用地逐年增加，城乡建设用地明显减少，初步实现减量目标。</w:t>
      </w:r>
    </w:p>
    <w:p w14:paraId="65C35E10" w14:textId="39F93E9D"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789A3530" wp14:editId="6155F733">
            <wp:extent cx="5887085" cy="3335655"/>
            <wp:effectExtent l="0" t="0" r="0" b="0"/>
            <wp:docPr id="9" name="图片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FC8653"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lastRenderedPageBreak/>
        <w:t>2.</w:t>
      </w:r>
      <w:r>
        <w:rPr>
          <w:rFonts w:ascii="Arial" w:hAnsi="Arial" w:cs="Arial" w:hint="eastAsia"/>
          <w:sz w:val="28"/>
        </w:rPr>
        <w:t>不动产制度与不动产市场状况</w:t>
      </w:r>
    </w:p>
    <w:p w14:paraId="7CB9D0F3"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土地使用制度及土地管理政策：</w:t>
      </w:r>
    </w:p>
    <w:p w14:paraId="7F920052"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我国当前实行土地招拍挂制度。土地招拍挂制度是国家土地资源出让、买卖的招标、拍卖、挂牌制度的简称，具体是指国家在土地出让或者买卖程序中的“招标”“拍卖”“挂牌”交易的政策或规定。</w:t>
      </w:r>
      <w:r>
        <w:rPr>
          <w:rFonts w:ascii="Arial" w:hAnsi="Arial" w:cs="Arial" w:hint="eastAsia"/>
          <w:sz w:val="28"/>
        </w:rPr>
        <w:t>2004</w:t>
      </w:r>
      <w:r>
        <w:rPr>
          <w:rFonts w:ascii="Arial" w:hAnsi="Arial" w:cs="Arial" w:hint="eastAsia"/>
          <w:sz w:val="28"/>
        </w:rPr>
        <w:t>年，国土资源部颁布第</w:t>
      </w:r>
      <w:r>
        <w:rPr>
          <w:rFonts w:ascii="Arial" w:hAnsi="Arial" w:cs="Arial" w:hint="eastAsia"/>
          <w:sz w:val="28"/>
        </w:rPr>
        <w:t>71</w:t>
      </w:r>
      <w:r>
        <w:rPr>
          <w:rFonts w:ascii="Arial" w:hAnsi="Arial" w:cs="Arial" w:hint="eastAsia"/>
          <w:sz w:val="28"/>
        </w:rPr>
        <w:t>令，《关于继续开展经营性土地使用权招标拍卖挂牌出让情况执法监察工作的通知》，规定</w:t>
      </w:r>
      <w:r>
        <w:rPr>
          <w:rFonts w:ascii="Arial" w:hAnsi="Arial" w:cs="Arial" w:hint="eastAsia"/>
          <w:sz w:val="28"/>
        </w:rPr>
        <w:t>2004</w:t>
      </w:r>
      <w:r>
        <w:rPr>
          <w:rFonts w:ascii="Arial" w:hAnsi="Arial" w:cs="Arial" w:hint="eastAsia"/>
          <w:sz w:val="28"/>
        </w:rPr>
        <w:t>年</w:t>
      </w:r>
      <w:r>
        <w:rPr>
          <w:rFonts w:ascii="Arial" w:hAnsi="Arial" w:cs="Arial" w:hint="eastAsia"/>
          <w:sz w:val="28"/>
        </w:rPr>
        <w:t>8</w:t>
      </w:r>
      <w:r>
        <w:rPr>
          <w:rFonts w:ascii="Arial" w:hAnsi="Arial" w:cs="Arial" w:hint="eastAsia"/>
          <w:sz w:val="28"/>
        </w:rPr>
        <w:t>月</w:t>
      </w:r>
      <w:r>
        <w:rPr>
          <w:rFonts w:ascii="Arial" w:hAnsi="Arial" w:cs="Arial" w:hint="eastAsia"/>
          <w:sz w:val="28"/>
        </w:rPr>
        <w:t>31</w:t>
      </w:r>
      <w:r>
        <w:rPr>
          <w:rFonts w:ascii="Arial" w:hAnsi="Arial" w:cs="Arial" w:hint="eastAsia"/>
          <w:sz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1F234858"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279B29D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1</w:t>
      </w:r>
      <w:r>
        <w:rPr>
          <w:rFonts w:ascii="Arial" w:hAnsi="Arial" w:cs="Arial" w:hint="eastAsia"/>
          <w:sz w:val="28"/>
        </w:rPr>
        <w:t>）在国土空间规划中统筹划定落实永久基本农田、生态保护红线、城镇开发边界三条控制线（以下简称三条控制线），确定国土空间开发保护刚性管控边界。统筹全域全类型国土空间用途管制，划定覆盖全域的</w:t>
      </w:r>
      <w:r>
        <w:rPr>
          <w:rFonts w:ascii="Arial" w:hAnsi="Arial" w:cs="Arial" w:hint="eastAsia"/>
          <w:sz w:val="28"/>
        </w:rPr>
        <w:t>11</w:t>
      </w:r>
      <w:r>
        <w:rPr>
          <w:rFonts w:ascii="Arial" w:hAnsi="Arial" w:cs="Arial" w:hint="eastAsia"/>
          <w:sz w:val="28"/>
        </w:rPr>
        <w:t>类国土空间规划分区。</w:t>
      </w:r>
    </w:p>
    <w:p w14:paraId="06A1F19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2</w:t>
      </w:r>
      <w:r>
        <w:rPr>
          <w:rFonts w:ascii="Arial" w:hAnsi="Arial" w:cs="Arial" w:hint="eastAsia"/>
          <w:sz w:val="28"/>
        </w:rPr>
        <w:t>）严守耕地规模底线，划定耕地保护空间。</w:t>
      </w:r>
    </w:p>
    <w:p w14:paraId="0DBDA2FF"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3F22B726"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lastRenderedPageBreak/>
        <w:t>（</w:t>
      </w:r>
      <w:r>
        <w:rPr>
          <w:rFonts w:ascii="Arial" w:hAnsi="Arial" w:cs="Arial" w:hint="eastAsia"/>
          <w:sz w:val="28"/>
        </w:rPr>
        <w:t>3</w:t>
      </w:r>
      <w:r>
        <w:rPr>
          <w:rFonts w:ascii="Arial" w:hAnsi="Arial" w:cs="Arial" w:hint="eastAsia"/>
          <w:sz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Pr>
          <w:rFonts w:ascii="Arial" w:hAnsi="Arial" w:cs="Arial" w:hint="eastAsia"/>
          <w:sz w:val="28"/>
        </w:rPr>
        <w:t>51%</w:t>
      </w:r>
      <w:r>
        <w:rPr>
          <w:rFonts w:ascii="Arial" w:hAnsi="Arial" w:cs="Arial" w:hint="eastAsia"/>
          <w:sz w:val="28"/>
        </w:rPr>
        <w:t>提升至“十三五”时期的</w:t>
      </w:r>
      <w:r>
        <w:rPr>
          <w:rFonts w:ascii="Arial" w:hAnsi="Arial" w:cs="Arial" w:hint="eastAsia"/>
          <w:sz w:val="28"/>
        </w:rPr>
        <w:t>55%</w:t>
      </w:r>
      <w:r>
        <w:rPr>
          <w:rFonts w:ascii="Arial" w:hAnsi="Arial" w:cs="Arial" w:hint="eastAsia"/>
          <w:sz w:val="28"/>
        </w:rPr>
        <w:t>以上</w:t>
      </w:r>
      <w:r>
        <w:rPr>
          <w:rFonts w:ascii="Arial" w:hAnsi="Arial" w:cs="Arial" w:hint="eastAsia"/>
          <w:sz w:val="28"/>
        </w:rPr>
        <w:t>.</w:t>
      </w:r>
    </w:p>
    <w:p w14:paraId="31D9149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4</w:t>
      </w:r>
      <w:r>
        <w:rPr>
          <w:rFonts w:ascii="Arial" w:hAnsi="Arial" w:cs="Arial" w:hint="eastAsia"/>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两图合一”规划编制技术指南》《北京市国土空间规划分区和用途管制规则》等一系列政策文件，初步建立首都“三级三类”国土空间规划体系，不断完善首都国土空间治理体系，着力提高国土空间治理能力现代化水平。</w:t>
      </w:r>
    </w:p>
    <w:p w14:paraId="6FF7618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逐步建立自然资源管理制度。制定《北京市自然资源资产产权制度改革方案》，统筹推进自然资源统一调查监测评价，建立全市统一的国土空间基础信息平台，结合分区规划编制，形成全市国土空间规划“一张底图”。建立北京市国有自然资源报告工作制度，自然资源统一调查、监测、确权、配置、评价、监督的管理制度逐步建立。</w:t>
      </w:r>
    </w:p>
    <w:p w14:paraId="00668518"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加强推进农村土地管理改革。制定《关于进一步加强农村集体土地管理加快建立健全“村地区管”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w:t>
      </w:r>
      <w:r>
        <w:rPr>
          <w:rFonts w:ascii="Arial" w:hAnsi="Arial" w:cs="Arial" w:hint="eastAsia"/>
          <w:sz w:val="28"/>
        </w:rPr>
        <w:lastRenderedPageBreak/>
        <w:t>复制、可推广的改革成果。</w:t>
      </w:r>
    </w:p>
    <w:p w14:paraId="780C8A9C"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142E78E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2022</w:t>
      </w:r>
      <w:r>
        <w:rPr>
          <w:rFonts w:ascii="Arial" w:hAnsi="Arial" w:cs="Arial" w:hint="eastAsia"/>
          <w:sz w:val="28"/>
        </w:rPr>
        <w:t>年北京市人民政府关于印发《北京市“十四五”时期土地资源保护利用规划》的通知，要求全市继续统筹土地资源保护和利用工作，强化科学布局、整体保护、系统修复、高效利用、综合治理。</w:t>
      </w:r>
    </w:p>
    <w:p w14:paraId="55E15CA2"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 xml:space="preserve"> </w:t>
      </w:r>
      <w:r>
        <w:rPr>
          <w:rFonts w:ascii="Arial" w:hAnsi="Arial" w:cs="Arial" w:hint="eastAsia"/>
          <w:sz w:val="28"/>
        </w:rPr>
        <w:t>住房制度与不动产管理政策：</w:t>
      </w:r>
    </w:p>
    <w:p w14:paraId="41AB9276"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根据</w:t>
      </w:r>
      <w:r>
        <w:rPr>
          <w:rFonts w:ascii="Arial" w:hAnsi="Arial" w:cs="Arial" w:hint="eastAsia"/>
          <w:sz w:val="28"/>
        </w:rPr>
        <w:t>2022</w:t>
      </w:r>
      <w:r>
        <w:rPr>
          <w:rFonts w:ascii="Arial" w:hAnsi="Arial" w:cs="Arial" w:hint="eastAsia"/>
          <w:sz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6E1E8A03"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2023</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26</w:t>
      </w:r>
      <w:r>
        <w:rPr>
          <w:rFonts w:ascii="Arial" w:hAnsi="Arial" w:cs="Arial" w:hint="eastAsia"/>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4A18A6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21</w:t>
      </w:r>
      <w:r>
        <w:rPr>
          <w:rFonts w:ascii="Arial" w:hAnsi="Arial" w:cs="Arial" w:hint="eastAsia"/>
          <w:sz w:val="28"/>
        </w:rPr>
        <w:t>日，住房城乡建设部发布《关于做好住房发展规划和年度计划编制工作的通知》。该文件指出，住房发展规划和年度计划是建立“人、房、地、钱”要素联动机制的重要抓手。各地要充分认识做好住房发展规划和年度计划的编制实施工作的重要性，科学编制规划，认真组织实</w:t>
      </w:r>
      <w:r>
        <w:rPr>
          <w:rFonts w:ascii="Arial" w:hAnsi="Arial" w:cs="Arial" w:hint="eastAsia"/>
          <w:sz w:val="28"/>
        </w:rPr>
        <w:lastRenderedPageBreak/>
        <w:t>施，根据人口变化确定住房需求，根据住房需求科学安排土地供应、引导配置金融资源，实现以人定房、以房定地、以房定钱，促进房地产市场供需平衡、结构合理，防止市场大起大落。</w:t>
      </w:r>
    </w:p>
    <w:p w14:paraId="644862D1" w14:textId="77777777" w:rsidR="00000000" w:rsidRDefault="00000000">
      <w:pPr>
        <w:spacing w:line="360" w:lineRule="auto"/>
        <w:ind w:firstLineChars="200" w:firstLine="560"/>
        <w:jc w:val="both"/>
        <w:rPr>
          <w:rFonts w:ascii="Arial" w:hAnsi="Arial" w:cs="Arial" w:hint="eastAsia"/>
          <w:sz w:val="28"/>
        </w:rPr>
      </w:pPr>
      <w:bookmarkStart w:id="131" w:name="_Hlk195087303"/>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17</w:t>
      </w:r>
      <w:r>
        <w:rPr>
          <w:rFonts w:ascii="Arial" w:hAnsi="Arial" w:cs="Arial" w:hint="eastAsia"/>
          <w:sz w:val="28"/>
        </w:rPr>
        <w:t>日，北京市规划和自然资源委员会和北京市发展和改革委员会联合发布《北京市</w:t>
      </w:r>
      <w:r>
        <w:rPr>
          <w:rFonts w:ascii="Arial" w:hAnsi="Arial" w:cs="Arial" w:hint="eastAsia"/>
          <w:sz w:val="28"/>
        </w:rPr>
        <w:t>2025</w:t>
      </w:r>
      <w:r>
        <w:rPr>
          <w:rFonts w:ascii="Arial" w:hAnsi="Arial" w:cs="Arial" w:hint="eastAsia"/>
          <w:sz w:val="28"/>
        </w:rPr>
        <w:t>年度建设用地供应计划》，明确了北京市</w:t>
      </w:r>
      <w:r>
        <w:rPr>
          <w:rFonts w:ascii="Arial" w:hAnsi="Arial" w:cs="Arial" w:hint="eastAsia"/>
          <w:sz w:val="28"/>
        </w:rPr>
        <w:t>2025</w:t>
      </w:r>
      <w:r>
        <w:rPr>
          <w:rFonts w:ascii="Arial" w:hAnsi="Arial" w:cs="Arial" w:hint="eastAsia"/>
          <w:sz w:val="28"/>
        </w:rPr>
        <w:t>年度建设用地供应的总量、空间布局、结构和供应导向，旨在推动首都经济高质量发展和城市空间优化。</w:t>
      </w:r>
      <w:r>
        <w:rPr>
          <w:rFonts w:ascii="Arial" w:hAnsi="Arial" w:cs="Arial" w:hint="eastAsia"/>
          <w:sz w:val="28"/>
        </w:rPr>
        <w:t>2025</w:t>
      </w:r>
      <w:r>
        <w:rPr>
          <w:rFonts w:ascii="Arial" w:hAnsi="Arial" w:cs="Arial" w:hint="eastAsia"/>
          <w:sz w:val="28"/>
        </w:rPr>
        <w:t>年计划安排建设用地供应总量</w:t>
      </w:r>
      <w:r>
        <w:rPr>
          <w:rFonts w:ascii="Arial" w:hAnsi="Arial" w:cs="Arial" w:hint="eastAsia"/>
          <w:sz w:val="28"/>
        </w:rPr>
        <w:t>3165</w:t>
      </w:r>
      <w:r>
        <w:rPr>
          <w:rFonts w:ascii="Arial" w:hAnsi="Arial" w:cs="Arial" w:hint="eastAsia"/>
          <w:sz w:val="28"/>
        </w:rPr>
        <w:t>至</w:t>
      </w:r>
      <w:r>
        <w:rPr>
          <w:rFonts w:ascii="Arial" w:hAnsi="Arial" w:cs="Arial" w:hint="eastAsia"/>
          <w:sz w:val="28"/>
        </w:rPr>
        <w:t>3665</w:t>
      </w:r>
      <w:r>
        <w:rPr>
          <w:rFonts w:ascii="Arial" w:hAnsi="Arial" w:cs="Arial" w:hint="eastAsia"/>
          <w:sz w:val="28"/>
        </w:rPr>
        <w:t>公顷，较往年基本持平。供地计划保持各地类总量稳定、优化各类要素空间结构布局，保障优势地区高质量发展。空间布局上，持续强化“一核一主一副、两轴多点一区”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Pr>
          <w:rFonts w:ascii="Arial" w:hAnsi="Arial" w:cs="Arial" w:hint="eastAsia"/>
          <w:sz w:val="28"/>
        </w:rPr>
        <w:t>25%</w:t>
      </w:r>
      <w:r>
        <w:rPr>
          <w:rFonts w:ascii="Arial" w:hAnsi="Arial" w:cs="Arial" w:hint="eastAsia"/>
          <w:sz w:val="28"/>
        </w:rPr>
        <w:t>，与去年持平，重点推进中央政务功能保障、老城保护、宜居城市建设。平原新城地区（含城市副中心）土地供应规模约占全市总量的</w:t>
      </w:r>
      <w:r>
        <w:rPr>
          <w:rFonts w:ascii="Arial" w:hAnsi="Arial" w:cs="Arial" w:hint="eastAsia"/>
          <w:sz w:val="28"/>
        </w:rPr>
        <w:t>60%</w:t>
      </w:r>
      <w:r>
        <w:rPr>
          <w:rFonts w:ascii="Arial" w:hAnsi="Arial" w:cs="Arial" w:hint="eastAsia"/>
          <w:sz w:val="28"/>
        </w:rPr>
        <w:t>，重点完善城市功能，推动京津冀协同发展用地结构。用地结构上，住宅用地安排</w:t>
      </w:r>
      <w:r>
        <w:rPr>
          <w:rFonts w:ascii="Arial" w:hAnsi="Arial" w:cs="Arial" w:hint="eastAsia"/>
          <w:sz w:val="28"/>
        </w:rPr>
        <w:t>955-1015</w:t>
      </w:r>
      <w:r>
        <w:rPr>
          <w:rFonts w:ascii="Arial" w:hAnsi="Arial" w:cs="Arial" w:hint="eastAsia"/>
          <w:sz w:val="28"/>
        </w:rPr>
        <w:t>公顷；产业用地安排</w:t>
      </w:r>
      <w:r>
        <w:rPr>
          <w:rFonts w:ascii="Arial" w:hAnsi="Arial" w:cs="Arial" w:hint="eastAsia"/>
          <w:sz w:val="28"/>
        </w:rPr>
        <w:t>470-510</w:t>
      </w:r>
      <w:r>
        <w:rPr>
          <w:rFonts w:ascii="Arial" w:hAnsi="Arial" w:cs="Arial" w:hint="eastAsia"/>
          <w:sz w:val="28"/>
        </w:rPr>
        <w:t>公顷，其中研发用地</w:t>
      </w:r>
      <w:r>
        <w:rPr>
          <w:rFonts w:ascii="Arial" w:hAnsi="Arial" w:cs="Arial" w:hint="eastAsia"/>
          <w:sz w:val="28"/>
        </w:rPr>
        <w:t>80</w:t>
      </w:r>
      <w:r>
        <w:rPr>
          <w:rFonts w:ascii="Arial" w:hAnsi="Arial" w:cs="Arial" w:hint="eastAsia"/>
          <w:sz w:val="28"/>
        </w:rPr>
        <w:t>公顷、工业用地</w:t>
      </w:r>
      <w:r>
        <w:rPr>
          <w:rFonts w:ascii="Arial" w:hAnsi="Arial" w:cs="Arial" w:hint="eastAsia"/>
          <w:sz w:val="28"/>
        </w:rPr>
        <w:t>230</w:t>
      </w:r>
      <w:r>
        <w:rPr>
          <w:rFonts w:ascii="Arial" w:hAnsi="Arial" w:cs="Arial" w:hint="eastAsia"/>
          <w:sz w:val="28"/>
        </w:rPr>
        <w:t>公顷、仓储用地</w:t>
      </w:r>
      <w:r>
        <w:rPr>
          <w:rFonts w:ascii="Arial" w:hAnsi="Arial" w:cs="Arial" w:hint="eastAsia"/>
          <w:sz w:val="28"/>
        </w:rPr>
        <w:t>50</w:t>
      </w:r>
      <w:r>
        <w:rPr>
          <w:rFonts w:ascii="Arial" w:hAnsi="Arial" w:cs="Arial" w:hint="eastAsia"/>
          <w:sz w:val="28"/>
        </w:rPr>
        <w:t>公顷、商服用地</w:t>
      </w:r>
      <w:r>
        <w:rPr>
          <w:rFonts w:ascii="Arial" w:hAnsi="Arial" w:cs="Arial" w:hint="eastAsia"/>
          <w:sz w:val="28"/>
        </w:rPr>
        <w:t>50-70</w:t>
      </w:r>
      <w:r>
        <w:rPr>
          <w:rFonts w:ascii="Arial" w:hAnsi="Arial" w:cs="Arial" w:hint="eastAsia"/>
          <w:sz w:val="28"/>
        </w:rPr>
        <w:t>公顷、乡村产业用地</w:t>
      </w:r>
      <w:r>
        <w:rPr>
          <w:rFonts w:ascii="Arial" w:hAnsi="Arial" w:cs="Arial" w:hint="eastAsia"/>
          <w:sz w:val="28"/>
        </w:rPr>
        <w:t>60-80</w:t>
      </w:r>
      <w:r>
        <w:rPr>
          <w:rFonts w:ascii="Arial" w:hAnsi="Arial" w:cs="Arial" w:hint="eastAsia"/>
          <w:sz w:val="28"/>
        </w:rPr>
        <w:t>公顷。供应导向上，坚持稳中求进、以进促稳，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bookmarkEnd w:id="131"/>
      <w:r>
        <w:rPr>
          <w:rFonts w:ascii="Arial" w:hAnsi="Arial" w:cs="Arial" w:hint="eastAsia"/>
          <w:sz w:val="28"/>
        </w:rPr>
        <w:t>。</w:t>
      </w:r>
    </w:p>
    <w:p w14:paraId="4803E95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不动产市场状况</w:t>
      </w:r>
    </w:p>
    <w:p w14:paraId="591C2472"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1</w:t>
      </w:r>
      <w:r>
        <w:rPr>
          <w:rFonts w:ascii="Arial" w:hAnsi="Arial" w:cs="Arial" w:hint="eastAsia"/>
          <w:sz w:val="28"/>
        </w:rPr>
        <w:t>）土地市场</w:t>
      </w:r>
    </w:p>
    <w:p w14:paraId="27AF01D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lastRenderedPageBreak/>
        <w:t>1</w:t>
      </w:r>
      <w:r>
        <w:rPr>
          <w:rFonts w:ascii="Arial" w:hAnsi="Arial" w:cs="Arial" w:hint="eastAsia"/>
          <w:sz w:val="28"/>
        </w:rPr>
        <w:t>）土地供求分析</w:t>
      </w:r>
    </w:p>
    <w:p w14:paraId="7FE608B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年上半年北京商品住宅用地共推出</w:t>
      </w:r>
      <w:r>
        <w:rPr>
          <w:rFonts w:ascii="Arial" w:hAnsi="Arial" w:cs="Arial" w:hint="eastAsia"/>
          <w:sz w:val="28"/>
        </w:rPr>
        <w:t>17</w:t>
      </w:r>
      <w:r>
        <w:rPr>
          <w:rFonts w:ascii="Arial" w:hAnsi="Arial" w:cs="Arial" w:hint="eastAsia"/>
          <w:sz w:val="28"/>
        </w:rPr>
        <w:t>宗，累计供应规划建面</w:t>
      </w:r>
      <w:r>
        <w:rPr>
          <w:rFonts w:ascii="Arial" w:hAnsi="Arial" w:cs="Arial" w:hint="eastAsia"/>
          <w:sz w:val="28"/>
        </w:rPr>
        <w:t>169.70</w:t>
      </w:r>
      <w:r>
        <w:rPr>
          <w:rFonts w:ascii="Arial" w:hAnsi="Arial" w:cs="Arial" w:hint="eastAsia"/>
          <w:sz w:val="28"/>
        </w:rPr>
        <w:t>万平方米，同比减少</w:t>
      </w:r>
      <w:r>
        <w:rPr>
          <w:rFonts w:ascii="Arial" w:hAnsi="Arial" w:cs="Arial" w:hint="eastAsia"/>
          <w:sz w:val="28"/>
        </w:rPr>
        <w:t>28.2%</w:t>
      </w:r>
      <w:r>
        <w:rPr>
          <w:rFonts w:ascii="Arial" w:hAnsi="Arial" w:cs="Arial" w:hint="eastAsia"/>
          <w:sz w:val="28"/>
        </w:rPr>
        <w:t>；</w:t>
      </w:r>
      <w:r>
        <w:rPr>
          <w:rFonts w:ascii="Arial" w:hAnsi="Arial" w:cs="Arial" w:hint="eastAsia"/>
          <w:sz w:val="28"/>
        </w:rPr>
        <w:t>2025</w:t>
      </w:r>
      <w:r>
        <w:rPr>
          <w:rFonts w:ascii="Arial" w:hAnsi="Arial" w:cs="Arial" w:hint="eastAsia"/>
          <w:sz w:val="28"/>
        </w:rPr>
        <w:t>年上半年北京商品住宅用地累计成交</w:t>
      </w:r>
      <w:r>
        <w:rPr>
          <w:rFonts w:ascii="Arial" w:hAnsi="Arial" w:cs="Arial" w:hint="eastAsia"/>
          <w:sz w:val="28"/>
        </w:rPr>
        <w:t>22</w:t>
      </w:r>
      <w:r>
        <w:rPr>
          <w:rFonts w:ascii="Arial" w:hAnsi="Arial" w:cs="Arial" w:hint="eastAsia"/>
          <w:sz w:val="28"/>
        </w:rPr>
        <w:t>宗，分布在海淀、通州、朝阳、丰台、石景山、大兴、昌平、顺义、怀柔等</w:t>
      </w:r>
      <w:r>
        <w:rPr>
          <w:rFonts w:ascii="Arial" w:hAnsi="Arial" w:cs="Arial" w:hint="eastAsia"/>
          <w:sz w:val="28"/>
        </w:rPr>
        <w:t>9</w:t>
      </w:r>
      <w:r>
        <w:rPr>
          <w:rFonts w:ascii="Arial" w:hAnsi="Arial" w:cs="Arial" w:hint="eastAsia"/>
          <w:sz w:val="28"/>
        </w:rPr>
        <w:t>个区，成交规划建面</w:t>
      </w:r>
      <w:r>
        <w:rPr>
          <w:rFonts w:ascii="Arial" w:hAnsi="Arial" w:cs="Arial" w:hint="eastAsia"/>
          <w:sz w:val="28"/>
        </w:rPr>
        <w:t>234.42</w:t>
      </w:r>
      <w:r>
        <w:rPr>
          <w:rFonts w:ascii="Arial" w:hAnsi="Arial" w:cs="Arial" w:hint="eastAsia"/>
          <w:sz w:val="28"/>
        </w:rPr>
        <w:t>万平方米，同比下降</w:t>
      </w:r>
      <w:r>
        <w:rPr>
          <w:rFonts w:ascii="Arial" w:hAnsi="Arial" w:cs="Arial" w:hint="eastAsia"/>
          <w:sz w:val="28"/>
        </w:rPr>
        <w:t>1.2%</w:t>
      </w:r>
      <w:r>
        <w:rPr>
          <w:rFonts w:ascii="Arial" w:hAnsi="Arial" w:cs="Arial" w:hint="eastAsia"/>
          <w:sz w:val="28"/>
        </w:rPr>
        <w:t>；得益于海淀、通州热点地块的成交，土地成交价款合计</w:t>
      </w:r>
      <w:r>
        <w:rPr>
          <w:rFonts w:ascii="Arial" w:hAnsi="Arial" w:cs="Arial" w:hint="eastAsia"/>
          <w:sz w:val="28"/>
        </w:rPr>
        <w:t>1005.56</w:t>
      </w:r>
      <w:r>
        <w:rPr>
          <w:rFonts w:ascii="Arial" w:hAnsi="Arial" w:cs="Arial" w:hint="eastAsia"/>
          <w:sz w:val="28"/>
        </w:rPr>
        <w:t>亿元，同比增长</w:t>
      </w:r>
      <w:r>
        <w:rPr>
          <w:rFonts w:ascii="Arial" w:hAnsi="Arial" w:cs="Arial" w:hint="eastAsia"/>
          <w:sz w:val="28"/>
        </w:rPr>
        <w:t>37.3%</w:t>
      </w:r>
      <w:r>
        <w:rPr>
          <w:rFonts w:ascii="Arial" w:hAnsi="Arial" w:cs="Arial" w:hint="eastAsia"/>
          <w:sz w:val="28"/>
        </w:rPr>
        <w:t>，创</w:t>
      </w:r>
      <w:r>
        <w:rPr>
          <w:rFonts w:ascii="Arial" w:hAnsi="Arial" w:cs="Arial" w:hint="eastAsia"/>
          <w:sz w:val="28"/>
        </w:rPr>
        <w:t>2022</w:t>
      </w:r>
      <w:r>
        <w:rPr>
          <w:rFonts w:ascii="Arial" w:hAnsi="Arial" w:cs="Arial" w:hint="eastAsia"/>
          <w:sz w:val="28"/>
        </w:rPr>
        <w:t>年以来同期新高。</w:t>
      </w:r>
    </w:p>
    <w:p w14:paraId="36EA3BFD" w14:textId="18A265C8"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4EF77B68" wp14:editId="4BBFD02F">
            <wp:extent cx="5179695" cy="2572385"/>
            <wp:effectExtent l="0" t="0" r="0" b="0"/>
            <wp:docPr id="10" name="图片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0C202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w:t>
      </w:r>
      <w:r>
        <w:rPr>
          <w:rFonts w:ascii="Arial" w:hAnsi="Arial" w:cs="Arial" w:hint="eastAsia"/>
          <w:sz w:val="28"/>
        </w:rPr>
        <w:t>）土地成交情况</w:t>
      </w:r>
    </w:p>
    <w:p w14:paraId="133AE17F"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年上半年，北京市商品住宅用地中心城区海淀、朝阳、丰台、石景山累计成交</w:t>
      </w:r>
      <w:r>
        <w:rPr>
          <w:rFonts w:ascii="Arial" w:hAnsi="Arial" w:cs="Arial" w:hint="eastAsia"/>
          <w:sz w:val="28"/>
        </w:rPr>
        <w:t>12</w:t>
      </w:r>
      <w:r>
        <w:rPr>
          <w:rFonts w:ascii="Arial" w:hAnsi="Arial" w:cs="Arial" w:hint="eastAsia"/>
          <w:sz w:val="28"/>
        </w:rPr>
        <w:t>宗宅地，累计成交规划建面</w:t>
      </w:r>
      <w:r>
        <w:rPr>
          <w:rFonts w:ascii="Arial" w:hAnsi="Arial" w:cs="Arial" w:hint="eastAsia"/>
          <w:sz w:val="28"/>
        </w:rPr>
        <w:t>128.38</w:t>
      </w:r>
      <w:r>
        <w:rPr>
          <w:rFonts w:ascii="Arial" w:hAnsi="Arial" w:cs="Arial" w:hint="eastAsia"/>
          <w:sz w:val="28"/>
        </w:rPr>
        <w:t>万平方米，占比</w:t>
      </w:r>
      <w:r>
        <w:rPr>
          <w:rFonts w:ascii="Arial" w:hAnsi="Arial" w:cs="Arial" w:hint="eastAsia"/>
          <w:sz w:val="28"/>
        </w:rPr>
        <w:t>55%</w:t>
      </w:r>
      <w:r>
        <w:rPr>
          <w:rFonts w:ascii="Arial" w:hAnsi="Arial" w:cs="Arial" w:hint="eastAsia"/>
          <w:sz w:val="28"/>
        </w:rPr>
        <w:t>，较上年同期增长</w:t>
      </w:r>
      <w:r>
        <w:rPr>
          <w:rFonts w:ascii="Arial" w:hAnsi="Arial" w:cs="Arial" w:hint="eastAsia"/>
          <w:sz w:val="28"/>
        </w:rPr>
        <w:t>9</w:t>
      </w:r>
      <w:r>
        <w:rPr>
          <w:rFonts w:ascii="Arial" w:hAnsi="Arial" w:cs="Arial" w:hint="eastAsia"/>
          <w:sz w:val="28"/>
        </w:rPr>
        <w:t>个百分点。近郊区主要集中在通州、大兴、顺义和昌平，累计成交</w:t>
      </w:r>
      <w:r>
        <w:rPr>
          <w:rFonts w:ascii="Arial" w:hAnsi="Arial" w:cs="Arial" w:hint="eastAsia"/>
          <w:sz w:val="28"/>
        </w:rPr>
        <w:t>9</w:t>
      </w:r>
      <w:r>
        <w:rPr>
          <w:rFonts w:ascii="Arial" w:hAnsi="Arial" w:cs="Arial" w:hint="eastAsia"/>
          <w:sz w:val="28"/>
        </w:rPr>
        <w:t>宗宅地，共</w:t>
      </w:r>
      <w:r>
        <w:rPr>
          <w:rFonts w:ascii="Arial" w:hAnsi="Arial" w:cs="Arial" w:hint="eastAsia"/>
          <w:sz w:val="28"/>
        </w:rPr>
        <w:t>103.88</w:t>
      </w:r>
      <w:r>
        <w:rPr>
          <w:rFonts w:ascii="Arial" w:hAnsi="Arial" w:cs="Arial" w:hint="eastAsia"/>
          <w:sz w:val="28"/>
        </w:rPr>
        <w:t>万平方米，占比为</w:t>
      </w:r>
      <w:r>
        <w:rPr>
          <w:rFonts w:ascii="Arial" w:hAnsi="Arial" w:cs="Arial" w:hint="eastAsia"/>
          <w:sz w:val="28"/>
        </w:rPr>
        <w:t>44%</w:t>
      </w:r>
      <w:r>
        <w:rPr>
          <w:rFonts w:ascii="Arial" w:hAnsi="Arial" w:cs="Arial" w:hint="eastAsia"/>
          <w:sz w:val="28"/>
        </w:rPr>
        <w:t>，较去年同期下降</w:t>
      </w:r>
      <w:r>
        <w:rPr>
          <w:rFonts w:ascii="Arial" w:hAnsi="Arial" w:cs="Arial" w:hint="eastAsia"/>
          <w:sz w:val="28"/>
        </w:rPr>
        <w:t>3</w:t>
      </w:r>
      <w:r>
        <w:rPr>
          <w:rFonts w:ascii="Arial" w:hAnsi="Arial" w:cs="Arial" w:hint="eastAsia"/>
          <w:sz w:val="28"/>
        </w:rPr>
        <w:t>个百分点；远郊区宅地成交</w:t>
      </w:r>
      <w:r>
        <w:rPr>
          <w:rFonts w:ascii="Arial" w:hAnsi="Arial" w:cs="Arial" w:hint="eastAsia"/>
          <w:sz w:val="28"/>
        </w:rPr>
        <w:t>1</w:t>
      </w:r>
      <w:r>
        <w:rPr>
          <w:rFonts w:ascii="Arial" w:hAnsi="Arial" w:cs="Arial" w:hint="eastAsia"/>
          <w:sz w:val="28"/>
        </w:rPr>
        <w:t>宗，位于怀柔区，成交规划建面</w:t>
      </w:r>
      <w:r>
        <w:rPr>
          <w:rFonts w:ascii="Arial" w:hAnsi="Arial" w:cs="Arial" w:hint="eastAsia"/>
          <w:sz w:val="28"/>
        </w:rPr>
        <w:t>2.17</w:t>
      </w:r>
      <w:r>
        <w:rPr>
          <w:rFonts w:ascii="Arial" w:hAnsi="Arial" w:cs="Arial" w:hint="eastAsia"/>
          <w:sz w:val="28"/>
        </w:rPr>
        <w:t>万平方米。</w:t>
      </w:r>
    </w:p>
    <w:p w14:paraId="54E990BD" w14:textId="43645F07"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lastRenderedPageBreak/>
        <w:drawing>
          <wp:inline distT="0" distB="0" distL="0" distR="0" wp14:anchorId="0746201F" wp14:editId="02990513">
            <wp:extent cx="5909310" cy="2970530"/>
            <wp:effectExtent l="0" t="0" r="0" b="0"/>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9310" cy="2970530"/>
                    </a:xfrm>
                    <a:prstGeom prst="rect">
                      <a:avLst/>
                    </a:prstGeom>
                    <a:noFill/>
                    <a:ln>
                      <a:noFill/>
                    </a:ln>
                  </pic:spPr>
                </pic:pic>
              </a:graphicData>
            </a:graphic>
          </wp:inline>
        </w:drawing>
      </w:r>
    </w:p>
    <w:p w14:paraId="1F62871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从不同区域来看，中心城区成交规模同比增长</w:t>
      </w:r>
      <w:r>
        <w:rPr>
          <w:rFonts w:ascii="Arial" w:hAnsi="Arial" w:cs="Arial" w:hint="eastAsia"/>
          <w:sz w:val="28"/>
        </w:rPr>
        <w:t>17%</w:t>
      </w:r>
      <w:r>
        <w:rPr>
          <w:rFonts w:ascii="Arial" w:hAnsi="Arial" w:cs="Arial" w:hint="eastAsia"/>
          <w:sz w:val="28"/>
        </w:rPr>
        <w:t>，其中海淀、朝阳、石景山成交规模均同比增长，丰台下降</w:t>
      </w:r>
      <w:r>
        <w:rPr>
          <w:rFonts w:ascii="Arial" w:hAnsi="Arial" w:cs="Arial" w:hint="eastAsia"/>
          <w:sz w:val="28"/>
        </w:rPr>
        <w:t>44%</w:t>
      </w:r>
      <w:r>
        <w:rPr>
          <w:rFonts w:ascii="Arial" w:hAnsi="Arial" w:cs="Arial" w:hint="eastAsia"/>
          <w:sz w:val="28"/>
        </w:rPr>
        <w:t>；近郊区成交规模同比下降</w:t>
      </w:r>
      <w:r>
        <w:rPr>
          <w:rFonts w:ascii="Arial" w:hAnsi="Arial" w:cs="Arial" w:hint="eastAsia"/>
          <w:sz w:val="28"/>
        </w:rPr>
        <w:t>7.7%</w:t>
      </w:r>
      <w:r>
        <w:rPr>
          <w:rFonts w:ascii="Arial" w:hAnsi="Arial" w:cs="Arial" w:hint="eastAsia"/>
          <w:sz w:val="28"/>
        </w:rPr>
        <w:t>，其中顺义区同比增长</w:t>
      </w:r>
      <w:r>
        <w:rPr>
          <w:rFonts w:ascii="Arial" w:hAnsi="Arial" w:cs="Arial" w:hint="eastAsia"/>
          <w:sz w:val="28"/>
        </w:rPr>
        <w:t>45.5%</w:t>
      </w:r>
      <w:r>
        <w:rPr>
          <w:rFonts w:ascii="Arial" w:hAnsi="Arial" w:cs="Arial" w:hint="eastAsia"/>
          <w:sz w:val="28"/>
        </w:rPr>
        <w:t>，大兴、昌平均同比下降，而房山、门头沟无宅地成交；远郊区成交规模同比下降</w:t>
      </w:r>
      <w:r>
        <w:rPr>
          <w:rFonts w:ascii="Arial" w:hAnsi="Arial" w:cs="Arial" w:hint="eastAsia"/>
          <w:sz w:val="28"/>
        </w:rPr>
        <w:t>85.4%</w:t>
      </w:r>
      <w:r>
        <w:rPr>
          <w:rFonts w:ascii="Arial" w:hAnsi="Arial" w:cs="Arial" w:hint="eastAsia"/>
          <w:sz w:val="28"/>
        </w:rPr>
        <w:t>。</w:t>
      </w:r>
    </w:p>
    <w:p w14:paraId="21E459F0" w14:textId="0036B5D6"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284B08D9" wp14:editId="1FCFC148">
            <wp:extent cx="4392295" cy="3974465"/>
            <wp:effectExtent l="0" t="0" r="0" b="0"/>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2295" cy="3974465"/>
                    </a:xfrm>
                    <a:prstGeom prst="rect">
                      <a:avLst/>
                    </a:prstGeom>
                    <a:noFill/>
                    <a:ln>
                      <a:noFill/>
                    </a:ln>
                  </pic:spPr>
                </pic:pic>
              </a:graphicData>
            </a:graphic>
          </wp:inline>
        </w:drawing>
      </w:r>
    </w:p>
    <w:p w14:paraId="505B1FF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3</w:t>
      </w:r>
      <w:r>
        <w:rPr>
          <w:rFonts w:ascii="Arial" w:hAnsi="Arial" w:cs="Arial" w:hint="eastAsia"/>
          <w:sz w:val="28"/>
        </w:rPr>
        <w:t>）土地成交价格</w:t>
      </w:r>
    </w:p>
    <w:p w14:paraId="52E5D6B0"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lastRenderedPageBreak/>
        <w:t>2025</w:t>
      </w:r>
      <w:r>
        <w:rPr>
          <w:rFonts w:ascii="Arial" w:hAnsi="Arial" w:cs="Arial" w:hint="eastAsia"/>
          <w:sz w:val="28"/>
        </w:rPr>
        <w:t>年上半年，在海淀朱房村、树村核心热点地块带动下，北京宅地整体成交楼面均价</w:t>
      </w:r>
      <w:r>
        <w:rPr>
          <w:rFonts w:ascii="Arial" w:hAnsi="Arial" w:cs="Arial" w:hint="eastAsia"/>
          <w:sz w:val="28"/>
        </w:rPr>
        <w:t>42895</w:t>
      </w:r>
      <w:r>
        <w:rPr>
          <w:rFonts w:ascii="Arial" w:hAnsi="Arial" w:cs="Arial" w:hint="eastAsia"/>
          <w:sz w:val="28"/>
        </w:rPr>
        <w:t>元</w:t>
      </w:r>
      <w:r>
        <w:rPr>
          <w:rFonts w:ascii="Arial" w:hAnsi="Arial" w:cs="Arial" w:hint="eastAsia"/>
          <w:sz w:val="28"/>
        </w:rPr>
        <w:t>/</w:t>
      </w:r>
      <w:r>
        <w:rPr>
          <w:rFonts w:ascii="Arial" w:hAnsi="Arial" w:cs="Arial" w:hint="eastAsia"/>
          <w:sz w:val="28"/>
        </w:rPr>
        <w:t>平方米，同比增长</w:t>
      </w:r>
      <w:r>
        <w:rPr>
          <w:rFonts w:ascii="Arial" w:hAnsi="Arial" w:cs="Arial" w:hint="eastAsia"/>
          <w:sz w:val="28"/>
        </w:rPr>
        <w:t>39%</w:t>
      </w:r>
      <w:r>
        <w:rPr>
          <w:rFonts w:ascii="Arial" w:hAnsi="Arial" w:cs="Arial" w:hint="eastAsia"/>
          <w:sz w:val="28"/>
        </w:rPr>
        <w:t>。溢价率方面，受海淀树村、朱房以及通州梨园高溢价地块的带动下，北京上半年宅地成交溢价率</w:t>
      </w:r>
      <w:r>
        <w:rPr>
          <w:rFonts w:ascii="Arial" w:hAnsi="Arial" w:cs="Arial" w:hint="eastAsia"/>
          <w:sz w:val="28"/>
        </w:rPr>
        <w:t>7.17%</w:t>
      </w:r>
      <w:r>
        <w:rPr>
          <w:rFonts w:ascii="Arial" w:hAnsi="Arial" w:cs="Arial" w:hint="eastAsia"/>
          <w:sz w:val="28"/>
        </w:rPr>
        <w:t>，同比提升</w:t>
      </w:r>
      <w:r>
        <w:rPr>
          <w:rFonts w:ascii="Arial" w:hAnsi="Arial" w:cs="Arial" w:hint="eastAsia"/>
          <w:sz w:val="28"/>
        </w:rPr>
        <w:t>3.3</w:t>
      </w:r>
      <w:r>
        <w:rPr>
          <w:rFonts w:ascii="Arial" w:hAnsi="Arial" w:cs="Arial" w:hint="eastAsia"/>
          <w:sz w:val="28"/>
        </w:rPr>
        <w:t>个百分点。但整体来看市场热度依然分化明显，成交的</w:t>
      </w:r>
      <w:r>
        <w:rPr>
          <w:rFonts w:ascii="Arial" w:hAnsi="Arial" w:cs="Arial" w:hint="eastAsia"/>
          <w:sz w:val="28"/>
        </w:rPr>
        <w:t>22</w:t>
      </w:r>
      <w:r>
        <w:rPr>
          <w:rFonts w:ascii="Arial" w:hAnsi="Arial" w:cs="Arial" w:hint="eastAsia"/>
          <w:sz w:val="28"/>
        </w:rPr>
        <w:t>宗地块中，</w:t>
      </w:r>
      <w:r>
        <w:rPr>
          <w:rFonts w:ascii="Arial" w:hAnsi="Arial" w:cs="Arial" w:hint="eastAsia"/>
          <w:sz w:val="28"/>
        </w:rPr>
        <w:t>9</w:t>
      </w:r>
      <w:r>
        <w:rPr>
          <w:rFonts w:ascii="Arial" w:hAnsi="Arial" w:cs="Arial" w:hint="eastAsia"/>
          <w:sz w:val="28"/>
        </w:rPr>
        <w:t>宗地块溢价成交，海淀树村、朱房、半壁店，朝阳三间房，通州梨园及八里桥地块竞争激烈，海淀宝山地块低溢价成交，其余</w:t>
      </w:r>
      <w:r>
        <w:rPr>
          <w:rFonts w:ascii="Arial" w:hAnsi="Arial" w:cs="Arial" w:hint="eastAsia"/>
          <w:sz w:val="28"/>
        </w:rPr>
        <w:t>13</w:t>
      </w:r>
      <w:r>
        <w:rPr>
          <w:rFonts w:ascii="Arial" w:hAnsi="Arial" w:cs="Arial" w:hint="eastAsia"/>
          <w:sz w:val="28"/>
        </w:rPr>
        <w:t>宗地块以底价成交。</w:t>
      </w:r>
    </w:p>
    <w:p w14:paraId="566A123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图：</w:t>
      </w:r>
      <w:r>
        <w:rPr>
          <w:rFonts w:ascii="Arial" w:hAnsi="Arial" w:cs="Arial" w:hint="eastAsia"/>
          <w:sz w:val="28"/>
        </w:rPr>
        <w:t>2023</w:t>
      </w:r>
      <w:r>
        <w:rPr>
          <w:rFonts w:ascii="Arial" w:hAnsi="Arial" w:cs="Arial" w:hint="eastAsia"/>
          <w:sz w:val="28"/>
        </w:rPr>
        <w:t>年</w:t>
      </w:r>
      <w:r>
        <w:rPr>
          <w:rFonts w:ascii="Arial" w:hAnsi="Arial" w:cs="Arial" w:hint="eastAsia"/>
          <w:sz w:val="28"/>
        </w:rPr>
        <w:t>Q3</w:t>
      </w:r>
      <w:r>
        <w:rPr>
          <w:rFonts w:ascii="Arial" w:hAnsi="Arial" w:cs="Arial" w:hint="eastAsia"/>
          <w:sz w:val="28"/>
        </w:rPr>
        <w:t>至今北京市区涉宅用地楼面价和溢价率季度走势</w:t>
      </w:r>
    </w:p>
    <w:p w14:paraId="3E4A1150" w14:textId="24B34F3B"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619F4086" wp14:editId="06026397">
            <wp:extent cx="5906770" cy="2714625"/>
            <wp:effectExtent l="0" t="0" r="0" b="0"/>
            <wp:docPr id="13" name="图片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870686"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4</w:t>
      </w:r>
      <w:r>
        <w:rPr>
          <w:rFonts w:ascii="Arial" w:hAnsi="Arial" w:cs="Arial" w:hint="eastAsia"/>
          <w:sz w:val="28"/>
        </w:rPr>
        <w:t>）供应计划</w:t>
      </w:r>
    </w:p>
    <w:p w14:paraId="69122210" w14:textId="77777777" w:rsidR="00000000" w:rsidRDefault="00000000">
      <w:pPr>
        <w:spacing w:line="360" w:lineRule="auto"/>
        <w:ind w:firstLineChars="200" w:firstLine="560"/>
        <w:jc w:val="both"/>
        <w:rPr>
          <w:rFonts w:ascii="Arial" w:hAnsi="Arial" w:cs="Arial" w:hint="eastAsia"/>
          <w:sz w:val="28"/>
        </w:rPr>
      </w:pPr>
      <w:bookmarkStart w:id="132" w:name="_Hlk195087344"/>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17</w:t>
      </w:r>
      <w:r>
        <w:rPr>
          <w:rFonts w:ascii="Arial" w:hAnsi="Arial" w:cs="Arial" w:hint="eastAsia"/>
          <w:sz w:val="28"/>
        </w:rPr>
        <w:t>日，北京市规划和自然资源委员会、北京市发展和改革委员会联合发布《北京市</w:t>
      </w:r>
      <w:r>
        <w:rPr>
          <w:rFonts w:ascii="Arial" w:hAnsi="Arial" w:cs="Arial" w:hint="eastAsia"/>
          <w:sz w:val="28"/>
        </w:rPr>
        <w:t>2025</w:t>
      </w:r>
      <w:r>
        <w:rPr>
          <w:rFonts w:ascii="Arial" w:hAnsi="Arial" w:cs="Arial" w:hint="eastAsia"/>
          <w:sz w:val="28"/>
        </w:rPr>
        <w:t>年度建设用地供应计划》，</w:t>
      </w:r>
      <w:r>
        <w:rPr>
          <w:rFonts w:ascii="Arial" w:hAnsi="Arial" w:cs="Arial" w:hint="eastAsia"/>
          <w:sz w:val="28"/>
        </w:rPr>
        <w:t>2025</w:t>
      </w:r>
      <w:r>
        <w:rPr>
          <w:rFonts w:ascii="Arial" w:hAnsi="Arial" w:cs="Arial" w:hint="eastAsia"/>
          <w:sz w:val="28"/>
        </w:rPr>
        <w:t>年计划安排建设用地供应总量</w:t>
      </w:r>
      <w:r>
        <w:rPr>
          <w:rFonts w:ascii="Arial" w:hAnsi="Arial" w:cs="Arial" w:hint="eastAsia"/>
          <w:sz w:val="28"/>
        </w:rPr>
        <w:t>3165</w:t>
      </w:r>
      <w:r>
        <w:rPr>
          <w:rFonts w:ascii="Arial" w:hAnsi="Arial" w:cs="Arial" w:hint="eastAsia"/>
          <w:sz w:val="28"/>
        </w:rPr>
        <w:t>至</w:t>
      </w:r>
      <w:r>
        <w:rPr>
          <w:rFonts w:ascii="Arial" w:hAnsi="Arial" w:cs="Arial" w:hint="eastAsia"/>
          <w:sz w:val="28"/>
        </w:rPr>
        <w:t>3665</w:t>
      </w:r>
      <w:r>
        <w:rPr>
          <w:rFonts w:ascii="Arial" w:hAnsi="Arial" w:cs="Arial" w:hint="eastAsia"/>
          <w:sz w:val="28"/>
        </w:rPr>
        <w:t>公顷，较往年基本持平。住宅用地安排</w:t>
      </w:r>
      <w:r>
        <w:rPr>
          <w:rFonts w:ascii="Arial" w:hAnsi="Arial" w:cs="Arial" w:hint="eastAsia"/>
          <w:sz w:val="28"/>
        </w:rPr>
        <w:t>955-1015</w:t>
      </w:r>
      <w:r>
        <w:rPr>
          <w:rFonts w:ascii="Arial" w:hAnsi="Arial" w:cs="Arial" w:hint="eastAsia"/>
          <w:sz w:val="28"/>
        </w:rPr>
        <w:t>公顷，较去年略降。本次供地计划保持各地类总量稳定、优化各类要素空间结构布局，保障优势地区高质量发展，稳定预期、激发活力，推动首都经济持续回升向好</w:t>
      </w:r>
      <w:bookmarkEnd w:id="132"/>
      <w:r>
        <w:rPr>
          <w:rFonts w:ascii="Arial" w:hAnsi="Arial" w:cs="Arial" w:hint="eastAsia"/>
          <w:sz w:val="28"/>
        </w:rPr>
        <w:t>。</w:t>
      </w:r>
    </w:p>
    <w:p w14:paraId="77B1A26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25</w:t>
      </w:r>
      <w:r>
        <w:rPr>
          <w:rFonts w:ascii="Arial" w:hAnsi="Arial" w:cs="Arial" w:hint="eastAsia"/>
          <w:sz w:val="28"/>
        </w:rPr>
        <w:t>日北京市举办“</w:t>
      </w:r>
      <w:r>
        <w:rPr>
          <w:rFonts w:ascii="Arial" w:hAnsi="Arial" w:cs="Arial" w:hint="eastAsia"/>
          <w:sz w:val="28"/>
        </w:rPr>
        <w:t>2025</w:t>
      </w:r>
      <w:r>
        <w:rPr>
          <w:rFonts w:ascii="Arial" w:hAnsi="Arial" w:cs="Arial" w:hint="eastAsia"/>
          <w:sz w:val="28"/>
        </w:rPr>
        <w:t>年北京商品住宅用地推介会”，会上北京对外推介了</w:t>
      </w:r>
      <w:r>
        <w:rPr>
          <w:rFonts w:ascii="Arial" w:hAnsi="Arial" w:cs="Arial" w:hint="eastAsia"/>
          <w:sz w:val="28"/>
        </w:rPr>
        <w:t>69</w:t>
      </w:r>
      <w:r>
        <w:rPr>
          <w:rFonts w:ascii="Arial" w:hAnsi="Arial" w:cs="Arial" w:hint="eastAsia"/>
          <w:sz w:val="28"/>
        </w:rPr>
        <w:t>宗优质地块、建设用地面积</w:t>
      </w:r>
      <w:r>
        <w:rPr>
          <w:rFonts w:ascii="Arial" w:hAnsi="Arial" w:cs="Arial" w:hint="eastAsia"/>
          <w:sz w:val="28"/>
        </w:rPr>
        <w:t>427</w:t>
      </w:r>
      <w:r>
        <w:rPr>
          <w:rFonts w:ascii="Arial" w:hAnsi="Arial" w:cs="Arial" w:hint="eastAsia"/>
          <w:sz w:val="28"/>
        </w:rPr>
        <w:t>公顷、建筑规模</w:t>
      </w:r>
      <w:r>
        <w:rPr>
          <w:rFonts w:ascii="Arial" w:hAnsi="Arial" w:cs="Arial" w:hint="eastAsia"/>
          <w:sz w:val="28"/>
        </w:rPr>
        <w:lastRenderedPageBreak/>
        <w:t>828</w:t>
      </w:r>
      <w:r>
        <w:rPr>
          <w:rFonts w:ascii="Arial" w:hAnsi="Arial" w:cs="Arial" w:hint="eastAsia"/>
          <w:sz w:val="28"/>
        </w:rPr>
        <w:t>万㎡。</w:t>
      </w:r>
      <w:r>
        <w:rPr>
          <w:rFonts w:ascii="Arial" w:hAnsi="Arial" w:cs="Arial" w:hint="eastAsia"/>
          <w:sz w:val="28"/>
        </w:rPr>
        <w:t>69</w:t>
      </w:r>
      <w:r>
        <w:rPr>
          <w:rFonts w:ascii="Arial" w:hAnsi="Arial" w:cs="Arial" w:hint="eastAsia"/>
          <w:sz w:val="28"/>
        </w:rPr>
        <w:t>宗地块中，中心城区占其中</w:t>
      </w:r>
      <w:r>
        <w:rPr>
          <w:rFonts w:ascii="Arial" w:hAnsi="Arial" w:cs="Arial" w:hint="eastAsia"/>
          <w:sz w:val="28"/>
        </w:rPr>
        <w:t>25</w:t>
      </w:r>
      <w:r>
        <w:rPr>
          <w:rFonts w:ascii="Arial" w:hAnsi="Arial" w:cs="Arial" w:hint="eastAsia"/>
          <w:sz w:val="28"/>
        </w:rPr>
        <w:t>宗住宅用地，分别为海淀区</w:t>
      </w:r>
      <w:r>
        <w:rPr>
          <w:rFonts w:ascii="Arial" w:hAnsi="Arial" w:cs="Arial" w:hint="eastAsia"/>
          <w:sz w:val="28"/>
        </w:rPr>
        <w:t>4</w:t>
      </w:r>
      <w:r>
        <w:rPr>
          <w:rFonts w:ascii="Arial" w:hAnsi="Arial" w:cs="Arial" w:hint="eastAsia"/>
          <w:sz w:val="28"/>
        </w:rPr>
        <w:t>宗、朝阳区</w:t>
      </w:r>
      <w:r>
        <w:rPr>
          <w:rFonts w:ascii="Arial" w:hAnsi="Arial" w:cs="Arial" w:hint="eastAsia"/>
          <w:sz w:val="28"/>
        </w:rPr>
        <w:t>6</w:t>
      </w:r>
      <w:r>
        <w:rPr>
          <w:rFonts w:ascii="Arial" w:hAnsi="Arial" w:cs="Arial" w:hint="eastAsia"/>
          <w:sz w:val="28"/>
        </w:rPr>
        <w:t>宗、丰台区</w:t>
      </w:r>
      <w:r>
        <w:rPr>
          <w:rFonts w:ascii="Arial" w:hAnsi="Arial" w:cs="Arial" w:hint="eastAsia"/>
          <w:sz w:val="28"/>
        </w:rPr>
        <w:t>9</w:t>
      </w:r>
      <w:r>
        <w:rPr>
          <w:rFonts w:ascii="Arial" w:hAnsi="Arial" w:cs="Arial" w:hint="eastAsia"/>
          <w:sz w:val="28"/>
        </w:rPr>
        <w:t>宗、石景山区</w:t>
      </w:r>
      <w:r>
        <w:rPr>
          <w:rFonts w:ascii="Arial" w:hAnsi="Arial" w:cs="Arial" w:hint="eastAsia"/>
          <w:sz w:val="28"/>
        </w:rPr>
        <w:t>6</w:t>
      </w:r>
      <w:r>
        <w:rPr>
          <w:rFonts w:ascii="Arial" w:hAnsi="Arial" w:cs="Arial" w:hint="eastAsia"/>
          <w:sz w:val="28"/>
        </w:rPr>
        <w:t>宗。</w:t>
      </w:r>
    </w:p>
    <w:p w14:paraId="74B0BE3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2</w:t>
      </w:r>
      <w:r>
        <w:rPr>
          <w:rFonts w:ascii="Arial" w:hAnsi="Arial" w:cs="Arial" w:hint="eastAsia"/>
          <w:sz w:val="28"/>
        </w:rPr>
        <w:t>）商品房住宅市场</w:t>
      </w:r>
    </w:p>
    <w:p w14:paraId="3B7DE14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1</w:t>
      </w:r>
      <w:r>
        <w:rPr>
          <w:rFonts w:ascii="Arial" w:hAnsi="Arial" w:cs="Arial" w:hint="eastAsia"/>
          <w:sz w:val="28"/>
        </w:rPr>
        <w:t>）商品住宅供给状况</w:t>
      </w:r>
    </w:p>
    <w:p w14:paraId="67383B8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年上半年，北京商品住宅（不含保障性住房）累计供应</w:t>
      </w:r>
      <w:r>
        <w:rPr>
          <w:rFonts w:ascii="Arial" w:hAnsi="Arial" w:cs="Arial" w:hint="eastAsia"/>
          <w:sz w:val="28"/>
        </w:rPr>
        <w:t>251.35</w:t>
      </w:r>
      <w:r>
        <w:rPr>
          <w:rFonts w:ascii="Arial" w:hAnsi="Arial" w:cs="Arial" w:hint="eastAsia"/>
          <w:sz w:val="28"/>
        </w:rPr>
        <w:t>万平方米，同比增长</w:t>
      </w:r>
      <w:r>
        <w:rPr>
          <w:rFonts w:ascii="Arial" w:hAnsi="Arial" w:cs="Arial" w:hint="eastAsia"/>
          <w:sz w:val="28"/>
        </w:rPr>
        <w:t>26%</w:t>
      </w:r>
      <w:r>
        <w:rPr>
          <w:rFonts w:ascii="Arial" w:hAnsi="Arial" w:cs="Arial" w:hint="eastAsia"/>
          <w:sz w:val="28"/>
        </w:rPr>
        <w:t>。中海丽金府、保利建工·嘉华天珺、懋源云纪、颐海澐颂、和樾望雲、建发·海晏、中海萬吉玖序等中高端项目积极入市，带动北京楼市供应量上行。具体来看，</w:t>
      </w:r>
      <w:r>
        <w:rPr>
          <w:rFonts w:ascii="Arial" w:hAnsi="Arial" w:cs="Arial" w:hint="eastAsia"/>
          <w:sz w:val="28"/>
        </w:rPr>
        <w:t>1</w:t>
      </w:r>
      <w:r>
        <w:rPr>
          <w:rFonts w:ascii="Arial" w:hAnsi="Arial" w:cs="Arial" w:hint="eastAsia"/>
          <w:sz w:val="28"/>
        </w:rPr>
        <w:t>月新增供应规模约</w:t>
      </w:r>
      <w:r>
        <w:rPr>
          <w:rFonts w:ascii="Arial" w:hAnsi="Arial" w:cs="Arial" w:hint="eastAsia"/>
          <w:sz w:val="28"/>
        </w:rPr>
        <w:t>24</w:t>
      </w:r>
      <w:r>
        <w:rPr>
          <w:rFonts w:ascii="Arial" w:hAnsi="Arial" w:cs="Arial" w:hint="eastAsia"/>
          <w:sz w:val="28"/>
        </w:rPr>
        <w:t>万平方米，环比增加近八成；</w:t>
      </w:r>
      <w:r>
        <w:rPr>
          <w:rFonts w:ascii="Arial" w:hAnsi="Arial" w:cs="Arial" w:hint="eastAsia"/>
          <w:sz w:val="28"/>
        </w:rPr>
        <w:t>2</w:t>
      </w:r>
      <w:r>
        <w:rPr>
          <w:rFonts w:ascii="Arial" w:hAnsi="Arial" w:cs="Arial" w:hint="eastAsia"/>
          <w:sz w:val="28"/>
        </w:rPr>
        <w:t>月受春节假期影响，新增供应规模不足</w:t>
      </w:r>
      <w:r>
        <w:rPr>
          <w:rFonts w:ascii="Arial" w:hAnsi="Arial" w:cs="Arial" w:hint="eastAsia"/>
          <w:sz w:val="28"/>
        </w:rPr>
        <w:t>5</w:t>
      </w:r>
      <w:r>
        <w:rPr>
          <w:rFonts w:ascii="Arial" w:hAnsi="Arial" w:cs="Arial" w:hint="eastAsia"/>
          <w:sz w:val="28"/>
        </w:rPr>
        <w:t>万平方米；</w:t>
      </w:r>
      <w:r>
        <w:rPr>
          <w:rFonts w:ascii="Arial" w:hAnsi="Arial" w:cs="Arial" w:hint="eastAsia"/>
          <w:sz w:val="28"/>
        </w:rPr>
        <w:t>3</w:t>
      </w:r>
      <w:r>
        <w:rPr>
          <w:rFonts w:ascii="Arial" w:hAnsi="Arial" w:cs="Arial" w:hint="eastAsia"/>
          <w:sz w:val="28"/>
        </w:rPr>
        <w:t>月，随着市场的逐步恢复，房企供应节奏有所加快，在和樾望雲、颐海澐颂、和樾玉鸣等高端改善项目积极入市带动下，新房供应量环比涨幅达</w:t>
      </w:r>
      <w:r>
        <w:rPr>
          <w:rFonts w:ascii="Arial" w:hAnsi="Arial" w:cs="Arial" w:hint="eastAsia"/>
          <w:sz w:val="28"/>
        </w:rPr>
        <w:t>1718%</w:t>
      </w:r>
      <w:r>
        <w:rPr>
          <w:rFonts w:ascii="Arial" w:hAnsi="Arial" w:cs="Arial" w:hint="eastAsia"/>
          <w:sz w:val="28"/>
        </w:rPr>
        <w:t>，但整体供应规模仍不及去年同期；</w:t>
      </w:r>
      <w:r>
        <w:rPr>
          <w:rFonts w:ascii="Arial" w:hAnsi="Arial" w:cs="Arial" w:hint="eastAsia"/>
          <w:sz w:val="28"/>
        </w:rPr>
        <w:t>4</w:t>
      </w:r>
      <w:r>
        <w:rPr>
          <w:rFonts w:ascii="Arial" w:hAnsi="Arial" w:cs="Arial" w:hint="eastAsia"/>
          <w:sz w:val="28"/>
        </w:rPr>
        <w:t>月新增供应</w:t>
      </w:r>
      <w:r>
        <w:rPr>
          <w:rFonts w:ascii="Arial" w:hAnsi="Arial" w:cs="Arial" w:hint="eastAsia"/>
          <w:sz w:val="28"/>
        </w:rPr>
        <w:t>60.19</w:t>
      </w:r>
      <w:r>
        <w:rPr>
          <w:rFonts w:ascii="Arial" w:hAnsi="Arial" w:cs="Arial" w:hint="eastAsia"/>
          <w:sz w:val="28"/>
        </w:rPr>
        <w:t>万平方米，连续两月供应量超</w:t>
      </w:r>
      <w:r>
        <w:rPr>
          <w:rFonts w:ascii="Arial" w:hAnsi="Arial" w:cs="Arial" w:hint="eastAsia"/>
          <w:sz w:val="28"/>
        </w:rPr>
        <w:t>60</w:t>
      </w:r>
      <w:r>
        <w:rPr>
          <w:rFonts w:ascii="Arial" w:hAnsi="Arial" w:cs="Arial" w:hint="eastAsia"/>
          <w:sz w:val="28"/>
        </w:rPr>
        <w:t>万平方米；</w:t>
      </w:r>
      <w:r>
        <w:rPr>
          <w:rFonts w:ascii="Arial" w:hAnsi="Arial" w:cs="Arial" w:hint="eastAsia"/>
          <w:sz w:val="28"/>
        </w:rPr>
        <w:t>5</w:t>
      </w:r>
      <w:r>
        <w:rPr>
          <w:rFonts w:ascii="Arial" w:hAnsi="Arial" w:cs="Arial" w:hint="eastAsia"/>
          <w:sz w:val="28"/>
        </w:rPr>
        <w:t>月，懋源云纪、中海丽金府、华润臻云、中海丽泽叁號院等项目入市加推，带动北京楼市新增供应量连续三个月超</w:t>
      </w:r>
      <w:r>
        <w:rPr>
          <w:rFonts w:ascii="Arial" w:hAnsi="Arial" w:cs="Arial" w:hint="eastAsia"/>
          <w:sz w:val="28"/>
        </w:rPr>
        <w:t>60</w:t>
      </w:r>
      <w:r>
        <w:rPr>
          <w:rFonts w:ascii="Arial" w:hAnsi="Arial" w:cs="Arial" w:hint="eastAsia"/>
          <w:sz w:val="28"/>
        </w:rPr>
        <w:t>万平方米；</w:t>
      </w:r>
      <w:r>
        <w:rPr>
          <w:rFonts w:ascii="Arial" w:hAnsi="Arial" w:cs="Arial" w:hint="eastAsia"/>
          <w:sz w:val="28"/>
        </w:rPr>
        <w:t>6</w:t>
      </w:r>
      <w:r>
        <w:rPr>
          <w:rFonts w:ascii="Arial" w:hAnsi="Arial" w:cs="Arial" w:hint="eastAsia"/>
          <w:sz w:val="28"/>
        </w:rPr>
        <w:t>月，房企入市节奏放缓，新增供应量</w:t>
      </w:r>
      <w:r>
        <w:rPr>
          <w:rFonts w:ascii="Arial" w:hAnsi="Arial" w:cs="Arial" w:hint="eastAsia"/>
          <w:sz w:val="28"/>
        </w:rPr>
        <w:t>38.63</w:t>
      </w:r>
      <w:r>
        <w:rPr>
          <w:rFonts w:ascii="Arial" w:hAnsi="Arial" w:cs="Arial" w:hint="eastAsia"/>
          <w:sz w:val="28"/>
        </w:rPr>
        <w:t>万平方米，环比下降</w:t>
      </w:r>
      <w:r>
        <w:rPr>
          <w:rFonts w:ascii="Arial" w:hAnsi="Arial" w:cs="Arial" w:hint="eastAsia"/>
          <w:sz w:val="28"/>
        </w:rPr>
        <w:t>40%</w:t>
      </w:r>
      <w:r>
        <w:rPr>
          <w:rFonts w:ascii="Arial" w:hAnsi="Arial" w:cs="Arial" w:hint="eastAsia"/>
          <w:sz w:val="28"/>
        </w:rPr>
        <w:t>。</w:t>
      </w:r>
    </w:p>
    <w:p w14:paraId="7350A8F8" w14:textId="1F8EDB89"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357B50C3" wp14:editId="6B5B1057">
            <wp:extent cx="5142865" cy="3028315"/>
            <wp:effectExtent l="0" t="0" r="0" b="0"/>
            <wp:docPr id="1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2865" cy="3028315"/>
                    </a:xfrm>
                    <a:prstGeom prst="rect">
                      <a:avLst/>
                    </a:prstGeom>
                    <a:noFill/>
                    <a:ln>
                      <a:noFill/>
                    </a:ln>
                  </pic:spPr>
                </pic:pic>
              </a:graphicData>
            </a:graphic>
          </wp:inline>
        </w:drawing>
      </w:r>
    </w:p>
    <w:p w14:paraId="786F26C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lastRenderedPageBreak/>
        <w:t>2025</w:t>
      </w:r>
      <w:r>
        <w:rPr>
          <w:rFonts w:ascii="Arial" w:hAnsi="Arial" w:cs="Arial" w:hint="eastAsia"/>
          <w:sz w:val="28"/>
        </w:rPr>
        <w:t>年上半年北京商品住宅（不含保障房）供应量略高于成交量，导致库存规模有所回升。截至</w:t>
      </w:r>
      <w:r>
        <w:rPr>
          <w:rFonts w:ascii="Arial" w:hAnsi="Arial" w:cs="Arial" w:hint="eastAsia"/>
          <w:sz w:val="28"/>
        </w:rPr>
        <w:t>6</w:t>
      </w:r>
      <w:r>
        <w:rPr>
          <w:rFonts w:ascii="Arial" w:hAnsi="Arial" w:cs="Arial" w:hint="eastAsia"/>
          <w:sz w:val="28"/>
        </w:rPr>
        <w:t>月底，北京商品住宅（不含保障房）库存量约为</w:t>
      </w:r>
      <w:r>
        <w:rPr>
          <w:rFonts w:ascii="Arial" w:hAnsi="Arial" w:cs="Arial" w:hint="eastAsia"/>
          <w:sz w:val="28"/>
        </w:rPr>
        <w:t>981.88</w:t>
      </w:r>
      <w:r>
        <w:rPr>
          <w:rFonts w:ascii="Arial" w:hAnsi="Arial" w:cs="Arial" w:hint="eastAsia"/>
          <w:sz w:val="28"/>
        </w:rPr>
        <w:t>万平方米，较去年同期增加</w:t>
      </w:r>
      <w:r>
        <w:rPr>
          <w:rFonts w:ascii="Arial" w:hAnsi="Arial" w:cs="Arial" w:hint="eastAsia"/>
          <w:sz w:val="28"/>
        </w:rPr>
        <w:t>5%</w:t>
      </w:r>
      <w:r>
        <w:rPr>
          <w:rFonts w:ascii="Arial" w:hAnsi="Arial" w:cs="Arial" w:hint="eastAsia"/>
          <w:sz w:val="28"/>
        </w:rPr>
        <w:t>；月度来看，</w:t>
      </w:r>
      <w:r>
        <w:rPr>
          <w:rFonts w:ascii="Arial" w:hAnsi="Arial" w:cs="Arial" w:hint="eastAsia"/>
          <w:sz w:val="28"/>
        </w:rPr>
        <w:t>3-5</w:t>
      </w:r>
      <w:r>
        <w:rPr>
          <w:rFonts w:ascii="Arial" w:hAnsi="Arial" w:cs="Arial" w:hint="eastAsia"/>
          <w:sz w:val="28"/>
        </w:rPr>
        <w:t>月北京楼市供应量持续高位，连续三个月超</w:t>
      </w:r>
      <w:r>
        <w:rPr>
          <w:rFonts w:ascii="Arial" w:hAnsi="Arial" w:cs="Arial" w:hint="eastAsia"/>
          <w:sz w:val="28"/>
        </w:rPr>
        <w:t>60</w:t>
      </w:r>
      <w:r>
        <w:rPr>
          <w:rFonts w:ascii="Arial" w:hAnsi="Arial" w:cs="Arial" w:hint="eastAsia"/>
          <w:sz w:val="28"/>
        </w:rPr>
        <w:t>万平方米，带动库存规模回升。整体来看，</w:t>
      </w:r>
      <w:r>
        <w:rPr>
          <w:rFonts w:ascii="Arial" w:hAnsi="Arial" w:cs="Arial" w:hint="eastAsia"/>
          <w:sz w:val="28"/>
        </w:rPr>
        <w:t>930</w:t>
      </w:r>
      <w:r>
        <w:rPr>
          <w:rFonts w:ascii="Arial" w:hAnsi="Arial" w:cs="Arial" w:hint="eastAsia"/>
          <w:sz w:val="28"/>
        </w:rPr>
        <w:t>新政后，北京房地产市场平均去化速度明显加快，叠加库存规模的逐步回落，出清周期呈现出明显的下滑趋势；进入</w:t>
      </w: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季度，伴随着供应量增加带动库存规模的回升，导致去化周期有所回升，截至到</w:t>
      </w:r>
      <w:r>
        <w:rPr>
          <w:rFonts w:ascii="Arial" w:hAnsi="Arial" w:cs="Arial" w:hint="eastAsia"/>
          <w:sz w:val="28"/>
        </w:rPr>
        <w:t>6</w:t>
      </w:r>
      <w:r>
        <w:rPr>
          <w:rFonts w:ascii="Arial" w:hAnsi="Arial" w:cs="Arial" w:hint="eastAsia"/>
          <w:sz w:val="28"/>
        </w:rPr>
        <w:t>月，北京楼市去化周期为</w:t>
      </w:r>
      <w:r>
        <w:rPr>
          <w:rFonts w:ascii="Arial" w:hAnsi="Arial" w:cs="Arial" w:hint="eastAsia"/>
          <w:sz w:val="28"/>
        </w:rPr>
        <w:t>22.8</w:t>
      </w:r>
      <w:r>
        <w:rPr>
          <w:rFonts w:ascii="Arial" w:hAnsi="Arial" w:cs="Arial" w:hint="eastAsia"/>
          <w:sz w:val="28"/>
        </w:rPr>
        <w:t>个月。</w:t>
      </w:r>
    </w:p>
    <w:p w14:paraId="5B2EB345" w14:textId="11E89E91"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56D61AE3" wp14:editId="16C4AB34">
            <wp:extent cx="5904230" cy="1887220"/>
            <wp:effectExtent l="0" t="0" r="0" b="0"/>
            <wp:docPr id="1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230" cy="1887220"/>
                    </a:xfrm>
                    <a:prstGeom prst="rect">
                      <a:avLst/>
                    </a:prstGeom>
                    <a:noFill/>
                    <a:ln>
                      <a:noFill/>
                    </a:ln>
                  </pic:spPr>
                </pic:pic>
              </a:graphicData>
            </a:graphic>
          </wp:inline>
        </w:drawing>
      </w:r>
    </w:p>
    <w:p w14:paraId="29A0535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w:t>
      </w:r>
      <w:r>
        <w:rPr>
          <w:rFonts w:ascii="Arial" w:hAnsi="Arial" w:cs="Arial" w:hint="eastAsia"/>
          <w:sz w:val="28"/>
        </w:rPr>
        <w:t>）商品住宅成交情况</w:t>
      </w:r>
    </w:p>
    <w:p w14:paraId="06A9A1A0"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A.</w:t>
      </w:r>
      <w:r>
        <w:rPr>
          <w:rFonts w:ascii="Arial" w:hAnsi="Arial" w:cs="Arial" w:hint="eastAsia"/>
          <w:sz w:val="28"/>
        </w:rPr>
        <w:t>成交量</w:t>
      </w:r>
    </w:p>
    <w:p w14:paraId="34AA1E0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年上半年北京商品住宅成交规模约为</w:t>
      </w:r>
      <w:r>
        <w:rPr>
          <w:rFonts w:ascii="Arial" w:hAnsi="Arial" w:cs="Arial" w:hint="eastAsia"/>
          <w:sz w:val="28"/>
        </w:rPr>
        <w:t>234.13</w:t>
      </w:r>
      <w:r>
        <w:rPr>
          <w:rFonts w:ascii="Arial" w:hAnsi="Arial" w:cs="Arial" w:hint="eastAsia"/>
          <w:sz w:val="28"/>
        </w:rPr>
        <w:t>万平方米，同比增加</w:t>
      </w:r>
      <w:r>
        <w:rPr>
          <w:rFonts w:ascii="Arial" w:hAnsi="Arial" w:cs="Arial" w:hint="eastAsia"/>
          <w:sz w:val="28"/>
        </w:rPr>
        <w:t>20%</w:t>
      </w:r>
      <w:r>
        <w:rPr>
          <w:rFonts w:ascii="Arial" w:hAnsi="Arial" w:cs="Arial" w:hint="eastAsia"/>
          <w:sz w:val="28"/>
        </w:rPr>
        <w:t>，成交规模低位回升。分月度来看，受房企业绩冲刺节点影响，</w:t>
      </w:r>
      <w:r>
        <w:rPr>
          <w:rFonts w:ascii="Arial" w:hAnsi="Arial" w:cs="Arial" w:hint="eastAsia"/>
          <w:sz w:val="28"/>
        </w:rPr>
        <w:t>1</w:t>
      </w:r>
      <w:r>
        <w:rPr>
          <w:rFonts w:ascii="Arial" w:hAnsi="Arial" w:cs="Arial" w:hint="eastAsia"/>
          <w:sz w:val="28"/>
        </w:rPr>
        <w:t>月市场活跃度下滑，成交规模环比下滑；</w:t>
      </w:r>
      <w:r>
        <w:rPr>
          <w:rFonts w:ascii="Arial" w:hAnsi="Arial" w:cs="Arial" w:hint="eastAsia"/>
          <w:sz w:val="28"/>
        </w:rPr>
        <w:t>2</w:t>
      </w:r>
      <w:r>
        <w:rPr>
          <w:rFonts w:ascii="Arial" w:hAnsi="Arial" w:cs="Arial" w:hint="eastAsia"/>
          <w:sz w:val="28"/>
        </w:rPr>
        <w:t>月，在春节假期、自然日较少等多重因素影响下，市场活跃度季节性下滑；春节过后，高端改善项目积极入市、宅地市场局部高热为市场注入信心，带动市场积压需求持续释放，</w:t>
      </w:r>
      <w:r>
        <w:rPr>
          <w:rFonts w:ascii="Arial" w:hAnsi="Arial" w:cs="Arial" w:hint="eastAsia"/>
          <w:sz w:val="28"/>
        </w:rPr>
        <w:t>3</w:t>
      </w:r>
      <w:r>
        <w:rPr>
          <w:rFonts w:ascii="Arial" w:hAnsi="Arial" w:cs="Arial" w:hint="eastAsia"/>
          <w:sz w:val="28"/>
        </w:rPr>
        <w:t>月北京房地产市场热度回温；随着前期需求的快速释放，</w:t>
      </w:r>
      <w:r>
        <w:rPr>
          <w:rFonts w:ascii="Arial" w:hAnsi="Arial" w:cs="Arial" w:hint="eastAsia"/>
          <w:sz w:val="28"/>
        </w:rPr>
        <w:t>4</w:t>
      </w:r>
      <w:r>
        <w:rPr>
          <w:rFonts w:ascii="Arial" w:hAnsi="Arial" w:cs="Arial" w:hint="eastAsia"/>
          <w:sz w:val="28"/>
        </w:rPr>
        <w:t>月、</w:t>
      </w:r>
      <w:r>
        <w:rPr>
          <w:rFonts w:ascii="Arial" w:hAnsi="Arial" w:cs="Arial" w:hint="eastAsia"/>
          <w:sz w:val="28"/>
        </w:rPr>
        <w:t>5</w:t>
      </w:r>
      <w:r>
        <w:rPr>
          <w:rFonts w:ascii="Arial" w:hAnsi="Arial" w:cs="Arial" w:hint="eastAsia"/>
          <w:sz w:val="28"/>
        </w:rPr>
        <w:t>月市场活跃度下滑，成交走低；</w:t>
      </w:r>
      <w:r>
        <w:rPr>
          <w:rFonts w:ascii="Arial" w:hAnsi="Arial" w:cs="Arial" w:hint="eastAsia"/>
          <w:sz w:val="28"/>
        </w:rPr>
        <w:t>6</w:t>
      </w:r>
      <w:r>
        <w:rPr>
          <w:rFonts w:ascii="Arial" w:hAnsi="Arial" w:cs="Arial" w:hint="eastAsia"/>
          <w:sz w:val="28"/>
        </w:rPr>
        <w:t>月，房企为冲刺年中业绩，加大营销力度，叠加宽松政策环境的影响，成交规模回升。政策层面，两会政府工作报告首次将“稳住楼市”写进总体要求，同时指出调减房地产市场限制性措施，为市场传递了信</w:t>
      </w:r>
      <w:r>
        <w:rPr>
          <w:rFonts w:ascii="Arial" w:hAnsi="Arial" w:cs="Arial" w:hint="eastAsia"/>
          <w:sz w:val="28"/>
        </w:rPr>
        <w:lastRenderedPageBreak/>
        <w:t>心；</w:t>
      </w:r>
      <w:r>
        <w:rPr>
          <w:rFonts w:ascii="Arial" w:hAnsi="Arial" w:cs="Arial" w:hint="eastAsia"/>
          <w:sz w:val="28"/>
        </w:rPr>
        <w:t>4</w:t>
      </w:r>
      <w:r>
        <w:rPr>
          <w:rFonts w:ascii="Arial" w:hAnsi="Arial" w:cs="Arial" w:hint="eastAsia"/>
          <w:sz w:val="28"/>
        </w:rPr>
        <w:t>月</w:t>
      </w:r>
      <w:r>
        <w:rPr>
          <w:rFonts w:ascii="Arial" w:hAnsi="Arial" w:cs="Arial" w:hint="eastAsia"/>
          <w:sz w:val="28"/>
        </w:rPr>
        <w:t>25</w:t>
      </w:r>
      <w:r>
        <w:rPr>
          <w:rFonts w:ascii="Arial" w:hAnsi="Arial" w:cs="Arial" w:hint="eastAsia"/>
          <w:sz w:val="28"/>
        </w:rPr>
        <w:t>日政治局会议定调之后，金融部门积极跟进落实各项举措，</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日国常会发布降准降息等一揽子金融政策，对提振房地产市场信心、稳定市场预期产生积极作用；</w:t>
      </w:r>
      <w:r>
        <w:rPr>
          <w:rFonts w:ascii="Arial" w:hAnsi="Arial" w:cs="Arial" w:hint="eastAsia"/>
          <w:sz w:val="28"/>
        </w:rPr>
        <w:t>6</w:t>
      </w:r>
      <w:r>
        <w:rPr>
          <w:rFonts w:ascii="Arial" w:hAnsi="Arial" w:cs="Arial" w:hint="eastAsia"/>
          <w:sz w:val="28"/>
        </w:rPr>
        <w:t>月</w:t>
      </w:r>
      <w:r>
        <w:rPr>
          <w:rFonts w:ascii="Arial" w:hAnsi="Arial" w:cs="Arial" w:hint="eastAsia"/>
          <w:sz w:val="28"/>
        </w:rPr>
        <w:t>13</w:t>
      </w:r>
      <w:r>
        <w:rPr>
          <w:rFonts w:ascii="Arial" w:hAnsi="Arial" w:cs="Arial" w:hint="eastAsia"/>
          <w:sz w:val="28"/>
        </w:rPr>
        <w:t>日，国常会定调更大力度推动房地产市场止跌回稳，而北京作为仍存限购等政策的城市，预计后续有望进一步优化楼市政策，逐步落实因区施策、调减楼市限制性措施等，进一步释放刚需和改善型需求积极入市，带动市场活跃度的提升。</w:t>
      </w:r>
    </w:p>
    <w:p w14:paraId="7D4E3D57" w14:textId="12AB8038"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6ED24C55" wp14:editId="2EA1DD17">
            <wp:extent cx="5909310" cy="1585595"/>
            <wp:effectExtent l="0" t="0" r="0" b="0"/>
            <wp:docPr id="1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9310" cy="1585595"/>
                    </a:xfrm>
                    <a:prstGeom prst="rect">
                      <a:avLst/>
                    </a:prstGeom>
                    <a:noFill/>
                    <a:ln>
                      <a:noFill/>
                    </a:ln>
                  </pic:spPr>
                </pic:pic>
              </a:graphicData>
            </a:graphic>
          </wp:inline>
        </w:drawing>
      </w:r>
    </w:p>
    <w:p w14:paraId="3D943428"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B.</w:t>
      </w:r>
      <w:r>
        <w:rPr>
          <w:rFonts w:ascii="Arial" w:hAnsi="Arial" w:cs="Arial" w:hint="eastAsia"/>
          <w:sz w:val="28"/>
        </w:rPr>
        <w:t>成交价格</w:t>
      </w:r>
    </w:p>
    <w:p w14:paraId="79A1BE9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a.</w:t>
      </w:r>
      <w:r>
        <w:rPr>
          <w:rFonts w:ascii="Arial" w:hAnsi="Arial" w:cs="Arial" w:hint="eastAsia"/>
          <w:sz w:val="28"/>
        </w:rPr>
        <w:t>成交价格</w:t>
      </w:r>
    </w:p>
    <w:p w14:paraId="4D1A964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受结构性因素的影响，</w:t>
      </w:r>
      <w:r>
        <w:rPr>
          <w:rFonts w:ascii="Arial" w:hAnsi="Arial" w:cs="Arial" w:hint="eastAsia"/>
          <w:sz w:val="28"/>
        </w:rPr>
        <w:t>2025</w:t>
      </w:r>
      <w:r>
        <w:rPr>
          <w:rFonts w:ascii="Arial" w:hAnsi="Arial" w:cs="Arial" w:hint="eastAsia"/>
          <w:sz w:val="28"/>
        </w:rPr>
        <w:t>年上半年北京商品住宅价格同比上涨。</w:t>
      </w:r>
      <w:r>
        <w:rPr>
          <w:rFonts w:ascii="Arial" w:hAnsi="Arial" w:cs="Arial" w:hint="eastAsia"/>
          <w:sz w:val="28"/>
        </w:rPr>
        <w:t>2025</w:t>
      </w:r>
      <w:r>
        <w:rPr>
          <w:rFonts w:ascii="Arial" w:hAnsi="Arial" w:cs="Arial" w:hint="eastAsia"/>
          <w:sz w:val="28"/>
        </w:rPr>
        <w:t>年上半年，北京商品住宅（不含保障房）平均成交价格为</w:t>
      </w:r>
      <w:r>
        <w:rPr>
          <w:rFonts w:ascii="Arial" w:hAnsi="Arial" w:cs="Arial" w:hint="eastAsia"/>
          <w:sz w:val="28"/>
        </w:rPr>
        <w:t>60708</w:t>
      </w:r>
      <w:r>
        <w:rPr>
          <w:rFonts w:ascii="Arial" w:hAnsi="Arial" w:cs="Arial" w:hint="eastAsia"/>
          <w:sz w:val="28"/>
        </w:rPr>
        <w:t>元</w:t>
      </w:r>
      <w:r>
        <w:rPr>
          <w:rFonts w:ascii="Arial" w:hAnsi="Arial" w:cs="Arial" w:hint="eastAsia"/>
          <w:sz w:val="28"/>
        </w:rPr>
        <w:t>/</w:t>
      </w:r>
      <w:r>
        <w:rPr>
          <w:rFonts w:ascii="Arial" w:hAnsi="Arial" w:cs="Arial" w:hint="eastAsia"/>
          <w:sz w:val="28"/>
        </w:rPr>
        <w:t>平方米，同比上涨</w:t>
      </w:r>
      <w:r>
        <w:rPr>
          <w:rFonts w:ascii="Arial" w:hAnsi="Arial" w:cs="Arial" w:hint="eastAsia"/>
          <w:sz w:val="28"/>
        </w:rPr>
        <w:t>0.9%</w:t>
      </w:r>
      <w:r>
        <w:rPr>
          <w:rFonts w:ascii="Arial" w:hAnsi="Arial" w:cs="Arial" w:hint="eastAsia"/>
          <w:sz w:val="28"/>
        </w:rPr>
        <w:t>。主要原因是，伴随着房地产市场的持续调整，房企拿地趋于理性谨慎。为提升房企拿地积极性，近年来中心城区（含核心区）推出了多宗优质地块，中高端改善产品入市量增加，导致北京楼市成交均价呈现出结构性上涨的趋势。季度来看，一季度北京新建商品住宅成交均价为</w:t>
      </w:r>
      <w:r>
        <w:rPr>
          <w:rFonts w:ascii="Arial" w:hAnsi="Arial" w:cs="Arial" w:hint="eastAsia"/>
          <w:sz w:val="28"/>
        </w:rPr>
        <w:t>59093</w:t>
      </w:r>
      <w:r>
        <w:rPr>
          <w:rFonts w:ascii="Arial" w:hAnsi="Arial" w:cs="Arial" w:hint="eastAsia"/>
          <w:sz w:val="28"/>
        </w:rPr>
        <w:t>元</w:t>
      </w:r>
      <w:r>
        <w:rPr>
          <w:rFonts w:ascii="Arial" w:hAnsi="Arial" w:cs="Arial" w:hint="eastAsia"/>
          <w:sz w:val="28"/>
        </w:rPr>
        <w:t>/</w:t>
      </w:r>
      <w:r>
        <w:rPr>
          <w:rFonts w:ascii="Arial" w:hAnsi="Arial" w:cs="Arial" w:hint="eastAsia"/>
          <w:sz w:val="28"/>
        </w:rPr>
        <w:t>平方米，同比上涨</w:t>
      </w:r>
      <w:r>
        <w:rPr>
          <w:rFonts w:ascii="Arial" w:hAnsi="Arial" w:cs="Arial" w:hint="eastAsia"/>
          <w:sz w:val="28"/>
        </w:rPr>
        <w:t>2.1%</w:t>
      </w:r>
      <w:r>
        <w:rPr>
          <w:rFonts w:ascii="Arial" w:hAnsi="Arial" w:cs="Arial" w:hint="eastAsia"/>
          <w:sz w:val="28"/>
        </w:rPr>
        <w:t>；二季度，楼市成交均价为</w:t>
      </w:r>
      <w:r>
        <w:rPr>
          <w:rFonts w:ascii="Arial" w:hAnsi="Arial" w:cs="Arial" w:hint="eastAsia"/>
          <w:sz w:val="28"/>
        </w:rPr>
        <w:t>62050</w:t>
      </w:r>
      <w:r>
        <w:rPr>
          <w:rFonts w:ascii="Arial" w:hAnsi="Arial" w:cs="Arial" w:hint="eastAsia"/>
          <w:sz w:val="28"/>
        </w:rPr>
        <w:t>元</w:t>
      </w:r>
      <w:r>
        <w:rPr>
          <w:rFonts w:ascii="Arial" w:hAnsi="Arial" w:cs="Arial" w:hint="eastAsia"/>
          <w:sz w:val="28"/>
        </w:rPr>
        <w:t>/</w:t>
      </w:r>
      <w:r>
        <w:rPr>
          <w:rFonts w:ascii="Arial" w:hAnsi="Arial" w:cs="Arial" w:hint="eastAsia"/>
          <w:sz w:val="28"/>
        </w:rPr>
        <w:t>平方米，与去年同期基本持平。从房价指数来看，北京楼市房价指数仍延续上涨的趋势，上半年商品住房价格指数累计上涨</w:t>
      </w:r>
      <w:r>
        <w:rPr>
          <w:rFonts w:ascii="Arial" w:hAnsi="Arial" w:cs="Arial" w:hint="eastAsia"/>
          <w:sz w:val="28"/>
        </w:rPr>
        <w:t>1.9%</w:t>
      </w:r>
      <w:r>
        <w:rPr>
          <w:rFonts w:ascii="Arial" w:hAnsi="Arial" w:cs="Arial" w:hint="eastAsia"/>
          <w:sz w:val="28"/>
        </w:rPr>
        <w:t>，涨幅较去年同期扩大</w:t>
      </w:r>
      <w:r>
        <w:rPr>
          <w:rFonts w:ascii="Arial" w:hAnsi="Arial" w:cs="Arial" w:hint="eastAsia"/>
          <w:sz w:val="28"/>
        </w:rPr>
        <w:t>0.8</w:t>
      </w:r>
      <w:r>
        <w:rPr>
          <w:rFonts w:ascii="Arial" w:hAnsi="Arial" w:cs="Arial" w:hint="eastAsia"/>
          <w:sz w:val="28"/>
        </w:rPr>
        <w:t>个百分点。</w:t>
      </w:r>
    </w:p>
    <w:p w14:paraId="1004FF30" w14:textId="1261C794"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lastRenderedPageBreak/>
        <w:drawing>
          <wp:inline distT="0" distB="0" distL="0" distR="0" wp14:anchorId="14C738DD" wp14:editId="20FC8407">
            <wp:extent cx="5909310" cy="1828800"/>
            <wp:effectExtent l="0" t="0" r="0" b="0"/>
            <wp:docPr id="1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9310" cy="1828800"/>
                    </a:xfrm>
                    <a:prstGeom prst="rect">
                      <a:avLst/>
                    </a:prstGeom>
                    <a:noFill/>
                    <a:ln>
                      <a:noFill/>
                    </a:ln>
                  </pic:spPr>
                </pic:pic>
              </a:graphicData>
            </a:graphic>
          </wp:inline>
        </w:drawing>
      </w:r>
    </w:p>
    <w:p w14:paraId="2ABE878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b.</w:t>
      </w:r>
      <w:r>
        <w:rPr>
          <w:rFonts w:ascii="Arial" w:hAnsi="Arial" w:cs="Arial" w:hint="eastAsia"/>
          <w:sz w:val="28"/>
        </w:rPr>
        <w:t>成交结构</w:t>
      </w:r>
    </w:p>
    <w:p w14:paraId="6A628E53"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bookmarkStart w:id="133" w:name="OLE_LINK1"/>
      <w:r>
        <w:rPr>
          <w:rFonts w:ascii="Arial" w:hAnsi="Arial" w:cs="Arial" w:hint="eastAsia"/>
          <w:sz w:val="28"/>
        </w:rPr>
        <w:t>上半年</w:t>
      </w:r>
      <w:bookmarkEnd w:id="133"/>
      <w:r>
        <w:rPr>
          <w:rFonts w:ascii="Arial" w:hAnsi="Arial" w:cs="Arial" w:hint="eastAsia"/>
          <w:sz w:val="28"/>
        </w:rPr>
        <w:t>，</w:t>
      </w:r>
      <w:r>
        <w:rPr>
          <w:rFonts w:ascii="Arial" w:hAnsi="Arial" w:cs="Arial" w:hint="eastAsia"/>
          <w:sz w:val="28"/>
        </w:rPr>
        <w:t>90-200</w:t>
      </w:r>
      <w:r>
        <w:rPr>
          <w:rFonts w:ascii="Arial" w:hAnsi="Arial" w:cs="Arial" w:hint="eastAsia"/>
          <w:sz w:val="28"/>
        </w:rPr>
        <w:t>平米面积段的刚改和改善型产品成交占比提升，成交套数占比达</w:t>
      </w:r>
      <w:r>
        <w:rPr>
          <w:rFonts w:ascii="Arial" w:hAnsi="Arial" w:cs="Arial" w:hint="eastAsia"/>
          <w:sz w:val="28"/>
        </w:rPr>
        <w:t>71.7%</w:t>
      </w:r>
      <w:r>
        <w:rPr>
          <w:rFonts w:ascii="Arial" w:hAnsi="Arial" w:cs="Arial" w:hint="eastAsia"/>
          <w:sz w:val="28"/>
        </w:rPr>
        <w:t>，占比提升</w:t>
      </w:r>
      <w:r>
        <w:rPr>
          <w:rFonts w:ascii="Arial" w:hAnsi="Arial" w:cs="Arial" w:hint="eastAsia"/>
          <w:sz w:val="28"/>
        </w:rPr>
        <w:t>4.7</w:t>
      </w:r>
      <w:r>
        <w:rPr>
          <w:rFonts w:ascii="Arial" w:hAnsi="Arial" w:cs="Arial" w:hint="eastAsia"/>
          <w:sz w:val="28"/>
        </w:rPr>
        <w:t>个百分点，中低、高面积段产品成交占比均下滑。成交总价段在</w:t>
      </w:r>
      <w:r>
        <w:rPr>
          <w:rFonts w:ascii="Arial" w:hAnsi="Arial" w:cs="Arial" w:hint="eastAsia"/>
          <w:sz w:val="28"/>
        </w:rPr>
        <w:t>1200</w:t>
      </w:r>
      <w:r>
        <w:rPr>
          <w:rFonts w:ascii="Arial" w:hAnsi="Arial" w:cs="Arial" w:hint="eastAsia"/>
          <w:sz w:val="28"/>
        </w:rPr>
        <w:t>万之间的中高价位段产品成交占比提升较多，较去年同期增加</w:t>
      </w:r>
      <w:r>
        <w:rPr>
          <w:rFonts w:ascii="Arial" w:hAnsi="Arial" w:cs="Arial" w:hint="eastAsia"/>
          <w:sz w:val="28"/>
        </w:rPr>
        <w:t>3.8</w:t>
      </w:r>
      <w:r>
        <w:rPr>
          <w:rFonts w:ascii="Arial" w:hAnsi="Arial" w:cs="Arial" w:hint="eastAsia"/>
          <w:sz w:val="28"/>
        </w:rPr>
        <w:t>个百分点；中高总价段产品成交占比下滑，其</w:t>
      </w:r>
      <w:r>
        <w:rPr>
          <w:rFonts w:ascii="Arial" w:hAnsi="Arial" w:cs="Arial" w:hint="eastAsia"/>
          <w:sz w:val="28"/>
        </w:rPr>
        <w:t xml:space="preserve"> </w:t>
      </w:r>
      <w:r>
        <w:rPr>
          <w:rFonts w:ascii="Arial" w:hAnsi="Arial" w:cs="Arial" w:hint="eastAsia"/>
          <w:sz w:val="28"/>
        </w:rPr>
        <w:t>中</w:t>
      </w:r>
      <w:r>
        <w:rPr>
          <w:rFonts w:ascii="Arial" w:hAnsi="Arial" w:cs="Arial" w:hint="eastAsia"/>
          <w:sz w:val="28"/>
        </w:rPr>
        <w:t>500-1000</w:t>
      </w:r>
      <w:r>
        <w:rPr>
          <w:rFonts w:ascii="Arial" w:hAnsi="Arial" w:cs="Arial" w:hint="eastAsia"/>
          <w:sz w:val="28"/>
        </w:rPr>
        <w:t>万之间中高总价段产品成交占比下滑明显，较去年同期减少</w:t>
      </w:r>
      <w:r>
        <w:rPr>
          <w:rFonts w:ascii="Arial" w:hAnsi="Arial" w:cs="Arial" w:hint="eastAsia"/>
          <w:sz w:val="28"/>
        </w:rPr>
        <w:t>5.4</w:t>
      </w:r>
      <w:r>
        <w:rPr>
          <w:rFonts w:ascii="Arial" w:hAnsi="Arial" w:cs="Arial" w:hint="eastAsia"/>
          <w:sz w:val="28"/>
        </w:rPr>
        <w:t>个百分点；另外，</w:t>
      </w:r>
      <w:r>
        <w:rPr>
          <w:rFonts w:ascii="Arial" w:hAnsi="Arial" w:cs="Arial" w:hint="eastAsia"/>
          <w:sz w:val="28"/>
        </w:rPr>
        <w:t>500-800</w:t>
      </w:r>
      <w:r>
        <w:rPr>
          <w:rFonts w:ascii="Arial" w:hAnsi="Arial" w:cs="Arial" w:hint="eastAsia"/>
          <w:sz w:val="28"/>
        </w:rPr>
        <w:t>万之间产品仍为市场主力，成交占比为</w:t>
      </w:r>
      <w:r>
        <w:rPr>
          <w:rFonts w:ascii="Arial" w:hAnsi="Arial" w:cs="Arial" w:hint="eastAsia"/>
          <w:sz w:val="28"/>
        </w:rPr>
        <w:t>29.2%</w:t>
      </w:r>
      <w:r>
        <w:rPr>
          <w:rFonts w:ascii="Arial" w:hAnsi="Arial" w:cs="Arial" w:hint="eastAsia"/>
          <w:sz w:val="28"/>
        </w:rPr>
        <w:t>。</w:t>
      </w:r>
    </w:p>
    <w:p w14:paraId="61FAF42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年上半年，和樾望雲、颐海澐颂、和樾玉鸣、北京宸园、中海萬吉玖序、建发·海晏等高端改善项目热销，均位居全市项目销售金额榜</w:t>
      </w:r>
      <w:r>
        <w:rPr>
          <w:rFonts w:ascii="Arial" w:hAnsi="Arial" w:cs="Arial" w:hint="eastAsia"/>
          <w:sz w:val="28"/>
        </w:rPr>
        <w:t>TOP10</w:t>
      </w:r>
      <w:r>
        <w:rPr>
          <w:rFonts w:ascii="Arial" w:hAnsi="Arial" w:cs="Arial" w:hint="eastAsia"/>
          <w:sz w:val="28"/>
        </w:rPr>
        <w:t>前列，带动中高面积段和高总价产品成交占比出现明显的提升。主要原因一方面是热销项目主力户型位于</w:t>
      </w:r>
      <w:r>
        <w:rPr>
          <w:rFonts w:ascii="Arial" w:hAnsi="Arial" w:cs="Arial" w:hint="eastAsia"/>
          <w:sz w:val="28"/>
        </w:rPr>
        <w:t>120-180</w:t>
      </w:r>
      <w:r>
        <w:rPr>
          <w:rFonts w:ascii="Arial" w:hAnsi="Arial" w:cs="Arial" w:hint="eastAsia"/>
          <w:sz w:val="28"/>
        </w:rPr>
        <w:t>平之间；另一方面，入市项目区位优势较为明显，周边产业等配套资源丰富，市场需求支撑度较高，项目成交均价均超</w:t>
      </w:r>
      <w:r>
        <w:rPr>
          <w:rFonts w:ascii="Arial" w:hAnsi="Arial" w:cs="Arial" w:hint="eastAsia"/>
          <w:sz w:val="28"/>
        </w:rPr>
        <w:t>10</w:t>
      </w:r>
      <w:r>
        <w:rPr>
          <w:rFonts w:ascii="Arial" w:hAnsi="Arial" w:cs="Arial" w:hint="eastAsia"/>
          <w:sz w:val="28"/>
        </w:rPr>
        <w:t>万元</w:t>
      </w:r>
      <w:r>
        <w:rPr>
          <w:rFonts w:ascii="Arial" w:hAnsi="Arial" w:cs="Arial" w:hint="eastAsia"/>
          <w:sz w:val="28"/>
        </w:rPr>
        <w:t>/</w:t>
      </w:r>
      <w:r>
        <w:rPr>
          <w:rFonts w:ascii="Arial" w:hAnsi="Arial" w:cs="Arial" w:hint="eastAsia"/>
          <w:sz w:val="28"/>
        </w:rPr>
        <w:t>平方米。</w:t>
      </w:r>
    </w:p>
    <w:p w14:paraId="73752227" w14:textId="53EC5B9C"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39DD43FD" wp14:editId="616AA943">
            <wp:extent cx="5898515" cy="1849755"/>
            <wp:effectExtent l="0" t="0" r="0" b="0"/>
            <wp:docPr id="1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8515" cy="1849755"/>
                    </a:xfrm>
                    <a:prstGeom prst="rect">
                      <a:avLst/>
                    </a:prstGeom>
                    <a:noFill/>
                    <a:ln>
                      <a:noFill/>
                    </a:ln>
                  </pic:spPr>
                </pic:pic>
              </a:graphicData>
            </a:graphic>
          </wp:inline>
        </w:drawing>
      </w:r>
    </w:p>
    <w:p w14:paraId="6FAC35E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lastRenderedPageBreak/>
        <w:t>C.</w:t>
      </w:r>
      <w:r>
        <w:rPr>
          <w:rFonts w:ascii="Arial" w:hAnsi="Arial" w:cs="Arial" w:hint="eastAsia"/>
          <w:sz w:val="28"/>
        </w:rPr>
        <w:t>区域成交</w:t>
      </w:r>
    </w:p>
    <w:p w14:paraId="3C9C524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从区域成交规模来看，近郊六区仍为市场成交主力区域，成交规模占比超五成。</w:t>
      </w:r>
      <w:r>
        <w:rPr>
          <w:rFonts w:ascii="Arial" w:hAnsi="Arial" w:cs="Arial" w:hint="eastAsia"/>
          <w:sz w:val="28"/>
        </w:rPr>
        <w:t>2025</w:t>
      </w:r>
      <w:r>
        <w:rPr>
          <w:rFonts w:ascii="Arial" w:hAnsi="Arial" w:cs="Arial" w:hint="eastAsia"/>
          <w:sz w:val="28"/>
        </w:rPr>
        <w:t>年上半年近郊六区成交</w:t>
      </w:r>
      <w:r>
        <w:rPr>
          <w:rFonts w:ascii="Arial" w:hAnsi="Arial" w:cs="Arial" w:hint="eastAsia"/>
          <w:sz w:val="28"/>
        </w:rPr>
        <w:t>119.41</w:t>
      </w:r>
      <w:r>
        <w:rPr>
          <w:rFonts w:ascii="Arial" w:hAnsi="Arial" w:cs="Arial" w:hint="eastAsia"/>
          <w:sz w:val="28"/>
        </w:rPr>
        <w:t>万平，占比达</w:t>
      </w:r>
      <w:r>
        <w:rPr>
          <w:rFonts w:ascii="Arial" w:hAnsi="Arial" w:cs="Arial" w:hint="eastAsia"/>
          <w:sz w:val="28"/>
        </w:rPr>
        <w:t>51.0%</w:t>
      </w:r>
      <w:r>
        <w:rPr>
          <w:rFonts w:ascii="Arial" w:hAnsi="Arial" w:cs="Arial" w:hint="eastAsia"/>
          <w:sz w:val="28"/>
        </w:rPr>
        <w:t>；其中，昌平、顺义累计成交占全市的比重均超</w:t>
      </w:r>
      <w:r>
        <w:rPr>
          <w:rFonts w:ascii="Arial" w:hAnsi="Arial" w:cs="Arial" w:hint="eastAsia"/>
          <w:sz w:val="28"/>
        </w:rPr>
        <w:t>10%</w:t>
      </w:r>
      <w:r>
        <w:rPr>
          <w:rFonts w:ascii="Arial" w:hAnsi="Arial" w:cs="Arial" w:hint="eastAsia"/>
          <w:sz w:val="28"/>
        </w:rPr>
        <w:t>。中心城区累计成交</w:t>
      </w:r>
      <w:r>
        <w:rPr>
          <w:rFonts w:ascii="Arial" w:hAnsi="Arial" w:cs="Arial" w:hint="eastAsia"/>
          <w:sz w:val="28"/>
        </w:rPr>
        <w:t>104.02</w:t>
      </w:r>
      <w:r>
        <w:rPr>
          <w:rFonts w:ascii="Arial" w:hAnsi="Arial" w:cs="Arial" w:hint="eastAsia"/>
          <w:sz w:val="28"/>
        </w:rPr>
        <w:t>万平，成交占比为</w:t>
      </w:r>
      <w:r>
        <w:rPr>
          <w:rFonts w:ascii="Arial" w:hAnsi="Arial" w:cs="Arial" w:hint="eastAsia"/>
          <w:sz w:val="28"/>
        </w:rPr>
        <w:t>44.4%</w:t>
      </w:r>
      <w:r>
        <w:rPr>
          <w:rFonts w:ascii="Arial" w:hAnsi="Arial" w:cs="Arial" w:hint="eastAsia"/>
          <w:sz w:val="28"/>
        </w:rPr>
        <w:t>，朝阳、海淀、丰台成交规模居前列，成交规模占全市的比重均超</w:t>
      </w:r>
      <w:r>
        <w:rPr>
          <w:rFonts w:ascii="Arial" w:hAnsi="Arial" w:cs="Arial" w:hint="eastAsia"/>
          <w:sz w:val="28"/>
        </w:rPr>
        <w:t>10%</w:t>
      </w:r>
      <w:r>
        <w:rPr>
          <w:rFonts w:ascii="Arial" w:hAnsi="Arial" w:cs="Arial" w:hint="eastAsia"/>
          <w:sz w:val="28"/>
        </w:rPr>
        <w:t>。</w:t>
      </w:r>
    </w:p>
    <w:p w14:paraId="540C6D2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从区域成交变化来看，中心城区成交规模明显增加、远郊区域同比下滑。其中，中心城区同比增加</w:t>
      </w:r>
      <w:r>
        <w:rPr>
          <w:rFonts w:ascii="Arial" w:hAnsi="Arial" w:cs="Arial" w:hint="eastAsia"/>
          <w:sz w:val="28"/>
        </w:rPr>
        <w:t>46%</w:t>
      </w:r>
      <w:r>
        <w:rPr>
          <w:rFonts w:ascii="Arial" w:hAnsi="Arial" w:cs="Arial" w:hint="eastAsia"/>
          <w:sz w:val="28"/>
        </w:rPr>
        <w:t>，海淀同比成倍增加，朝阳区和丰台区成交同比增幅超三成，东城区和西城区成交规模同比明显下滑，但基数较小；近郊区域成交同比增加</w:t>
      </w:r>
      <w:r>
        <w:rPr>
          <w:rFonts w:ascii="Arial" w:hAnsi="Arial" w:cs="Arial" w:hint="eastAsia"/>
          <w:sz w:val="28"/>
        </w:rPr>
        <w:t>7%</w:t>
      </w:r>
      <w:r>
        <w:rPr>
          <w:rFonts w:ascii="Arial" w:hAnsi="Arial" w:cs="Arial" w:hint="eastAsia"/>
          <w:sz w:val="28"/>
        </w:rPr>
        <w:t>，门头沟区同比增幅近两倍，房山区、昌平区和通州区成交同比涨幅均超</w:t>
      </w:r>
      <w:r>
        <w:rPr>
          <w:rFonts w:ascii="Arial" w:hAnsi="Arial" w:cs="Arial" w:hint="eastAsia"/>
          <w:sz w:val="28"/>
        </w:rPr>
        <w:t>10%</w:t>
      </w:r>
      <w:r>
        <w:rPr>
          <w:rFonts w:ascii="Arial" w:hAnsi="Arial" w:cs="Arial" w:hint="eastAsia"/>
          <w:sz w:val="28"/>
        </w:rPr>
        <w:t>，大兴成交同比下降</w:t>
      </w:r>
      <w:r>
        <w:rPr>
          <w:rFonts w:ascii="Arial" w:hAnsi="Arial" w:cs="Arial" w:hint="eastAsia"/>
          <w:sz w:val="28"/>
        </w:rPr>
        <w:t>24%</w:t>
      </w:r>
      <w:r>
        <w:rPr>
          <w:rFonts w:ascii="Arial" w:hAnsi="Arial" w:cs="Arial" w:hint="eastAsia"/>
          <w:sz w:val="28"/>
        </w:rPr>
        <w:t>；远郊区域成交规模同比减少</w:t>
      </w:r>
      <w:r>
        <w:rPr>
          <w:rFonts w:ascii="Arial" w:hAnsi="Arial" w:cs="Arial" w:hint="eastAsia"/>
          <w:sz w:val="28"/>
        </w:rPr>
        <w:t>15%</w:t>
      </w:r>
      <w:r>
        <w:rPr>
          <w:rFonts w:ascii="Arial" w:hAnsi="Arial" w:cs="Arial" w:hint="eastAsia"/>
          <w:sz w:val="28"/>
        </w:rPr>
        <w:t>，平谷区和延庆区成交同比领跌，同比跌幅分别为</w:t>
      </w:r>
      <w:r>
        <w:rPr>
          <w:rFonts w:ascii="Arial" w:hAnsi="Arial" w:cs="Arial" w:hint="eastAsia"/>
          <w:sz w:val="28"/>
        </w:rPr>
        <w:t>41%</w:t>
      </w:r>
      <w:r>
        <w:rPr>
          <w:rFonts w:ascii="Arial" w:hAnsi="Arial" w:cs="Arial" w:hint="eastAsia"/>
          <w:sz w:val="28"/>
        </w:rPr>
        <w:t>和</w:t>
      </w:r>
      <w:r>
        <w:rPr>
          <w:rFonts w:ascii="Arial" w:hAnsi="Arial" w:cs="Arial" w:hint="eastAsia"/>
          <w:sz w:val="28"/>
        </w:rPr>
        <w:t>25%</w:t>
      </w:r>
      <w:r>
        <w:rPr>
          <w:rFonts w:ascii="Arial" w:hAnsi="Arial" w:cs="Arial" w:hint="eastAsia"/>
          <w:sz w:val="28"/>
        </w:rPr>
        <w:t>。</w:t>
      </w:r>
    </w:p>
    <w:p w14:paraId="7BC3DCA2" w14:textId="7541C114"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7886023F" wp14:editId="06653F80">
            <wp:extent cx="5909310" cy="1945005"/>
            <wp:effectExtent l="0" t="0" r="0" b="0"/>
            <wp:docPr id="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9310" cy="1945005"/>
                    </a:xfrm>
                    <a:prstGeom prst="rect">
                      <a:avLst/>
                    </a:prstGeom>
                    <a:noFill/>
                    <a:ln>
                      <a:noFill/>
                    </a:ln>
                  </pic:spPr>
                </pic:pic>
              </a:graphicData>
            </a:graphic>
          </wp:inline>
        </w:drawing>
      </w:r>
    </w:p>
    <w:p w14:paraId="23F43BE6"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从成交价格来看，</w:t>
      </w:r>
      <w:r>
        <w:rPr>
          <w:rFonts w:ascii="Arial" w:hAnsi="Arial" w:cs="Arial" w:hint="eastAsia"/>
          <w:sz w:val="28"/>
        </w:rPr>
        <w:t>2025</w:t>
      </w:r>
      <w:r>
        <w:rPr>
          <w:rFonts w:ascii="Arial" w:hAnsi="Arial" w:cs="Arial" w:hint="eastAsia"/>
          <w:sz w:val="28"/>
        </w:rPr>
        <w:t>年上半年中心城区商品住宅（不含保障房）成交均价最高，整体均价超</w:t>
      </w:r>
      <w:r>
        <w:rPr>
          <w:rFonts w:ascii="Arial" w:hAnsi="Arial" w:cs="Arial" w:hint="eastAsia"/>
          <w:sz w:val="28"/>
        </w:rPr>
        <w:t>10</w:t>
      </w:r>
      <w:r>
        <w:rPr>
          <w:rFonts w:ascii="Arial" w:hAnsi="Arial" w:cs="Arial" w:hint="eastAsia"/>
          <w:sz w:val="28"/>
        </w:rPr>
        <w:t>万</w:t>
      </w:r>
      <w:r>
        <w:rPr>
          <w:rFonts w:ascii="Arial" w:hAnsi="Arial" w:cs="Arial" w:hint="eastAsia"/>
          <w:sz w:val="28"/>
        </w:rPr>
        <w:t>/</w:t>
      </w:r>
      <w:r>
        <w:rPr>
          <w:rFonts w:ascii="Arial" w:hAnsi="Arial" w:cs="Arial" w:hint="eastAsia"/>
          <w:sz w:val="28"/>
        </w:rPr>
        <w:t>平方米，其中东、西城成交均价均超</w:t>
      </w:r>
      <w:r>
        <w:rPr>
          <w:rFonts w:ascii="Arial" w:hAnsi="Arial" w:cs="Arial" w:hint="eastAsia"/>
          <w:sz w:val="28"/>
        </w:rPr>
        <w:t>12</w:t>
      </w:r>
      <w:r>
        <w:rPr>
          <w:rFonts w:ascii="Arial" w:hAnsi="Arial" w:cs="Arial" w:hint="eastAsia"/>
          <w:sz w:val="28"/>
        </w:rPr>
        <w:t>万元</w:t>
      </w:r>
      <w:r>
        <w:rPr>
          <w:rFonts w:ascii="Arial" w:hAnsi="Arial" w:cs="Arial" w:hint="eastAsia"/>
          <w:sz w:val="28"/>
        </w:rPr>
        <w:t>/</w:t>
      </w:r>
      <w:r>
        <w:rPr>
          <w:rFonts w:ascii="Arial" w:hAnsi="Arial" w:cs="Arial" w:hint="eastAsia"/>
          <w:sz w:val="28"/>
        </w:rPr>
        <w:t>平方米，远郊区整体成交均价最低，整体均价不足</w:t>
      </w:r>
      <w:r>
        <w:rPr>
          <w:rFonts w:ascii="Arial" w:hAnsi="Arial" w:cs="Arial" w:hint="eastAsia"/>
          <w:sz w:val="28"/>
        </w:rPr>
        <w:t>3</w:t>
      </w:r>
      <w:r>
        <w:rPr>
          <w:rFonts w:ascii="Arial" w:hAnsi="Arial" w:cs="Arial" w:hint="eastAsia"/>
          <w:sz w:val="28"/>
        </w:rPr>
        <w:t>万</w:t>
      </w:r>
      <w:r>
        <w:rPr>
          <w:rFonts w:ascii="Arial" w:hAnsi="Arial" w:cs="Arial" w:hint="eastAsia"/>
          <w:sz w:val="28"/>
        </w:rPr>
        <w:t>/</w:t>
      </w:r>
      <w:r>
        <w:rPr>
          <w:rFonts w:ascii="Arial" w:hAnsi="Arial" w:cs="Arial" w:hint="eastAsia"/>
          <w:sz w:val="28"/>
        </w:rPr>
        <w:t>平方米，其中密云区成交均价最低，上半年成交均价仅</w:t>
      </w:r>
      <w:r>
        <w:rPr>
          <w:rFonts w:ascii="Arial" w:hAnsi="Arial" w:cs="Arial" w:hint="eastAsia"/>
          <w:sz w:val="28"/>
        </w:rPr>
        <w:t>22267</w:t>
      </w:r>
      <w:r>
        <w:rPr>
          <w:rFonts w:ascii="Arial" w:hAnsi="Arial" w:cs="Arial" w:hint="eastAsia"/>
          <w:sz w:val="28"/>
        </w:rPr>
        <w:t>元</w:t>
      </w:r>
      <w:r>
        <w:rPr>
          <w:rFonts w:ascii="Arial" w:hAnsi="Arial" w:cs="Arial" w:hint="eastAsia"/>
          <w:sz w:val="28"/>
        </w:rPr>
        <w:t>/</w:t>
      </w:r>
      <w:r>
        <w:rPr>
          <w:rFonts w:ascii="Arial" w:hAnsi="Arial" w:cs="Arial" w:hint="eastAsia"/>
          <w:sz w:val="28"/>
        </w:rPr>
        <w:t>平方米。</w:t>
      </w:r>
    </w:p>
    <w:p w14:paraId="6BAAA292"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从价格变化来看，</w:t>
      </w:r>
      <w:r>
        <w:rPr>
          <w:rFonts w:ascii="Arial" w:hAnsi="Arial" w:cs="Arial" w:hint="eastAsia"/>
          <w:sz w:val="28"/>
        </w:rPr>
        <w:t>2025</w:t>
      </w:r>
      <w:r>
        <w:rPr>
          <w:rFonts w:ascii="Arial" w:hAnsi="Arial" w:cs="Arial" w:hint="eastAsia"/>
          <w:sz w:val="28"/>
        </w:rPr>
        <w:t>年上半年中心城区、近郊区、远郊区房价均有所下跌；其中，中心城区商品住宅成交均价同比下跌</w:t>
      </w:r>
      <w:r>
        <w:rPr>
          <w:rFonts w:ascii="Arial" w:hAnsi="Arial" w:cs="Arial" w:hint="eastAsia"/>
          <w:sz w:val="28"/>
        </w:rPr>
        <w:t>1%</w:t>
      </w:r>
      <w:r>
        <w:rPr>
          <w:rFonts w:ascii="Arial" w:hAnsi="Arial" w:cs="Arial" w:hint="eastAsia"/>
          <w:sz w:val="28"/>
        </w:rPr>
        <w:t>，西城区和丰台区</w:t>
      </w:r>
      <w:r>
        <w:rPr>
          <w:rFonts w:ascii="Arial" w:hAnsi="Arial" w:cs="Arial" w:hint="eastAsia"/>
          <w:sz w:val="28"/>
        </w:rPr>
        <w:lastRenderedPageBreak/>
        <w:t>领跌，同比跌幅分别为</w:t>
      </w:r>
      <w:r>
        <w:rPr>
          <w:rFonts w:ascii="Arial" w:hAnsi="Arial" w:cs="Arial" w:hint="eastAsia"/>
          <w:sz w:val="28"/>
        </w:rPr>
        <w:t xml:space="preserve"> 6%</w:t>
      </w:r>
      <w:r>
        <w:rPr>
          <w:rFonts w:ascii="Arial" w:hAnsi="Arial" w:cs="Arial" w:hint="eastAsia"/>
          <w:sz w:val="28"/>
        </w:rPr>
        <w:t>和</w:t>
      </w:r>
      <w:r>
        <w:rPr>
          <w:rFonts w:ascii="Arial" w:hAnsi="Arial" w:cs="Arial" w:hint="eastAsia"/>
          <w:sz w:val="28"/>
        </w:rPr>
        <w:t>4%</w:t>
      </w:r>
      <w:r>
        <w:rPr>
          <w:rFonts w:ascii="Arial" w:hAnsi="Arial" w:cs="Arial" w:hint="eastAsia"/>
          <w:sz w:val="28"/>
        </w:rPr>
        <w:t>；近郊区域成交均价同比下跌</w:t>
      </w:r>
      <w:r>
        <w:rPr>
          <w:rFonts w:ascii="Arial" w:hAnsi="Arial" w:cs="Arial" w:hint="eastAsia"/>
          <w:sz w:val="28"/>
        </w:rPr>
        <w:t>7%</w:t>
      </w:r>
      <w:r>
        <w:rPr>
          <w:rFonts w:ascii="Arial" w:hAnsi="Arial" w:cs="Arial" w:hint="eastAsia"/>
          <w:sz w:val="28"/>
        </w:rPr>
        <w:t>，大兴和顺义房价下跌明显，同比跌幅均超</w:t>
      </w:r>
      <w:r>
        <w:rPr>
          <w:rFonts w:ascii="Arial" w:hAnsi="Arial" w:cs="Arial" w:hint="eastAsia"/>
          <w:sz w:val="28"/>
        </w:rPr>
        <w:t>10%</w:t>
      </w:r>
      <w:r>
        <w:rPr>
          <w:rFonts w:ascii="Arial" w:hAnsi="Arial" w:cs="Arial" w:hint="eastAsia"/>
          <w:sz w:val="28"/>
        </w:rPr>
        <w:t>；远郊区域成交均价同比下跌</w:t>
      </w:r>
      <w:r>
        <w:rPr>
          <w:rFonts w:ascii="Arial" w:hAnsi="Arial" w:cs="Arial" w:hint="eastAsia"/>
          <w:sz w:val="28"/>
        </w:rPr>
        <w:t>8%</w:t>
      </w:r>
      <w:r>
        <w:rPr>
          <w:rFonts w:ascii="Arial" w:hAnsi="Arial" w:cs="Arial" w:hint="eastAsia"/>
          <w:sz w:val="28"/>
        </w:rPr>
        <w:t>，密云和评估同比跌幅超</w:t>
      </w:r>
      <w:r>
        <w:rPr>
          <w:rFonts w:ascii="Arial" w:hAnsi="Arial" w:cs="Arial" w:hint="eastAsia"/>
          <w:sz w:val="28"/>
        </w:rPr>
        <w:t>10 %</w:t>
      </w:r>
      <w:r>
        <w:rPr>
          <w:rFonts w:ascii="Arial" w:hAnsi="Arial" w:cs="Arial" w:hint="eastAsia"/>
          <w:sz w:val="28"/>
        </w:rPr>
        <w:t>。</w:t>
      </w:r>
    </w:p>
    <w:p w14:paraId="0C2BA7D7" w14:textId="6295FFA3"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481113B6" wp14:editId="4A596574">
            <wp:extent cx="5909310" cy="2019300"/>
            <wp:effectExtent l="0" t="0" r="0" b="0"/>
            <wp:docPr id="2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9310" cy="2019300"/>
                    </a:xfrm>
                    <a:prstGeom prst="rect">
                      <a:avLst/>
                    </a:prstGeom>
                    <a:noFill/>
                    <a:ln>
                      <a:noFill/>
                    </a:ln>
                  </pic:spPr>
                </pic:pic>
              </a:graphicData>
            </a:graphic>
          </wp:inline>
        </w:drawing>
      </w:r>
    </w:p>
    <w:p w14:paraId="01D28CB2"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3</w:t>
      </w:r>
      <w:r>
        <w:rPr>
          <w:rFonts w:ascii="Arial" w:hAnsi="Arial" w:cs="Arial" w:hint="eastAsia"/>
          <w:sz w:val="28"/>
        </w:rPr>
        <w:t>）存量房住宅市场</w:t>
      </w:r>
    </w:p>
    <w:p w14:paraId="056C34E0"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1</w:t>
      </w:r>
      <w:r>
        <w:rPr>
          <w:rFonts w:ascii="Arial" w:hAnsi="Arial" w:cs="Arial" w:hint="eastAsia"/>
          <w:sz w:val="28"/>
        </w:rPr>
        <w:t>）市场运行状况</w:t>
      </w:r>
    </w:p>
    <w:p w14:paraId="23352F4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年上半年，北京存量房市场活跃度较高，累计成交</w:t>
      </w:r>
      <w:r>
        <w:rPr>
          <w:rFonts w:ascii="Arial" w:hAnsi="Arial" w:cs="Arial" w:hint="eastAsia"/>
          <w:sz w:val="28"/>
        </w:rPr>
        <w:t>8.86</w:t>
      </w:r>
      <w:r>
        <w:rPr>
          <w:rFonts w:ascii="Arial" w:hAnsi="Arial" w:cs="Arial" w:hint="eastAsia"/>
          <w:sz w:val="28"/>
        </w:rPr>
        <w:t>万套，同比增长</w:t>
      </w:r>
      <w:r>
        <w:rPr>
          <w:rFonts w:ascii="Arial" w:hAnsi="Arial" w:cs="Arial" w:hint="eastAsia"/>
          <w:sz w:val="28"/>
        </w:rPr>
        <w:t>18.4%</w:t>
      </w:r>
      <w:r>
        <w:rPr>
          <w:rFonts w:ascii="Arial" w:hAnsi="Arial" w:cs="Arial" w:hint="eastAsia"/>
          <w:sz w:val="28"/>
        </w:rPr>
        <w:t>，成交规模为近三年同期新高。从月度趋势来看，北京存量房市场热度先涨后降，受</w:t>
      </w:r>
      <w:r>
        <w:rPr>
          <w:rFonts w:ascii="Arial" w:hAnsi="Arial" w:cs="Arial" w:hint="eastAsia"/>
          <w:sz w:val="28"/>
        </w:rPr>
        <w:t>2024</w:t>
      </w:r>
      <w:r>
        <w:rPr>
          <w:rFonts w:ascii="Arial" w:hAnsi="Arial" w:cs="Arial" w:hint="eastAsia"/>
          <w:sz w:val="28"/>
        </w:rPr>
        <w:t>年契税新政集中网签及春节假期影响，</w:t>
      </w:r>
      <w:r>
        <w:rPr>
          <w:rFonts w:ascii="Arial" w:hAnsi="Arial" w:cs="Arial" w:hint="eastAsia"/>
          <w:sz w:val="28"/>
        </w:rPr>
        <w:t>1/2</w:t>
      </w:r>
      <w:r>
        <w:rPr>
          <w:rFonts w:ascii="Arial" w:hAnsi="Arial" w:cs="Arial" w:hint="eastAsia"/>
          <w:sz w:val="28"/>
        </w:rPr>
        <w:t>月北京存量商品住宅网签量相对较低，但月度网签量依然在</w:t>
      </w:r>
      <w:r>
        <w:rPr>
          <w:rFonts w:ascii="Arial" w:hAnsi="Arial" w:cs="Arial" w:hint="eastAsia"/>
          <w:sz w:val="28"/>
        </w:rPr>
        <w:t>1.2</w:t>
      </w:r>
      <w:r>
        <w:rPr>
          <w:rFonts w:ascii="Arial" w:hAnsi="Arial" w:cs="Arial" w:hint="eastAsia"/>
          <w:sz w:val="28"/>
        </w:rPr>
        <w:t>万套左右；在小阳春带动下，</w:t>
      </w:r>
      <w:r>
        <w:rPr>
          <w:rFonts w:ascii="Arial" w:hAnsi="Arial" w:cs="Arial" w:hint="eastAsia"/>
          <w:sz w:val="28"/>
        </w:rPr>
        <w:t>3</w:t>
      </w:r>
      <w:r>
        <w:rPr>
          <w:rFonts w:ascii="Arial" w:hAnsi="Arial" w:cs="Arial" w:hint="eastAsia"/>
          <w:sz w:val="28"/>
        </w:rPr>
        <w:t>月北京存量商品住宅冲高至</w:t>
      </w:r>
      <w:r>
        <w:rPr>
          <w:rFonts w:ascii="Arial" w:hAnsi="Arial" w:cs="Arial" w:hint="eastAsia"/>
          <w:sz w:val="28"/>
        </w:rPr>
        <w:t>1.92</w:t>
      </w:r>
      <w:r>
        <w:rPr>
          <w:rFonts w:ascii="Arial" w:hAnsi="Arial" w:cs="Arial" w:hint="eastAsia"/>
          <w:sz w:val="28"/>
        </w:rPr>
        <w:t>万套；二季度以来市场热度有所降温，</w:t>
      </w:r>
      <w:r>
        <w:rPr>
          <w:rFonts w:ascii="Arial" w:hAnsi="Arial" w:cs="Arial" w:hint="eastAsia"/>
          <w:sz w:val="28"/>
        </w:rPr>
        <w:t>4</w:t>
      </w:r>
      <w:r>
        <w:rPr>
          <w:rFonts w:ascii="Arial" w:hAnsi="Arial" w:cs="Arial" w:hint="eastAsia"/>
          <w:sz w:val="28"/>
        </w:rPr>
        <w:t>月网签量降至</w:t>
      </w:r>
      <w:r>
        <w:rPr>
          <w:rFonts w:ascii="Arial" w:hAnsi="Arial" w:cs="Arial" w:hint="eastAsia"/>
          <w:sz w:val="28"/>
        </w:rPr>
        <w:t>1.56</w:t>
      </w:r>
      <w:r>
        <w:rPr>
          <w:rFonts w:ascii="Arial" w:hAnsi="Arial" w:cs="Arial" w:hint="eastAsia"/>
          <w:sz w:val="28"/>
        </w:rPr>
        <w:t>万套，</w:t>
      </w:r>
      <w:r>
        <w:rPr>
          <w:rFonts w:ascii="Arial" w:hAnsi="Arial" w:cs="Arial" w:hint="eastAsia"/>
          <w:sz w:val="28"/>
        </w:rPr>
        <w:t>5</w:t>
      </w:r>
      <w:r>
        <w:rPr>
          <w:rFonts w:ascii="Arial" w:hAnsi="Arial" w:cs="Arial" w:hint="eastAsia"/>
          <w:sz w:val="28"/>
        </w:rPr>
        <w:t>月回落至</w:t>
      </w:r>
      <w:r>
        <w:rPr>
          <w:rFonts w:ascii="Arial" w:hAnsi="Arial" w:cs="Arial" w:hint="eastAsia"/>
          <w:sz w:val="28"/>
        </w:rPr>
        <w:t>1.5</w:t>
      </w:r>
      <w:r>
        <w:rPr>
          <w:rFonts w:ascii="Arial" w:hAnsi="Arial" w:cs="Arial" w:hint="eastAsia"/>
          <w:sz w:val="28"/>
        </w:rPr>
        <w:t>万套以下，</w:t>
      </w:r>
      <w:r>
        <w:rPr>
          <w:rFonts w:ascii="Arial" w:hAnsi="Arial" w:cs="Arial" w:hint="eastAsia"/>
          <w:sz w:val="28"/>
        </w:rPr>
        <w:t>6</w:t>
      </w:r>
      <w:r>
        <w:rPr>
          <w:rFonts w:ascii="Arial" w:hAnsi="Arial" w:cs="Arial" w:hint="eastAsia"/>
          <w:sz w:val="28"/>
        </w:rPr>
        <w:t>月小幅回升至</w:t>
      </w:r>
      <w:r>
        <w:rPr>
          <w:rFonts w:ascii="Arial" w:hAnsi="Arial" w:cs="Arial" w:hint="eastAsia"/>
          <w:sz w:val="28"/>
        </w:rPr>
        <w:t>1.51</w:t>
      </w:r>
      <w:r>
        <w:rPr>
          <w:rFonts w:ascii="Arial" w:hAnsi="Arial" w:cs="Arial" w:hint="eastAsia"/>
          <w:sz w:val="28"/>
        </w:rPr>
        <w:t>万套，整体来看，二季度成交量虽有所下降，但仍保持较高水平。</w:t>
      </w:r>
    </w:p>
    <w:p w14:paraId="4A6450B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年上半年，北京存量房市场延续“以价换量”主旋律。从统计局数据来看，</w:t>
      </w:r>
      <w:r>
        <w:rPr>
          <w:rFonts w:ascii="Arial" w:hAnsi="Arial" w:cs="Arial" w:hint="eastAsia"/>
          <w:sz w:val="28"/>
        </w:rPr>
        <w:t>1/2</w:t>
      </w:r>
      <w:r>
        <w:rPr>
          <w:rFonts w:ascii="Arial" w:hAnsi="Arial" w:cs="Arial" w:hint="eastAsia"/>
          <w:sz w:val="28"/>
        </w:rPr>
        <w:t>月二手房价格指数表现平稳，</w:t>
      </w:r>
      <w:r>
        <w:rPr>
          <w:rFonts w:ascii="Arial" w:hAnsi="Arial" w:cs="Arial" w:hint="eastAsia"/>
          <w:sz w:val="28"/>
        </w:rPr>
        <w:t>3</w:t>
      </w:r>
      <w:r>
        <w:rPr>
          <w:rFonts w:ascii="Arial" w:hAnsi="Arial" w:cs="Arial" w:hint="eastAsia"/>
          <w:sz w:val="28"/>
        </w:rPr>
        <w:t>月受小阳春传以及学区需求释放，购房者信心恢复，二手房价格环指数比上涨</w:t>
      </w:r>
      <w:r>
        <w:rPr>
          <w:rFonts w:ascii="Arial" w:hAnsi="Arial" w:cs="Arial" w:hint="eastAsia"/>
          <w:sz w:val="28"/>
        </w:rPr>
        <w:t>0.5%</w:t>
      </w:r>
      <w:r>
        <w:rPr>
          <w:rFonts w:ascii="Arial" w:hAnsi="Arial" w:cs="Arial" w:hint="eastAsia"/>
          <w:sz w:val="28"/>
        </w:rPr>
        <w:t>，至此，北京存量房已连续</w:t>
      </w:r>
      <w:r>
        <w:rPr>
          <w:rFonts w:ascii="Arial" w:hAnsi="Arial" w:cs="Arial" w:hint="eastAsia"/>
          <w:sz w:val="28"/>
        </w:rPr>
        <w:t>6</w:t>
      </w:r>
      <w:r>
        <w:rPr>
          <w:rFonts w:ascii="Arial" w:hAnsi="Arial" w:cs="Arial" w:hint="eastAsia"/>
          <w:sz w:val="28"/>
        </w:rPr>
        <w:t>个月环比上涨或持平。二季度以来，受存量房挂牌增加，学区需求下滑等因素影响，北京二手房价格指数环比持续下跌。</w:t>
      </w:r>
    </w:p>
    <w:p w14:paraId="057A40F6" w14:textId="77104C00"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lastRenderedPageBreak/>
        <w:drawing>
          <wp:inline distT="0" distB="0" distL="0" distR="0" wp14:anchorId="522E0B73" wp14:editId="00A93985">
            <wp:extent cx="5904230" cy="1601470"/>
            <wp:effectExtent l="0" t="0" r="0" b="0"/>
            <wp:docPr id="2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230" cy="1601470"/>
                    </a:xfrm>
                    <a:prstGeom prst="rect">
                      <a:avLst/>
                    </a:prstGeom>
                    <a:noFill/>
                    <a:ln>
                      <a:noFill/>
                    </a:ln>
                  </pic:spPr>
                </pic:pic>
              </a:graphicData>
            </a:graphic>
          </wp:inline>
        </w:drawing>
      </w:r>
    </w:p>
    <w:p w14:paraId="3E1AD48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w:t>
      </w:r>
      <w:r>
        <w:rPr>
          <w:rFonts w:ascii="Arial" w:hAnsi="Arial" w:cs="Arial" w:hint="eastAsia"/>
          <w:sz w:val="28"/>
        </w:rPr>
        <w:t>）各区县统计</w:t>
      </w:r>
    </w:p>
    <w:p w14:paraId="265799C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分区域来看，</w:t>
      </w:r>
      <w:r>
        <w:rPr>
          <w:rFonts w:ascii="Arial" w:hAnsi="Arial" w:cs="Arial" w:hint="eastAsia"/>
          <w:sz w:val="28"/>
        </w:rPr>
        <w:t>2025</w:t>
      </w:r>
      <w:r>
        <w:rPr>
          <w:rFonts w:ascii="Arial" w:hAnsi="Arial" w:cs="Arial" w:hint="eastAsia"/>
          <w:sz w:val="28"/>
        </w:rPr>
        <w:t>年上半年朝阳</w:t>
      </w:r>
      <w:bookmarkStart w:id="134" w:name="OLE_LINK4"/>
      <w:r>
        <w:rPr>
          <w:rFonts w:ascii="Arial" w:hAnsi="Arial" w:cs="Arial" w:hint="eastAsia"/>
          <w:sz w:val="28"/>
        </w:rPr>
        <w:t>区</w:t>
      </w:r>
      <w:bookmarkEnd w:id="134"/>
      <w:r>
        <w:rPr>
          <w:rFonts w:ascii="Arial" w:hAnsi="Arial" w:cs="Arial" w:hint="eastAsia"/>
          <w:sz w:val="28"/>
        </w:rPr>
        <w:t>存量房成交规模较大，成交规模达</w:t>
      </w:r>
      <w:r>
        <w:rPr>
          <w:rFonts w:ascii="Arial" w:hAnsi="Arial" w:cs="Arial" w:hint="eastAsia"/>
          <w:sz w:val="28"/>
        </w:rPr>
        <w:t>201.77</w:t>
      </w:r>
      <w:r>
        <w:rPr>
          <w:rFonts w:ascii="Arial" w:hAnsi="Arial" w:cs="Arial" w:hint="eastAsia"/>
          <w:sz w:val="28"/>
        </w:rPr>
        <w:t>万平方米，居各区第一位；海淀区、丰台区、昌平区、大兴区成交面积均超过</w:t>
      </w:r>
      <w:r>
        <w:rPr>
          <w:rFonts w:ascii="Arial" w:hAnsi="Arial" w:cs="Arial" w:hint="eastAsia"/>
          <w:sz w:val="28"/>
        </w:rPr>
        <w:t>60</w:t>
      </w:r>
      <w:r>
        <w:rPr>
          <w:rFonts w:ascii="Arial" w:hAnsi="Arial" w:cs="Arial" w:hint="eastAsia"/>
          <w:sz w:val="28"/>
        </w:rPr>
        <w:t>万平方米，成交规模居第二梯队；另外，远郊的平谷区、延庆区、怀柔区以及近郊的门头沟区存量房市场活跃度相对较低，成交规模均不足</w:t>
      </w:r>
      <w:r>
        <w:rPr>
          <w:rFonts w:ascii="Arial" w:hAnsi="Arial" w:cs="Arial" w:hint="eastAsia"/>
          <w:sz w:val="28"/>
        </w:rPr>
        <w:t>20</w:t>
      </w:r>
      <w:r>
        <w:rPr>
          <w:rFonts w:ascii="Arial" w:hAnsi="Arial" w:cs="Arial" w:hint="eastAsia"/>
          <w:sz w:val="28"/>
        </w:rPr>
        <w:t>万平方米。</w:t>
      </w:r>
    </w:p>
    <w:p w14:paraId="09B4431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从同比变化来看，</w:t>
      </w:r>
      <w:r>
        <w:rPr>
          <w:rFonts w:ascii="Arial" w:hAnsi="Arial" w:cs="Arial" w:hint="eastAsia"/>
          <w:sz w:val="28"/>
        </w:rPr>
        <w:t>2025</w:t>
      </w:r>
      <w:r>
        <w:rPr>
          <w:rFonts w:ascii="Arial" w:hAnsi="Arial" w:cs="Arial" w:hint="eastAsia"/>
          <w:sz w:val="28"/>
        </w:rPr>
        <w:t>年上半年各区县存量房成交规模均同比上涨，其中门头沟区低基数下成交规模同比增加</w:t>
      </w:r>
      <w:r>
        <w:rPr>
          <w:rFonts w:ascii="Arial" w:hAnsi="Arial" w:cs="Arial" w:hint="eastAsia"/>
          <w:sz w:val="28"/>
        </w:rPr>
        <w:t>48%</w:t>
      </w:r>
      <w:r>
        <w:rPr>
          <w:rFonts w:ascii="Arial" w:hAnsi="Arial" w:cs="Arial" w:hint="eastAsia"/>
          <w:sz w:val="28"/>
        </w:rPr>
        <w:t>，朝阳区、东城区成交规模同比增幅超三成。成交价格方面，</w:t>
      </w:r>
      <w:r>
        <w:rPr>
          <w:rFonts w:ascii="Arial" w:hAnsi="Arial" w:cs="Arial" w:hint="eastAsia"/>
          <w:sz w:val="28"/>
        </w:rPr>
        <w:t>2025</w:t>
      </w:r>
      <w:r>
        <w:rPr>
          <w:rFonts w:ascii="Arial" w:hAnsi="Arial" w:cs="Arial" w:hint="eastAsia"/>
          <w:sz w:val="28"/>
        </w:rPr>
        <w:t>年上半年西城区成交价格最高，达</w:t>
      </w:r>
      <w:r>
        <w:rPr>
          <w:rFonts w:ascii="Arial" w:hAnsi="Arial" w:cs="Arial" w:hint="eastAsia"/>
          <w:sz w:val="28"/>
        </w:rPr>
        <w:t>115562</w:t>
      </w:r>
      <w:r>
        <w:rPr>
          <w:rFonts w:ascii="Arial" w:hAnsi="Arial" w:cs="Arial" w:hint="eastAsia"/>
          <w:sz w:val="28"/>
        </w:rPr>
        <w:t>元</w:t>
      </w:r>
      <w:r>
        <w:rPr>
          <w:rFonts w:ascii="Arial" w:hAnsi="Arial" w:cs="Arial" w:hint="eastAsia"/>
          <w:sz w:val="28"/>
        </w:rPr>
        <w:t>/</w:t>
      </w:r>
      <w:r>
        <w:rPr>
          <w:rFonts w:ascii="Arial" w:hAnsi="Arial" w:cs="Arial" w:hint="eastAsia"/>
          <w:sz w:val="28"/>
        </w:rPr>
        <w:t>平；其次为东城区，为</w:t>
      </w:r>
      <w:r>
        <w:rPr>
          <w:rFonts w:ascii="Arial" w:hAnsi="Arial" w:cs="Arial" w:hint="eastAsia"/>
          <w:sz w:val="28"/>
        </w:rPr>
        <w:t>98380</w:t>
      </w:r>
      <w:r>
        <w:rPr>
          <w:rFonts w:ascii="Arial" w:hAnsi="Arial" w:cs="Arial" w:hint="eastAsia"/>
          <w:sz w:val="28"/>
        </w:rPr>
        <w:t>元</w:t>
      </w:r>
      <w:r>
        <w:rPr>
          <w:rFonts w:ascii="Arial" w:hAnsi="Arial" w:cs="Arial" w:hint="eastAsia"/>
          <w:sz w:val="28"/>
        </w:rPr>
        <w:t>/</w:t>
      </w:r>
      <w:r>
        <w:rPr>
          <w:rFonts w:ascii="Arial" w:hAnsi="Arial" w:cs="Arial" w:hint="eastAsia"/>
          <w:sz w:val="28"/>
        </w:rPr>
        <w:t>平方米。</w:t>
      </w:r>
    </w:p>
    <w:p w14:paraId="637F69C1" w14:textId="4094D701"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4B7A2EEA" wp14:editId="78D5E3E6">
            <wp:extent cx="5909310" cy="2119630"/>
            <wp:effectExtent l="0" t="0" r="0" b="0"/>
            <wp:docPr id="2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9310" cy="2119630"/>
                    </a:xfrm>
                    <a:prstGeom prst="rect">
                      <a:avLst/>
                    </a:prstGeom>
                    <a:noFill/>
                    <a:ln>
                      <a:noFill/>
                    </a:ln>
                  </pic:spPr>
                </pic:pic>
              </a:graphicData>
            </a:graphic>
          </wp:inline>
        </w:drawing>
      </w:r>
    </w:p>
    <w:p w14:paraId="2A08F020"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整体来看，北京市</w:t>
      </w:r>
      <w:bookmarkStart w:id="135" w:name="OLE_LINK5"/>
      <w:r>
        <w:rPr>
          <w:rFonts w:ascii="Arial" w:hAnsi="Arial" w:cs="Arial" w:hint="eastAsia"/>
          <w:sz w:val="28"/>
        </w:rPr>
        <w:t>存量</w:t>
      </w:r>
      <w:bookmarkEnd w:id="135"/>
      <w:r>
        <w:rPr>
          <w:rFonts w:ascii="Arial" w:hAnsi="Arial" w:cs="Arial" w:hint="eastAsia"/>
          <w:sz w:val="28"/>
        </w:rPr>
        <w:t>房对新房市场的分流效应逐步增强。</w:t>
      </w:r>
      <w:r>
        <w:rPr>
          <w:rFonts w:ascii="Arial" w:hAnsi="Arial" w:cs="Arial" w:hint="eastAsia"/>
          <w:sz w:val="28"/>
        </w:rPr>
        <w:t>2021</w:t>
      </w:r>
      <w:r>
        <w:rPr>
          <w:rFonts w:ascii="Arial" w:hAnsi="Arial" w:cs="Arial" w:hint="eastAsia"/>
          <w:sz w:val="28"/>
        </w:rPr>
        <w:t>年以来，北京市存量房成交占比波动增加。</w:t>
      </w:r>
      <w:r>
        <w:rPr>
          <w:rFonts w:ascii="Arial" w:hAnsi="Arial" w:cs="Arial" w:hint="eastAsia"/>
          <w:sz w:val="28"/>
        </w:rPr>
        <w:t>2025</w:t>
      </w:r>
      <w:r>
        <w:rPr>
          <w:rFonts w:ascii="Arial" w:hAnsi="Arial" w:cs="Arial" w:hint="eastAsia"/>
          <w:sz w:val="28"/>
        </w:rPr>
        <w:t>年上半年，北京新房市场虽有海淀、朝阳等改善项目的局部高热现象，但整体市场持续承压；反观存量房，市场热度较高，二季度虽有所下滑，但上半年成交套数升至近三年新</w:t>
      </w:r>
      <w:r>
        <w:rPr>
          <w:rFonts w:ascii="Arial" w:hAnsi="Arial" w:cs="Arial" w:hint="eastAsia"/>
          <w:sz w:val="28"/>
        </w:rPr>
        <w:lastRenderedPageBreak/>
        <w:t>高。</w:t>
      </w:r>
      <w:r>
        <w:rPr>
          <w:rFonts w:ascii="Arial" w:hAnsi="Arial" w:cs="Arial" w:hint="eastAsia"/>
          <w:sz w:val="28"/>
        </w:rPr>
        <w:t>2025</w:t>
      </w:r>
      <w:r>
        <w:rPr>
          <w:rFonts w:ascii="Arial" w:hAnsi="Arial" w:cs="Arial" w:hint="eastAsia"/>
          <w:sz w:val="28"/>
        </w:rPr>
        <w:t>年上半年北京存量商品住宅累计成交套数占比升至</w:t>
      </w:r>
      <w:r>
        <w:rPr>
          <w:rFonts w:ascii="Arial" w:hAnsi="Arial" w:cs="Arial" w:hint="eastAsia"/>
          <w:sz w:val="28"/>
        </w:rPr>
        <w:t>80%</w:t>
      </w:r>
      <w:r>
        <w:rPr>
          <w:rFonts w:ascii="Arial" w:hAnsi="Arial" w:cs="Arial" w:hint="eastAsia"/>
          <w:sz w:val="28"/>
        </w:rPr>
        <w:t>，较上年同期提高</w:t>
      </w:r>
      <w:r>
        <w:rPr>
          <w:rFonts w:ascii="Arial" w:hAnsi="Arial" w:cs="Arial" w:hint="eastAsia"/>
          <w:sz w:val="28"/>
        </w:rPr>
        <w:t>3</w:t>
      </w:r>
      <w:r>
        <w:rPr>
          <w:rFonts w:ascii="Arial" w:hAnsi="Arial" w:cs="Arial" w:hint="eastAsia"/>
          <w:sz w:val="28"/>
        </w:rPr>
        <w:t>个百分点。</w:t>
      </w:r>
    </w:p>
    <w:p w14:paraId="33F0BB64" w14:textId="43A6EC36"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2966B5AE" wp14:editId="6D17C329">
            <wp:extent cx="5909310" cy="1939925"/>
            <wp:effectExtent l="0" t="0" r="0" b="0"/>
            <wp:docPr id="2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9310" cy="1939925"/>
                    </a:xfrm>
                    <a:prstGeom prst="rect">
                      <a:avLst/>
                    </a:prstGeom>
                    <a:noFill/>
                    <a:ln>
                      <a:noFill/>
                    </a:ln>
                  </pic:spPr>
                </pic:pic>
              </a:graphicData>
            </a:graphic>
          </wp:inline>
        </w:drawing>
      </w:r>
    </w:p>
    <w:p w14:paraId="3551B4E9"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4</w:t>
      </w:r>
      <w:r>
        <w:rPr>
          <w:rFonts w:ascii="Arial" w:hAnsi="Arial" w:cs="Arial" w:hint="eastAsia"/>
          <w:sz w:val="28"/>
        </w:rPr>
        <w:t>）未来市场预期</w:t>
      </w:r>
    </w:p>
    <w:p w14:paraId="1A96105C" w14:textId="77777777" w:rsidR="00000000" w:rsidRDefault="00000000">
      <w:pPr>
        <w:spacing w:line="360" w:lineRule="auto"/>
        <w:ind w:firstLineChars="200" w:firstLine="560"/>
        <w:jc w:val="both"/>
        <w:rPr>
          <w:rFonts w:ascii="Arial" w:hAnsi="Arial" w:cs="Arial" w:hint="eastAsia"/>
          <w:sz w:val="28"/>
        </w:rPr>
      </w:pPr>
      <w:bookmarkStart w:id="136" w:name="_Hlk204350337"/>
      <w:r>
        <w:rPr>
          <w:rFonts w:ascii="Arial" w:hAnsi="Arial" w:cs="Arial" w:hint="eastAsia"/>
          <w:sz w:val="28"/>
        </w:rPr>
        <w:t>北京市住宅市场正处于转型升级的关键阶段，未来将呈现“总量平稳、结构优化”的发展格局。从短期来看，</w:t>
      </w:r>
      <w:r>
        <w:rPr>
          <w:rFonts w:ascii="Arial" w:hAnsi="Arial" w:cs="Arial" w:hint="eastAsia"/>
          <w:sz w:val="28"/>
        </w:rPr>
        <w:t>2025</w:t>
      </w:r>
      <w:r>
        <w:rPr>
          <w:rFonts w:ascii="Arial" w:hAnsi="Arial" w:cs="Arial" w:hint="eastAsia"/>
          <w:sz w:val="28"/>
        </w:rPr>
        <w:t>年下半年市场将在政策支持与需求释放的双重作用下保持平稳运行，核心区域优质住宅凭借稀缺性和完善配套仍具较强抗跌性，而供应充足的远郊区域或将延续“以价换量”态势。值得注意的是，随着住房消费理念升级，改善型需求持续释放，品质住宅将成为市场交易主力，推动行业从“规模竞争”向“品质竞争”转变。从中长期看，市场将呈现三大特征：一是住房供应体系更趋完善，形成“高端有市场、中端有支持、低端有保障”的多层次供应格局；二是区域发展更趋分化，核心区资产保值功能凸显，产业新城价值逐步释放；三是产品形态持续升级，绿色、智能、适老化住宅将成为行业发展新方向。在此过程中，城市更新和存量盘活将成为主要空间供给方式，为市场注入新的发展动能。要实现市场平稳健康发展，需要政策保持连续性和稳定性，企业加快转型升级步伐，购房者树立理性消费观念。总体而言，北京住宅市场正在从高速增长阶段转向高质量发展阶段，虽然短期面临调整压力，但随着发展模式转型和市场机制完善，有望实现更加健康、可持续的发展，为首都城市功能优化和高质量发展提供有力支撑</w:t>
      </w:r>
      <w:bookmarkEnd w:id="136"/>
      <w:r>
        <w:rPr>
          <w:rFonts w:ascii="Arial" w:hAnsi="Arial" w:cs="Arial" w:hint="eastAsia"/>
          <w:sz w:val="28"/>
        </w:rPr>
        <w:t>。</w:t>
      </w:r>
    </w:p>
    <w:p w14:paraId="09FE585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lastRenderedPageBreak/>
        <w:t>3.</w:t>
      </w:r>
      <w:r>
        <w:rPr>
          <w:rFonts w:ascii="Arial" w:hAnsi="Arial" w:cs="Arial" w:hint="eastAsia"/>
          <w:sz w:val="28"/>
        </w:rPr>
        <w:t>产业政策</w:t>
      </w:r>
    </w:p>
    <w:p w14:paraId="7D90B170"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产业优惠政策</w:t>
      </w:r>
    </w:p>
    <w:p w14:paraId="32F404B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全国：</w:t>
      </w:r>
    </w:p>
    <w:p w14:paraId="56665B4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2FC817AC"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w:t>
      </w:r>
      <w:r>
        <w:rPr>
          <w:rFonts w:ascii="Arial" w:hAnsi="Arial" w:cs="Arial" w:hint="eastAsia"/>
          <w:sz w:val="28"/>
        </w:rPr>
        <w:t>30</w:t>
      </w:r>
      <w:r>
        <w:rPr>
          <w:rFonts w:ascii="Arial" w:hAnsi="Arial" w:cs="Arial" w:hint="eastAsia"/>
          <w:sz w:val="28"/>
        </w:rPr>
        <w:t>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2A40DE6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26</w:t>
      </w:r>
      <w:r>
        <w:rPr>
          <w:rFonts w:ascii="Arial" w:hAnsi="Arial" w:cs="Arial" w:hint="eastAsia"/>
          <w:sz w:val="28"/>
        </w:rPr>
        <w:t>日，中共中央政治局召开会议，分析研究当前经济形势，部署下一步经济工作。会议对房地产政策进行了重点部署，首次提出要“促进房地产市场止跌回稳”，强调稳定房地产市场对宏观经济的重要性。具体措施包括：一、商品房建设：严控增量、优化存量、提高质量，意味着</w:t>
      </w:r>
      <w:r>
        <w:rPr>
          <w:rFonts w:ascii="Arial" w:hAnsi="Arial" w:cs="Arial" w:hint="eastAsia"/>
          <w:sz w:val="28"/>
        </w:rPr>
        <w:lastRenderedPageBreak/>
        <w:t>未来土地和住房供应将结合城市实际需求，不能盲目扩大。二、住房限购政策：调整住房限购政策，降低存量房贷利率，以提振市场信心。三、项目贷款：加大“白名单”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15A0E2BF"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11</w:t>
      </w:r>
      <w:r>
        <w:rPr>
          <w:rFonts w:ascii="Arial" w:hAnsi="Arial" w:cs="Arial" w:hint="eastAsia"/>
          <w:sz w:val="28"/>
        </w:rPr>
        <w:t>日至</w:t>
      </w:r>
      <w:r>
        <w:rPr>
          <w:rFonts w:ascii="Arial" w:hAnsi="Arial" w:cs="Arial" w:hint="eastAsia"/>
          <w:sz w:val="28"/>
        </w:rPr>
        <w:t>12</w:t>
      </w:r>
      <w:r>
        <w:rPr>
          <w:rFonts w:ascii="Arial" w:hAnsi="Arial" w:cs="Arial" w:hint="eastAsia"/>
          <w:sz w:val="28"/>
        </w:rPr>
        <w:t>日，</w:t>
      </w:r>
      <w:r>
        <w:rPr>
          <w:rFonts w:ascii="Arial" w:hAnsi="Arial" w:cs="Arial" w:hint="eastAsia"/>
          <w:sz w:val="28"/>
        </w:rPr>
        <w:t>2024</w:t>
      </w:r>
      <w:r>
        <w:rPr>
          <w:rFonts w:ascii="Arial" w:hAnsi="Arial" w:cs="Arial" w:hint="eastAsia"/>
          <w:sz w:val="28"/>
        </w:rPr>
        <w:t>年中央经济工作会议举行。会议总结</w:t>
      </w:r>
      <w:r>
        <w:rPr>
          <w:rFonts w:ascii="Arial" w:hAnsi="Arial" w:cs="Arial" w:hint="eastAsia"/>
          <w:sz w:val="28"/>
        </w:rPr>
        <w:t>2024</w:t>
      </w:r>
      <w:r>
        <w:rPr>
          <w:rFonts w:ascii="Arial" w:hAnsi="Arial" w:cs="Arial" w:hint="eastAsia"/>
          <w:sz w:val="28"/>
        </w:rPr>
        <w:t>年经济工作，分析当前经济形势，部署</w:t>
      </w:r>
      <w:r>
        <w:rPr>
          <w:rFonts w:ascii="Arial" w:hAnsi="Arial" w:cs="Arial" w:hint="eastAsia"/>
          <w:sz w:val="28"/>
        </w:rPr>
        <w:t>2025</w:t>
      </w:r>
      <w:r>
        <w:rPr>
          <w:rFonts w:ascii="Arial" w:hAnsi="Arial" w:cs="Arial" w:hint="eastAsia"/>
          <w:sz w:val="28"/>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58277E3F" w14:textId="77777777" w:rsidR="00000000" w:rsidRDefault="00000000">
      <w:pPr>
        <w:spacing w:line="360" w:lineRule="auto"/>
        <w:ind w:firstLineChars="200" w:firstLine="560"/>
        <w:jc w:val="both"/>
        <w:rPr>
          <w:rFonts w:ascii="Arial" w:hAnsi="Arial" w:cs="Arial" w:hint="eastAsia"/>
          <w:sz w:val="28"/>
        </w:rPr>
      </w:pPr>
      <w:bookmarkStart w:id="137" w:name="OLE_LINK3"/>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24</w:t>
      </w:r>
      <w:r>
        <w:rPr>
          <w:rFonts w:ascii="Arial" w:hAnsi="Arial" w:cs="Arial" w:hint="eastAsia"/>
          <w:sz w:val="28"/>
        </w:rPr>
        <w:t>日至</w:t>
      </w:r>
      <w:r>
        <w:rPr>
          <w:rFonts w:ascii="Arial" w:hAnsi="Arial" w:cs="Arial" w:hint="eastAsia"/>
          <w:sz w:val="28"/>
        </w:rPr>
        <w:t>25</w:t>
      </w:r>
      <w:r>
        <w:rPr>
          <w:rFonts w:ascii="Arial" w:hAnsi="Arial" w:cs="Arial" w:hint="eastAsia"/>
          <w:sz w:val="28"/>
        </w:rPr>
        <w:t>日，全国住房城乡建设工作会议在北京召开。会议系统总结</w:t>
      </w:r>
      <w:r>
        <w:rPr>
          <w:rFonts w:ascii="Arial" w:hAnsi="Arial" w:cs="Arial" w:hint="eastAsia"/>
          <w:sz w:val="28"/>
        </w:rPr>
        <w:t>2024</w:t>
      </w:r>
      <w:r>
        <w:rPr>
          <w:rFonts w:ascii="Arial" w:hAnsi="Arial" w:cs="Arial" w:hint="eastAsia"/>
          <w:sz w:val="28"/>
        </w:rPr>
        <w:t>年工作，部署进一步全面深化住房城乡建设领域改革，明确</w:t>
      </w:r>
      <w:r>
        <w:rPr>
          <w:rFonts w:ascii="Arial" w:hAnsi="Arial" w:cs="Arial" w:hint="eastAsia"/>
          <w:sz w:val="28"/>
        </w:rPr>
        <w:t>2025</w:t>
      </w:r>
      <w:r>
        <w:rPr>
          <w:rFonts w:ascii="Arial" w:hAnsi="Arial" w:cs="Arial" w:hint="eastAsia"/>
          <w:sz w:val="28"/>
        </w:rPr>
        <w:t>年重点任务，奋力推进住房城乡建设事业高质量发展。会议强调，</w:t>
      </w:r>
      <w:r>
        <w:rPr>
          <w:rFonts w:ascii="Arial" w:hAnsi="Arial" w:cs="Arial" w:hint="eastAsia"/>
          <w:sz w:val="28"/>
        </w:rPr>
        <w:t>2025</w:t>
      </w:r>
      <w:r>
        <w:rPr>
          <w:rFonts w:ascii="Arial" w:hAnsi="Arial" w:cs="Arial" w:hint="eastAsia"/>
          <w:sz w:val="28"/>
        </w:rPr>
        <w:t>年的工作要重点抓好</w:t>
      </w:r>
      <w:r>
        <w:rPr>
          <w:rFonts w:ascii="Arial" w:hAnsi="Arial" w:cs="Arial" w:hint="eastAsia"/>
          <w:sz w:val="28"/>
        </w:rPr>
        <w:t>5</w:t>
      </w:r>
      <w:r>
        <w:rPr>
          <w:rFonts w:ascii="Arial" w:hAnsi="Arial" w:cs="Arial" w:hint="eastAsia"/>
          <w:sz w:val="28"/>
        </w:rPr>
        <w:t>大板块</w:t>
      </w:r>
      <w:r>
        <w:rPr>
          <w:rFonts w:ascii="Arial" w:hAnsi="Arial" w:cs="Arial" w:hint="eastAsia"/>
          <w:sz w:val="28"/>
        </w:rPr>
        <w:t>22</w:t>
      </w:r>
      <w:r>
        <w:rPr>
          <w:rFonts w:ascii="Arial" w:hAnsi="Arial" w:cs="Arial" w:hint="eastAsia"/>
          <w:sz w:val="28"/>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w:t>
      </w:r>
      <w:r>
        <w:rPr>
          <w:rFonts w:ascii="Arial" w:hAnsi="Arial" w:cs="Arial" w:hint="eastAsia"/>
          <w:sz w:val="28"/>
        </w:rPr>
        <w:lastRenderedPageBreak/>
        <w:t>城市更新改造项目、构建城市管理新模式和以“新城建”为引擎打造高水平“数字住建”五个方面，大力实施城市更新。四、从全面深化建筑业改革、以更高质量的制度供给激发活力、整体提升工程建设标准、支持打造形成现代化建筑产业链和把绿色建筑培育发展成新的经济增长点五个方面，打造“中国建造”升级版。五、从提高住宅建设标准、构建支持住房品质提升的制度体系、支持房企打造好房子样板、推进老旧住宅更新改造和大力实施物业服务质量提升行动五个方面，建设安全、舒适、绿色、智慧的好房子。</w:t>
      </w:r>
    </w:p>
    <w:p w14:paraId="7E230DF3"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3</w:t>
      </w:r>
      <w:r>
        <w:rPr>
          <w:rFonts w:ascii="Arial" w:hAnsi="Arial" w:cs="Arial" w:hint="eastAsia"/>
          <w:sz w:val="28"/>
        </w:rPr>
        <w:t>月</w:t>
      </w:r>
      <w:r>
        <w:rPr>
          <w:rFonts w:ascii="Arial" w:hAnsi="Arial" w:cs="Arial" w:hint="eastAsia"/>
          <w:sz w:val="28"/>
        </w:rPr>
        <w:t>5</w:t>
      </w:r>
      <w:r>
        <w:rPr>
          <w:rFonts w:ascii="Arial" w:hAnsi="Arial" w:cs="Arial" w:hint="eastAsia"/>
          <w:sz w:val="28"/>
        </w:rPr>
        <w:t>日全国两会召开。关于房地产的定调，政府工作报告延续了去年底中央经济工作会议基调，在</w:t>
      </w:r>
      <w:r>
        <w:rPr>
          <w:rFonts w:ascii="Arial" w:hAnsi="Arial" w:cs="Arial" w:hint="eastAsia"/>
          <w:sz w:val="28"/>
        </w:rPr>
        <w:t>2025</w:t>
      </w:r>
      <w:r>
        <w:rPr>
          <w:rFonts w:ascii="Arial" w:hAnsi="Arial" w:cs="Arial" w:hint="eastAsia"/>
          <w:sz w:val="28"/>
        </w:rPr>
        <w:t>年政府工作任务“有效防范化解重点领域风险</w:t>
      </w:r>
      <w:r>
        <w:rPr>
          <w:rFonts w:ascii="Arial" w:hAnsi="Arial" w:cs="Arial" w:hint="eastAsia"/>
          <w:sz w:val="28"/>
        </w:rPr>
        <w:t>,</w:t>
      </w:r>
      <w:r>
        <w:rPr>
          <w:rFonts w:ascii="Arial" w:hAnsi="Arial" w:cs="Arial" w:hint="eastAsia"/>
          <w:sz w:val="28"/>
        </w:rPr>
        <w:t>牢牢守住不发生系统性风险底线”中确立了“持续用力推动房地产市场止跌回稳”的政策目标，并从需求不断加力、供给持续调整、风险防范化解和行业长远发展四个方面给出了大段论述。</w:t>
      </w:r>
    </w:p>
    <w:p w14:paraId="21DB2608"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w:t>
      </w:r>
      <w:r>
        <w:rPr>
          <w:rFonts w:ascii="Arial" w:hAnsi="Arial" w:cs="Arial" w:hint="eastAsia"/>
          <w:sz w:val="28"/>
        </w:rPr>
        <w:t>3</w:t>
      </w:r>
      <w:r>
        <w:rPr>
          <w:rFonts w:ascii="Arial" w:hAnsi="Arial" w:cs="Arial" w:hint="eastAsia"/>
          <w:sz w:val="28"/>
        </w:rPr>
        <w:t>日，财政部办公厅、住房城乡建设部办公厅联合发布《关于开展</w:t>
      </w:r>
      <w:r>
        <w:rPr>
          <w:rFonts w:ascii="Arial" w:hAnsi="Arial" w:cs="Arial" w:hint="eastAsia"/>
          <w:sz w:val="28"/>
        </w:rPr>
        <w:t>2025</w:t>
      </w:r>
      <w:r>
        <w:rPr>
          <w:rFonts w:ascii="Arial" w:hAnsi="Arial" w:cs="Arial" w:hint="eastAsia"/>
          <w:sz w:val="28"/>
        </w:rPr>
        <w:t>年度中央财政支持实施城市更新行动的通知》。《通知》提出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s="Arial" w:hint="eastAsia"/>
          <w:sz w:val="28"/>
        </w:rPr>
        <w:t>2</w:t>
      </w:r>
      <w:r>
        <w:rPr>
          <w:rFonts w:ascii="Arial" w:hAnsi="Arial" w:cs="Arial" w:hint="eastAsia"/>
          <w:sz w:val="28"/>
        </w:rPr>
        <w:t>个方向。</w:t>
      </w:r>
    </w:p>
    <w:p w14:paraId="6F4EB308"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w:t>
      </w:r>
      <w:r>
        <w:rPr>
          <w:rFonts w:ascii="Arial" w:hAnsi="Arial" w:cs="Arial" w:hint="eastAsia"/>
          <w:sz w:val="28"/>
        </w:rPr>
        <w:t>25</w:t>
      </w:r>
      <w:r>
        <w:rPr>
          <w:rFonts w:ascii="Arial" w:hAnsi="Arial" w:cs="Arial" w:hint="eastAsia"/>
          <w:sz w:val="28"/>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Pr>
          <w:rFonts w:ascii="Arial" w:hAnsi="Arial" w:cs="Arial" w:hint="eastAsia"/>
          <w:sz w:val="28"/>
        </w:rPr>
        <w:t xml:space="preserve"> </w:t>
      </w:r>
      <w:r>
        <w:rPr>
          <w:rFonts w:ascii="Arial" w:hAnsi="Arial" w:cs="Arial" w:hint="eastAsia"/>
          <w:sz w:val="28"/>
        </w:rPr>
        <w:t>模式，加大高品质住房供给，优化存量商品房收购政策，持续巩固房地产市</w:t>
      </w:r>
      <w:r>
        <w:rPr>
          <w:rFonts w:ascii="Arial" w:hAnsi="Arial" w:cs="Arial" w:hint="eastAsia"/>
          <w:sz w:val="28"/>
        </w:rPr>
        <w:lastRenderedPageBreak/>
        <w:t>场稳定态势。</w:t>
      </w:r>
    </w:p>
    <w:p w14:paraId="3937279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15</w:t>
      </w:r>
      <w:r>
        <w:rPr>
          <w:rFonts w:ascii="Arial" w:hAnsi="Arial" w:cs="Arial" w:hint="eastAsia"/>
          <w:sz w:val="28"/>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13F715C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13</w:t>
      </w:r>
      <w:r>
        <w:rPr>
          <w:rFonts w:ascii="Arial" w:hAnsi="Arial" w:cs="Arial" w:hint="eastAsia"/>
          <w:sz w:val="28"/>
        </w:rPr>
        <w:t>日国务院常务会议召开，其中重点部署了房地产相关政策，核心目标是“更大力度推动房地产市场止跌回稳”，并围绕构建房地产发展新模式、推进“好房子”建设、盘活存量资源等方面提出具体措施。</w:t>
      </w:r>
    </w:p>
    <w:bookmarkEnd w:id="137"/>
    <w:p w14:paraId="090BADD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北京：</w:t>
      </w:r>
    </w:p>
    <w:p w14:paraId="2019DC1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26</w:t>
      </w:r>
      <w:r>
        <w:rPr>
          <w:rFonts w:ascii="Arial" w:hAnsi="Arial" w:cs="Arial" w:hint="eastAsia"/>
          <w:sz w:val="28"/>
        </w:rPr>
        <w:t>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14:paraId="1B1C376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w:t>
      </w:r>
      <w:r>
        <w:rPr>
          <w:rFonts w:ascii="Arial" w:hAnsi="Arial" w:cs="Arial" w:hint="eastAsia"/>
          <w:sz w:val="28"/>
        </w:rPr>
        <w:t>31</w:t>
      </w:r>
      <w:r>
        <w:rPr>
          <w:rFonts w:ascii="Arial" w:hAnsi="Arial" w:cs="Arial" w:hint="eastAsia"/>
          <w:sz w:val="28"/>
        </w:rPr>
        <w:t>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w:t>
      </w:r>
      <w:r>
        <w:rPr>
          <w:rFonts w:ascii="Arial" w:hAnsi="Arial" w:cs="Arial" w:hint="eastAsia"/>
          <w:sz w:val="28"/>
        </w:rPr>
        <w:t>3</w:t>
      </w:r>
      <w:r>
        <w:rPr>
          <w:rFonts w:ascii="Arial" w:hAnsi="Arial" w:cs="Arial" w:hint="eastAsia"/>
          <w:sz w:val="28"/>
        </w:rPr>
        <w:t>个月租金的，全部租金应当按合同约定的租金支付时间、金额存入用于租金监管的账户。承租人可通过住房租赁合同备案编号等信息查询账户余额。该办法将于</w:t>
      </w:r>
      <w:r>
        <w:rPr>
          <w:rFonts w:ascii="Arial" w:hAnsi="Arial" w:cs="Arial" w:hint="eastAsia"/>
          <w:sz w:val="28"/>
        </w:rPr>
        <w:t>2024</w:t>
      </w:r>
      <w:r>
        <w:rPr>
          <w:rFonts w:ascii="Arial" w:hAnsi="Arial" w:cs="Arial" w:hint="eastAsia"/>
          <w:sz w:val="28"/>
        </w:rPr>
        <w:t>年</w:t>
      </w:r>
      <w:r>
        <w:rPr>
          <w:rFonts w:ascii="Arial" w:hAnsi="Arial" w:cs="Arial" w:hint="eastAsia"/>
          <w:sz w:val="28"/>
        </w:rPr>
        <w:t>10</w:t>
      </w:r>
      <w:r>
        <w:rPr>
          <w:rFonts w:ascii="Arial" w:hAnsi="Arial" w:cs="Arial" w:hint="eastAsia"/>
          <w:sz w:val="28"/>
        </w:rPr>
        <w:t>月</w:t>
      </w:r>
      <w:r>
        <w:rPr>
          <w:rFonts w:ascii="Arial" w:hAnsi="Arial" w:cs="Arial" w:hint="eastAsia"/>
          <w:sz w:val="28"/>
        </w:rPr>
        <w:t>1</w:t>
      </w:r>
      <w:r>
        <w:rPr>
          <w:rFonts w:ascii="Arial" w:hAnsi="Arial" w:cs="Arial" w:hint="eastAsia"/>
          <w:sz w:val="28"/>
        </w:rPr>
        <w:lastRenderedPageBreak/>
        <w:t>日起施行。</w:t>
      </w:r>
    </w:p>
    <w:p w14:paraId="2486C30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30</w:t>
      </w:r>
      <w:r>
        <w:rPr>
          <w:rFonts w:ascii="Arial" w:hAnsi="Arial" w:cs="Arial" w:hint="eastAsia"/>
          <w:sz w:val="28"/>
        </w:rPr>
        <w:t>日，北京市多部门联合发布《关于进一步优化调整本市房地产相关政策的通知》，自</w:t>
      </w:r>
      <w:r>
        <w:rPr>
          <w:rFonts w:ascii="Arial" w:hAnsi="Arial" w:cs="Arial" w:hint="eastAsia"/>
          <w:sz w:val="28"/>
        </w:rPr>
        <w:t>10</w:t>
      </w:r>
      <w:r>
        <w:rPr>
          <w:rFonts w:ascii="Arial" w:hAnsi="Arial" w:cs="Arial" w:hint="eastAsia"/>
          <w:sz w:val="28"/>
        </w:rPr>
        <w:t>月</w:t>
      </w:r>
      <w:r>
        <w:rPr>
          <w:rFonts w:ascii="Arial" w:hAnsi="Arial" w:cs="Arial" w:hint="eastAsia"/>
          <w:sz w:val="28"/>
        </w:rPr>
        <w:t>1</w:t>
      </w:r>
      <w:r>
        <w:rPr>
          <w:rFonts w:ascii="Arial" w:hAnsi="Arial" w:cs="Arial" w:hint="eastAsia"/>
          <w:sz w:val="28"/>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p>
    <w:p w14:paraId="60F50ED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18</w:t>
      </w:r>
      <w:r>
        <w:rPr>
          <w:rFonts w:ascii="Arial" w:hAnsi="Arial" w:cs="Arial" w:hint="eastAsia"/>
          <w:sz w:val="28"/>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s="Arial" w:hint="eastAsia"/>
          <w:sz w:val="28"/>
        </w:rPr>
        <w:t>2</w:t>
      </w:r>
      <w:r>
        <w:rPr>
          <w:rFonts w:ascii="Arial" w:hAnsi="Arial" w:cs="Arial" w:hint="eastAsia"/>
          <w:sz w:val="28"/>
        </w:rPr>
        <w:t>年及以上的住房将免征增值税，而持有不足</w:t>
      </w:r>
      <w:r>
        <w:rPr>
          <w:rFonts w:ascii="Arial" w:hAnsi="Arial" w:cs="Arial" w:hint="eastAsia"/>
          <w:sz w:val="28"/>
        </w:rPr>
        <w:t>2</w:t>
      </w:r>
      <w:r>
        <w:rPr>
          <w:rFonts w:ascii="Arial" w:hAnsi="Arial" w:cs="Arial" w:hint="eastAsia"/>
          <w:sz w:val="28"/>
        </w:rPr>
        <w:t>年的住房则需按</w:t>
      </w:r>
      <w:r>
        <w:rPr>
          <w:rFonts w:ascii="Arial" w:hAnsi="Arial" w:cs="Arial" w:hint="eastAsia"/>
          <w:sz w:val="28"/>
        </w:rPr>
        <w:t>5%</w:t>
      </w:r>
      <w:r>
        <w:rPr>
          <w:rFonts w:ascii="Arial" w:hAnsi="Arial" w:cs="Arial" w:hint="eastAsia"/>
          <w:sz w:val="28"/>
        </w:rPr>
        <w:t>的税率缴纳增值税。在契税方面，北京市与全国统一，对个人购买家庭唯一住房，面积</w:t>
      </w:r>
      <w:r>
        <w:rPr>
          <w:rFonts w:ascii="Arial" w:hAnsi="Arial" w:cs="Arial" w:hint="eastAsia"/>
          <w:sz w:val="28"/>
        </w:rPr>
        <w:t>140</w:t>
      </w:r>
      <w:r>
        <w:rPr>
          <w:rFonts w:ascii="Arial" w:hAnsi="Arial" w:cs="Arial" w:hint="eastAsia"/>
          <w:sz w:val="28"/>
        </w:rPr>
        <w:t>平方米及以下的按</w:t>
      </w:r>
      <w:r>
        <w:rPr>
          <w:rFonts w:ascii="Arial" w:hAnsi="Arial" w:cs="Arial" w:hint="eastAsia"/>
          <w:sz w:val="28"/>
        </w:rPr>
        <w:t>1%</w:t>
      </w:r>
      <w:r>
        <w:rPr>
          <w:rFonts w:ascii="Arial" w:hAnsi="Arial" w:cs="Arial" w:hint="eastAsia"/>
          <w:sz w:val="28"/>
        </w:rPr>
        <w:t>税率征收契税，超过</w:t>
      </w:r>
      <w:r>
        <w:rPr>
          <w:rFonts w:ascii="Arial" w:hAnsi="Arial" w:cs="Arial" w:hint="eastAsia"/>
          <w:sz w:val="28"/>
        </w:rPr>
        <w:t>140</w:t>
      </w:r>
      <w:r>
        <w:rPr>
          <w:rFonts w:ascii="Arial" w:hAnsi="Arial" w:cs="Arial" w:hint="eastAsia"/>
          <w:sz w:val="28"/>
        </w:rPr>
        <w:t>平方米的按</w:t>
      </w:r>
      <w:r>
        <w:rPr>
          <w:rFonts w:ascii="Arial" w:hAnsi="Arial" w:cs="Arial" w:hint="eastAsia"/>
          <w:sz w:val="28"/>
        </w:rPr>
        <w:t>1.5%</w:t>
      </w:r>
      <w:r>
        <w:rPr>
          <w:rFonts w:ascii="Arial" w:hAnsi="Arial" w:cs="Arial" w:hint="eastAsia"/>
          <w:sz w:val="28"/>
        </w:rPr>
        <w:t>征收；对于家庭第二套住房，面积</w:t>
      </w:r>
      <w:r>
        <w:rPr>
          <w:rFonts w:ascii="Arial" w:hAnsi="Arial" w:cs="Arial" w:hint="eastAsia"/>
          <w:sz w:val="28"/>
        </w:rPr>
        <w:t>140</w:t>
      </w:r>
      <w:r>
        <w:rPr>
          <w:rFonts w:ascii="Arial" w:hAnsi="Arial" w:cs="Arial" w:hint="eastAsia"/>
          <w:sz w:val="28"/>
        </w:rPr>
        <w:t>平方米及以下的按</w:t>
      </w:r>
      <w:r>
        <w:rPr>
          <w:rFonts w:ascii="Arial" w:hAnsi="Arial" w:cs="Arial" w:hint="eastAsia"/>
          <w:sz w:val="28"/>
        </w:rPr>
        <w:t>1%</w:t>
      </w:r>
      <w:r>
        <w:rPr>
          <w:rFonts w:ascii="Arial" w:hAnsi="Arial" w:cs="Arial" w:hint="eastAsia"/>
          <w:sz w:val="28"/>
        </w:rPr>
        <w:t>征收，超过</w:t>
      </w:r>
      <w:r>
        <w:rPr>
          <w:rFonts w:ascii="Arial" w:hAnsi="Arial" w:cs="Arial" w:hint="eastAsia"/>
          <w:sz w:val="28"/>
        </w:rPr>
        <w:t>140</w:t>
      </w:r>
      <w:r>
        <w:rPr>
          <w:rFonts w:ascii="Arial" w:hAnsi="Arial" w:cs="Arial" w:hint="eastAsia"/>
          <w:sz w:val="28"/>
        </w:rPr>
        <w:t>平方米的按</w:t>
      </w:r>
      <w:r>
        <w:rPr>
          <w:rFonts w:ascii="Arial" w:hAnsi="Arial" w:cs="Arial" w:hint="eastAsia"/>
          <w:sz w:val="28"/>
        </w:rPr>
        <w:t>2%</w:t>
      </w:r>
      <w:r>
        <w:rPr>
          <w:rFonts w:ascii="Arial" w:hAnsi="Arial" w:cs="Arial" w:hint="eastAsia"/>
          <w:sz w:val="28"/>
        </w:rPr>
        <w:t>征收。</w:t>
      </w:r>
    </w:p>
    <w:p w14:paraId="3446BDB2" w14:textId="77777777" w:rsidR="00000000" w:rsidRDefault="00000000">
      <w:pPr>
        <w:spacing w:line="360" w:lineRule="auto"/>
        <w:ind w:firstLineChars="200" w:firstLine="560"/>
        <w:jc w:val="both"/>
        <w:rPr>
          <w:rFonts w:ascii="Arial" w:hAnsi="Arial" w:cs="Arial" w:hint="eastAsia"/>
          <w:sz w:val="28"/>
        </w:rPr>
      </w:pPr>
      <w:bookmarkStart w:id="138" w:name="OLE_LINK2"/>
      <w:r>
        <w:rPr>
          <w:rFonts w:ascii="Arial" w:hAnsi="Arial" w:cs="Arial" w:hint="eastAsia"/>
          <w:sz w:val="28"/>
        </w:rPr>
        <w:t>2024</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29</w:t>
      </w:r>
      <w:r>
        <w:rPr>
          <w:rFonts w:ascii="Arial" w:hAnsi="Arial" w:cs="Arial" w:hint="eastAsia"/>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Pr>
          <w:rFonts w:ascii="Arial" w:hAnsi="Arial" w:cs="Arial" w:hint="eastAsia"/>
          <w:sz w:val="28"/>
        </w:rPr>
        <w:t>,</w:t>
      </w:r>
      <w:r>
        <w:rPr>
          <w:rFonts w:ascii="Arial" w:hAnsi="Arial" w:cs="Arial" w:hint="eastAsia"/>
          <w:sz w:val="28"/>
        </w:rPr>
        <w:t>充分激发多元主体的更新意愿，推动城市更新项目落地实</w:t>
      </w:r>
      <w:r>
        <w:rPr>
          <w:rFonts w:ascii="Arial" w:hAnsi="Arial" w:cs="Arial" w:hint="eastAsia"/>
          <w:sz w:val="28"/>
        </w:rPr>
        <w:lastRenderedPageBreak/>
        <w:t>施。</w:t>
      </w:r>
      <w:bookmarkEnd w:id="138"/>
    </w:p>
    <w:p w14:paraId="18E837F9"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12</w:t>
      </w:r>
      <w:r>
        <w:rPr>
          <w:rFonts w:ascii="Arial" w:hAnsi="Arial" w:cs="Arial" w:hint="eastAsia"/>
          <w:sz w:val="28"/>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Pr>
          <w:rFonts w:ascii="Arial" w:hAnsi="Arial" w:cs="Arial" w:hint="eastAsia"/>
          <w:sz w:val="28"/>
        </w:rPr>
        <w:t>10%</w:t>
      </w:r>
      <w:r>
        <w:rPr>
          <w:rFonts w:ascii="Arial" w:hAnsi="Arial" w:cs="Arial" w:hint="eastAsia"/>
          <w:sz w:val="28"/>
        </w:rPr>
        <w:t>；鼓励在</w:t>
      </w:r>
      <w:r>
        <w:rPr>
          <w:rFonts w:ascii="Arial" w:hAnsi="Arial" w:cs="Arial" w:hint="eastAsia"/>
          <w:sz w:val="28"/>
        </w:rPr>
        <w:t>140</w:t>
      </w:r>
      <w:r>
        <w:rPr>
          <w:rFonts w:ascii="Arial" w:hAnsi="Arial" w:cs="Arial" w:hint="eastAsia"/>
          <w:sz w:val="28"/>
        </w:rPr>
        <w:t>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p>
    <w:p w14:paraId="1FB80AEC"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9</w:t>
      </w:r>
      <w:r>
        <w:rPr>
          <w:rFonts w:ascii="Arial" w:hAnsi="Arial" w:cs="Arial" w:hint="eastAsia"/>
          <w:sz w:val="28"/>
        </w:rPr>
        <w:t>日，北京市住房和城乡建设委员会发布《关于印发〈</w:t>
      </w:r>
      <w:r>
        <w:rPr>
          <w:rFonts w:ascii="Arial" w:hAnsi="Arial" w:cs="Arial" w:hint="eastAsia"/>
          <w:sz w:val="28"/>
        </w:rPr>
        <w:t>2025</w:t>
      </w:r>
      <w:r>
        <w:rPr>
          <w:rFonts w:ascii="Arial" w:hAnsi="Arial" w:cs="Arial" w:hint="eastAsia"/>
          <w:sz w:val="28"/>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7287D3C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税收政策：</w:t>
      </w:r>
    </w:p>
    <w:p w14:paraId="5FD55808"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月，国家税务总局</w:t>
      </w:r>
      <w:r>
        <w:rPr>
          <w:rFonts w:ascii="Arial" w:hAnsi="Arial" w:cs="Arial" w:hint="eastAsia"/>
          <w:sz w:val="28"/>
        </w:rPr>
        <w:t>12366</w:t>
      </w:r>
      <w:r>
        <w:rPr>
          <w:rFonts w:ascii="Arial" w:hAnsi="Arial" w:cs="Arial" w:hint="eastAsia"/>
          <w:sz w:val="28"/>
        </w:rPr>
        <w:t>纳税服务平台以热点问题答复形式回应：纳税人按照《关于降低存量首套住房贷款</w:t>
      </w:r>
      <w:r>
        <w:rPr>
          <w:rFonts w:ascii="Arial" w:hAnsi="Arial" w:cs="Arial" w:hint="eastAsia"/>
          <w:sz w:val="28"/>
        </w:rPr>
        <w:t xml:space="preserve"> </w:t>
      </w:r>
      <w:r>
        <w:rPr>
          <w:rFonts w:ascii="Arial" w:hAnsi="Arial" w:cs="Arial" w:hint="eastAsia"/>
          <w:sz w:val="28"/>
        </w:rPr>
        <w:t>利率有关事项的通知》规定“二套转首套”，其商业住房贷款部分已执行首套住房贷款利率的，符合《国务院</w:t>
      </w:r>
      <w:r>
        <w:rPr>
          <w:rFonts w:ascii="Arial" w:hAnsi="Arial" w:cs="Arial" w:hint="eastAsia"/>
          <w:sz w:val="28"/>
        </w:rPr>
        <w:t xml:space="preserve"> </w:t>
      </w:r>
      <w:r>
        <w:rPr>
          <w:rFonts w:ascii="Arial" w:hAnsi="Arial" w:cs="Arial" w:hint="eastAsia"/>
          <w:sz w:val="28"/>
        </w:rPr>
        <w:t>关于印发个人所得税专项附加扣除暂行办法的通知》</w:t>
      </w:r>
      <w:r>
        <w:rPr>
          <w:rFonts w:ascii="Arial" w:hAnsi="Arial" w:cs="Arial" w:hint="eastAsia"/>
          <w:sz w:val="28"/>
        </w:rPr>
        <w:t>(</w:t>
      </w:r>
      <w:r>
        <w:rPr>
          <w:rFonts w:ascii="Arial" w:hAnsi="Arial" w:cs="Arial" w:hint="eastAsia"/>
          <w:sz w:val="28"/>
        </w:rPr>
        <w:t>国发〔</w:t>
      </w:r>
      <w:r>
        <w:rPr>
          <w:rFonts w:ascii="Arial" w:hAnsi="Arial" w:cs="Arial" w:hint="eastAsia"/>
          <w:sz w:val="28"/>
        </w:rPr>
        <w:t>2018</w:t>
      </w:r>
      <w:r>
        <w:rPr>
          <w:rFonts w:ascii="Arial" w:hAnsi="Arial" w:cs="Arial" w:hint="eastAsia"/>
          <w:sz w:val="28"/>
        </w:rPr>
        <w:t>〕</w:t>
      </w:r>
      <w:r>
        <w:rPr>
          <w:rFonts w:ascii="Arial" w:hAnsi="Arial" w:cs="Arial" w:hint="eastAsia"/>
          <w:sz w:val="28"/>
        </w:rPr>
        <w:t>41</w:t>
      </w:r>
      <w:r>
        <w:rPr>
          <w:rFonts w:ascii="Arial" w:hAnsi="Arial" w:cs="Arial" w:hint="eastAsia"/>
          <w:sz w:val="28"/>
        </w:rPr>
        <w:t>号</w:t>
      </w:r>
      <w:r>
        <w:rPr>
          <w:rFonts w:ascii="Arial" w:hAnsi="Arial" w:cs="Arial" w:hint="eastAsia"/>
          <w:sz w:val="28"/>
        </w:rPr>
        <w:t>)</w:t>
      </w:r>
      <w:r>
        <w:rPr>
          <w:rFonts w:ascii="Arial" w:hAnsi="Arial" w:cs="Arial" w:hint="eastAsia"/>
          <w:sz w:val="28"/>
        </w:rPr>
        <w:t>有关住房贷款利息专项附加扣除的</w:t>
      </w:r>
      <w:r>
        <w:rPr>
          <w:rFonts w:ascii="Arial" w:hAnsi="Arial" w:cs="Arial" w:hint="eastAsia"/>
          <w:sz w:val="28"/>
        </w:rPr>
        <w:t xml:space="preserve"> </w:t>
      </w:r>
      <w:r>
        <w:rPr>
          <w:rFonts w:ascii="Arial" w:hAnsi="Arial" w:cs="Arial" w:hint="eastAsia"/>
          <w:sz w:val="28"/>
        </w:rPr>
        <w:t>规定且之前未享受过住房贷款利息专项附加扣除的，可以自按照首套住房贷款利率开始还款的当月起享受住房贷款利息专项附加扣除。</w:t>
      </w:r>
    </w:p>
    <w:p w14:paraId="169F0EC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金融政策：</w:t>
      </w:r>
    </w:p>
    <w:p w14:paraId="6F0713B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全国：</w:t>
      </w:r>
    </w:p>
    <w:p w14:paraId="7D8CB72F"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lastRenderedPageBreak/>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日，中国人民银行公告，下调金融机构存款准备金率、下调再贷款利率、下调个人住房公积金贷款利率：自</w:t>
      </w:r>
      <w:r>
        <w:rPr>
          <w:rFonts w:ascii="Arial" w:hAnsi="Arial" w:cs="Arial" w:hint="eastAsia"/>
          <w:sz w:val="28"/>
        </w:rPr>
        <w:t>5</w:t>
      </w:r>
      <w:r>
        <w:rPr>
          <w:rFonts w:ascii="Arial" w:hAnsi="Arial" w:cs="Arial" w:hint="eastAsia"/>
          <w:sz w:val="28"/>
        </w:rPr>
        <w:t>月</w:t>
      </w:r>
      <w:r>
        <w:rPr>
          <w:rFonts w:ascii="Arial" w:hAnsi="Arial" w:cs="Arial" w:hint="eastAsia"/>
          <w:sz w:val="28"/>
        </w:rPr>
        <w:t>15</w:t>
      </w:r>
      <w:r>
        <w:rPr>
          <w:rFonts w:ascii="Arial" w:hAnsi="Arial" w:cs="Arial" w:hint="eastAsia"/>
          <w:sz w:val="28"/>
        </w:rPr>
        <w:t>日起，下调金融机构存款准备金率</w:t>
      </w:r>
      <w:r>
        <w:rPr>
          <w:rFonts w:ascii="Arial" w:hAnsi="Arial" w:cs="Arial" w:hint="eastAsia"/>
          <w:sz w:val="28"/>
        </w:rPr>
        <w:t>0.5</w:t>
      </w:r>
      <w:r>
        <w:rPr>
          <w:rFonts w:ascii="Arial" w:hAnsi="Arial" w:cs="Arial" w:hint="eastAsia"/>
          <w:sz w:val="28"/>
        </w:rPr>
        <w:t>个百分点；自</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日起，下调再贷款利率</w:t>
      </w:r>
      <w:r>
        <w:rPr>
          <w:rFonts w:ascii="Arial" w:hAnsi="Arial" w:cs="Arial" w:hint="eastAsia"/>
          <w:sz w:val="28"/>
        </w:rPr>
        <w:t>0.25</w:t>
      </w:r>
      <w:r>
        <w:rPr>
          <w:rFonts w:ascii="Arial" w:hAnsi="Arial" w:cs="Arial" w:hint="eastAsia"/>
          <w:sz w:val="28"/>
        </w:rPr>
        <w:t>个百分点；自</w:t>
      </w:r>
      <w:r>
        <w:rPr>
          <w:rFonts w:ascii="Arial" w:hAnsi="Arial" w:cs="Arial" w:hint="eastAsia"/>
          <w:sz w:val="28"/>
        </w:rPr>
        <w:t>5</w:t>
      </w:r>
      <w:r>
        <w:rPr>
          <w:rFonts w:ascii="Arial" w:hAnsi="Arial" w:cs="Arial" w:hint="eastAsia"/>
          <w:sz w:val="28"/>
        </w:rPr>
        <w:t>月</w:t>
      </w:r>
      <w:r>
        <w:rPr>
          <w:rFonts w:ascii="Arial" w:hAnsi="Arial" w:cs="Arial" w:hint="eastAsia"/>
          <w:sz w:val="28"/>
        </w:rPr>
        <w:t xml:space="preserve"> 8</w:t>
      </w:r>
      <w:r>
        <w:rPr>
          <w:rFonts w:ascii="Arial" w:hAnsi="Arial" w:cs="Arial" w:hint="eastAsia"/>
          <w:sz w:val="28"/>
        </w:rPr>
        <w:t>日起，下调个人住房公积金贷款利率</w:t>
      </w:r>
      <w:r>
        <w:rPr>
          <w:rFonts w:ascii="Arial" w:hAnsi="Arial" w:cs="Arial" w:hint="eastAsia"/>
          <w:sz w:val="28"/>
        </w:rPr>
        <w:t>0.25</w:t>
      </w:r>
      <w:r>
        <w:rPr>
          <w:rFonts w:ascii="Arial" w:hAnsi="Arial" w:cs="Arial" w:hint="eastAsia"/>
          <w:sz w:val="28"/>
        </w:rPr>
        <w:t>个百分点。</w:t>
      </w:r>
    </w:p>
    <w:p w14:paraId="1A5C869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北京：</w:t>
      </w:r>
    </w:p>
    <w:p w14:paraId="6AA3A30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26</w:t>
      </w:r>
      <w:r>
        <w:rPr>
          <w:rFonts w:ascii="Arial" w:hAnsi="Arial" w:cs="Arial" w:hint="eastAsia"/>
          <w:sz w:val="28"/>
        </w:rPr>
        <w:t>日，北京市住房和城乡建设委员会、北京住房公积金管理中心联合发布《关于调整本市公积金个人住房贷款最低首付款比例政策的通知》和《关于住房公积金支持北京市建筑绿色发展的实施办法》两个文件。其中，《关于调整本市公积金个人住房贷款最低首付款比例政策的通知》明确自通知印发次日起，对于使用贷款购买首套商品住房的居民家庭，最低首付款比例调整为不低于</w:t>
      </w:r>
      <w:r>
        <w:rPr>
          <w:rFonts w:ascii="Arial" w:hAnsi="Arial" w:cs="Arial" w:hint="eastAsia"/>
          <w:sz w:val="28"/>
        </w:rPr>
        <w:t>20%</w:t>
      </w:r>
      <w:r>
        <w:rPr>
          <w:rFonts w:ascii="Arial" w:hAnsi="Arial" w:cs="Arial" w:hint="eastAsia"/>
          <w:sz w:val="28"/>
        </w:rPr>
        <w:t>。对于使用贷款购买二套商品住房的居民家庭，所购住房位于五环以内的，最低首付款比例不低于</w:t>
      </w:r>
      <w:r>
        <w:rPr>
          <w:rFonts w:ascii="Arial" w:hAnsi="Arial" w:cs="Arial" w:hint="eastAsia"/>
          <w:sz w:val="28"/>
        </w:rPr>
        <w:t>35%</w:t>
      </w:r>
      <w:r>
        <w:rPr>
          <w:rFonts w:ascii="Arial" w:hAnsi="Arial" w:cs="Arial" w:hint="eastAsia"/>
          <w:sz w:val="28"/>
        </w:rPr>
        <w:t>；所购商品住房位于五环以外的，最低首付款比例不低于</w:t>
      </w:r>
      <w:r>
        <w:rPr>
          <w:rFonts w:ascii="Arial" w:hAnsi="Arial" w:cs="Arial" w:hint="eastAsia"/>
          <w:sz w:val="28"/>
        </w:rPr>
        <w:t>30%</w:t>
      </w:r>
      <w:r>
        <w:rPr>
          <w:rFonts w:ascii="Arial" w:hAnsi="Arial" w:cs="Arial" w:hint="eastAsia"/>
          <w:sz w:val="28"/>
        </w:rPr>
        <w:t>。</w:t>
      </w:r>
    </w:p>
    <w:p w14:paraId="22B1ED0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30</w:t>
      </w:r>
      <w:r>
        <w:rPr>
          <w:rFonts w:ascii="Arial" w:hAnsi="Arial" w:cs="Arial" w:hint="eastAsia"/>
          <w:sz w:val="28"/>
        </w:rPr>
        <w:t>日，北京市住房和城乡建设委员会、北京市财政局、中国人民银行北京市分行、国家金融监督管理总局北京监管局、国家税务总局北京市税务局、北京住房公积金管理中心联合发布《关于进一步优化调整本市房地产相关政策的通知》。《通知》提出，加大信贷政策支持力度。一是降低存量房贷利率。引导商业银行稳妥有序将存量房贷利率降至新发放贷款利率附近，切实减轻购房人房贷利息负担。二是下调房贷首付款比例。将商业性个人住房贷款首套房贷最低首付款比例由不低于</w:t>
      </w:r>
      <w:r>
        <w:rPr>
          <w:rFonts w:ascii="Arial" w:hAnsi="Arial" w:cs="Arial" w:hint="eastAsia"/>
          <w:sz w:val="28"/>
        </w:rPr>
        <w:t>20%</w:t>
      </w:r>
      <w:r>
        <w:rPr>
          <w:rFonts w:ascii="Arial" w:hAnsi="Arial" w:cs="Arial" w:hint="eastAsia"/>
          <w:sz w:val="28"/>
        </w:rPr>
        <w:t>下调至不低于</w:t>
      </w:r>
      <w:r>
        <w:rPr>
          <w:rFonts w:ascii="Arial" w:hAnsi="Arial" w:cs="Arial" w:hint="eastAsia"/>
          <w:sz w:val="28"/>
        </w:rPr>
        <w:t>15%</w:t>
      </w:r>
      <w:r>
        <w:rPr>
          <w:rFonts w:ascii="Arial" w:hAnsi="Arial" w:cs="Arial" w:hint="eastAsia"/>
          <w:sz w:val="28"/>
        </w:rPr>
        <w:t>，二套房贷由不低于</w:t>
      </w:r>
      <w:r>
        <w:rPr>
          <w:rFonts w:ascii="Arial" w:hAnsi="Arial" w:cs="Arial" w:hint="eastAsia"/>
          <w:sz w:val="28"/>
        </w:rPr>
        <w:t>35%</w:t>
      </w:r>
      <w:r>
        <w:rPr>
          <w:rFonts w:ascii="Arial" w:hAnsi="Arial" w:cs="Arial" w:hint="eastAsia"/>
          <w:sz w:val="28"/>
        </w:rPr>
        <w:t>（购买五环内住房）、不低于</w:t>
      </w:r>
      <w:r>
        <w:rPr>
          <w:rFonts w:ascii="Arial" w:hAnsi="Arial" w:cs="Arial" w:hint="eastAsia"/>
          <w:sz w:val="28"/>
        </w:rPr>
        <w:t>30%</w:t>
      </w:r>
      <w:r>
        <w:rPr>
          <w:rFonts w:ascii="Arial" w:hAnsi="Arial" w:cs="Arial" w:hint="eastAsia"/>
          <w:sz w:val="28"/>
        </w:rPr>
        <w:t>（购买五环外住房）统一下调至不低于</w:t>
      </w:r>
      <w:r>
        <w:rPr>
          <w:rFonts w:ascii="Arial" w:hAnsi="Arial" w:cs="Arial" w:hint="eastAsia"/>
          <w:sz w:val="28"/>
        </w:rPr>
        <w:t>20%</w:t>
      </w:r>
      <w:r>
        <w:rPr>
          <w:rFonts w:ascii="Arial" w:hAnsi="Arial" w:cs="Arial" w:hint="eastAsia"/>
          <w:sz w:val="28"/>
        </w:rPr>
        <w:t>。三是更好发挥住房公积金贷款作用。京籍二孩以上家庭购房的，公积金可贷款额度上浮</w:t>
      </w:r>
      <w:r>
        <w:rPr>
          <w:rFonts w:ascii="Arial" w:hAnsi="Arial" w:cs="Arial" w:hint="eastAsia"/>
          <w:sz w:val="28"/>
        </w:rPr>
        <w:t>40</w:t>
      </w:r>
      <w:r>
        <w:rPr>
          <w:rFonts w:ascii="Arial" w:hAnsi="Arial" w:cs="Arial" w:hint="eastAsia"/>
          <w:sz w:val="28"/>
        </w:rPr>
        <w:t>万元。</w:t>
      </w:r>
    </w:p>
    <w:p w14:paraId="1EDFFDB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31</w:t>
      </w:r>
      <w:r>
        <w:rPr>
          <w:rFonts w:ascii="Arial" w:hAnsi="Arial" w:cs="Arial" w:hint="eastAsia"/>
          <w:sz w:val="28"/>
        </w:rPr>
        <w:t>日，北京住房公积金管理中心发布《关于调整住房公积金个人住房贷款借款人年龄上限的通知》，将住房公积金个人住房贷款借</w:t>
      </w:r>
      <w:r>
        <w:rPr>
          <w:rFonts w:ascii="Arial" w:hAnsi="Arial" w:cs="Arial" w:hint="eastAsia"/>
          <w:sz w:val="28"/>
        </w:rPr>
        <w:lastRenderedPageBreak/>
        <w:t>款期限调整到可计算到借款申请人法定退休年龄后</w:t>
      </w:r>
      <w:r>
        <w:rPr>
          <w:rFonts w:ascii="Arial" w:hAnsi="Arial" w:cs="Arial" w:hint="eastAsia"/>
          <w:sz w:val="28"/>
        </w:rPr>
        <w:t>5</w:t>
      </w:r>
      <w:r>
        <w:rPr>
          <w:rFonts w:ascii="Arial" w:hAnsi="Arial" w:cs="Arial" w:hint="eastAsia"/>
          <w:sz w:val="28"/>
        </w:rPr>
        <w:t>年，原则上最高不超过</w:t>
      </w:r>
      <w:r>
        <w:rPr>
          <w:rFonts w:ascii="Arial" w:hAnsi="Arial" w:cs="Arial" w:hint="eastAsia"/>
          <w:sz w:val="28"/>
        </w:rPr>
        <w:t>68</w:t>
      </w:r>
      <w:r>
        <w:rPr>
          <w:rFonts w:ascii="Arial" w:hAnsi="Arial" w:cs="Arial" w:hint="eastAsia"/>
          <w:sz w:val="28"/>
        </w:rPr>
        <w:t>周岁，贷款期限最长为</w:t>
      </w:r>
      <w:r>
        <w:rPr>
          <w:rFonts w:ascii="Arial" w:hAnsi="Arial" w:cs="Arial" w:hint="eastAsia"/>
          <w:sz w:val="28"/>
        </w:rPr>
        <w:t>30</w:t>
      </w:r>
      <w:r>
        <w:rPr>
          <w:rFonts w:ascii="Arial" w:hAnsi="Arial" w:cs="Arial" w:hint="eastAsia"/>
          <w:sz w:val="28"/>
        </w:rPr>
        <w:t>年。《通知》自</w:t>
      </w:r>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w:t>
      </w:r>
      <w:r>
        <w:rPr>
          <w:rFonts w:ascii="Arial" w:hAnsi="Arial" w:cs="Arial" w:hint="eastAsia"/>
          <w:sz w:val="28"/>
        </w:rPr>
        <w:t>日起执行。</w:t>
      </w:r>
    </w:p>
    <w:p w14:paraId="12142D58"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8</w:t>
      </w:r>
      <w:r>
        <w:rPr>
          <w:rFonts w:ascii="Arial" w:hAnsi="Arial" w:cs="Arial" w:hint="eastAsia"/>
          <w:sz w:val="28"/>
        </w:rPr>
        <w:t>日，北京住房公积金管理中心发布《关于下调个人住房公积金贷款利率的公告》，</w:t>
      </w: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8</w:t>
      </w:r>
      <w:r>
        <w:rPr>
          <w:rFonts w:ascii="Arial" w:hAnsi="Arial" w:cs="Arial" w:hint="eastAsia"/>
          <w:sz w:val="28"/>
        </w:rPr>
        <w:t>日（含）之后新发放的贷款，</w:t>
      </w:r>
      <w:r>
        <w:rPr>
          <w:rFonts w:ascii="Arial" w:hAnsi="Arial" w:cs="Arial" w:hint="eastAsia"/>
          <w:sz w:val="28"/>
        </w:rPr>
        <w:t>5</w:t>
      </w:r>
      <w:r>
        <w:rPr>
          <w:rFonts w:ascii="Arial" w:hAnsi="Arial" w:cs="Arial" w:hint="eastAsia"/>
          <w:sz w:val="28"/>
        </w:rPr>
        <w:t>年以下（含</w:t>
      </w:r>
      <w:r>
        <w:rPr>
          <w:rFonts w:ascii="Arial" w:hAnsi="Arial" w:cs="Arial" w:hint="eastAsia"/>
          <w:sz w:val="28"/>
        </w:rPr>
        <w:t>5</w:t>
      </w:r>
      <w:r>
        <w:rPr>
          <w:rFonts w:ascii="Arial" w:hAnsi="Arial" w:cs="Arial" w:hint="eastAsia"/>
          <w:sz w:val="28"/>
        </w:rPr>
        <w:t>年）和</w:t>
      </w:r>
      <w:r>
        <w:rPr>
          <w:rFonts w:ascii="Arial" w:hAnsi="Arial" w:cs="Arial" w:hint="eastAsia"/>
          <w:sz w:val="28"/>
        </w:rPr>
        <w:t>5</w:t>
      </w:r>
      <w:r>
        <w:rPr>
          <w:rFonts w:ascii="Arial" w:hAnsi="Arial" w:cs="Arial" w:hint="eastAsia"/>
          <w:sz w:val="28"/>
        </w:rPr>
        <w:t>年以上首套个人住房公积金贷款利率分别为</w:t>
      </w:r>
      <w:r>
        <w:rPr>
          <w:rFonts w:ascii="Arial" w:hAnsi="Arial" w:cs="Arial" w:hint="eastAsia"/>
          <w:sz w:val="28"/>
        </w:rPr>
        <w:t>2.1</w:t>
      </w:r>
      <w:r>
        <w:rPr>
          <w:rFonts w:ascii="Arial" w:hAnsi="Arial" w:cs="Arial" w:hint="eastAsia"/>
          <w:sz w:val="28"/>
        </w:rPr>
        <w:t>％和</w:t>
      </w:r>
      <w:r>
        <w:rPr>
          <w:rFonts w:ascii="Arial" w:hAnsi="Arial" w:cs="Arial" w:hint="eastAsia"/>
          <w:sz w:val="28"/>
        </w:rPr>
        <w:t>2.6</w:t>
      </w:r>
      <w:r>
        <w:rPr>
          <w:rFonts w:ascii="Arial" w:hAnsi="Arial" w:cs="Arial" w:hint="eastAsia"/>
          <w:sz w:val="28"/>
        </w:rPr>
        <w:t>％，</w:t>
      </w:r>
      <w:r>
        <w:rPr>
          <w:rFonts w:ascii="Arial" w:hAnsi="Arial" w:cs="Arial" w:hint="eastAsia"/>
          <w:sz w:val="28"/>
        </w:rPr>
        <w:t>5</w:t>
      </w:r>
      <w:r>
        <w:rPr>
          <w:rFonts w:ascii="Arial" w:hAnsi="Arial" w:cs="Arial" w:hint="eastAsia"/>
          <w:sz w:val="28"/>
        </w:rPr>
        <w:t>年以下</w:t>
      </w:r>
      <w:r>
        <w:rPr>
          <w:rFonts w:ascii="Arial" w:hAnsi="Arial" w:cs="Arial" w:hint="eastAsia"/>
          <w:sz w:val="28"/>
        </w:rPr>
        <w:t xml:space="preserve"> </w:t>
      </w:r>
      <w:r>
        <w:rPr>
          <w:rFonts w:ascii="Arial" w:hAnsi="Arial" w:cs="Arial" w:hint="eastAsia"/>
          <w:sz w:val="28"/>
        </w:rPr>
        <w:t>（含</w:t>
      </w:r>
      <w:r>
        <w:rPr>
          <w:rFonts w:ascii="Arial" w:hAnsi="Arial" w:cs="Arial" w:hint="eastAsia"/>
          <w:sz w:val="28"/>
        </w:rPr>
        <w:t>5</w:t>
      </w:r>
      <w:r>
        <w:rPr>
          <w:rFonts w:ascii="Arial" w:hAnsi="Arial" w:cs="Arial" w:hint="eastAsia"/>
          <w:sz w:val="28"/>
        </w:rPr>
        <w:t>年）和</w:t>
      </w:r>
      <w:r>
        <w:rPr>
          <w:rFonts w:ascii="Arial" w:hAnsi="Arial" w:cs="Arial" w:hint="eastAsia"/>
          <w:sz w:val="28"/>
        </w:rPr>
        <w:t>5</w:t>
      </w:r>
      <w:r>
        <w:rPr>
          <w:rFonts w:ascii="Arial" w:hAnsi="Arial" w:cs="Arial" w:hint="eastAsia"/>
          <w:sz w:val="28"/>
        </w:rPr>
        <w:t>年以上第二套个人住房公积金贷款利率分别为</w:t>
      </w:r>
      <w:r>
        <w:rPr>
          <w:rFonts w:ascii="Arial" w:hAnsi="Arial" w:cs="Arial" w:hint="eastAsia"/>
          <w:sz w:val="28"/>
        </w:rPr>
        <w:t>2.525</w:t>
      </w:r>
      <w:r>
        <w:rPr>
          <w:rFonts w:ascii="Arial" w:hAnsi="Arial" w:cs="Arial" w:hint="eastAsia"/>
          <w:sz w:val="28"/>
        </w:rPr>
        <w:t>％和</w:t>
      </w:r>
      <w:r>
        <w:rPr>
          <w:rFonts w:ascii="Arial" w:hAnsi="Arial" w:cs="Arial" w:hint="eastAsia"/>
          <w:sz w:val="28"/>
        </w:rPr>
        <w:t>3.075</w:t>
      </w:r>
      <w:r>
        <w:rPr>
          <w:rFonts w:ascii="Arial" w:hAnsi="Arial" w:cs="Arial" w:hint="eastAsia"/>
          <w:sz w:val="28"/>
        </w:rPr>
        <w:t>％。</w:t>
      </w:r>
    </w:p>
    <w:p w14:paraId="2B1C4BB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4.</w:t>
      </w:r>
      <w:r>
        <w:rPr>
          <w:rFonts w:ascii="Arial" w:hAnsi="Arial" w:cs="Arial" w:hint="eastAsia"/>
          <w:sz w:val="28"/>
        </w:rPr>
        <w:t>城市规划与发展目标</w:t>
      </w:r>
    </w:p>
    <w:p w14:paraId="779218B3"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1</w:t>
      </w:r>
      <w:r>
        <w:rPr>
          <w:rFonts w:ascii="Arial" w:hAnsi="Arial" w:cs="Arial" w:hint="eastAsia"/>
          <w:sz w:val="28"/>
        </w:rPr>
        <w:t>）《北京城市总体规划</w:t>
      </w:r>
      <w:r>
        <w:rPr>
          <w:rFonts w:ascii="Arial" w:hAnsi="Arial" w:cs="Arial" w:hint="eastAsia"/>
          <w:sz w:val="28"/>
        </w:rPr>
        <w:t>(2016</w:t>
      </w:r>
      <w:r>
        <w:rPr>
          <w:rFonts w:ascii="Arial" w:hAnsi="Arial" w:cs="Arial" w:hint="eastAsia"/>
          <w:sz w:val="28"/>
        </w:rPr>
        <w:t>年</w:t>
      </w:r>
      <w:r>
        <w:rPr>
          <w:rFonts w:ascii="Arial" w:hAnsi="Arial" w:cs="Arial" w:hint="eastAsia"/>
          <w:sz w:val="28"/>
        </w:rPr>
        <w:t>-2035</w:t>
      </w:r>
      <w:r>
        <w:rPr>
          <w:rFonts w:ascii="Arial" w:hAnsi="Arial" w:cs="Arial" w:hint="eastAsia"/>
          <w:sz w:val="28"/>
        </w:rPr>
        <w:t>年</w:t>
      </w:r>
      <w:r>
        <w:rPr>
          <w:rFonts w:ascii="Arial" w:hAnsi="Arial" w:cs="Arial" w:hint="eastAsia"/>
          <w:sz w:val="28"/>
        </w:rPr>
        <w:t>)</w:t>
      </w:r>
      <w:r>
        <w:rPr>
          <w:rFonts w:ascii="Arial" w:hAnsi="Arial" w:cs="Arial" w:hint="eastAsia"/>
          <w:sz w:val="28"/>
        </w:rPr>
        <w:t>》于</w:t>
      </w:r>
      <w:r>
        <w:rPr>
          <w:rFonts w:ascii="Arial" w:hAnsi="Arial" w:cs="Arial" w:hint="eastAsia"/>
          <w:sz w:val="28"/>
        </w:rPr>
        <w:t>2017</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29</w:t>
      </w:r>
      <w:r>
        <w:rPr>
          <w:rFonts w:ascii="Arial" w:hAnsi="Arial" w:cs="Arial" w:hint="eastAsia"/>
          <w:sz w:val="28"/>
        </w:rPr>
        <w:t>日正式发布。新版总体规划以资源环境为硬约束，确定了人口总量上限、生态控制线、城市开发边界“三条红线”。通过疏解非首都功能，实现人随功能走、人随产业走。</w:t>
      </w:r>
      <w:commentRangeStart w:id="139"/>
      <w:r>
        <w:rPr>
          <w:rFonts w:ascii="Arial" w:hAnsi="Arial" w:cs="Arial" w:hint="eastAsia"/>
          <w:sz w:val="28"/>
        </w:rPr>
        <w:t>北京市常住人口规模</w:t>
      </w:r>
      <w:r>
        <w:rPr>
          <w:rFonts w:ascii="Arial" w:hAnsi="Arial" w:cs="Arial" w:hint="eastAsia"/>
          <w:sz w:val="28"/>
        </w:rPr>
        <w:t>2020</w:t>
      </w:r>
      <w:r>
        <w:rPr>
          <w:rFonts w:ascii="Arial" w:hAnsi="Arial" w:cs="Arial" w:hint="eastAsia"/>
          <w:sz w:val="28"/>
        </w:rPr>
        <w:t>年控制在</w:t>
      </w:r>
      <w:r>
        <w:rPr>
          <w:rFonts w:ascii="Arial" w:hAnsi="Arial" w:cs="Arial" w:hint="eastAsia"/>
          <w:sz w:val="28"/>
        </w:rPr>
        <w:t>2300</w:t>
      </w:r>
      <w:r>
        <w:rPr>
          <w:rFonts w:ascii="Arial" w:hAnsi="Arial" w:cs="Arial" w:hint="eastAsia"/>
          <w:sz w:val="28"/>
        </w:rPr>
        <w:t>万人以内，</w:t>
      </w:r>
      <w:r>
        <w:rPr>
          <w:rFonts w:ascii="Arial" w:hAnsi="Arial" w:cs="Arial" w:hint="eastAsia"/>
          <w:sz w:val="28"/>
        </w:rPr>
        <w:t>2020</w:t>
      </w:r>
      <w:r>
        <w:rPr>
          <w:rFonts w:ascii="Arial" w:hAnsi="Arial" w:cs="Arial" w:hint="eastAsia"/>
          <w:sz w:val="28"/>
        </w:rPr>
        <w:t>年以后长期稳定在这一水平。到</w:t>
      </w:r>
      <w:r>
        <w:rPr>
          <w:rFonts w:ascii="Arial" w:hAnsi="Arial" w:cs="Arial" w:hint="eastAsia"/>
          <w:sz w:val="28"/>
        </w:rPr>
        <w:t>2035</w:t>
      </w:r>
      <w:r>
        <w:rPr>
          <w:rFonts w:ascii="Arial" w:hAnsi="Arial" w:cs="Arial" w:hint="eastAsia"/>
          <w:sz w:val="28"/>
        </w:rPr>
        <w:t>年，北京市生态控制区面积占市域面积的比例要提高到</w:t>
      </w:r>
      <w:r>
        <w:rPr>
          <w:rFonts w:ascii="Arial" w:hAnsi="Arial" w:cs="Arial" w:hint="eastAsia"/>
          <w:sz w:val="28"/>
        </w:rPr>
        <w:t>75%</w:t>
      </w:r>
      <w:r>
        <w:rPr>
          <w:rFonts w:ascii="Arial" w:hAnsi="Arial" w:cs="Arial" w:hint="eastAsia"/>
          <w:sz w:val="28"/>
        </w:rPr>
        <w:t>。到</w:t>
      </w:r>
      <w:r>
        <w:rPr>
          <w:rFonts w:ascii="Arial" w:hAnsi="Arial" w:cs="Arial" w:hint="eastAsia"/>
          <w:sz w:val="28"/>
        </w:rPr>
        <w:t>2020</w:t>
      </w:r>
      <w:r>
        <w:rPr>
          <w:rFonts w:ascii="Arial" w:hAnsi="Arial" w:cs="Arial" w:hint="eastAsia"/>
          <w:sz w:val="28"/>
        </w:rPr>
        <w:t>年，北京市城乡建设用地规模将由</w:t>
      </w:r>
      <w:r>
        <w:rPr>
          <w:rFonts w:ascii="Arial" w:hAnsi="Arial" w:cs="Arial" w:hint="eastAsia"/>
          <w:sz w:val="28"/>
        </w:rPr>
        <w:t>2015</w:t>
      </w:r>
      <w:r>
        <w:rPr>
          <w:rFonts w:ascii="Arial" w:hAnsi="Arial" w:cs="Arial" w:hint="eastAsia"/>
          <w:sz w:val="28"/>
        </w:rPr>
        <w:t>年的</w:t>
      </w:r>
      <w:r>
        <w:rPr>
          <w:rFonts w:ascii="Arial" w:hAnsi="Arial" w:cs="Arial" w:hint="eastAsia"/>
          <w:sz w:val="28"/>
        </w:rPr>
        <w:t>2921</w:t>
      </w:r>
      <w:r>
        <w:rPr>
          <w:rFonts w:ascii="Arial" w:hAnsi="Arial" w:cs="Arial" w:hint="eastAsia"/>
          <w:sz w:val="28"/>
        </w:rPr>
        <w:t>平方公里减到</w:t>
      </w:r>
      <w:r>
        <w:rPr>
          <w:rFonts w:ascii="Arial" w:hAnsi="Arial" w:cs="Arial" w:hint="eastAsia"/>
          <w:sz w:val="28"/>
        </w:rPr>
        <w:t>2860</w:t>
      </w:r>
      <w:r>
        <w:rPr>
          <w:rFonts w:ascii="Arial" w:hAnsi="Arial" w:cs="Arial" w:hint="eastAsia"/>
          <w:sz w:val="28"/>
        </w:rPr>
        <w:t>平方公里。深入推进京津冀协同发展。发挥北京的辐射带动作用，打造以首都为核心的世界级城市群。全方位对接支持河北雄安新区规划建设。与河北共同筹办好</w:t>
      </w:r>
      <w:r>
        <w:rPr>
          <w:rFonts w:ascii="Arial" w:hAnsi="Arial" w:cs="Arial" w:hint="eastAsia"/>
          <w:sz w:val="28"/>
        </w:rPr>
        <w:t>2022</w:t>
      </w:r>
      <w:r>
        <w:rPr>
          <w:rFonts w:ascii="Arial" w:hAnsi="Arial" w:cs="Arial" w:hint="eastAsia"/>
          <w:sz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commentRangeEnd w:id="139"/>
      <w:r w:rsidR="00A523B7">
        <w:rPr>
          <w:rStyle w:val="afe"/>
        </w:rPr>
        <w:commentReference w:id="139"/>
      </w:r>
    </w:p>
    <w:p w14:paraId="3ACA8E1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2</w:t>
      </w:r>
      <w:r>
        <w:rPr>
          <w:rFonts w:ascii="Arial" w:hAnsi="Arial" w:cs="Arial" w:hint="eastAsia"/>
          <w:sz w:val="28"/>
        </w:rPr>
        <w:t>）</w:t>
      </w:r>
      <w:r>
        <w:rPr>
          <w:rFonts w:ascii="Arial" w:hAnsi="Arial" w:cs="Arial" w:hint="eastAsia"/>
          <w:sz w:val="28"/>
        </w:rPr>
        <w:t>2021</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27</w:t>
      </w:r>
      <w:r>
        <w:rPr>
          <w:rFonts w:ascii="Arial" w:hAnsi="Arial" w:cs="Arial" w:hint="eastAsia"/>
          <w:sz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w:t>
      </w:r>
      <w:r>
        <w:rPr>
          <w:rFonts w:ascii="Arial" w:hAnsi="Arial" w:cs="Arial" w:hint="eastAsia"/>
          <w:sz w:val="28"/>
        </w:rPr>
        <w:lastRenderedPageBreak/>
        <w:t>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07B9634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p>
    <w:p w14:paraId="6E2204E9"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完善多层次住房保障体系，加大住房有效供给，优化房地产市场管理和服务。坚持“房住不炒”，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hAnsi="Arial" w:cs="Arial" w:hint="eastAsia"/>
          <w:sz w:val="28"/>
        </w:rPr>
        <w:t>5000</w:t>
      </w:r>
      <w:r>
        <w:rPr>
          <w:rFonts w:ascii="Arial" w:hAnsi="Arial" w:cs="Arial" w:hint="eastAsia"/>
          <w:sz w:val="28"/>
        </w:rPr>
        <w:t>公顷、供应各类住房</w:t>
      </w:r>
      <w:r>
        <w:rPr>
          <w:rFonts w:ascii="Arial" w:hAnsi="Arial" w:cs="Arial" w:hint="eastAsia"/>
          <w:sz w:val="28"/>
        </w:rPr>
        <w:t>100</w:t>
      </w:r>
      <w:r>
        <w:rPr>
          <w:rFonts w:ascii="Arial" w:hAnsi="Arial" w:cs="Arial" w:hint="eastAsia"/>
          <w:sz w:val="28"/>
        </w:rPr>
        <w:t>万套左右，基本实现总体供需平衡。加大多层次保障性租赁住房供给，针对中低收入家庭自住需求，大力筹集建设各类租赁型住房，提高公共租赁住房备案家庭保障率，新增供应套数占比不低于</w:t>
      </w:r>
      <w:r>
        <w:rPr>
          <w:rFonts w:ascii="Arial" w:hAnsi="Arial" w:cs="Arial" w:hint="eastAsia"/>
          <w:sz w:val="28"/>
        </w:rPr>
        <w:t>40%</w:t>
      </w:r>
      <w:r>
        <w:rPr>
          <w:rFonts w:ascii="Arial" w:hAnsi="Arial" w:cs="Arial" w:hint="eastAsia"/>
          <w:sz w:val="28"/>
        </w:rPr>
        <w:t>。新增集体土地租赁住房等政策性租赁住房供地占比不低于供应总量的</w:t>
      </w:r>
      <w:r>
        <w:rPr>
          <w:rFonts w:ascii="Arial" w:hAnsi="Arial" w:cs="Arial" w:hint="eastAsia"/>
          <w:sz w:val="28"/>
        </w:rPr>
        <w:t>15%</w:t>
      </w:r>
      <w:r>
        <w:rPr>
          <w:rFonts w:ascii="Arial" w:hAnsi="Arial" w:cs="Arial" w:hint="eastAsia"/>
          <w:sz w:val="28"/>
        </w:rPr>
        <w:t>，鼓励存量低效商业、办公、厂房等建筑改造为租赁型职工集体宿舍或公寓。加快高层次人才公租房和国际人才公寓建设。确保住房交易市场平稳有序，规范发展住房租赁市场，保持调控政策连</w:t>
      </w:r>
      <w:r>
        <w:rPr>
          <w:rFonts w:ascii="Arial" w:hAnsi="Arial" w:cs="Arial" w:hint="eastAsia"/>
          <w:sz w:val="28"/>
        </w:rPr>
        <w:lastRenderedPageBreak/>
        <w:t>续性稳定性，坚决遏制投机炒房，按照“全市统筹、因区施策”原则，逐步完善各区域调控长效机制，合理设定调控目标，全面落实稳地价、稳房价、稳预期。</w:t>
      </w:r>
    </w:p>
    <w:p w14:paraId="2A235D5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3</w:t>
      </w:r>
      <w:r>
        <w:rPr>
          <w:rFonts w:ascii="Arial" w:hAnsi="Arial" w:cs="Arial" w:hint="eastAsia"/>
          <w:sz w:val="28"/>
        </w:rPr>
        <w:t>）</w:t>
      </w:r>
      <w:r>
        <w:rPr>
          <w:rFonts w:ascii="Arial" w:hAnsi="Arial" w:cs="Arial" w:hint="eastAsia"/>
          <w:sz w:val="28"/>
        </w:rPr>
        <w:t>2022</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18</w:t>
      </w:r>
      <w:r>
        <w:rPr>
          <w:rFonts w:ascii="Arial" w:hAnsi="Arial" w:cs="Arial" w:hint="eastAsia"/>
          <w:sz w:val="28"/>
        </w:rPr>
        <w:t>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w:t>
      </w:r>
      <w:r>
        <w:rPr>
          <w:rFonts w:ascii="Arial" w:hAnsi="Arial" w:cs="Arial" w:hint="eastAsia"/>
          <w:sz w:val="28"/>
        </w:rPr>
        <w:t>178</w:t>
      </w:r>
      <w:r>
        <w:rPr>
          <w:rFonts w:ascii="Arial" w:hAnsi="Arial" w:cs="Arial" w:hint="eastAsia"/>
          <w:sz w:val="28"/>
        </w:rPr>
        <w:t>个城市更新重点街区，到</w:t>
      </w:r>
      <w:r>
        <w:rPr>
          <w:rFonts w:ascii="Arial" w:hAnsi="Arial" w:cs="Arial" w:hint="eastAsia"/>
          <w:sz w:val="28"/>
        </w:rPr>
        <w:t>2025</w:t>
      </w:r>
      <w:r>
        <w:rPr>
          <w:rFonts w:ascii="Arial" w:hAnsi="Arial" w:cs="Arial" w:hint="eastAsia"/>
          <w:sz w:val="28"/>
        </w:rPr>
        <w:t>年，将完成全市</w:t>
      </w:r>
      <w:r>
        <w:rPr>
          <w:rFonts w:ascii="Arial" w:hAnsi="Arial" w:cs="Arial" w:hint="eastAsia"/>
          <w:sz w:val="28"/>
        </w:rPr>
        <w:t>2000</w:t>
      </w:r>
      <w:r>
        <w:rPr>
          <w:rFonts w:ascii="Arial" w:hAnsi="Arial" w:cs="Arial" w:hint="eastAsia"/>
          <w:sz w:val="28"/>
        </w:rPr>
        <w:t>年底前建成需改造的</w:t>
      </w:r>
      <w:r>
        <w:rPr>
          <w:rFonts w:ascii="Arial" w:hAnsi="Arial" w:cs="Arial" w:hint="eastAsia"/>
          <w:sz w:val="28"/>
        </w:rPr>
        <w:t>1.6</w:t>
      </w:r>
      <w:r>
        <w:rPr>
          <w:rFonts w:ascii="Arial" w:hAnsi="Arial" w:cs="Arial" w:hint="eastAsia"/>
          <w:sz w:val="28"/>
        </w:rPr>
        <w:t>亿平方米老旧小区改造任务。</w:t>
      </w:r>
    </w:p>
    <w:p w14:paraId="29C0FF2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6C09D44F"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5.</w:t>
      </w:r>
      <w:r>
        <w:rPr>
          <w:rFonts w:ascii="Arial" w:hAnsi="Arial" w:cs="Arial" w:hint="eastAsia"/>
          <w:sz w:val="28"/>
        </w:rPr>
        <w:t>城市经济发展运行状况</w:t>
      </w:r>
    </w:p>
    <w:p w14:paraId="5022C3AC"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根据北京市统计局地区生产总值统一核算结果，</w:t>
      </w:r>
      <w:r>
        <w:rPr>
          <w:rFonts w:ascii="Arial" w:hAnsi="Arial" w:cs="Arial" w:hint="eastAsia"/>
          <w:sz w:val="28"/>
        </w:rPr>
        <w:t>2025</w:t>
      </w:r>
      <w:r>
        <w:rPr>
          <w:rFonts w:ascii="Arial" w:hAnsi="Arial" w:cs="Arial" w:hint="eastAsia"/>
          <w:sz w:val="28"/>
        </w:rPr>
        <w:t>年上半年，北京市实现地区生产总值</w:t>
      </w:r>
      <w:r>
        <w:rPr>
          <w:rFonts w:ascii="Arial" w:hAnsi="Arial" w:cs="Arial" w:hint="eastAsia"/>
          <w:sz w:val="28"/>
        </w:rPr>
        <w:t>25029.2</w:t>
      </w:r>
      <w:r>
        <w:rPr>
          <w:rFonts w:ascii="Arial" w:hAnsi="Arial" w:cs="Arial" w:hint="eastAsia"/>
          <w:sz w:val="28"/>
        </w:rPr>
        <w:t>亿元，按不变价格计算，同比增长</w:t>
      </w:r>
      <w:r>
        <w:rPr>
          <w:rFonts w:ascii="Arial" w:hAnsi="Arial" w:cs="Arial" w:hint="eastAsia"/>
          <w:sz w:val="28"/>
        </w:rPr>
        <w:t>5.5%</w:t>
      </w:r>
      <w:r>
        <w:rPr>
          <w:rFonts w:ascii="Arial" w:hAnsi="Arial" w:cs="Arial" w:hint="eastAsia"/>
          <w:sz w:val="28"/>
        </w:rPr>
        <w:t>。分产业看，第一产业实现增加值</w:t>
      </w:r>
      <w:r>
        <w:rPr>
          <w:rFonts w:ascii="Arial" w:hAnsi="Arial" w:cs="Arial" w:hint="eastAsia"/>
          <w:sz w:val="28"/>
        </w:rPr>
        <w:t>45.7</w:t>
      </w:r>
      <w:r>
        <w:rPr>
          <w:rFonts w:ascii="Arial" w:hAnsi="Arial" w:cs="Arial" w:hint="eastAsia"/>
          <w:sz w:val="28"/>
        </w:rPr>
        <w:t>亿元，增长</w:t>
      </w:r>
      <w:r>
        <w:rPr>
          <w:rFonts w:ascii="Arial" w:hAnsi="Arial" w:cs="Arial" w:hint="eastAsia"/>
          <w:sz w:val="28"/>
        </w:rPr>
        <w:t>1.5%</w:t>
      </w:r>
      <w:r>
        <w:rPr>
          <w:rFonts w:ascii="Arial" w:hAnsi="Arial" w:cs="Arial" w:hint="eastAsia"/>
          <w:sz w:val="28"/>
        </w:rPr>
        <w:t>；第二产业实现增加值</w:t>
      </w:r>
      <w:r>
        <w:rPr>
          <w:rFonts w:ascii="Arial" w:hAnsi="Arial" w:cs="Arial" w:hint="eastAsia"/>
          <w:sz w:val="28"/>
        </w:rPr>
        <w:t>3356.1</w:t>
      </w:r>
      <w:r>
        <w:rPr>
          <w:rFonts w:ascii="Arial" w:hAnsi="Arial" w:cs="Arial" w:hint="eastAsia"/>
          <w:sz w:val="28"/>
        </w:rPr>
        <w:t>亿元，增长</w:t>
      </w:r>
      <w:r>
        <w:rPr>
          <w:rFonts w:ascii="Arial" w:hAnsi="Arial" w:cs="Arial" w:hint="eastAsia"/>
          <w:sz w:val="28"/>
        </w:rPr>
        <w:t>4.7%</w:t>
      </w:r>
      <w:r>
        <w:rPr>
          <w:rFonts w:ascii="Arial" w:hAnsi="Arial" w:cs="Arial" w:hint="eastAsia"/>
          <w:sz w:val="28"/>
        </w:rPr>
        <w:t>；第三产业实现增加值</w:t>
      </w:r>
      <w:r>
        <w:rPr>
          <w:rFonts w:ascii="Arial" w:hAnsi="Arial" w:cs="Arial" w:hint="eastAsia"/>
          <w:sz w:val="28"/>
        </w:rPr>
        <w:t>21627.5</w:t>
      </w:r>
      <w:r>
        <w:rPr>
          <w:rFonts w:ascii="Arial" w:hAnsi="Arial" w:cs="Arial" w:hint="eastAsia"/>
          <w:sz w:val="28"/>
        </w:rPr>
        <w:t>亿元，增长</w:t>
      </w:r>
      <w:r>
        <w:rPr>
          <w:rFonts w:ascii="Arial" w:hAnsi="Arial" w:cs="Arial" w:hint="eastAsia"/>
          <w:sz w:val="28"/>
        </w:rPr>
        <w:t>5.6%</w:t>
      </w:r>
      <w:r>
        <w:rPr>
          <w:rFonts w:ascii="Arial" w:hAnsi="Arial" w:cs="Arial" w:hint="eastAsia"/>
          <w:sz w:val="28"/>
        </w:rPr>
        <w:t>。</w:t>
      </w:r>
    </w:p>
    <w:p w14:paraId="60B989C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1</w:t>
      </w:r>
      <w:r>
        <w:rPr>
          <w:rFonts w:ascii="Arial" w:hAnsi="Arial" w:cs="Arial" w:hint="eastAsia"/>
          <w:sz w:val="28"/>
        </w:rPr>
        <w:t>）农业生产保持增长，乡村旅游升温向好</w:t>
      </w:r>
    </w:p>
    <w:p w14:paraId="48E69D03"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年上半年，北京市实现农林牧渔业总产值</w:t>
      </w:r>
      <w:r>
        <w:rPr>
          <w:rFonts w:ascii="Arial" w:hAnsi="Arial" w:cs="Arial" w:hint="eastAsia"/>
          <w:sz w:val="28"/>
        </w:rPr>
        <w:t>97.9</w:t>
      </w:r>
      <w:r>
        <w:rPr>
          <w:rFonts w:ascii="Arial" w:hAnsi="Arial" w:cs="Arial" w:hint="eastAsia"/>
          <w:sz w:val="28"/>
        </w:rPr>
        <w:t>亿元，按可比价格计算，同比增长</w:t>
      </w:r>
      <w:r>
        <w:rPr>
          <w:rFonts w:ascii="Arial" w:hAnsi="Arial" w:cs="Arial" w:hint="eastAsia"/>
          <w:sz w:val="28"/>
        </w:rPr>
        <w:t>2.2%</w:t>
      </w:r>
      <w:r>
        <w:rPr>
          <w:rFonts w:ascii="Arial" w:hAnsi="Arial" w:cs="Arial" w:hint="eastAsia"/>
          <w:sz w:val="28"/>
        </w:rPr>
        <w:t>。其中，实现农业（种植业）产值</w:t>
      </w:r>
      <w:r>
        <w:rPr>
          <w:rFonts w:ascii="Arial" w:hAnsi="Arial" w:cs="Arial" w:hint="eastAsia"/>
          <w:sz w:val="28"/>
        </w:rPr>
        <w:t>47</w:t>
      </w:r>
      <w:r>
        <w:rPr>
          <w:rFonts w:ascii="Arial" w:hAnsi="Arial" w:cs="Arial" w:hint="eastAsia"/>
          <w:sz w:val="28"/>
        </w:rPr>
        <w:t>亿元，增长</w:t>
      </w:r>
      <w:r>
        <w:rPr>
          <w:rFonts w:ascii="Arial" w:hAnsi="Arial" w:cs="Arial" w:hint="eastAsia"/>
          <w:sz w:val="28"/>
        </w:rPr>
        <w:t>3.9%</w:t>
      </w:r>
      <w:r>
        <w:rPr>
          <w:rFonts w:ascii="Arial" w:hAnsi="Arial" w:cs="Arial" w:hint="eastAsia"/>
          <w:sz w:val="28"/>
        </w:rPr>
        <w:t>，蔬菜（含食用菌）播种面积和产量分别增长</w:t>
      </w:r>
      <w:r>
        <w:rPr>
          <w:rFonts w:ascii="Arial" w:hAnsi="Arial" w:cs="Arial" w:hint="eastAsia"/>
          <w:sz w:val="28"/>
        </w:rPr>
        <w:t>4.3%</w:t>
      </w:r>
      <w:r>
        <w:rPr>
          <w:rFonts w:ascii="Arial" w:hAnsi="Arial" w:cs="Arial" w:hint="eastAsia"/>
          <w:sz w:val="28"/>
        </w:rPr>
        <w:t>和</w:t>
      </w:r>
      <w:r>
        <w:rPr>
          <w:rFonts w:ascii="Arial" w:hAnsi="Arial" w:cs="Arial" w:hint="eastAsia"/>
          <w:sz w:val="28"/>
        </w:rPr>
        <w:t>7.4%</w:t>
      </w:r>
      <w:r>
        <w:rPr>
          <w:rFonts w:ascii="Arial" w:hAnsi="Arial" w:cs="Arial" w:hint="eastAsia"/>
          <w:sz w:val="28"/>
        </w:rPr>
        <w:t>，夏粮播种面积持续扩大；实现林业产值</w:t>
      </w:r>
      <w:r>
        <w:rPr>
          <w:rFonts w:ascii="Arial" w:hAnsi="Arial" w:cs="Arial" w:hint="eastAsia"/>
          <w:sz w:val="28"/>
        </w:rPr>
        <w:t>23.6</w:t>
      </w:r>
      <w:r>
        <w:rPr>
          <w:rFonts w:ascii="Arial" w:hAnsi="Arial" w:cs="Arial" w:hint="eastAsia"/>
          <w:sz w:val="28"/>
        </w:rPr>
        <w:t>亿元，下降</w:t>
      </w:r>
      <w:r>
        <w:rPr>
          <w:rFonts w:ascii="Arial" w:hAnsi="Arial" w:cs="Arial" w:hint="eastAsia"/>
          <w:sz w:val="28"/>
        </w:rPr>
        <w:t>12.4%</w:t>
      </w:r>
      <w:r>
        <w:rPr>
          <w:rFonts w:ascii="Arial" w:hAnsi="Arial" w:cs="Arial" w:hint="eastAsia"/>
          <w:sz w:val="28"/>
        </w:rPr>
        <w:t>；实现牧业产值</w:t>
      </w:r>
      <w:r>
        <w:rPr>
          <w:rFonts w:ascii="Arial" w:hAnsi="Arial" w:cs="Arial" w:hint="eastAsia"/>
          <w:sz w:val="28"/>
        </w:rPr>
        <w:lastRenderedPageBreak/>
        <w:t>20.9</w:t>
      </w:r>
      <w:r>
        <w:rPr>
          <w:rFonts w:ascii="Arial" w:hAnsi="Arial" w:cs="Arial" w:hint="eastAsia"/>
          <w:sz w:val="28"/>
        </w:rPr>
        <w:t>亿元，增长</w:t>
      </w:r>
      <w:r>
        <w:rPr>
          <w:rFonts w:ascii="Arial" w:hAnsi="Arial" w:cs="Arial" w:hint="eastAsia"/>
          <w:sz w:val="28"/>
        </w:rPr>
        <w:t>11.8%</w:t>
      </w:r>
      <w:r>
        <w:rPr>
          <w:rFonts w:ascii="Arial" w:hAnsi="Arial" w:cs="Arial" w:hint="eastAsia"/>
          <w:sz w:val="28"/>
        </w:rPr>
        <w:t>，生猪、牛、禽出栏量分别增长</w:t>
      </w:r>
      <w:r>
        <w:rPr>
          <w:rFonts w:ascii="Arial" w:hAnsi="Arial" w:cs="Arial" w:hint="eastAsia"/>
          <w:sz w:val="28"/>
        </w:rPr>
        <w:t>22.4%</w:t>
      </w:r>
      <w:r>
        <w:rPr>
          <w:rFonts w:ascii="Arial" w:hAnsi="Arial" w:cs="Arial" w:hint="eastAsia"/>
          <w:sz w:val="28"/>
        </w:rPr>
        <w:t>、</w:t>
      </w:r>
      <w:r>
        <w:rPr>
          <w:rFonts w:ascii="Arial" w:hAnsi="Arial" w:cs="Arial" w:hint="eastAsia"/>
          <w:sz w:val="28"/>
        </w:rPr>
        <w:t>32.3%</w:t>
      </w:r>
      <w:r>
        <w:rPr>
          <w:rFonts w:ascii="Arial" w:hAnsi="Arial" w:cs="Arial" w:hint="eastAsia"/>
          <w:sz w:val="28"/>
        </w:rPr>
        <w:t>和</w:t>
      </w:r>
      <w:r>
        <w:rPr>
          <w:rFonts w:ascii="Arial" w:hAnsi="Arial" w:cs="Arial" w:hint="eastAsia"/>
          <w:sz w:val="28"/>
        </w:rPr>
        <w:t>14.1%</w:t>
      </w:r>
      <w:r>
        <w:rPr>
          <w:rFonts w:ascii="Arial" w:hAnsi="Arial" w:cs="Arial" w:hint="eastAsia"/>
          <w:sz w:val="28"/>
        </w:rPr>
        <w:t>。乡村休闲旅游接待</w:t>
      </w:r>
      <w:r>
        <w:rPr>
          <w:rFonts w:ascii="Arial" w:hAnsi="Arial" w:cs="Arial" w:hint="eastAsia"/>
          <w:sz w:val="28"/>
        </w:rPr>
        <w:t>1123</w:t>
      </w:r>
      <w:r>
        <w:rPr>
          <w:rFonts w:ascii="Arial" w:hAnsi="Arial" w:cs="Arial" w:hint="eastAsia"/>
          <w:sz w:val="28"/>
        </w:rPr>
        <w:t>万人次，同比增长</w:t>
      </w:r>
      <w:r>
        <w:rPr>
          <w:rFonts w:ascii="Arial" w:hAnsi="Arial" w:cs="Arial" w:hint="eastAsia"/>
          <w:sz w:val="28"/>
        </w:rPr>
        <w:t>4.7%</w:t>
      </w:r>
      <w:r>
        <w:rPr>
          <w:rFonts w:ascii="Arial" w:hAnsi="Arial" w:cs="Arial" w:hint="eastAsia"/>
          <w:sz w:val="28"/>
        </w:rPr>
        <w:t>。</w:t>
      </w:r>
    </w:p>
    <w:p w14:paraId="5222452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2</w:t>
      </w:r>
      <w:r>
        <w:rPr>
          <w:rFonts w:ascii="Arial" w:hAnsi="Arial" w:cs="Arial" w:hint="eastAsia"/>
          <w:sz w:val="28"/>
        </w:rPr>
        <w:t>）工业生产增速提升，高端制造加快布局</w:t>
      </w:r>
    </w:p>
    <w:p w14:paraId="07C37A1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年上半年，北京市规模以上工业增加值按可比价格计算，同比增长</w:t>
      </w:r>
      <w:r>
        <w:rPr>
          <w:rFonts w:ascii="Arial" w:hAnsi="Arial" w:cs="Arial" w:hint="eastAsia"/>
          <w:sz w:val="28"/>
        </w:rPr>
        <w:t>7.0%</w:t>
      </w:r>
      <w:r>
        <w:rPr>
          <w:rFonts w:ascii="Arial" w:hAnsi="Arial" w:cs="Arial" w:hint="eastAsia"/>
          <w:sz w:val="28"/>
        </w:rPr>
        <w:t>，比一季度提高</w:t>
      </w:r>
      <w:r>
        <w:rPr>
          <w:rFonts w:ascii="Arial" w:hAnsi="Arial" w:cs="Arial" w:hint="eastAsia"/>
          <w:sz w:val="28"/>
        </w:rPr>
        <w:t>0.2</w:t>
      </w:r>
      <w:r>
        <w:rPr>
          <w:rFonts w:ascii="Arial" w:hAnsi="Arial" w:cs="Arial" w:hint="eastAsia"/>
          <w:sz w:val="28"/>
        </w:rPr>
        <w:t>个百分点。重点行业中，计算机、通信和其他电子设备制造业增长</w:t>
      </w:r>
      <w:r>
        <w:rPr>
          <w:rFonts w:ascii="Arial" w:hAnsi="Arial" w:cs="Arial" w:hint="eastAsia"/>
          <w:sz w:val="28"/>
        </w:rPr>
        <w:t>24.6%</w:t>
      </w:r>
      <w:r>
        <w:rPr>
          <w:rFonts w:ascii="Arial" w:hAnsi="Arial" w:cs="Arial" w:hint="eastAsia"/>
          <w:sz w:val="28"/>
        </w:rPr>
        <w:t>，汽车制造业增长</w:t>
      </w:r>
      <w:r>
        <w:rPr>
          <w:rFonts w:ascii="Arial" w:hAnsi="Arial" w:cs="Arial" w:hint="eastAsia"/>
          <w:sz w:val="28"/>
        </w:rPr>
        <w:t>16.7%</w:t>
      </w:r>
      <w:r>
        <w:rPr>
          <w:rFonts w:ascii="Arial" w:hAnsi="Arial" w:cs="Arial" w:hint="eastAsia"/>
          <w:sz w:val="28"/>
        </w:rPr>
        <w:t>，电力、热力生产和供应业增长</w:t>
      </w:r>
      <w:r>
        <w:rPr>
          <w:rFonts w:ascii="Arial" w:hAnsi="Arial" w:cs="Arial" w:hint="eastAsia"/>
          <w:sz w:val="28"/>
        </w:rPr>
        <w:t>3.9%</w:t>
      </w:r>
      <w:r>
        <w:rPr>
          <w:rFonts w:ascii="Arial" w:hAnsi="Arial" w:cs="Arial" w:hint="eastAsia"/>
          <w:sz w:val="28"/>
        </w:rPr>
        <w:t>，医药制造业下降</w:t>
      </w:r>
      <w:r>
        <w:rPr>
          <w:rFonts w:ascii="Arial" w:hAnsi="Arial" w:cs="Arial" w:hint="eastAsia"/>
          <w:sz w:val="28"/>
        </w:rPr>
        <w:t>9.1%</w:t>
      </w:r>
      <w:r>
        <w:rPr>
          <w:rFonts w:ascii="Arial" w:hAnsi="Arial" w:cs="Arial" w:hint="eastAsia"/>
          <w:sz w:val="28"/>
        </w:rPr>
        <w:t>，五大装备制造业</w:t>
      </w:r>
      <w:r>
        <w:rPr>
          <w:rFonts w:ascii="Arial" w:hAnsi="Arial" w:cs="Arial" w:hint="eastAsia"/>
          <w:sz w:val="28"/>
        </w:rPr>
        <w:t>[1]</w:t>
      </w:r>
      <w:r>
        <w:rPr>
          <w:rFonts w:ascii="Arial" w:hAnsi="Arial" w:cs="Arial" w:hint="eastAsia"/>
          <w:sz w:val="28"/>
        </w:rPr>
        <w:t>延续回暖态势，增长</w:t>
      </w:r>
      <w:r>
        <w:rPr>
          <w:rFonts w:ascii="Arial" w:hAnsi="Arial" w:cs="Arial" w:hint="eastAsia"/>
          <w:sz w:val="28"/>
        </w:rPr>
        <w:t>9.7%</w:t>
      </w:r>
      <w:r>
        <w:rPr>
          <w:rFonts w:ascii="Arial" w:hAnsi="Arial" w:cs="Arial" w:hint="eastAsia"/>
          <w:sz w:val="28"/>
        </w:rPr>
        <w:t>。高端制造业表现活跃，规模以上工业战略性新兴产业、高技术制造业增加值分别增长</w:t>
      </w:r>
      <w:r>
        <w:rPr>
          <w:rFonts w:ascii="Arial" w:hAnsi="Arial" w:cs="Arial" w:hint="eastAsia"/>
          <w:sz w:val="28"/>
        </w:rPr>
        <w:t>16.8%</w:t>
      </w:r>
      <w:r>
        <w:rPr>
          <w:rFonts w:ascii="Arial" w:hAnsi="Arial" w:cs="Arial" w:hint="eastAsia"/>
          <w:sz w:val="28"/>
        </w:rPr>
        <w:t>和</w:t>
      </w:r>
      <w:r>
        <w:rPr>
          <w:rFonts w:ascii="Arial" w:hAnsi="Arial" w:cs="Arial" w:hint="eastAsia"/>
          <w:sz w:val="28"/>
        </w:rPr>
        <w:t>9.9%</w:t>
      </w:r>
      <w:r>
        <w:rPr>
          <w:rFonts w:ascii="Arial" w:hAnsi="Arial" w:cs="Arial" w:hint="eastAsia"/>
          <w:sz w:val="28"/>
        </w:rPr>
        <w:t>（二者有交叉），锂电子电池、新能源汽车、医疗仪器设备及器械、集成电路等产品产量分别增长</w:t>
      </w:r>
      <w:r>
        <w:rPr>
          <w:rFonts w:ascii="Arial" w:hAnsi="Arial" w:cs="Arial" w:hint="eastAsia"/>
          <w:sz w:val="28"/>
        </w:rPr>
        <w:t>3.3</w:t>
      </w:r>
      <w:r>
        <w:rPr>
          <w:rFonts w:ascii="Arial" w:hAnsi="Arial" w:cs="Arial" w:hint="eastAsia"/>
          <w:sz w:val="28"/>
        </w:rPr>
        <w:t>倍、</w:t>
      </w:r>
      <w:r>
        <w:rPr>
          <w:rFonts w:ascii="Arial" w:hAnsi="Arial" w:cs="Arial" w:hint="eastAsia"/>
          <w:sz w:val="28"/>
        </w:rPr>
        <w:t>1.5</w:t>
      </w:r>
      <w:r>
        <w:rPr>
          <w:rFonts w:ascii="Arial" w:hAnsi="Arial" w:cs="Arial" w:hint="eastAsia"/>
          <w:sz w:val="28"/>
        </w:rPr>
        <w:t>倍、</w:t>
      </w:r>
      <w:r>
        <w:rPr>
          <w:rFonts w:ascii="Arial" w:hAnsi="Arial" w:cs="Arial" w:hint="eastAsia"/>
          <w:sz w:val="28"/>
        </w:rPr>
        <w:t>1.1</w:t>
      </w:r>
      <w:r>
        <w:rPr>
          <w:rFonts w:ascii="Arial" w:hAnsi="Arial" w:cs="Arial" w:hint="eastAsia"/>
          <w:sz w:val="28"/>
        </w:rPr>
        <w:t>倍和</w:t>
      </w:r>
      <w:r>
        <w:rPr>
          <w:rFonts w:ascii="Arial" w:hAnsi="Arial" w:cs="Arial" w:hint="eastAsia"/>
          <w:sz w:val="28"/>
        </w:rPr>
        <w:t>14.9%</w:t>
      </w:r>
      <w:r>
        <w:rPr>
          <w:rFonts w:ascii="Arial" w:hAnsi="Arial" w:cs="Arial" w:hint="eastAsia"/>
          <w:sz w:val="28"/>
        </w:rPr>
        <w:t>。规模以上工业实现销售产值</w:t>
      </w:r>
      <w:r>
        <w:rPr>
          <w:rFonts w:ascii="Arial" w:hAnsi="Arial" w:cs="Arial" w:hint="eastAsia"/>
          <w:sz w:val="28"/>
        </w:rPr>
        <w:t>13045.8</w:t>
      </w:r>
      <w:r>
        <w:rPr>
          <w:rFonts w:ascii="Arial" w:hAnsi="Arial" w:cs="Arial" w:hint="eastAsia"/>
          <w:sz w:val="28"/>
        </w:rPr>
        <w:t>亿元，增长</w:t>
      </w:r>
      <w:r>
        <w:rPr>
          <w:rFonts w:ascii="Arial" w:hAnsi="Arial" w:cs="Arial" w:hint="eastAsia"/>
          <w:sz w:val="28"/>
        </w:rPr>
        <w:t>5.9%</w:t>
      </w:r>
      <w:r>
        <w:rPr>
          <w:rFonts w:ascii="Arial" w:hAnsi="Arial" w:cs="Arial" w:hint="eastAsia"/>
          <w:sz w:val="28"/>
        </w:rPr>
        <w:t>；其中，内销产值</w:t>
      </w:r>
      <w:r>
        <w:rPr>
          <w:rFonts w:ascii="Arial" w:hAnsi="Arial" w:cs="Arial" w:hint="eastAsia"/>
          <w:sz w:val="28"/>
        </w:rPr>
        <w:t>12019.1</w:t>
      </w:r>
      <w:r>
        <w:rPr>
          <w:rFonts w:ascii="Arial" w:hAnsi="Arial" w:cs="Arial" w:hint="eastAsia"/>
          <w:sz w:val="28"/>
        </w:rPr>
        <w:t>亿元，增长</w:t>
      </w:r>
      <w:r>
        <w:rPr>
          <w:rFonts w:ascii="Arial" w:hAnsi="Arial" w:cs="Arial" w:hint="eastAsia"/>
          <w:sz w:val="28"/>
        </w:rPr>
        <w:t>6.1%</w:t>
      </w:r>
      <w:r>
        <w:rPr>
          <w:rFonts w:ascii="Arial" w:hAnsi="Arial" w:cs="Arial" w:hint="eastAsia"/>
          <w:sz w:val="28"/>
        </w:rPr>
        <w:t>，出口交货值</w:t>
      </w:r>
      <w:r>
        <w:rPr>
          <w:rFonts w:ascii="Arial" w:hAnsi="Arial" w:cs="Arial" w:hint="eastAsia"/>
          <w:sz w:val="28"/>
        </w:rPr>
        <w:t>1026.7</w:t>
      </w:r>
      <w:r>
        <w:rPr>
          <w:rFonts w:ascii="Arial" w:hAnsi="Arial" w:cs="Arial" w:hint="eastAsia"/>
          <w:sz w:val="28"/>
        </w:rPr>
        <w:t>亿元，增长</w:t>
      </w:r>
      <w:r>
        <w:rPr>
          <w:rFonts w:ascii="Arial" w:hAnsi="Arial" w:cs="Arial" w:hint="eastAsia"/>
          <w:sz w:val="28"/>
        </w:rPr>
        <w:t>4.1%</w:t>
      </w:r>
      <w:r>
        <w:rPr>
          <w:rFonts w:ascii="Arial" w:hAnsi="Arial" w:cs="Arial" w:hint="eastAsia"/>
          <w:sz w:val="28"/>
        </w:rPr>
        <w:t>。</w:t>
      </w:r>
    </w:p>
    <w:p w14:paraId="7130133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3</w:t>
      </w:r>
      <w:r>
        <w:rPr>
          <w:rFonts w:ascii="Arial" w:hAnsi="Arial" w:cs="Arial" w:hint="eastAsia"/>
          <w:sz w:val="28"/>
        </w:rPr>
        <w:t>）服务业发挥稳定器作用，优势行业有力支撑</w:t>
      </w:r>
    </w:p>
    <w:p w14:paraId="5C5EABD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年上半年，北京市第三产业增加值按不变价格计算，同比增长</w:t>
      </w:r>
      <w:r>
        <w:rPr>
          <w:rFonts w:ascii="Arial" w:hAnsi="Arial" w:cs="Arial" w:hint="eastAsia"/>
          <w:sz w:val="28"/>
        </w:rPr>
        <w:t>5.6%</w:t>
      </w:r>
      <w:r>
        <w:rPr>
          <w:rFonts w:ascii="Arial" w:hAnsi="Arial" w:cs="Arial" w:hint="eastAsia"/>
          <w:sz w:val="28"/>
        </w:rPr>
        <w:t>，比一季度提高</w:t>
      </w:r>
      <w:r>
        <w:rPr>
          <w:rFonts w:ascii="Arial" w:hAnsi="Arial" w:cs="Arial" w:hint="eastAsia"/>
          <w:sz w:val="28"/>
        </w:rPr>
        <w:t>0.2</w:t>
      </w:r>
      <w:r>
        <w:rPr>
          <w:rFonts w:ascii="Arial" w:hAnsi="Arial" w:cs="Arial" w:hint="eastAsia"/>
          <w:sz w:val="28"/>
        </w:rPr>
        <w:t>个百分点。其中，信息传输、软件和信息技术服务业实现增加值</w:t>
      </w:r>
      <w:r>
        <w:rPr>
          <w:rFonts w:ascii="Arial" w:hAnsi="Arial" w:cs="Arial" w:hint="eastAsia"/>
          <w:sz w:val="28"/>
        </w:rPr>
        <w:t>6193.8</w:t>
      </w:r>
      <w:r>
        <w:rPr>
          <w:rFonts w:ascii="Arial" w:hAnsi="Arial" w:cs="Arial" w:hint="eastAsia"/>
          <w:sz w:val="28"/>
        </w:rPr>
        <w:t>亿元，增长</w:t>
      </w:r>
      <w:r>
        <w:rPr>
          <w:rFonts w:ascii="Arial" w:hAnsi="Arial" w:cs="Arial" w:hint="eastAsia"/>
          <w:sz w:val="28"/>
        </w:rPr>
        <w:t>11.1%</w:t>
      </w:r>
      <w:r>
        <w:rPr>
          <w:rFonts w:ascii="Arial" w:hAnsi="Arial" w:cs="Arial" w:hint="eastAsia"/>
          <w:sz w:val="28"/>
        </w:rPr>
        <w:t>；金融业实现增加值</w:t>
      </w:r>
      <w:r>
        <w:rPr>
          <w:rFonts w:ascii="Arial" w:hAnsi="Arial" w:cs="Arial" w:hint="eastAsia"/>
          <w:sz w:val="28"/>
        </w:rPr>
        <w:t>4362.8</w:t>
      </w:r>
      <w:r>
        <w:rPr>
          <w:rFonts w:ascii="Arial" w:hAnsi="Arial" w:cs="Arial" w:hint="eastAsia"/>
          <w:sz w:val="28"/>
        </w:rPr>
        <w:t>亿元，增长</w:t>
      </w:r>
      <w:r>
        <w:rPr>
          <w:rFonts w:ascii="Arial" w:hAnsi="Arial" w:cs="Arial" w:hint="eastAsia"/>
          <w:sz w:val="28"/>
        </w:rPr>
        <w:t>8.1%</w:t>
      </w:r>
      <w:r>
        <w:rPr>
          <w:rFonts w:ascii="Arial" w:hAnsi="Arial" w:cs="Arial" w:hint="eastAsia"/>
          <w:sz w:val="28"/>
        </w:rPr>
        <w:t>，两个行业对第三产业增长的贡献率超过八成；租赁和商务服务业实现增加值</w:t>
      </w:r>
      <w:r>
        <w:rPr>
          <w:rFonts w:ascii="Arial" w:hAnsi="Arial" w:cs="Arial" w:hint="eastAsia"/>
          <w:sz w:val="28"/>
        </w:rPr>
        <w:t>1341.3</w:t>
      </w:r>
      <w:r>
        <w:rPr>
          <w:rFonts w:ascii="Arial" w:hAnsi="Arial" w:cs="Arial" w:hint="eastAsia"/>
          <w:sz w:val="28"/>
        </w:rPr>
        <w:t>亿元，增长</w:t>
      </w:r>
      <w:r>
        <w:rPr>
          <w:rFonts w:ascii="Arial" w:hAnsi="Arial" w:cs="Arial" w:hint="eastAsia"/>
          <w:sz w:val="28"/>
        </w:rPr>
        <w:t>3.4%</w:t>
      </w:r>
      <w:r>
        <w:rPr>
          <w:rFonts w:ascii="Arial" w:hAnsi="Arial" w:cs="Arial" w:hint="eastAsia"/>
          <w:sz w:val="28"/>
        </w:rPr>
        <w:t>；交通运输、仓储和邮政业实现增加值</w:t>
      </w:r>
      <w:r>
        <w:rPr>
          <w:rFonts w:ascii="Arial" w:hAnsi="Arial" w:cs="Arial" w:hint="eastAsia"/>
          <w:sz w:val="28"/>
        </w:rPr>
        <w:t>646.8</w:t>
      </w:r>
      <w:r>
        <w:rPr>
          <w:rFonts w:ascii="Arial" w:hAnsi="Arial" w:cs="Arial" w:hint="eastAsia"/>
          <w:sz w:val="28"/>
        </w:rPr>
        <w:t>亿元，增长</w:t>
      </w:r>
      <w:r>
        <w:rPr>
          <w:rFonts w:ascii="Arial" w:hAnsi="Arial" w:cs="Arial" w:hint="eastAsia"/>
          <w:sz w:val="28"/>
        </w:rPr>
        <w:t>6.0%</w:t>
      </w:r>
      <w:r>
        <w:rPr>
          <w:rFonts w:ascii="Arial" w:hAnsi="Arial" w:cs="Arial" w:hint="eastAsia"/>
          <w:sz w:val="28"/>
        </w:rPr>
        <w:t>。</w:t>
      </w:r>
    </w:p>
    <w:p w14:paraId="36F2C559"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4</w:t>
      </w:r>
      <w:r>
        <w:rPr>
          <w:rFonts w:ascii="Arial" w:hAnsi="Arial" w:cs="Arial" w:hint="eastAsia"/>
          <w:sz w:val="28"/>
        </w:rPr>
        <w:t>）固定资产投资快速增长，设备购置投资带动明显</w:t>
      </w:r>
    </w:p>
    <w:p w14:paraId="1A89BF4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年上半年，北京市固定资产投资（不含农户）同比增长</w:t>
      </w:r>
      <w:r>
        <w:rPr>
          <w:rFonts w:ascii="Arial" w:hAnsi="Arial" w:cs="Arial" w:hint="eastAsia"/>
          <w:sz w:val="28"/>
        </w:rPr>
        <w:t>14.1%</w:t>
      </w:r>
      <w:r>
        <w:rPr>
          <w:rFonts w:ascii="Arial" w:hAnsi="Arial" w:cs="Arial" w:hint="eastAsia"/>
          <w:sz w:val="28"/>
        </w:rPr>
        <w:t>。其中，反映企业扩大生产能力的设备购置投资增长</w:t>
      </w:r>
      <w:r>
        <w:rPr>
          <w:rFonts w:ascii="Arial" w:hAnsi="Arial" w:cs="Arial" w:hint="eastAsia"/>
          <w:sz w:val="28"/>
        </w:rPr>
        <w:t>99.0%</w:t>
      </w:r>
      <w:r>
        <w:rPr>
          <w:rFonts w:ascii="Arial" w:hAnsi="Arial" w:cs="Arial" w:hint="eastAsia"/>
          <w:sz w:val="28"/>
        </w:rPr>
        <w:t>，占全市固定资产投资的比重为</w:t>
      </w:r>
      <w:r>
        <w:rPr>
          <w:rFonts w:ascii="Arial" w:hAnsi="Arial" w:cs="Arial" w:hint="eastAsia"/>
          <w:sz w:val="28"/>
        </w:rPr>
        <w:t>28.2%</w:t>
      </w:r>
      <w:r>
        <w:rPr>
          <w:rFonts w:ascii="Arial" w:hAnsi="Arial" w:cs="Arial" w:hint="eastAsia"/>
          <w:sz w:val="28"/>
        </w:rPr>
        <w:t>，同比提高</w:t>
      </w:r>
      <w:r>
        <w:rPr>
          <w:rFonts w:ascii="Arial" w:hAnsi="Arial" w:cs="Arial" w:hint="eastAsia"/>
          <w:sz w:val="28"/>
        </w:rPr>
        <w:t>12</w:t>
      </w:r>
      <w:r>
        <w:rPr>
          <w:rFonts w:ascii="Arial" w:hAnsi="Arial" w:cs="Arial" w:hint="eastAsia"/>
          <w:sz w:val="28"/>
        </w:rPr>
        <w:t>个百分点。分领域看，基础设施投资增长</w:t>
      </w:r>
      <w:r>
        <w:rPr>
          <w:rFonts w:ascii="Arial" w:hAnsi="Arial" w:cs="Arial" w:hint="eastAsia"/>
          <w:sz w:val="28"/>
        </w:rPr>
        <w:t>2.0%</w:t>
      </w:r>
      <w:r>
        <w:rPr>
          <w:rFonts w:ascii="Arial" w:hAnsi="Arial" w:cs="Arial" w:hint="eastAsia"/>
          <w:sz w:val="28"/>
        </w:rPr>
        <w:t>，制造业投资增长</w:t>
      </w:r>
      <w:r>
        <w:rPr>
          <w:rFonts w:ascii="Arial" w:hAnsi="Arial" w:cs="Arial" w:hint="eastAsia"/>
          <w:sz w:val="28"/>
        </w:rPr>
        <w:t>8.9%</w:t>
      </w:r>
      <w:r>
        <w:rPr>
          <w:rFonts w:ascii="Arial" w:hAnsi="Arial" w:cs="Arial" w:hint="eastAsia"/>
          <w:sz w:val="28"/>
        </w:rPr>
        <w:t>，房地产开发投资下降</w:t>
      </w:r>
      <w:r>
        <w:rPr>
          <w:rFonts w:ascii="Arial" w:hAnsi="Arial" w:cs="Arial" w:hint="eastAsia"/>
          <w:sz w:val="28"/>
        </w:rPr>
        <w:t>7.5%</w:t>
      </w:r>
      <w:r>
        <w:rPr>
          <w:rFonts w:ascii="Arial" w:hAnsi="Arial" w:cs="Arial" w:hint="eastAsia"/>
          <w:sz w:val="28"/>
        </w:rPr>
        <w:t>。分产业看，</w:t>
      </w:r>
      <w:r>
        <w:rPr>
          <w:rFonts w:ascii="Arial" w:hAnsi="Arial" w:cs="Arial" w:hint="eastAsia"/>
          <w:sz w:val="28"/>
        </w:rPr>
        <w:lastRenderedPageBreak/>
        <w:t>第一产业投资增长</w:t>
      </w:r>
      <w:r>
        <w:rPr>
          <w:rFonts w:ascii="Arial" w:hAnsi="Arial" w:cs="Arial" w:hint="eastAsia"/>
          <w:sz w:val="28"/>
        </w:rPr>
        <w:t>80.0%</w:t>
      </w:r>
      <w:r>
        <w:rPr>
          <w:rFonts w:ascii="Arial" w:hAnsi="Arial" w:cs="Arial" w:hint="eastAsia"/>
          <w:sz w:val="28"/>
        </w:rPr>
        <w:t>，第二产业投资增长</w:t>
      </w:r>
      <w:r>
        <w:rPr>
          <w:rFonts w:ascii="Arial" w:hAnsi="Arial" w:cs="Arial" w:hint="eastAsia"/>
          <w:sz w:val="28"/>
        </w:rPr>
        <w:t>12.7%</w:t>
      </w:r>
      <w:r>
        <w:rPr>
          <w:rFonts w:ascii="Arial" w:hAnsi="Arial" w:cs="Arial" w:hint="eastAsia"/>
          <w:sz w:val="28"/>
        </w:rPr>
        <w:t>，第三产业投资增长</w:t>
      </w:r>
      <w:r>
        <w:rPr>
          <w:rFonts w:ascii="Arial" w:hAnsi="Arial" w:cs="Arial" w:hint="eastAsia"/>
          <w:sz w:val="28"/>
        </w:rPr>
        <w:t>14.2%</w:t>
      </w:r>
      <w:r>
        <w:rPr>
          <w:rFonts w:ascii="Arial" w:hAnsi="Arial" w:cs="Arial" w:hint="eastAsia"/>
          <w:sz w:val="28"/>
        </w:rPr>
        <w:t>。高技术产业投资保持活跃，增长</w:t>
      </w:r>
      <w:r>
        <w:rPr>
          <w:rFonts w:ascii="Arial" w:hAnsi="Arial" w:cs="Arial" w:hint="eastAsia"/>
          <w:sz w:val="28"/>
        </w:rPr>
        <w:t>72.9%</w:t>
      </w:r>
      <w:r>
        <w:rPr>
          <w:rFonts w:ascii="Arial" w:hAnsi="Arial" w:cs="Arial" w:hint="eastAsia"/>
          <w:sz w:val="28"/>
        </w:rPr>
        <w:t>，其中，信息传输、软件和信息技术服务业，汽车制造业，计算机、通信和其他电子设备制造业投资分别增长</w:t>
      </w:r>
      <w:r>
        <w:rPr>
          <w:rFonts w:ascii="Arial" w:hAnsi="Arial" w:cs="Arial" w:hint="eastAsia"/>
          <w:sz w:val="28"/>
        </w:rPr>
        <w:t>1.6</w:t>
      </w:r>
      <w:r>
        <w:rPr>
          <w:rFonts w:ascii="Arial" w:hAnsi="Arial" w:cs="Arial" w:hint="eastAsia"/>
          <w:sz w:val="28"/>
        </w:rPr>
        <w:t>倍、</w:t>
      </w:r>
      <w:r>
        <w:rPr>
          <w:rFonts w:ascii="Arial" w:hAnsi="Arial" w:cs="Arial" w:hint="eastAsia"/>
          <w:sz w:val="28"/>
        </w:rPr>
        <w:t>41.7%</w:t>
      </w:r>
      <w:r>
        <w:rPr>
          <w:rFonts w:ascii="Arial" w:hAnsi="Arial" w:cs="Arial" w:hint="eastAsia"/>
          <w:sz w:val="28"/>
        </w:rPr>
        <w:t>和</w:t>
      </w:r>
      <w:r>
        <w:rPr>
          <w:rFonts w:ascii="Arial" w:hAnsi="Arial" w:cs="Arial" w:hint="eastAsia"/>
          <w:sz w:val="28"/>
        </w:rPr>
        <w:t>9.4%</w:t>
      </w:r>
      <w:r>
        <w:rPr>
          <w:rFonts w:ascii="Arial" w:hAnsi="Arial" w:cs="Arial" w:hint="eastAsia"/>
          <w:sz w:val="28"/>
        </w:rPr>
        <w:t>。</w:t>
      </w:r>
    </w:p>
    <w:p w14:paraId="317CA9E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年上半年，北京市房屋施工面积</w:t>
      </w:r>
      <w:r>
        <w:rPr>
          <w:rFonts w:ascii="Arial" w:hAnsi="Arial" w:cs="Arial" w:hint="eastAsia"/>
          <w:sz w:val="28"/>
        </w:rPr>
        <w:t>9896</w:t>
      </w:r>
      <w:r>
        <w:rPr>
          <w:rFonts w:ascii="Arial" w:hAnsi="Arial" w:cs="Arial" w:hint="eastAsia"/>
          <w:sz w:val="28"/>
        </w:rPr>
        <w:t>万平方米，同比下降</w:t>
      </w:r>
      <w:r>
        <w:rPr>
          <w:rFonts w:ascii="Arial" w:hAnsi="Arial" w:cs="Arial" w:hint="eastAsia"/>
          <w:sz w:val="28"/>
        </w:rPr>
        <w:t>8.0%</w:t>
      </w:r>
      <w:r>
        <w:rPr>
          <w:rFonts w:ascii="Arial" w:hAnsi="Arial" w:cs="Arial" w:hint="eastAsia"/>
          <w:sz w:val="28"/>
        </w:rPr>
        <w:t>，其中住宅施工面积</w:t>
      </w:r>
      <w:r>
        <w:rPr>
          <w:rFonts w:ascii="Arial" w:hAnsi="Arial" w:cs="Arial" w:hint="eastAsia"/>
          <w:sz w:val="28"/>
        </w:rPr>
        <w:t>4904.6</w:t>
      </w:r>
      <w:r>
        <w:rPr>
          <w:rFonts w:ascii="Arial" w:hAnsi="Arial" w:cs="Arial" w:hint="eastAsia"/>
          <w:sz w:val="28"/>
        </w:rPr>
        <w:t>万平方米，下降</w:t>
      </w:r>
      <w:r>
        <w:rPr>
          <w:rFonts w:ascii="Arial" w:hAnsi="Arial" w:cs="Arial" w:hint="eastAsia"/>
          <w:sz w:val="28"/>
        </w:rPr>
        <w:t>8.8%</w:t>
      </w:r>
      <w:r>
        <w:rPr>
          <w:rFonts w:ascii="Arial" w:hAnsi="Arial" w:cs="Arial" w:hint="eastAsia"/>
          <w:sz w:val="28"/>
        </w:rPr>
        <w:t>。全市新建商品房销售面积</w:t>
      </w:r>
      <w:r>
        <w:rPr>
          <w:rFonts w:ascii="Arial" w:hAnsi="Arial" w:cs="Arial" w:hint="eastAsia"/>
          <w:sz w:val="28"/>
        </w:rPr>
        <w:t>537.6</w:t>
      </w:r>
      <w:r>
        <w:rPr>
          <w:rFonts w:ascii="Arial" w:hAnsi="Arial" w:cs="Arial" w:hint="eastAsia"/>
          <w:sz w:val="28"/>
        </w:rPr>
        <w:t>万平方米，同比增长</w:t>
      </w:r>
      <w:r>
        <w:rPr>
          <w:rFonts w:ascii="Arial" w:hAnsi="Arial" w:cs="Arial" w:hint="eastAsia"/>
          <w:sz w:val="28"/>
        </w:rPr>
        <w:t>5.4%</w:t>
      </w:r>
      <w:r>
        <w:rPr>
          <w:rFonts w:ascii="Arial" w:hAnsi="Arial" w:cs="Arial" w:hint="eastAsia"/>
          <w:sz w:val="28"/>
        </w:rPr>
        <w:t>，其中住宅销售面积</w:t>
      </w:r>
      <w:r>
        <w:rPr>
          <w:rFonts w:ascii="Arial" w:hAnsi="Arial" w:cs="Arial" w:hint="eastAsia"/>
          <w:sz w:val="28"/>
        </w:rPr>
        <w:t>352.3</w:t>
      </w:r>
      <w:r>
        <w:rPr>
          <w:rFonts w:ascii="Arial" w:hAnsi="Arial" w:cs="Arial" w:hint="eastAsia"/>
          <w:sz w:val="28"/>
        </w:rPr>
        <w:t>万平方米，下降</w:t>
      </w:r>
      <w:r>
        <w:rPr>
          <w:rFonts w:ascii="Arial" w:hAnsi="Arial" w:cs="Arial" w:hint="eastAsia"/>
          <w:sz w:val="28"/>
        </w:rPr>
        <w:t>0.8%</w:t>
      </w:r>
      <w:r>
        <w:rPr>
          <w:rFonts w:ascii="Arial" w:hAnsi="Arial" w:cs="Arial" w:hint="eastAsia"/>
          <w:sz w:val="28"/>
        </w:rPr>
        <w:t>，住宅中的纯商品住宅销售面积增长</w:t>
      </w:r>
      <w:r>
        <w:rPr>
          <w:rFonts w:ascii="Arial" w:hAnsi="Arial" w:cs="Arial" w:hint="eastAsia"/>
          <w:sz w:val="28"/>
        </w:rPr>
        <w:t>33.8%</w:t>
      </w:r>
      <w:r>
        <w:rPr>
          <w:rFonts w:ascii="Arial" w:hAnsi="Arial" w:cs="Arial" w:hint="eastAsia"/>
          <w:sz w:val="28"/>
        </w:rPr>
        <w:t>。</w:t>
      </w:r>
    </w:p>
    <w:p w14:paraId="168E5D28"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5</w:t>
      </w:r>
      <w:r>
        <w:rPr>
          <w:rFonts w:ascii="Arial" w:hAnsi="Arial" w:cs="Arial" w:hint="eastAsia"/>
          <w:sz w:val="28"/>
        </w:rPr>
        <w:t>）服务性消费较为活跃，社会消费品零售总额仍呈降势</w:t>
      </w:r>
    </w:p>
    <w:p w14:paraId="6E988C63"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年上半年，北京市市场总消费额同比增长</w:t>
      </w:r>
      <w:r>
        <w:rPr>
          <w:rFonts w:ascii="Arial" w:hAnsi="Arial" w:cs="Arial" w:hint="eastAsia"/>
          <w:sz w:val="28"/>
        </w:rPr>
        <w:t>0.9%</w:t>
      </w:r>
      <w:r>
        <w:rPr>
          <w:rFonts w:ascii="Arial" w:hAnsi="Arial" w:cs="Arial" w:hint="eastAsia"/>
          <w:sz w:val="28"/>
        </w:rPr>
        <w:t>。其中，服务性消费在信息、交通、文化娱乐等领域带动下增长</w:t>
      </w:r>
      <w:r>
        <w:rPr>
          <w:rFonts w:ascii="Arial" w:hAnsi="Arial" w:cs="Arial" w:hint="eastAsia"/>
          <w:sz w:val="28"/>
        </w:rPr>
        <w:t>4.7%</w:t>
      </w:r>
      <w:r>
        <w:rPr>
          <w:rFonts w:ascii="Arial" w:hAnsi="Arial" w:cs="Arial" w:hint="eastAsia"/>
          <w:sz w:val="28"/>
        </w:rPr>
        <w:t>；实现社会消费品零售总额</w:t>
      </w:r>
      <w:r>
        <w:rPr>
          <w:rFonts w:ascii="Arial" w:hAnsi="Arial" w:cs="Arial" w:hint="eastAsia"/>
          <w:sz w:val="28"/>
        </w:rPr>
        <w:t>6734.2</w:t>
      </w:r>
      <w:r>
        <w:rPr>
          <w:rFonts w:ascii="Arial" w:hAnsi="Arial" w:cs="Arial" w:hint="eastAsia"/>
          <w:sz w:val="28"/>
        </w:rPr>
        <w:t>亿元，下降</w:t>
      </w:r>
      <w:r>
        <w:rPr>
          <w:rFonts w:ascii="Arial" w:hAnsi="Arial" w:cs="Arial" w:hint="eastAsia"/>
          <w:sz w:val="28"/>
        </w:rPr>
        <w:t>3.8%</w:t>
      </w:r>
      <w:r>
        <w:rPr>
          <w:rFonts w:ascii="Arial" w:hAnsi="Arial" w:cs="Arial" w:hint="eastAsia"/>
          <w:sz w:val="28"/>
        </w:rPr>
        <w:t>。社会消费品零售总额中，按消费形态分，商品零售</w:t>
      </w:r>
      <w:r>
        <w:rPr>
          <w:rFonts w:ascii="Arial" w:hAnsi="Arial" w:cs="Arial" w:hint="eastAsia"/>
          <w:sz w:val="28"/>
        </w:rPr>
        <w:t>6061.6</w:t>
      </w:r>
      <w:r>
        <w:rPr>
          <w:rFonts w:ascii="Arial" w:hAnsi="Arial" w:cs="Arial" w:hint="eastAsia"/>
          <w:sz w:val="28"/>
        </w:rPr>
        <w:t>亿元，下降</w:t>
      </w:r>
      <w:r>
        <w:rPr>
          <w:rFonts w:ascii="Arial" w:hAnsi="Arial" w:cs="Arial" w:hint="eastAsia"/>
          <w:sz w:val="28"/>
        </w:rPr>
        <w:t>3.8%</w:t>
      </w:r>
      <w:r>
        <w:rPr>
          <w:rFonts w:ascii="Arial" w:hAnsi="Arial" w:cs="Arial" w:hint="eastAsia"/>
          <w:sz w:val="28"/>
        </w:rPr>
        <w:t>；餐饮收入</w:t>
      </w:r>
      <w:r>
        <w:rPr>
          <w:rFonts w:ascii="Arial" w:hAnsi="Arial" w:cs="Arial" w:hint="eastAsia"/>
          <w:sz w:val="28"/>
        </w:rPr>
        <w:t>672.6</w:t>
      </w:r>
      <w:r>
        <w:rPr>
          <w:rFonts w:ascii="Arial" w:hAnsi="Arial" w:cs="Arial" w:hint="eastAsia"/>
          <w:sz w:val="28"/>
        </w:rPr>
        <w:t>亿元，下降</w:t>
      </w:r>
      <w:r>
        <w:rPr>
          <w:rFonts w:ascii="Arial" w:hAnsi="Arial" w:cs="Arial" w:hint="eastAsia"/>
          <w:sz w:val="28"/>
        </w:rPr>
        <w:t>3.6%</w:t>
      </w:r>
      <w:r>
        <w:rPr>
          <w:rFonts w:ascii="Arial" w:hAnsi="Arial" w:cs="Arial" w:hint="eastAsia"/>
          <w:sz w:val="28"/>
        </w:rPr>
        <w:t>。从商品类别看，限额以上批发和零售业中，基本生活类和时尚类商品销售较好，粮油食品类、金银珠宝类、体育娱乐用品类、化妆品类商品零售额分别增长</w:t>
      </w:r>
      <w:r>
        <w:rPr>
          <w:rFonts w:ascii="Arial" w:hAnsi="Arial" w:cs="Arial" w:hint="eastAsia"/>
          <w:sz w:val="28"/>
        </w:rPr>
        <w:t>13.9%</w:t>
      </w:r>
      <w:r>
        <w:rPr>
          <w:rFonts w:ascii="Arial" w:hAnsi="Arial" w:cs="Arial" w:hint="eastAsia"/>
          <w:sz w:val="28"/>
        </w:rPr>
        <w:t>、</w:t>
      </w:r>
      <w:r>
        <w:rPr>
          <w:rFonts w:ascii="Arial" w:hAnsi="Arial" w:cs="Arial" w:hint="eastAsia"/>
          <w:sz w:val="28"/>
        </w:rPr>
        <w:t>36.1%</w:t>
      </w:r>
      <w:r>
        <w:rPr>
          <w:rFonts w:ascii="Arial" w:hAnsi="Arial" w:cs="Arial" w:hint="eastAsia"/>
          <w:sz w:val="28"/>
        </w:rPr>
        <w:t>、</w:t>
      </w:r>
      <w:r>
        <w:rPr>
          <w:rFonts w:ascii="Arial" w:hAnsi="Arial" w:cs="Arial" w:hint="eastAsia"/>
          <w:sz w:val="28"/>
        </w:rPr>
        <w:t>9.3%</w:t>
      </w:r>
      <w:r>
        <w:rPr>
          <w:rFonts w:ascii="Arial" w:hAnsi="Arial" w:cs="Arial" w:hint="eastAsia"/>
          <w:sz w:val="28"/>
        </w:rPr>
        <w:t>和</w:t>
      </w:r>
      <w:r>
        <w:rPr>
          <w:rFonts w:ascii="Arial" w:hAnsi="Arial" w:cs="Arial" w:hint="eastAsia"/>
          <w:sz w:val="28"/>
        </w:rPr>
        <w:t>7.6%</w:t>
      </w:r>
      <w:r>
        <w:rPr>
          <w:rFonts w:ascii="Arial" w:hAnsi="Arial" w:cs="Arial" w:hint="eastAsia"/>
          <w:sz w:val="28"/>
        </w:rPr>
        <w:t>；消费品“以旧换新”政策继续显效，家用电器和音像器材类、文化办公用品类商品零售额分别增长</w:t>
      </w:r>
      <w:r>
        <w:rPr>
          <w:rFonts w:ascii="Arial" w:hAnsi="Arial" w:cs="Arial" w:hint="eastAsia"/>
          <w:sz w:val="28"/>
        </w:rPr>
        <w:t>4.6%</w:t>
      </w:r>
      <w:r>
        <w:rPr>
          <w:rFonts w:ascii="Arial" w:hAnsi="Arial" w:cs="Arial" w:hint="eastAsia"/>
          <w:sz w:val="28"/>
        </w:rPr>
        <w:t>和</w:t>
      </w:r>
      <w:r>
        <w:rPr>
          <w:rFonts w:ascii="Arial" w:hAnsi="Arial" w:cs="Arial" w:hint="eastAsia"/>
          <w:sz w:val="28"/>
        </w:rPr>
        <w:t>3.1%</w:t>
      </w:r>
      <w:r>
        <w:rPr>
          <w:rFonts w:ascii="Arial" w:hAnsi="Arial" w:cs="Arial" w:hint="eastAsia"/>
          <w:sz w:val="28"/>
        </w:rPr>
        <w:t>；受市场竞争激烈、销售渠道更加多元影响，汽车类、通讯器材类商品零售额分别下降</w:t>
      </w:r>
      <w:r>
        <w:rPr>
          <w:rFonts w:ascii="Arial" w:hAnsi="Arial" w:cs="Arial" w:hint="eastAsia"/>
          <w:sz w:val="28"/>
        </w:rPr>
        <w:t>20.0%</w:t>
      </w:r>
      <w:r>
        <w:rPr>
          <w:rFonts w:ascii="Arial" w:hAnsi="Arial" w:cs="Arial" w:hint="eastAsia"/>
          <w:sz w:val="28"/>
        </w:rPr>
        <w:t>和</w:t>
      </w:r>
      <w:r>
        <w:rPr>
          <w:rFonts w:ascii="Arial" w:hAnsi="Arial" w:cs="Arial" w:hint="eastAsia"/>
          <w:sz w:val="28"/>
        </w:rPr>
        <w:t>24.0%</w:t>
      </w:r>
      <w:r>
        <w:rPr>
          <w:rFonts w:ascii="Arial" w:hAnsi="Arial" w:cs="Arial" w:hint="eastAsia"/>
          <w:sz w:val="28"/>
        </w:rPr>
        <w:t>，对社会消费品零售总额产生较大下拉作用。</w:t>
      </w:r>
    </w:p>
    <w:p w14:paraId="6D4EAF6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6</w:t>
      </w:r>
      <w:r>
        <w:rPr>
          <w:rFonts w:ascii="Arial" w:hAnsi="Arial" w:cs="Arial" w:hint="eastAsia"/>
          <w:sz w:val="28"/>
        </w:rPr>
        <w:t>）居民消费价格平稳运行，工业生产者出厂价格延续降势</w:t>
      </w:r>
      <w:r>
        <w:rPr>
          <w:rFonts w:ascii="Arial" w:hAnsi="Arial" w:cs="Arial" w:hint="eastAsia"/>
          <w:sz w:val="28"/>
        </w:rPr>
        <w:t> </w:t>
      </w:r>
    </w:p>
    <w:p w14:paraId="7EAB9239"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年上半年，北京市居民消费价格同比下降</w:t>
      </w:r>
      <w:r>
        <w:rPr>
          <w:rFonts w:ascii="Arial" w:hAnsi="Arial" w:cs="Arial" w:hint="eastAsia"/>
          <w:sz w:val="28"/>
        </w:rPr>
        <w:t>0.3%</w:t>
      </w:r>
      <w:r>
        <w:rPr>
          <w:rFonts w:ascii="Arial" w:hAnsi="Arial" w:cs="Arial" w:hint="eastAsia"/>
          <w:sz w:val="28"/>
        </w:rPr>
        <w:t>。其中，消费品价格下降</w:t>
      </w:r>
      <w:r>
        <w:rPr>
          <w:rFonts w:ascii="Arial" w:hAnsi="Arial" w:cs="Arial" w:hint="eastAsia"/>
          <w:sz w:val="28"/>
        </w:rPr>
        <w:t>0.7%</w:t>
      </w:r>
      <w:r>
        <w:rPr>
          <w:rFonts w:ascii="Arial" w:hAnsi="Arial" w:cs="Arial" w:hint="eastAsia"/>
          <w:sz w:val="28"/>
        </w:rPr>
        <w:t>，服务价格上涨</w:t>
      </w:r>
      <w:r>
        <w:rPr>
          <w:rFonts w:ascii="Arial" w:hAnsi="Arial" w:cs="Arial" w:hint="eastAsia"/>
          <w:sz w:val="28"/>
        </w:rPr>
        <w:t>0.1%</w:t>
      </w:r>
      <w:r>
        <w:rPr>
          <w:rFonts w:ascii="Arial" w:hAnsi="Arial" w:cs="Arial" w:hint="eastAsia"/>
          <w:sz w:val="28"/>
        </w:rPr>
        <w:t>。八大类商品和服务项目中，其他用品及服务类价格上涨</w:t>
      </w:r>
      <w:r>
        <w:rPr>
          <w:rFonts w:ascii="Arial" w:hAnsi="Arial" w:cs="Arial" w:hint="eastAsia"/>
          <w:sz w:val="28"/>
        </w:rPr>
        <w:t>9.8%</w:t>
      </w:r>
      <w:r>
        <w:rPr>
          <w:rFonts w:ascii="Arial" w:hAnsi="Arial" w:cs="Arial" w:hint="eastAsia"/>
          <w:sz w:val="28"/>
        </w:rPr>
        <w:t>，生活用品及服务类价格上涨</w:t>
      </w:r>
      <w:r>
        <w:rPr>
          <w:rFonts w:ascii="Arial" w:hAnsi="Arial" w:cs="Arial" w:hint="eastAsia"/>
          <w:sz w:val="28"/>
        </w:rPr>
        <w:t>0.9%</w:t>
      </w:r>
      <w:r>
        <w:rPr>
          <w:rFonts w:ascii="Arial" w:hAnsi="Arial" w:cs="Arial" w:hint="eastAsia"/>
          <w:sz w:val="28"/>
        </w:rPr>
        <w:t>，居住类价格上涨</w:t>
      </w:r>
      <w:r>
        <w:rPr>
          <w:rFonts w:ascii="Arial" w:hAnsi="Arial" w:cs="Arial" w:hint="eastAsia"/>
          <w:sz w:val="28"/>
        </w:rPr>
        <w:t>0.3%</w:t>
      </w:r>
      <w:r>
        <w:rPr>
          <w:rFonts w:ascii="Arial" w:hAnsi="Arial" w:cs="Arial" w:hint="eastAsia"/>
          <w:sz w:val="28"/>
        </w:rPr>
        <w:t>，衣着类价格上涨</w:t>
      </w:r>
      <w:r>
        <w:rPr>
          <w:rFonts w:ascii="Arial" w:hAnsi="Arial" w:cs="Arial" w:hint="eastAsia"/>
          <w:sz w:val="28"/>
        </w:rPr>
        <w:t>0.2%</w:t>
      </w:r>
      <w:r>
        <w:rPr>
          <w:rFonts w:ascii="Arial" w:hAnsi="Arial" w:cs="Arial" w:hint="eastAsia"/>
          <w:sz w:val="28"/>
        </w:rPr>
        <w:t>，食品烟酒类价格下降</w:t>
      </w:r>
      <w:r>
        <w:rPr>
          <w:rFonts w:ascii="Arial" w:hAnsi="Arial" w:cs="Arial" w:hint="eastAsia"/>
          <w:sz w:val="28"/>
        </w:rPr>
        <w:t>1.1%</w:t>
      </w:r>
      <w:r>
        <w:rPr>
          <w:rFonts w:ascii="Arial" w:hAnsi="Arial" w:cs="Arial" w:hint="eastAsia"/>
          <w:sz w:val="28"/>
        </w:rPr>
        <w:t>，交通通信类价格下降</w:t>
      </w:r>
      <w:r>
        <w:rPr>
          <w:rFonts w:ascii="Arial" w:hAnsi="Arial" w:cs="Arial" w:hint="eastAsia"/>
          <w:sz w:val="28"/>
        </w:rPr>
        <w:t>2.7%</w:t>
      </w:r>
      <w:r>
        <w:rPr>
          <w:rFonts w:ascii="Arial" w:hAnsi="Arial" w:cs="Arial" w:hint="eastAsia"/>
          <w:sz w:val="28"/>
        </w:rPr>
        <w:t>，教育文化娱乐类价格下降</w:t>
      </w:r>
      <w:r>
        <w:rPr>
          <w:rFonts w:ascii="Arial" w:hAnsi="Arial" w:cs="Arial" w:hint="eastAsia"/>
          <w:sz w:val="28"/>
        </w:rPr>
        <w:t>1.1%</w:t>
      </w:r>
      <w:r>
        <w:rPr>
          <w:rFonts w:ascii="Arial" w:hAnsi="Arial" w:cs="Arial" w:hint="eastAsia"/>
          <w:sz w:val="28"/>
        </w:rPr>
        <w:t>，医疗保健类价格下降</w:t>
      </w:r>
      <w:r>
        <w:rPr>
          <w:rFonts w:ascii="Arial" w:hAnsi="Arial" w:cs="Arial" w:hint="eastAsia"/>
          <w:sz w:val="28"/>
        </w:rPr>
        <w:lastRenderedPageBreak/>
        <w:t>0.6%</w:t>
      </w:r>
      <w:r>
        <w:rPr>
          <w:rFonts w:ascii="Arial" w:hAnsi="Arial" w:cs="Arial" w:hint="eastAsia"/>
          <w:sz w:val="28"/>
        </w:rPr>
        <w:t>。</w:t>
      </w:r>
      <w:r>
        <w:rPr>
          <w:rFonts w:ascii="Arial" w:hAnsi="Arial" w:cs="Arial" w:hint="eastAsia"/>
          <w:sz w:val="28"/>
        </w:rPr>
        <w:t>6</w:t>
      </w:r>
      <w:r>
        <w:rPr>
          <w:rFonts w:ascii="Arial" w:hAnsi="Arial" w:cs="Arial" w:hint="eastAsia"/>
          <w:sz w:val="28"/>
        </w:rPr>
        <w:t>月份，居民消费价格同比下降</w:t>
      </w:r>
      <w:r>
        <w:rPr>
          <w:rFonts w:ascii="Arial" w:hAnsi="Arial" w:cs="Arial" w:hint="eastAsia"/>
          <w:sz w:val="28"/>
        </w:rPr>
        <w:t>0.1%</w:t>
      </w:r>
      <w:r>
        <w:rPr>
          <w:rFonts w:ascii="Arial" w:hAnsi="Arial" w:cs="Arial" w:hint="eastAsia"/>
          <w:sz w:val="28"/>
        </w:rPr>
        <w:t>，环比下降</w:t>
      </w:r>
      <w:r>
        <w:rPr>
          <w:rFonts w:ascii="Arial" w:hAnsi="Arial" w:cs="Arial" w:hint="eastAsia"/>
          <w:sz w:val="28"/>
        </w:rPr>
        <w:t>0.4%</w:t>
      </w:r>
      <w:r>
        <w:rPr>
          <w:rFonts w:ascii="Arial" w:hAnsi="Arial" w:cs="Arial" w:hint="eastAsia"/>
          <w:sz w:val="28"/>
        </w:rPr>
        <w:t>。</w:t>
      </w:r>
    </w:p>
    <w:p w14:paraId="1715A180"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年上半年，北京市工业生产者出厂价格同比下降</w:t>
      </w:r>
      <w:r>
        <w:rPr>
          <w:rFonts w:ascii="Arial" w:hAnsi="Arial" w:cs="Arial" w:hint="eastAsia"/>
          <w:sz w:val="28"/>
        </w:rPr>
        <w:t>1.8%</w:t>
      </w:r>
      <w:r>
        <w:rPr>
          <w:rFonts w:ascii="Arial" w:hAnsi="Arial" w:cs="Arial" w:hint="eastAsia"/>
          <w:sz w:val="28"/>
        </w:rPr>
        <w:t>，购进价格同比下降</w:t>
      </w:r>
      <w:r>
        <w:rPr>
          <w:rFonts w:ascii="Arial" w:hAnsi="Arial" w:cs="Arial" w:hint="eastAsia"/>
          <w:sz w:val="28"/>
        </w:rPr>
        <w:t>1.1%</w:t>
      </w:r>
      <w:r>
        <w:rPr>
          <w:rFonts w:ascii="Arial" w:hAnsi="Arial" w:cs="Arial" w:hint="eastAsia"/>
          <w:sz w:val="28"/>
        </w:rPr>
        <w:t>。</w:t>
      </w:r>
      <w:r>
        <w:rPr>
          <w:rFonts w:ascii="Arial" w:hAnsi="Arial" w:cs="Arial" w:hint="eastAsia"/>
          <w:sz w:val="28"/>
        </w:rPr>
        <w:t>6</w:t>
      </w:r>
      <w:r>
        <w:rPr>
          <w:rFonts w:ascii="Arial" w:hAnsi="Arial" w:cs="Arial" w:hint="eastAsia"/>
          <w:sz w:val="28"/>
        </w:rPr>
        <w:t>月份，工业生产者出厂价格同比下降</w:t>
      </w:r>
      <w:r>
        <w:rPr>
          <w:rFonts w:ascii="Arial" w:hAnsi="Arial" w:cs="Arial" w:hint="eastAsia"/>
          <w:sz w:val="28"/>
        </w:rPr>
        <w:t>1.7%</w:t>
      </w:r>
      <w:r>
        <w:rPr>
          <w:rFonts w:ascii="Arial" w:hAnsi="Arial" w:cs="Arial" w:hint="eastAsia"/>
          <w:sz w:val="28"/>
        </w:rPr>
        <w:t>，环比下降</w:t>
      </w:r>
      <w:r>
        <w:rPr>
          <w:rFonts w:ascii="Arial" w:hAnsi="Arial" w:cs="Arial" w:hint="eastAsia"/>
          <w:sz w:val="28"/>
        </w:rPr>
        <w:t>0.3%</w:t>
      </w:r>
      <w:r>
        <w:rPr>
          <w:rFonts w:ascii="Arial" w:hAnsi="Arial" w:cs="Arial" w:hint="eastAsia"/>
          <w:sz w:val="28"/>
        </w:rPr>
        <w:t>；购进价格同比下降</w:t>
      </w:r>
      <w:r>
        <w:rPr>
          <w:rFonts w:ascii="Arial" w:hAnsi="Arial" w:cs="Arial" w:hint="eastAsia"/>
          <w:sz w:val="28"/>
        </w:rPr>
        <w:t>2.3%</w:t>
      </w:r>
      <w:r>
        <w:rPr>
          <w:rFonts w:ascii="Arial" w:hAnsi="Arial" w:cs="Arial" w:hint="eastAsia"/>
          <w:sz w:val="28"/>
        </w:rPr>
        <w:t>，环比下降</w:t>
      </w:r>
      <w:r>
        <w:rPr>
          <w:rFonts w:ascii="Arial" w:hAnsi="Arial" w:cs="Arial" w:hint="eastAsia"/>
          <w:sz w:val="28"/>
        </w:rPr>
        <w:t>0.3%</w:t>
      </w:r>
      <w:r>
        <w:rPr>
          <w:rFonts w:ascii="Arial" w:hAnsi="Arial" w:cs="Arial" w:hint="eastAsia"/>
          <w:sz w:val="28"/>
        </w:rPr>
        <w:t>。</w:t>
      </w:r>
    </w:p>
    <w:p w14:paraId="33E16AA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7</w:t>
      </w:r>
      <w:r>
        <w:rPr>
          <w:rFonts w:ascii="Arial" w:hAnsi="Arial" w:cs="Arial" w:hint="eastAsia"/>
          <w:sz w:val="28"/>
        </w:rPr>
        <w:t>）就业形势总体平稳，居民收入稳步增加</w:t>
      </w:r>
      <w:r>
        <w:rPr>
          <w:rFonts w:ascii="Arial" w:hAnsi="Arial" w:cs="Arial" w:hint="eastAsia"/>
          <w:sz w:val="28"/>
        </w:rPr>
        <w:t> </w:t>
      </w:r>
    </w:p>
    <w:p w14:paraId="69C5DA5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年上半年，北京市城镇调查失业率均值为</w:t>
      </w:r>
      <w:r>
        <w:rPr>
          <w:rFonts w:ascii="Arial" w:hAnsi="Arial" w:cs="Arial" w:hint="eastAsia"/>
          <w:sz w:val="28"/>
        </w:rPr>
        <w:t>4.1%</w:t>
      </w:r>
      <w:r>
        <w:rPr>
          <w:rFonts w:ascii="Arial" w:hAnsi="Arial" w:cs="Arial" w:hint="eastAsia"/>
          <w:sz w:val="28"/>
        </w:rPr>
        <w:t>，与一季度持平；</w:t>
      </w:r>
      <w:r>
        <w:rPr>
          <w:rFonts w:ascii="Arial" w:hAnsi="Arial" w:cs="Arial" w:hint="eastAsia"/>
          <w:sz w:val="28"/>
        </w:rPr>
        <w:t>6</w:t>
      </w:r>
      <w:r>
        <w:rPr>
          <w:rFonts w:ascii="Arial" w:hAnsi="Arial" w:cs="Arial" w:hint="eastAsia"/>
          <w:sz w:val="28"/>
        </w:rPr>
        <w:t>月份，城镇调查失业率为</w:t>
      </w:r>
      <w:r>
        <w:rPr>
          <w:rFonts w:ascii="Arial" w:hAnsi="Arial" w:cs="Arial" w:hint="eastAsia"/>
          <w:sz w:val="28"/>
        </w:rPr>
        <w:t>4.1%</w:t>
      </w:r>
      <w:r>
        <w:rPr>
          <w:rFonts w:ascii="Arial" w:hAnsi="Arial" w:cs="Arial" w:hint="eastAsia"/>
          <w:sz w:val="28"/>
        </w:rPr>
        <w:t>，环比上升</w:t>
      </w:r>
      <w:r>
        <w:rPr>
          <w:rFonts w:ascii="Arial" w:hAnsi="Arial" w:cs="Arial" w:hint="eastAsia"/>
          <w:sz w:val="28"/>
        </w:rPr>
        <w:t>0.1</w:t>
      </w:r>
      <w:r>
        <w:rPr>
          <w:rFonts w:ascii="Arial" w:hAnsi="Arial" w:cs="Arial" w:hint="eastAsia"/>
          <w:sz w:val="28"/>
        </w:rPr>
        <w:t>个百分点。</w:t>
      </w:r>
    </w:p>
    <w:p w14:paraId="6655381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年上半年，北京市居民人均可支配收入</w:t>
      </w:r>
      <w:r>
        <w:rPr>
          <w:rFonts w:ascii="Arial" w:hAnsi="Arial" w:cs="Arial" w:hint="eastAsia"/>
          <w:sz w:val="28"/>
        </w:rPr>
        <w:t>45144</w:t>
      </w:r>
      <w:r>
        <w:rPr>
          <w:rFonts w:ascii="Arial" w:hAnsi="Arial" w:cs="Arial" w:hint="eastAsia"/>
          <w:sz w:val="28"/>
        </w:rPr>
        <w:t>元，同比增长</w:t>
      </w:r>
      <w:r>
        <w:rPr>
          <w:rFonts w:ascii="Arial" w:hAnsi="Arial" w:cs="Arial" w:hint="eastAsia"/>
          <w:sz w:val="28"/>
        </w:rPr>
        <w:t>4.8%</w:t>
      </w:r>
      <w:r>
        <w:rPr>
          <w:rFonts w:ascii="Arial" w:hAnsi="Arial" w:cs="Arial" w:hint="eastAsia"/>
          <w:sz w:val="28"/>
        </w:rPr>
        <w:t>，扣除价格因素，实际增长</w:t>
      </w:r>
      <w:r>
        <w:rPr>
          <w:rFonts w:ascii="Arial" w:hAnsi="Arial" w:cs="Arial" w:hint="eastAsia"/>
          <w:sz w:val="28"/>
        </w:rPr>
        <w:t>5.1%</w:t>
      </w:r>
      <w:r>
        <w:rPr>
          <w:rFonts w:ascii="Arial" w:hAnsi="Arial" w:cs="Arial" w:hint="eastAsia"/>
          <w:sz w:val="28"/>
        </w:rPr>
        <w:t>。其中，工资性收入增长</w:t>
      </w:r>
      <w:r>
        <w:rPr>
          <w:rFonts w:ascii="Arial" w:hAnsi="Arial" w:cs="Arial" w:hint="eastAsia"/>
          <w:sz w:val="28"/>
        </w:rPr>
        <w:t>5.3%</w:t>
      </w:r>
      <w:r>
        <w:rPr>
          <w:rFonts w:ascii="Arial" w:hAnsi="Arial" w:cs="Arial" w:hint="eastAsia"/>
          <w:sz w:val="28"/>
        </w:rPr>
        <w:t>，经营净收入增长</w:t>
      </w:r>
      <w:r>
        <w:rPr>
          <w:rFonts w:ascii="Arial" w:hAnsi="Arial" w:cs="Arial" w:hint="eastAsia"/>
          <w:sz w:val="28"/>
        </w:rPr>
        <w:t>2.4%</w:t>
      </w:r>
      <w:r>
        <w:rPr>
          <w:rFonts w:ascii="Arial" w:hAnsi="Arial" w:cs="Arial" w:hint="eastAsia"/>
          <w:sz w:val="28"/>
        </w:rPr>
        <w:t>，财产净收入增长</w:t>
      </w:r>
      <w:r>
        <w:rPr>
          <w:rFonts w:ascii="Arial" w:hAnsi="Arial" w:cs="Arial" w:hint="eastAsia"/>
          <w:sz w:val="28"/>
        </w:rPr>
        <w:t>2.3%</w:t>
      </w:r>
      <w:r>
        <w:rPr>
          <w:rFonts w:ascii="Arial" w:hAnsi="Arial" w:cs="Arial" w:hint="eastAsia"/>
          <w:sz w:val="28"/>
        </w:rPr>
        <w:t>，转移净收入增长</w:t>
      </w:r>
      <w:r>
        <w:rPr>
          <w:rFonts w:ascii="Arial" w:hAnsi="Arial" w:cs="Arial" w:hint="eastAsia"/>
          <w:sz w:val="28"/>
        </w:rPr>
        <w:t>5.2%</w:t>
      </w:r>
      <w:r>
        <w:rPr>
          <w:rFonts w:ascii="Arial" w:hAnsi="Arial" w:cs="Arial" w:hint="eastAsia"/>
          <w:sz w:val="28"/>
        </w:rPr>
        <w:t>。城镇居民人均可支配收入</w:t>
      </w:r>
      <w:r>
        <w:rPr>
          <w:rFonts w:ascii="Arial" w:hAnsi="Arial" w:cs="Arial" w:hint="eastAsia"/>
          <w:sz w:val="28"/>
        </w:rPr>
        <w:t>48666</w:t>
      </w:r>
      <w:r>
        <w:rPr>
          <w:rFonts w:ascii="Arial" w:hAnsi="Arial" w:cs="Arial" w:hint="eastAsia"/>
          <w:sz w:val="28"/>
        </w:rPr>
        <w:t>元，同比增长</w:t>
      </w:r>
      <w:r>
        <w:rPr>
          <w:rFonts w:ascii="Arial" w:hAnsi="Arial" w:cs="Arial" w:hint="eastAsia"/>
          <w:sz w:val="28"/>
        </w:rPr>
        <w:t>4.6%</w:t>
      </w:r>
      <w:r>
        <w:rPr>
          <w:rFonts w:ascii="Arial" w:hAnsi="Arial" w:cs="Arial" w:hint="eastAsia"/>
          <w:sz w:val="28"/>
        </w:rPr>
        <w:t>，农村居民人均可支配收入</w:t>
      </w:r>
      <w:r>
        <w:rPr>
          <w:rFonts w:ascii="Arial" w:hAnsi="Arial" w:cs="Arial" w:hint="eastAsia"/>
          <w:sz w:val="28"/>
        </w:rPr>
        <w:t>22124</w:t>
      </w:r>
      <w:r>
        <w:rPr>
          <w:rFonts w:ascii="Arial" w:hAnsi="Arial" w:cs="Arial" w:hint="eastAsia"/>
          <w:sz w:val="28"/>
        </w:rPr>
        <w:t>元，同比增长</w:t>
      </w:r>
      <w:r>
        <w:rPr>
          <w:rFonts w:ascii="Arial" w:hAnsi="Arial" w:cs="Arial" w:hint="eastAsia"/>
          <w:sz w:val="28"/>
        </w:rPr>
        <w:t>6.1%</w:t>
      </w:r>
      <w:r>
        <w:rPr>
          <w:rFonts w:ascii="Arial" w:hAnsi="Arial" w:cs="Arial" w:hint="eastAsia"/>
          <w:sz w:val="28"/>
        </w:rPr>
        <w:t>。</w:t>
      </w:r>
    </w:p>
    <w:p w14:paraId="6E56461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总的来看，</w:t>
      </w:r>
      <w:r>
        <w:rPr>
          <w:rFonts w:ascii="Arial" w:hAnsi="Arial" w:cs="Arial" w:hint="eastAsia"/>
          <w:sz w:val="28"/>
        </w:rPr>
        <w:t>2025</w:t>
      </w:r>
      <w:r>
        <w:rPr>
          <w:rFonts w:ascii="Arial" w:hAnsi="Arial" w:cs="Arial" w:hint="eastAsia"/>
          <w:sz w:val="28"/>
        </w:rPr>
        <w:t>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14:paraId="7ECCAC5C" w14:textId="77777777" w:rsidR="00000000" w:rsidRDefault="00000000">
      <w:pPr>
        <w:spacing w:line="360" w:lineRule="auto"/>
        <w:jc w:val="both"/>
        <w:rPr>
          <w:rFonts w:ascii="Arial" w:hAnsi="Arial" w:cs="Arial"/>
          <w:sz w:val="28"/>
        </w:rPr>
      </w:pPr>
      <w:r>
        <w:rPr>
          <w:rFonts w:ascii="Arial" w:hAnsi="Arial" w:cs="Arial"/>
          <w:sz w:val="28"/>
        </w:rPr>
        <w:t>（二）区域因素</w:t>
      </w:r>
    </w:p>
    <w:p w14:paraId="0CFD3FEF" w14:textId="77777777" w:rsidR="00000000" w:rsidRDefault="00000000">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区域概况</w:t>
      </w:r>
    </w:p>
    <w:p w14:paraId="6A8A66B3" w14:textId="77777777" w:rsidR="00000000" w:rsidRDefault="00000000">
      <w:pPr>
        <w:spacing w:line="360" w:lineRule="auto"/>
        <w:ind w:firstLineChars="200" w:firstLine="560"/>
        <w:jc w:val="both"/>
        <w:rPr>
          <w:rFonts w:ascii="Arial" w:hAnsi="Arial" w:cs="Arial"/>
          <w:sz w:val="28"/>
        </w:rPr>
      </w:pPr>
      <w:r>
        <w:rPr>
          <w:rFonts w:ascii="Arial" w:hAnsi="Arial" w:cs="Arial"/>
          <w:sz w:val="28"/>
        </w:rPr>
        <w:t>咨询对象位于北京市</w:t>
      </w:r>
      <w:r>
        <w:rPr>
          <w:rFonts w:ascii="Arial" w:hAnsi="Arial" w:cs="Arial" w:hint="eastAsia"/>
          <w:sz w:val="28"/>
        </w:rPr>
        <w:t>昌平区马池口镇百泉庄村</w:t>
      </w:r>
      <w:r>
        <w:rPr>
          <w:rFonts w:ascii="Arial" w:hAnsi="Arial" w:cs="Arial"/>
          <w:sz w:val="28"/>
        </w:rPr>
        <w:t>。</w:t>
      </w:r>
      <w:r>
        <w:rPr>
          <w:rFonts w:ascii="Arial" w:hAnsi="Arial" w:cs="Arial" w:hint="eastAsia"/>
          <w:sz w:val="28"/>
        </w:rPr>
        <w:t>百泉庄村位于北京市昌平城区西部，距离马池口镇政府约</w:t>
      </w:r>
      <w:r>
        <w:rPr>
          <w:rFonts w:ascii="Arial" w:hAnsi="Arial" w:cs="Arial" w:hint="eastAsia"/>
          <w:sz w:val="28"/>
        </w:rPr>
        <w:t>4.7</w:t>
      </w:r>
      <w:r>
        <w:rPr>
          <w:rFonts w:ascii="Arial" w:hAnsi="Arial" w:cs="Arial" w:hint="eastAsia"/>
          <w:sz w:val="28"/>
        </w:rPr>
        <w:t>公里。东邻昌平城区，西接上念头村，南连宏道村，北邻昌平镇。村域面积</w:t>
      </w:r>
      <w:r>
        <w:rPr>
          <w:rFonts w:ascii="Arial" w:hAnsi="Arial" w:cs="Arial" w:hint="eastAsia"/>
          <w:sz w:val="28"/>
        </w:rPr>
        <w:t>286.07</w:t>
      </w:r>
      <w:r>
        <w:rPr>
          <w:rFonts w:ascii="Arial" w:hAnsi="Arial" w:cs="Arial" w:hint="eastAsia"/>
          <w:sz w:val="28"/>
        </w:rPr>
        <w:t>公顷（</w:t>
      </w:r>
      <w:r>
        <w:rPr>
          <w:rFonts w:ascii="Arial" w:hAnsi="Arial" w:cs="Arial" w:hint="eastAsia"/>
          <w:sz w:val="28"/>
        </w:rPr>
        <w:t>4291.05</w:t>
      </w:r>
      <w:r>
        <w:rPr>
          <w:rFonts w:ascii="Arial" w:hAnsi="Arial" w:cs="Arial" w:hint="eastAsia"/>
          <w:sz w:val="28"/>
        </w:rPr>
        <w:t>亩），村庄人口</w:t>
      </w:r>
      <w:r>
        <w:rPr>
          <w:rFonts w:ascii="Arial" w:hAnsi="Arial" w:cs="Arial" w:hint="eastAsia"/>
          <w:sz w:val="28"/>
        </w:rPr>
        <w:t xml:space="preserve"> 2000</w:t>
      </w:r>
      <w:r>
        <w:rPr>
          <w:rFonts w:ascii="Arial" w:hAnsi="Arial" w:cs="Arial" w:hint="eastAsia"/>
          <w:sz w:val="28"/>
        </w:rPr>
        <w:t>人，其中非农业人口</w:t>
      </w:r>
      <w:r>
        <w:rPr>
          <w:rFonts w:ascii="Arial" w:hAnsi="Arial" w:cs="Arial" w:hint="eastAsia"/>
          <w:sz w:val="28"/>
        </w:rPr>
        <w:t>427</w:t>
      </w:r>
      <w:r>
        <w:rPr>
          <w:rFonts w:ascii="Arial" w:hAnsi="Arial" w:cs="Arial" w:hint="eastAsia"/>
          <w:sz w:val="28"/>
        </w:rPr>
        <w:t>人，农业人口</w:t>
      </w:r>
      <w:r>
        <w:rPr>
          <w:rFonts w:ascii="Arial" w:hAnsi="Arial" w:cs="Arial" w:hint="eastAsia"/>
          <w:sz w:val="28"/>
        </w:rPr>
        <w:t>1573</w:t>
      </w:r>
      <w:r>
        <w:rPr>
          <w:rFonts w:ascii="Arial" w:hAnsi="Arial" w:cs="Arial" w:hint="eastAsia"/>
          <w:sz w:val="28"/>
        </w:rPr>
        <w:t>人。共</w:t>
      </w:r>
      <w:r>
        <w:rPr>
          <w:rFonts w:ascii="Arial" w:hAnsi="Arial" w:cs="Arial" w:hint="eastAsia"/>
          <w:sz w:val="28"/>
        </w:rPr>
        <w:t>818</w:t>
      </w:r>
      <w:r>
        <w:rPr>
          <w:rFonts w:ascii="Arial" w:hAnsi="Arial" w:cs="Arial" w:hint="eastAsia"/>
          <w:sz w:val="28"/>
        </w:rPr>
        <w:t>户，其中非农业户</w:t>
      </w:r>
      <w:r>
        <w:rPr>
          <w:rFonts w:ascii="Arial" w:hAnsi="Arial" w:cs="Arial" w:hint="eastAsia"/>
          <w:sz w:val="28"/>
        </w:rPr>
        <w:t>200</w:t>
      </w:r>
      <w:r>
        <w:rPr>
          <w:rFonts w:ascii="Arial" w:hAnsi="Arial" w:cs="Arial" w:hint="eastAsia"/>
          <w:sz w:val="28"/>
        </w:rPr>
        <w:t>户，农业户</w:t>
      </w:r>
      <w:r>
        <w:rPr>
          <w:rFonts w:ascii="Arial" w:hAnsi="Arial" w:cs="Arial" w:hint="eastAsia"/>
          <w:sz w:val="28"/>
        </w:rPr>
        <w:t>618</w:t>
      </w:r>
      <w:r>
        <w:rPr>
          <w:rFonts w:ascii="Arial" w:hAnsi="Arial" w:cs="Arial" w:hint="eastAsia"/>
          <w:sz w:val="28"/>
        </w:rPr>
        <w:t>户。百泉庄村域面积较大，农业用地主要分布在温南路以南，经济发展平稳。第一产业以粮食作物种植、蔬菜水果</w:t>
      </w:r>
      <w:r>
        <w:rPr>
          <w:rFonts w:ascii="Arial" w:hAnsi="Arial" w:cs="Arial" w:hint="eastAsia"/>
          <w:sz w:val="28"/>
        </w:rPr>
        <w:lastRenderedPageBreak/>
        <w:t>种植以及塘鱼养殖为主，主要表现为经济功能的发展，其社会和生态的功能有待提高。村域西部大部分土地被征为国有土地，在村庄周边有大量的工业企业和对外服务设施。</w:t>
      </w:r>
    </w:p>
    <w:p w14:paraId="5A92C7AE" w14:textId="77777777" w:rsidR="00000000" w:rsidRDefault="00000000">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交通条件</w:t>
      </w:r>
    </w:p>
    <w:p w14:paraId="4C033235" w14:textId="77777777" w:rsidR="00000000" w:rsidRDefault="00000000">
      <w:pPr>
        <w:spacing w:line="360" w:lineRule="auto"/>
        <w:ind w:firstLineChars="200" w:firstLine="560"/>
        <w:rPr>
          <w:rFonts w:ascii="Arial" w:hAnsi="Arial" w:cs="Arial"/>
          <w:sz w:val="28"/>
        </w:rPr>
      </w:pPr>
      <w:r>
        <w:rPr>
          <w:rFonts w:ascii="Arial" w:hAnsi="Arial" w:cs="Arial"/>
          <w:sz w:val="28"/>
        </w:rPr>
        <w:t>咨询对象</w:t>
      </w:r>
      <w:commentRangeStart w:id="140"/>
      <w:r>
        <w:rPr>
          <w:rFonts w:ascii="Arial" w:hAnsi="Arial" w:cs="Arial"/>
          <w:sz w:val="28"/>
        </w:rPr>
        <w:t>东侧</w:t>
      </w:r>
      <w:r>
        <w:rPr>
          <w:rFonts w:ascii="Arial" w:hAnsi="Arial" w:cs="Arial" w:hint="eastAsia"/>
          <w:sz w:val="28"/>
        </w:rPr>
        <w:t>紧邻</w:t>
      </w:r>
      <w:commentRangeEnd w:id="140"/>
      <w:r w:rsidR="00A523B7">
        <w:rPr>
          <w:rStyle w:val="afe"/>
        </w:rPr>
        <w:commentReference w:id="140"/>
      </w:r>
      <w:r>
        <w:rPr>
          <w:rFonts w:ascii="Arial" w:hAnsi="Arial" w:cs="Arial"/>
          <w:sz w:val="28"/>
        </w:rPr>
        <w:t>城市次干道</w:t>
      </w:r>
      <w:r>
        <w:rPr>
          <w:rFonts w:ascii="Arial" w:hAnsi="Arial" w:cs="Arial"/>
          <w:sz w:val="28"/>
        </w:rPr>
        <w:t>——</w:t>
      </w:r>
      <w:r>
        <w:rPr>
          <w:rFonts w:ascii="Arial" w:hAnsi="Arial" w:cs="Arial" w:hint="eastAsia"/>
          <w:sz w:val="28"/>
        </w:rPr>
        <w:t>水屯路</w:t>
      </w:r>
      <w:r>
        <w:rPr>
          <w:rFonts w:ascii="Arial" w:hAnsi="Arial" w:cs="Arial"/>
          <w:sz w:val="28"/>
        </w:rPr>
        <w:t>、</w:t>
      </w:r>
      <w:r>
        <w:rPr>
          <w:rFonts w:ascii="Arial" w:hAnsi="Arial" w:cs="Arial" w:hint="eastAsia"/>
          <w:sz w:val="28"/>
        </w:rPr>
        <w:t>北侧</w:t>
      </w:r>
      <w:commentRangeStart w:id="141"/>
      <w:r>
        <w:rPr>
          <w:rFonts w:ascii="Arial" w:hAnsi="Arial" w:cs="Arial"/>
          <w:sz w:val="28"/>
        </w:rPr>
        <w:t>临近</w:t>
      </w:r>
      <w:commentRangeEnd w:id="141"/>
      <w:r w:rsidR="00A523B7">
        <w:rPr>
          <w:rStyle w:val="afe"/>
        </w:rPr>
        <w:commentReference w:id="141"/>
      </w:r>
      <w:r>
        <w:rPr>
          <w:rFonts w:ascii="Arial" w:hAnsi="Arial" w:cs="Arial"/>
          <w:sz w:val="28"/>
        </w:rPr>
        <w:t>城市次干道</w:t>
      </w:r>
      <w:r>
        <w:rPr>
          <w:rFonts w:ascii="Arial" w:hAnsi="Arial" w:cs="Arial"/>
          <w:sz w:val="28"/>
        </w:rPr>
        <w:t>——</w:t>
      </w:r>
      <w:r>
        <w:rPr>
          <w:rFonts w:ascii="Arial" w:hAnsi="Arial" w:cs="Arial" w:hint="eastAsia"/>
          <w:sz w:val="28"/>
        </w:rPr>
        <w:t>水南路</w:t>
      </w:r>
      <w:r>
        <w:rPr>
          <w:rFonts w:ascii="Arial" w:hAnsi="Arial" w:cs="Arial"/>
          <w:sz w:val="28"/>
        </w:rPr>
        <w:t>，</w:t>
      </w:r>
      <w:commentRangeStart w:id="142"/>
      <w:r>
        <w:rPr>
          <w:rFonts w:ascii="Arial" w:hAnsi="Arial" w:cs="Arial" w:hint="eastAsia"/>
          <w:sz w:val="28"/>
        </w:rPr>
        <w:t>距京藏高速约</w:t>
      </w:r>
      <w:r>
        <w:rPr>
          <w:rFonts w:ascii="Arial" w:hAnsi="Arial" w:cs="Arial" w:hint="eastAsia"/>
          <w:sz w:val="28"/>
        </w:rPr>
        <w:t>1</w:t>
      </w:r>
      <w:r>
        <w:rPr>
          <w:rFonts w:ascii="Arial" w:hAnsi="Arial" w:cs="Arial" w:hint="eastAsia"/>
          <w:sz w:val="28"/>
        </w:rPr>
        <w:t>公里</w:t>
      </w:r>
      <w:commentRangeEnd w:id="142"/>
      <w:r w:rsidR="00A523B7">
        <w:rPr>
          <w:rStyle w:val="afe"/>
        </w:rPr>
        <w:commentReference w:id="142"/>
      </w:r>
      <w:r>
        <w:rPr>
          <w:rFonts w:ascii="Arial" w:hAnsi="Arial" w:cs="Arial" w:hint="eastAsia"/>
          <w:sz w:val="28"/>
        </w:rPr>
        <w:t>，</w:t>
      </w:r>
      <w:r>
        <w:rPr>
          <w:rFonts w:ascii="Arial" w:hAnsi="Arial" w:cs="Arial"/>
          <w:sz w:val="28"/>
        </w:rPr>
        <w:t>周边有</w:t>
      </w:r>
      <w:r>
        <w:rPr>
          <w:rFonts w:ascii="Arial" w:hAnsi="Arial" w:cs="Arial" w:hint="eastAsia"/>
          <w:sz w:val="28"/>
        </w:rPr>
        <w:t>559</w:t>
      </w:r>
      <w:r>
        <w:rPr>
          <w:rFonts w:ascii="Arial" w:hAnsi="Arial" w:cs="Arial"/>
          <w:sz w:val="28"/>
        </w:rPr>
        <w:t>路、</w:t>
      </w:r>
      <w:r>
        <w:rPr>
          <w:rFonts w:ascii="Arial" w:hAnsi="Arial" w:cs="Arial" w:hint="eastAsia"/>
          <w:sz w:val="28"/>
        </w:rPr>
        <w:t>590</w:t>
      </w:r>
      <w:r>
        <w:rPr>
          <w:rFonts w:ascii="Arial" w:hAnsi="Arial" w:cs="Arial"/>
          <w:sz w:val="28"/>
        </w:rPr>
        <w:t>路、</w:t>
      </w:r>
      <w:r>
        <w:rPr>
          <w:rFonts w:ascii="Arial" w:hAnsi="Arial" w:cs="Arial" w:hint="eastAsia"/>
          <w:sz w:val="28"/>
        </w:rPr>
        <w:t>昌</w:t>
      </w:r>
      <w:r>
        <w:rPr>
          <w:rFonts w:ascii="Arial" w:hAnsi="Arial" w:cs="Arial" w:hint="eastAsia"/>
          <w:sz w:val="28"/>
        </w:rPr>
        <w:t>13</w:t>
      </w:r>
      <w:r>
        <w:rPr>
          <w:rFonts w:ascii="Arial" w:hAnsi="Arial" w:cs="Arial"/>
          <w:sz w:val="28"/>
        </w:rPr>
        <w:t>路</w:t>
      </w:r>
      <w:r>
        <w:rPr>
          <w:rFonts w:ascii="Arial" w:hAnsi="Arial" w:cs="Arial" w:hint="eastAsia"/>
          <w:sz w:val="28"/>
        </w:rPr>
        <w:t>、昌</w:t>
      </w:r>
      <w:r>
        <w:rPr>
          <w:rFonts w:ascii="Arial" w:hAnsi="Arial" w:cs="Arial" w:hint="eastAsia"/>
          <w:sz w:val="28"/>
        </w:rPr>
        <w:t>3</w:t>
      </w:r>
      <w:r>
        <w:rPr>
          <w:rFonts w:ascii="Arial" w:hAnsi="Arial" w:cs="Arial" w:hint="eastAsia"/>
          <w:sz w:val="28"/>
        </w:rPr>
        <w:t>路</w:t>
      </w:r>
      <w:r>
        <w:rPr>
          <w:rFonts w:ascii="Arial" w:hAnsi="Arial" w:cs="Arial"/>
          <w:sz w:val="28"/>
        </w:rPr>
        <w:t>等公交线路，</w:t>
      </w:r>
      <w:r>
        <w:rPr>
          <w:rFonts w:ascii="Arial" w:hAnsi="Arial" w:cs="Arial" w:hint="eastAsia"/>
          <w:sz w:val="28"/>
        </w:rPr>
        <w:t>2</w:t>
      </w:r>
      <w:r>
        <w:rPr>
          <w:rFonts w:ascii="Arial" w:hAnsi="Arial" w:cs="Arial" w:hint="eastAsia"/>
          <w:sz w:val="28"/>
        </w:rPr>
        <w:t>公里范围内无轨道交通</w:t>
      </w:r>
      <w:r>
        <w:rPr>
          <w:rFonts w:ascii="Arial" w:hAnsi="Arial" w:cs="Arial"/>
          <w:sz w:val="28"/>
        </w:rPr>
        <w:t>，综合评价交通便捷度</w:t>
      </w:r>
      <w:r>
        <w:rPr>
          <w:rFonts w:ascii="Arial" w:hAnsi="Arial" w:cs="Arial" w:hint="eastAsia"/>
          <w:sz w:val="28"/>
        </w:rPr>
        <w:t>较差</w:t>
      </w:r>
      <w:r>
        <w:rPr>
          <w:rFonts w:ascii="Arial" w:hAnsi="Arial" w:cs="Arial"/>
          <w:sz w:val="28"/>
        </w:rPr>
        <w:t>。</w:t>
      </w:r>
    </w:p>
    <w:p w14:paraId="31A9E67C" w14:textId="77777777" w:rsidR="00000000" w:rsidRDefault="00000000">
      <w:pPr>
        <w:spacing w:line="360" w:lineRule="auto"/>
        <w:ind w:firstLineChars="200" w:firstLine="560"/>
        <w:rPr>
          <w:rFonts w:ascii="Arial" w:hAnsi="Arial" w:cs="Arial"/>
          <w:sz w:val="28"/>
        </w:rPr>
      </w:pPr>
      <w:r>
        <w:rPr>
          <w:rFonts w:ascii="Arial" w:hAnsi="Arial" w:cs="Arial"/>
          <w:sz w:val="28"/>
        </w:rPr>
        <w:t>3.</w:t>
      </w:r>
      <w:r>
        <w:rPr>
          <w:rFonts w:ascii="Arial" w:hAnsi="Arial" w:cs="Arial"/>
          <w:sz w:val="28"/>
        </w:rPr>
        <w:t>环境条件</w:t>
      </w:r>
    </w:p>
    <w:p w14:paraId="5DFBE49C" w14:textId="77777777" w:rsidR="00000000" w:rsidRDefault="00000000">
      <w:pPr>
        <w:spacing w:line="360" w:lineRule="auto"/>
        <w:ind w:firstLineChars="200" w:firstLine="560"/>
        <w:jc w:val="both"/>
        <w:rPr>
          <w:rFonts w:ascii="Arial" w:hAnsi="Arial" w:cs="Arial"/>
          <w:sz w:val="28"/>
        </w:rPr>
      </w:pPr>
      <w:r>
        <w:rPr>
          <w:rFonts w:ascii="Arial" w:hAnsi="Arial" w:cs="Arial"/>
          <w:sz w:val="28"/>
        </w:rPr>
        <w:t>咨询对象</w:t>
      </w:r>
      <w:r>
        <w:rPr>
          <w:rFonts w:ascii="Arial" w:hAnsi="Arial" w:cs="Arial" w:hint="eastAsia"/>
          <w:sz w:val="28"/>
        </w:rPr>
        <w:t>周边有京密引水渠等</w:t>
      </w:r>
      <w:r>
        <w:rPr>
          <w:rFonts w:ascii="Arial" w:hAnsi="Arial" w:cs="Arial"/>
          <w:sz w:val="28"/>
        </w:rPr>
        <w:t>自然环境；</w:t>
      </w:r>
      <w:r>
        <w:rPr>
          <w:rFonts w:ascii="Arial" w:hAnsi="Arial" w:cs="Arial" w:hint="eastAsia"/>
          <w:sz w:val="28"/>
        </w:rPr>
        <w:t>有中国石化石油化工科学研究院、中国标准化研究院、北京汇佳职业学院等人文场所。</w:t>
      </w:r>
      <w:r>
        <w:rPr>
          <w:rFonts w:ascii="Arial" w:hAnsi="Arial" w:cs="Arial"/>
          <w:sz w:val="28"/>
        </w:rPr>
        <w:t>综合评价环境状况一般。</w:t>
      </w:r>
    </w:p>
    <w:p w14:paraId="237E0C0A" w14:textId="77777777" w:rsidR="00000000" w:rsidRDefault="00000000">
      <w:pPr>
        <w:spacing w:line="360" w:lineRule="auto"/>
        <w:ind w:firstLineChars="200" w:firstLine="560"/>
        <w:jc w:val="both"/>
        <w:rPr>
          <w:rFonts w:ascii="Arial" w:hAnsi="Arial" w:cs="Arial"/>
          <w:i/>
          <w:sz w:val="28"/>
        </w:rPr>
      </w:pPr>
      <w:r>
        <w:rPr>
          <w:rFonts w:ascii="Arial" w:hAnsi="Arial" w:cs="Arial"/>
          <w:sz w:val="28"/>
        </w:rPr>
        <w:t>4.</w:t>
      </w:r>
      <w:r>
        <w:rPr>
          <w:rFonts w:ascii="Arial" w:hAnsi="Arial" w:cs="Arial"/>
          <w:sz w:val="28"/>
        </w:rPr>
        <w:t>基础设施条件</w:t>
      </w:r>
    </w:p>
    <w:p w14:paraId="35A0AD88"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昌平</w:t>
      </w:r>
      <w:r>
        <w:rPr>
          <w:rFonts w:ascii="Arial" w:hAnsi="Arial" w:cs="Arial"/>
          <w:sz w:val="28"/>
        </w:rPr>
        <w:t>区目前已拥有完善的基础设施配套保障，区内大部分区域基础设施配套目前可达到</w:t>
      </w:r>
      <w:r>
        <w:rPr>
          <w:rFonts w:ascii="Arial" w:hAnsi="Arial" w:cs="Arial"/>
          <w:sz w:val="28"/>
        </w:rPr>
        <w:t>“</w:t>
      </w:r>
      <w:r>
        <w:rPr>
          <w:rFonts w:ascii="Arial" w:hAnsi="Arial" w:cs="Arial"/>
          <w:sz w:val="28"/>
        </w:rPr>
        <w:t>七通</w:t>
      </w:r>
      <w:r>
        <w:rPr>
          <w:rFonts w:ascii="Arial" w:hAnsi="Arial" w:cs="Arial"/>
          <w:sz w:val="28"/>
        </w:rPr>
        <w:t>”</w:t>
      </w:r>
      <w:r>
        <w:rPr>
          <w:rFonts w:ascii="Arial" w:hAnsi="Arial" w:cs="Arial"/>
          <w:sz w:val="28"/>
        </w:rPr>
        <w:t>（即通路、通电、通讯、通上水、通下水、通燃气、通热）条件。</w:t>
      </w:r>
    </w:p>
    <w:p w14:paraId="702E0256" w14:textId="77777777" w:rsidR="00000000" w:rsidRDefault="00000000">
      <w:pPr>
        <w:spacing w:line="360" w:lineRule="auto"/>
        <w:ind w:firstLineChars="200" w:firstLine="560"/>
        <w:jc w:val="both"/>
        <w:rPr>
          <w:rFonts w:ascii="Arial" w:hAnsi="Arial" w:cs="Arial"/>
          <w:sz w:val="28"/>
        </w:rPr>
      </w:pPr>
      <w:r>
        <w:rPr>
          <w:rFonts w:ascii="Arial" w:hAnsi="Arial" w:cs="Arial"/>
          <w:sz w:val="28"/>
        </w:rPr>
        <w:t>5.</w:t>
      </w:r>
      <w:r>
        <w:rPr>
          <w:rFonts w:ascii="Arial" w:hAnsi="Arial" w:cs="Arial"/>
          <w:sz w:val="28"/>
        </w:rPr>
        <w:t>居住社区成熟度</w:t>
      </w:r>
    </w:p>
    <w:p w14:paraId="301C8578" w14:textId="77777777" w:rsidR="00000000" w:rsidRDefault="00000000">
      <w:pPr>
        <w:spacing w:line="360" w:lineRule="auto"/>
        <w:ind w:firstLineChars="200" w:firstLine="560"/>
        <w:jc w:val="both"/>
        <w:rPr>
          <w:rFonts w:ascii="Arial" w:hAnsi="Arial" w:cs="Arial"/>
          <w:sz w:val="28"/>
        </w:rPr>
      </w:pPr>
      <w:r>
        <w:rPr>
          <w:rFonts w:ascii="Arial" w:hAnsi="Arial" w:cs="Arial"/>
          <w:sz w:val="28"/>
        </w:rPr>
        <w:t>咨询对象周边有</w:t>
      </w:r>
      <w:r>
        <w:rPr>
          <w:rFonts w:ascii="Arial" w:hAnsi="Arial" w:cs="Arial" w:hint="eastAsia"/>
          <w:sz w:val="28"/>
        </w:rPr>
        <w:t>华庭公寓</w:t>
      </w:r>
      <w:r>
        <w:rPr>
          <w:rFonts w:ascii="Arial" w:hAnsi="Arial" w:cs="Arial"/>
          <w:sz w:val="28"/>
        </w:rPr>
        <w:t>、</w:t>
      </w:r>
      <w:r>
        <w:rPr>
          <w:rFonts w:ascii="Arial" w:hAnsi="Arial" w:cs="Arial" w:hint="eastAsia"/>
          <w:sz w:val="28"/>
        </w:rPr>
        <w:t>水屯家园、水南佳苑、龙山跃、百泉花园</w:t>
      </w:r>
      <w:r>
        <w:rPr>
          <w:rFonts w:ascii="Arial" w:hAnsi="Arial" w:cs="Arial"/>
          <w:sz w:val="28"/>
        </w:rPr>
        <w:t>等居住小区，</w:t>
      </w:r>
      <w:r>
        <w:rPr>
          <w:rFonts w:ascii="Arial" w:hAnsi="Arial" w:cs="Arial" w:hint="eastAsia"/>
          <w:sz w:val="28"/>
        </w:rPr>
        <w:t>规模较小，分布</w:t>
      </w:r>
      <w:r>
        <w:rPr>
          <w:rFonts w:ascii="Arial" w:hAnsi="Arial" w:cs="Arial"/>
          <w:sz w:val="28"/>
        </w:rPr>
        <w:t>较为分散，居住社区成熟度</w:t>
      </w:r>
      <w:r>
        <w:rPr>
          <w:rFonts w:ascii="Arial" w:hAnsi="Arial" w:cs="Arial" w:hint="eastAsia"/>
          <w:sz w:val="28"/>
        </w:rPr>
        <w:t>一般</w:t>
      </w:r>
      <w:r>
        <w:rPr>
          <w:rFonts w:ascii="Arial" w:hAnsi="Arial" w:cs="Arial"/>
          <w:sz w:val="28"/>
        </w:rPr>
        <w:t>。</w:t>
      </w:r>
    </w:p>
    <w:p w14:paraId="5139198B" w14:textId="77777777" w:rsidR="00000000" w:rsidRDefault="00000000">
      <w:pPr>
        <w:spacing w:line="360" w:lineRule="auto"/>
        <w:ind w:firstLineChars="200" w:firstLine="560"/>
        <w:jc w:val="both"/>
        <w:rPr>
          <w:rFonts w:ascii="Arial" w:hAnsi="Arial" w:cs="Arial"/>
          <w:sz w:val="28"/>
        </w:rPr>
      </w:pPr>
      <w:r>
        <w:rPr>
          <w:rFonts w:ascii="Arial" w:hAnsi="Arial" w:cs="Arial"/>
          <w:sz w:val="28"/>
        </w:rPr>
        <w:t>6.</w:t>
      </w:r>
      <w:r>
        <w:rPr>
          <w:rFonts w:ascii="Arial" w:hAnsi="Arial" w:cs="Arial" w:hint="eastAsia"/>
          <w:sz w:val="28"/>
        </w:rPr>
        <w:t>商业繁华度</w:t>
      </w:r>
    </w:p>
    <w:p w14:paraId="1695D83E" w14:textId="77777777" w:rsidR="00000000" w:rsidRDefault="00000000">
      <w:pPr>
        <w:spacing w:line="360" w:lineRule="auto"/>
        <w:ind w:firstLineChars="200" w:firstLine="560"/>
        <w:jc w:val="both"/>
        <w:rPr>
          <w:rFonts w:ascii="Arial" w:hAnsi="Arial" w:cs="Arial" w:hint="eastAsia"/>
          <w:sz w:val="28"/>
        </w:rPr>
      </w:pPr>
      <w:r>
        <w:rPr>
          <w:rFonts w:ascii="Arial" w:hAnsi="Arial" w:cs="Arial"/>
          <w:sz w:val="28"/>
        </w:rPr>
        <w:t>咨询对象周边有</w:t>
      </w:r>
      <w:r>
        <w:rPr>
          <w:rFonts w:ascii="Arial" w:hAnsi="Arial" w:cs="Arial" w:hint="eastAsia"/>
          <w:sz w:val="28"/>
        </w:rPr>
        <w:t>零星住宅配套商业，商业繁华度一般。</w:t>
      </w:r>
    </w:p>
    <w:p w14:paraId="0D9587D6"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7.</w:t>
      </w:r>
      <w:r>
        <w:rPr>
          <w:rFonts w:ascii="Arial" w:hAnsi="Arial" w:cs="Arial" w:hint="eastAsia"/>
          <w:sz w:val="28"/>
        </w:rPr>
        <w:t>公共配套设施齐备度</w:t>
      </w:r>
    </w:p>
    <w:p w14:paraId="3C88D0E5" w14:textId="77777777" w:rsidR="00000000" w:rsidRDefault="00000000">
      <w:pPr>
        <w:spacing w:line="360" w:lineRule="auto"/>
        <w:ind w:firstLineChars="200" w:firstLine="560"/>
        <w:jc w:val="both"/>
        <w:rPr>
          <w:rFonts w:ascii="Arial" w:hAnsi="Arial" w:cs="Arial"/>
          <w:sz w:val="28"/>
        </w:rPr>
      </w:pPr>
      <w:r>
        <w:rPr>
          <w:rFonts w:ascii="Arial" w:hAnsi="Arial" w:cs="Arial"/>
          <w:sz w:val="28"/>
        </w:rPr>
        <w:t>咨询对象所在区域周边</w:t>
      </w:r>
      <w:r>
        <w:rPr>
          <w:rFonts w:ascii="Arial" w:hAnsi="Arial" w:cs="Arial"/>
          <w:sz w:val="28"/>
        </w:rPr>
        <w:t>2</w:t>
      </w:r>
      <w:r>
        <w:rPr>
          <w:rFonts w:ascii="Arial" w:hAnsi="Arial" w:cs="Arial"/>
          <w:sz w:val="28"/>
        </w:rPr>
        <w:t>公里范围内有</w:t>
      </w:r>
      <w:r>
        <w:rPr>
          <w:rFonts w:ascii="Arial" w:hAnsi="Arial" w:cs="Arial" w:hint="eastAsia"/>
          <w:sz w:val="28"/>
        </w:rPr>
        <w:t>汇蕾学校、北京市昌平区马池口中心百泉庄小学、马池口小学、北京博仁祥医院、昌平区城南社区卫生服务中心水屯社区卫生服务站、北京农商银行（水南路分理处）、中国邮政储蓄银行（水屯营业所）、北京银行（水南路支行）</w:t>
      </w:r>
      <w:r>
        <w:rPr>
          <w:rFonts w:ascii="Arial" w:hAnsi="Arial" w:cs="Arial"/>
          <w:sz w:val="28"/>
        </w:rPr>
        <w:t>等，各类配套设施齐备程度</w:t>
      </w:r>
      <w:r>
        <w:rPr>
          <w:rFonts w:ascii="Arial" w:hAnsi="Arial" w:cs="Arial" w:hint="eastAsia"/>
          <w:sz w:val="28"/>
        </w:rPr>
        <w:lastRenderedPageBreak/>
        <w:t>一般</w:t>
      </w:r>
      <w:r>
        <w:rPr>
          <w:rFonts w:ascii="Arial" w:hAnsi="Arial" w:cs="Arial"/>
          <w:sz w:val="28"/>
        </w:rPr>
        <w:t>，故公共配套设施状况一般。</w:t>
      </w:r>
    </w:p>
    <w:p w14:paraId="67C2A4D9" w14:textId="77777777" w:rsidR="00000000" w:rsidRDefault="00000000">
      <w:pPr>
        <w:spacing w:line="360" w:lineRule="auto"/>
        <w:ind w:firstLineChars="200" w:firstLine="560"/>
        <w:jc w:val="both"/>
        <w:rPr>
          <w:rFonts w:ascii="Arial" w:hAnsi="Arial" w:cs="Arial"/>
          <w:sz w:val="28"/>
        </w:rPr>
      </w:pPr>
      <w:r>
        <w:rPr>
          <w:rFonts w:ascii="Arial" w:hAnsi="Arial" w:cs="Arial"/>
          <w:sz w:val="28"/>
        </w:rPr>
        <w:t>综上所述，咨询对象所处区域地理位置条件</w:t>
      </w:r>
      <w:r>
        <w:rPr>
          <w:rFonts w:ascii="Arial" w:hAnsi="Arial" w:cs="Arial" w:hint="eastAsia"/>
          <w:sz w:val="28"/>
        </w:rPr>
        <w:t>一般</w:t>
      </w:r>
      <w:r>
        <w:rPr>
          <w:rFonts w:ascii="Arial" w:hAnsi="Arial" w:cs="Arial"/>
          <w:sz w:val="28"/>
        </w:rPr>
        <w:t>、交通条件</w:t>
      </w:r>
      <w:r>
        <w:rPr>
          <w:rFonts w:ascii="Arial" w:hAnsi="Arial" w:cs="Arial" w:hint="eastAsia"/>
          <w:sz w:val="28"/>
        </w:rPr>
        <w:t>较差</w:t>
      </w:r>
      <w:r>
        <w:rPr>
          <w:rFonts w:ascii="Arial" w:hAnsi="Arial" w:cs="Arial"/>
          <w:sz w:val="28"/>
        </w:rPr>
        <w:t>，基础设施水平</w:t>
      </w:r>
      <w:r>
        <w:rPr>
          <w:rFonts w:ascii="Arial" w:hAnsi="Arial" w:cs="Arial" w:hint="eastAsia"/>
          <w:sz w:val="28"/>
        </w:rPr>
        <w:t>完善</w:t>
      </w:r>
      <w:r>
        <w:rPr>
          <w:rFonts w:ascii="Arial" w:hAnsi="Arial" w:cs="Arial"/>
          <w:sz w:val="28"/>
        </w:rPr>
        <w:t>，环境条件一般，</w:t>
      </w:r>
      <w:r>
        <w:rPr>
          <w:rFonts w:ascii="Arial" w:hAnsi="Arial" w:cs="Arial" w:hint="eastAsia"/>
          <w:sz w:val="28"/>
        </w:rPr>
        <w:t>居住社区成熟度一般、商业</w:t>
      </w:r>
      <w:r>
        <w:rPr>
          <w:rFonts w:ascii="Arial" w:hAnsi="Arial" w:cs="Arial"/>
          <w:sz w:val="28"/>
        </w:rPr>
        <w:t>繁华度情况一般</w:t>
      </w:r>
      <w:r>
        <w:rPr>
          <w:rFonts w:ascii="Arial" w:hAnsi="Arial" w:cs="Arial" w:hint="eastAsia"/>
          <w:sz w:val="28"/>
        </w:rPr>
        <w:t>、公共配套设施齐备度一般</w:t>
      </w:r>
      <w:r>
        <w:rPr>
          <w:rFonts w:ascii="Arial" w:hAnsi="Arial" w:cs="Arial"/>
          <w:sz w:val="28"/>
        </w:rPr>
        <w:t>。总体评价影响咨询对象的区域因素一般。</w:t>
      </w:r>
    </w:p>
    <w:p w14:paraId="313B19DC" w14:textId="77777777" w:rsidR="00000000" w:rsidRDefault="00000000">
      <w:pPr>
        <w:spacing w:line="360" w:lineRule="auto"/>
        <w:jc w:val="both"/>
        <w:rPr>
          <w:rFonts w:ascii="Arial" w:hAnsi="Arial" w:cs="Arial"/>
          <w:sz w:val="28"/>
        </w:rPr>
      </w:pPr>
      <w:r>
        <w:rPr>
          <w:rFonts w:ascii="Arial" w:hAnsi="Arial" w:cs="Arial"/>
          <w:sz w:val="28"/>
        </w:rPr>
        <w:t>（三）个别因素</w:t>
      </w:r>
    </w:p>
    <w:p w14:paraId="435BDE85" w14:textId="77777777" w:rsidR="00000000" w:rsidRDefault="00000000">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咨询对象位置：咨询对象位于北京市</w:t>
      </w:r>
      <w:r>
        <w:rPr>
          <w:rFonts w:ascii="Arial" w:hAnsi="Arial" w:cs="Arial" w:hint="eastAsia"/>
          <w:sz w:val="28"/>
        </w:rPr>
        <w:t>昌平区马池口镇百泉庄村</w:t>
      </w:r>
      <w:r>
        <w:rPr>
          <w:rFonts w:ascii="Arial" w:hAnsi="Arial" w:cs="Arial"/>
          <w:sz w:val="28"/>
        </w:rPr>
        <w:t>，</w:t>
      </w:r>
      <w:r>
        <w:rPr>
          <w:rFonts w:ascii="Arial" w:hAnsi="Arial" w:cs="Arial" w:hint="eastAsia"/>
          <w:sz w:val="28"/>
        </w:rPr>
        <w:t>拟</w:t>
      </w:r>
      <w:r>
        <w:rPr>
          <w:rFonts w:ascii="Arial" w:hAnsi="Arial" w:cs="Arial"/>
          <w:sz w:val="28"/>
        </w:rPr>
        <w:t>开发建设的集体土地租赁住房项目。</w:t>
      </w:r>
    </w:p>
    <w:p w14:paraId="367466BD" w14:textId="77777777" w:rsidR="00000000" w:rsidRDefault="00000000">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宗地规划用途、面积</w:t>
      </w:r>
    </w:p>
    <w:p w14:paraId="2A963302" w14:textId="77777777" w:rsidR="00000000" w:rsidRDefault="00000000">
      <w:pPr>
        <w:spacing w:line="360" w:lineRule="auto"/>
        <w:ind w:firstLineChars="200" w:firstLine="560"/>
        <w:jc w:val="both"/>
        <w:rPr>
          <w:rFonts w:ascii="Arial" w:hAnsi="Arial" w:cs="Arial"/>
          <w:sz w:val="28"/>
        </w:rPr>
      </w:pPr>
      <w:r>
        <w:rPr>
          <w:rFonts w:ascii="Arial" w:hAnsi="Arial" w:cs="Arial"/>
          <w:sz w:val="28"/>
        </w:rPr>
        <w:t>咨询对象规划土地用途为</w:t>
      </w:r>
      <w:r>
        <w:rPr>
          <w:rFonts w:ascii="Arial" w:hAnsi="Arial" w:cs="Arial" w:hint="eastAsia"/>
          <w:sz w:val="28"/>
        </w:rPr>
        <w:t>公寓</w:t>
      </w:r>
      <w:r>
        <w:rPr>
          <w:rFonts w:ascii="Arial" w:hAnsi="Arial" w:cs="Arial"/>
          <w:sz w:val="28"/>
        </w:rPr>
        <w:t>、商业、地下车库，为最佳最有效用途</w:t>
      </w:r>
      <w:r>
        <w:rPr>
          <w:rFonts w:ascii="Arial" w:hAnsi="Arial" w:cs="Arial" w:hint="eastAsia"/>
          <w:sz w:val="28"/>
        </w:rPr>
        <w:t>。</w:t>
      </w:r>
      <w:r>
        <w:rPr>
          <w:rFonts w:ascii="Arial" w:hAnsi="Arial" w:cs="Arial"/>
          <w:spacing w:val="-12"/>
          <w:sz w:val="28"/>
        </w:rPr>
        <w:t>咨询对象土地面积</w:t>
      </w:r>
      <w:r>
        <w:rPr>
          <w:rFonts w:ascii="Arial" w:hAnsi="Arial" w:cs="Arial"/>
          <w:bCs/>
          <w:kern w:val="2"/>
          <w:sz w:val="28"/>
        </w:rPr>
        <w:t>为</w:t>
      </w:r>
      <w:r>
        <w:rPr>
          <w:rFonts w:ascii="Arial" w:hAnsi="Arial" w:cs="Arial" w:hint="eastAsia"/>
          <w:sz w:val="28"/>
        </w:rPr>
        <w:t>18132</w:t>
      </w:r>
      <w:r>
        <w:rPr>
          <w:rFonts w:ascii="Arial" w:hAnsi="Arial" w:cs="Arial"/>
          <w:bCs/>
          <w:kern w:val="2"/>
          <w:sz w:val="28"/>
        </w:rPr>
        <w:t>平方</w:t>
      </w:r>
      <w:r>
        <w:rPr>
          <w:rFonts w:ascii="Arial" w:hAnsi="Arial" w:cs="Arial"/>
          <w:sz w:val="28"/>
        </w:rPr>
        <w:t>米。</w:t>
      </w:r>
    </w:p>
    <w:p w14:paraId="5F2F9F1A" w14:textId="77777777" w:rsidR="00000000" w:rsidRDefault="00000000">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宗地容积率及可利用情况</w:t>
      </w:r>
    </w:p>
    <w:p w14:paraId="40F79E4F" w14:textId="77777777" w:rsidR="00000000" w:rsidRDefault="00000000">
      <w:pPr>
        <w:spacing w:line="360" w:lineRule="auto"/>
        <w:ind w:firstLineChars="200" w:firstLine="560"/>
        <w:jc w:val="both"/>
        <w:rPr>
          <w:rFonts w:ascii="Arial" w:hAnsi="Arial" w:cs="Arial"/>
          <w:spacing w:val="-12"/>
          <w:sz w:val="28"/>
        </w:rPr>
      </w:pPr>
      <w:r>
        <w:rPr>
          <w:rFonts w:ascii="Arial" w:hAnsi="Arial" w:cs="Arial"/>
          <w:sz w:val="28"/>
        </w:rPr>
        <w:t>咨询对象规划建筑面积为</w:t>
      </w:r>
      <w:r>
        <w:rPr>
          <w:rFonts w:ascii="Arial" w:hAnsi="Arial" w:cs="Arial" w:hint="eastAsia"/>
          <w:sz w:val="28"/>
        </w:rPr>
        <w:t>43300</w:t>
      </w:r>
      <w:r>
        <w:rPr>
          <w:rFonts w:ascii="Arial" w:hAnsi="Arial" w:cs="Arial"/>
          <w:sz w:val="28"/>
        </w:rPr>
        <w:t>平方米，容积率为</w:t>
      </w:r>
      <w:r>
        <w:rPr>
          <w:rFonts w:ascii="Arial" w:hAnsi="Arial" w:cs="Arial"/>
          <w:sz w:val="28"/>
        </w:rPr>
        <w:t>1.8</w:t>
      </w:r>
      <w:r>
        <w:rPr>
          <w:rFonts w:ascii="Arial" w:hAnsi="Arial" w:cs="Arial"/>
          <w:sz w:val="28"/>
        </w:rPr>
        <w:t>。咨询对象宗地形状较规则、地形平坦、地质良好。综合评价咨询对象土地利用程度较好。</w:t>
      </w:r>
    </w:p>
    <w:p w14:paraId="76810BD2" w14:textId="77777777" w:rsidR="00000000" w:rsidRDefault="00000000">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宗地基础设施</w:t>
      </w:r>
      <w:r>
        <w:rPr>
          <w:rFonts w:ascii="Arial" w:hAnsi="Arial" w:cs="Arial"/>
          <w:sz w:val="28"/>
        </w:rPr>
        <w:t xml:space="preserve"> </w:t>
      </w:r>
    </w:p>
    <w:p w14:paraId="4FAF704C" w14:textId="77777777" w:rsidR="00000000" w:rsidRDefault="00000000">
      <w:pPr>
        <w:spacing w:line="360" w:lineRule="auto"/>
        <w:ind w:firstLineChars="200" w:firstLine="528"/>
        <w:jc w:val="both"/>
        <w:rPr>
          <w:rFonts w:ascii="Arial" w:hAnsi="Arial" w:cs="Arial"/>
          <w:sz w:val="28"/>
        </w:rPr>
      </w:pPr>
      <w:r>
        <w:rPr>
          <w:rFonts w:ascii="Arial" w:hAnsi="Arial" w:cs="Arial"/>
          <w:spacing w:val="-8"/>
          <w:sz w:val="28"/>
        </w:rPr>
        <w:t>根据委托方提供的资料</w:t>
      </w:r>
      <w:r>
        <w:rPr>
          <w:rFonts w:ascii="Arial" w:hAnsi="Arial" w:cs="Arial" w:hint="eastAsia"/>
          <w:spacing w:val="-8"/>
          <w:sz w:val="28"/>
        </w:rPr>
        <w:t>及介绍</w:t>
      </w:r>
      <w:r>
        <w:rPr>
          <w:rFonts w:ascii="Arial" w:hAnsi="Arial" w:cs="Arial"/>
          <w:spacing w:val="-8"/>
          <w:sz w:val="28"/>
        </w:rPr>
        <w:t>，咨询对象</w:t>
      </w:r>
      <w:r>
        <w:rPr>
          <w:rFonts w:ascii="Arial" w:hAnsi="Arial" w:cs="Arial"/>
          <w:sz w:val="28"/>
        </w:rPr>
        <w:t>开发完成后拟达到的市政基础设施条件为</w:t>
      </w:r>
      <w:r>
        <w:rPr>
          <w:rFonts w:ascii="Arial" w:hAnsi="Arial" w:cs="Arial"/>
          <w:spacing w:val="-8"/>
          <w:sz w:val="28"/>
        </w:rPr>
        <w:t>七通</w:t>
      </w:r>
      <w:r>
        <w:rPr>
          <w:rFonts w:ascii="Arial" w:hAnsi="Arial" w:cs="Arial"/>
          <w:spacing w:val="-8"/>
          <w:sz w:val="28"/>
        </w:rPr>
        <w:t>”</w:t>
      </w:r>
      <w:r>
        <w:rPr>
          <w:rFonts w:ascii="Arial" w:hAnsi="Arial" w:cs="Arial"/>
          <w:spacing w:val="-8"/>
          <w:sz w:val="28"/>
        </w:rPr>
        <w:t>，现状市政基础设施条件为红线外</w:t>
      </w:r>
      <w:r>
        <w:rPr>
          <w:rFonts w:ascii="Arial" w:hAnsi="Arial" w:cs="Arial"/>
          <w:spacing w:val="-8"/>
          <w:sz w:val="28"/>
        </w:rPr>
        <w:t>“</w:t>
      </w:r>
      <w:r>
        <w:rPr>
          <w:rFonts w:ascii="Arial" w:hAnsi="Arial" w:cs="Arial"/>
          <w:spacing w:val="-8"/>
          <w:sz w:val="28"/>
        </w:rPr>
        <w:t>三通</w:t>
      </w:r>
      <w:r>
        <w:rPr>
          <w:rFonts w:ascii="Arial" w:hAnsi="Arial" w:cs="Arial"/>
          <w:spacing w:val="-8"/>
          <w:sz w:val="28"/>
        </w:rPr>
        <w:t>”</w:t>
      </w:r>
      <w:r>
        <w:rPr>
          <w:rFonts w:ascii="Arial" w:hAnsi="Arial" w:cs="Arial"/>
          <w:sz w:val="28"/>
        </w:rPr>
        <w:t>。</w:t>
      </w:r>
    </w:p>
    <w:p w14:paraId="1873FAF0" w14:textId="77777777" w:rsidR="00000000" w:rsidRDefault="00000000">
      <w:pPr>
        <w:spacing w:line="360" w:lineRule="auto"/>
        <w:ind w:left="568"/>
        <w:jc w:val="both"/>
        <w:rPr>
          <w:rFonts w:ascii="Arial" w:hAnsi="Arial" w:cs="Arial"/>
          <w:sz w:val="28"/>
          <w:szCs w:val="18"/>
        </w:rPr>
      </w:pPr>
    </w:p>
    <w:p w14:paraId="346E8F2C" w14:textId="77777777" w:rsidR="00000000" w:rsidRDefault="00000000">
      <w:pPr>
        <w:spacing w:line="360" w:lineRule="auto"/>
        <w:ind w:firstLineChars="202" w:firstLine="566"/>
        <w:jc w:val="both"/>
        <w:rPr>
          <w:rFonts w:ascii="Arial" w:hAnsi="Arial" w:cs="Arial"/>
          <w:sz w:val="28"/>
          <w:szCs w:val="18"/>
        </w:rPr>
        <w:sectPr w:rsidR="00000000">
          <w:headerReference w:type="default" r:id="rId42"/>
          <w:footerReference w:type="default" r:id="rId43"/>
          <w:headerReference w:type="first" r:id="rId44"/>
          <w:pgSz w:w="11907" w:h="16840"/>
          <w:pgMar w:top="1843" w:right="1304" w:bottom="1134" w:left="1304" w:header="1134" w:footer="907" w:gutter="0"/>
          <w:cols w:space="720"/>
          <w:titlePg/>
          <w:docGrid w:linePitch="326"/>
        </w:sectPr>
      </w:pPr>
    </w:p>
    <w:p w14:paraId="1077577D" w14:textId="77777777" w:rsidR="00000000" w:rsidRDefault="00000000">
      <w:pPr>
        <w:spacing w:line="360" w:lineRule="auto"/>
        <w:jc w:val="center"/>
        <w:outlineLvl w:val="0"/>
        <w:rPr>
          <w:rFonts w:ascii="Arial" w:hAnsi="Arial" w:cs="Arial"/>
          <w:b/>
          <w:sz w:val="32"/>
        </w:rPr>
      </w:pPr>
      <w:bookmarkStart w:id="143" w:name="_Toc425250319"/>
      <w:bookmarkStart w:id="144" w:name="_Toc416783534"/>
      <w:bookmarkStart w:id="145" w:name="_Toc418750897"/>
      <w:bookmarkStart w:id="146" w:name="_Toc4411"/>
      <w:bookmarkStart w:id="147" w:name="_Toc29073"/>
      <w:bookmarkStart w:id="148" w:name="_Toc469066317"/>
      <w:r>
        <w:rPr>
          <w:rFonts w:ascii="Arial" w:hAnsi="Arial" w:cs="Arial"/>
          <w:b/>
          <w:sz w:val="32"/>
        </w:rPr>
        <w:lastRenderedPageBreak/>
        <w:t>第三部分</w:t>
      </w:r>
      <w:r>
        <w:rPr>
          <w:rFonts w:ascii="Arial" w:hAnsi="Arial" w:cs="Arial"/>
          <w:b/>
          <w:sz w:val="32"/>
        </w:rPr>
        <w:t xml:space="preserve">  </w:t>
      </w:r>
      <w:r>
        <w:rPr>
          <w:rFonts w:ascii="Arial" w:hAnsi="Arial" w:cs="Arial"/>
          <w:b/>
          <w:sz w:val="32"/>
        </w:rPr>
        <w:t>土地咨询结果及其使用</w:t>
      </w:r>
      <w:bookmarkEnd w:id="143"/>
      <w:bookmarkEnd w:id="144"/>
      <w:bookmarkEnd w:id="145"/>
      <w:bookmarkEnd w:id="146"/>
      <w:bookmarkEnd w:id="147"/>
      <w:bookmarkEnd w:id="148"/>
    </w:p>
    <w:p w14:paraId="4D641B58" w14:textId="77777777" w:rsidR="00000000" w:rsidRDefault="00000000">
      <w:pPr>
        <w:spacing w:line="360" w:lineRule="auto"/>
        <w:jc w:val="both"/>
        <w:rPr>
          <w:rFonts w:ascii="Arial" w:hAnsi="Arial" w:cs="Arial"/>
          <w:b/>
          <w:sz w:val="28"/>
        </w:rPr>
      </w:pPr>
    </w:p>
    <w:p w14:paraId="1479DD02" w14:textId="77777777" w:rsidR="00000000" w:rsidRDefault="00000000">
      <w:pPr>
        <w:spacing w:line="360" w:lineRule="auto"/>
        <w:outlineLvl w:val="1"/>
        <w:rPr>
          <w:rFonts w:ascii="Arial" w:hAnsi="Arial" w:cs="Arial"/>
          <w:b/>
          <w:sz w:val="28"/>
        </w:rPr>
      </w:pPr>
      <w:bookmarkStart w:id="149" w:name="_Toc418750898"/>
      <w:bookmarkStart w:id="150" w:name="_Toc425250320"/>
      <w:bookmarkStart w:id="151" w:name="_Toc23060"/>
      <w:bookmarkStart w:id="152" w:name="_Toc11126"/>
      <w:bookmarkStart w:id="153" w:name="_Toc416783535"/>
      <w:bookmarkStart w:id="154" w:name="_Toc469066318"/>
      <w:r>
        <w:rPr>
          <w:rFonts w:ascii="Arial" w:hAnsi="Arial" w:cs="Arial"/>
          <w:b/>
          <w:sz w:val="28"/>
        </w:rPr>
        <w:t>一、估价依据</w:t>
      </w:r>
      <w:bookmarkEnd w:id="149"/>
      <w:bookmarkEnd w:id="150"/>
      <w:bookmarkEnd w:id="151"/>
      <w:bookmarkEnd w:id="152"/>
      <w:bookmarkEnd w:id="153"/>
      <w:bookmarkEnd w:id="154"/>
    </w:p>
    <w:p w14:paraId="222047A2" w14:textId="77777777" w:rsidR="00000000" w:rsidRDefault="00000000">
      <w:pPr>
        <w:spacing w:line="360" w:lineRule="auto"/>
        <w:jc w:val="both"/>
        <w:rPr>
          <w:rFonts w:ascii="Arial" w:hAnsi="Arial" w:cs="Arial"/>
          <w:sz w:val="28"/>
        </w:rPr>
      </w:pPr>
      <w:r>
        <w:rPr>
          <w:rFonts w:ascii="Arial" w:hAnsi="Arial" w:cs="Arial"/>
          <w:sz w:val="28"/>
        </w:rPr>
        <w:t>（一）有关的法律、法规、行政规章及咨询对象所在省市的有关法律法规和政策</w:t>
      </w:r>
    </w:p>
    <w:p w14:paraId="4B68C447" w14:textId="77777777" w:rsidR="00000000" w:rsidRDefault="00000000">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《中华人民共和国土地管理法》（</w:t>
      </w:r>
      <w:r>
        <w:rPr>
          <w:rFonts w:ascii="Arial" w:hAnsi="Arial" w:cs="Arial"/>
          <w:sz w:val="28"/>
        </w:rPr>
        <w:t>1986</w:t>
      </w:r>
      <w:r>
        <w:rPr>
          <w:rFonts w:ascii="Arial" w:hAnsi="Arial" w:cs="Arial"/>
          <w:sz w:val="28"/>
        </w:rPr>
        <w:t>年</w:t>
      </w:r>
      <w:r>
        <w:rPr>
          <w:rFonts w:ascii="Arial" w:hAnsi="Arial" w:cs="Arial"/>
          <w:sz w:val="28"/>
        </w:rPr>
        <w:t>6</w:t>
      </w:r>
      <w:r>
        <w:rPr>
          <w:rFonts w:ascii="Arial" w:hAnsi="Arial" w:cs="Arial"/>
          <w:sz w:val="28"/>
        </w:rPr>
        <w:t>月</w:t>
      </w:r>
      <w:r>
        <w:rPr>
          <w:rFonts w:ascii="Arial" w:hAnsi="Arial" w:cs="Arial"/>
          <w:sz w:val="28"/>
        </w:rPr>
        <w:t>25</w:t>
      </w:r>
      <w:r>
        <w:rPr>
          <w:rFonts w:ascii="Arial" w:hAnsi="Arial" w:cs="Arial"/>
          <w:sz w:val="28"/>
        </w:rPr>
        <w:t>日第六届全国人民代表大会常务委员会第十六次会议通过，中华人民共和国主席令第</w:t>
      </w:r>
      <w:r>
        <w:rPr>
          <w:rFonts w:ascii="Arial" w:hAnsi="Arial" w:cs="Arial"/>
          <w:sz w:val="28"/>
        </w:rPr>
        <w:t>41</w:t>
      </w:r>
      <w:r>
        <w:rPr>
          <w:rFonts w:ascii="Arial" w:hAnsi="Arial" w:cs="Arial"/>
          <w:sz w:val="28"/>
        </w:rPr>
        <w:t>号公布，</w:t>
      </w:r>
      <w:r>
        <w:rPr>
          <w:rFonts w:ascii="Arial" w:hAnsi="Arial" w:cs="Arial"/>
          <w:sz w:val="28"/>
        </w:rPr>
        <w:t>1987</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1988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日第七届全国人民代表大会常务委员会第五次会议第一次修正通过，自</w:t>
      </w:r>
      <w:r>
        <w:rPr>
          <w:rFonts w:ascii="Arial" w:hAnsi="Arial" w:cs="Arial"/>
          <w:sz w:val="28"/>
        </w:rPr>
        <w:t>1988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日起施行；</w:t>
      </w:r>
      <w:r>
        <w:rPr>
          <w:rFonts w:ascii="Arial" w:hAnsi="Arial" w:cs="Arial"/>
          <w:sz w:val="28"/>
        </w:rPr>
        <w:t>1998</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29</w:t>
      </w:r>
      <w:r>
        <w:rPr>
          <w:rFonts w:ascii="Arial" w:hAnsi="Arial" w:cs="Arial"/>
          <w:sz w:val="28"/>
        </w:rPr>
        <w:t>日第九届全国人民代表大会常务委员会第四次会议修订通过，中华人民共和国主席令第</w:t>
      </w:r>
      <w:r>
        <w:rPr>
          <w:rFonts w:ascii="Arial" w:hAnsi="Arial" w:cs="Arial"/>
          <w:sz w:val="28"/>
        </w:rPr>
        <w:t>8</w:t>
      </w:r>
      <w:r>
        <w:rPr>
          <w:rFonts w:ascii="Arial" w:hAnsi="Arial" w:cs="Arial"/>
          <w:sz w:val="28"/>
        </w:rPr>
        <w:t>号公布，自</w:t>
      </w:r>
      <w:r>
        <w:rPr>
          <w:rFonts w:ascii="Arial" w:hAnsi="Arial" w:cs="Arial"/>
          <w:sz w:val="28"/>
        </w:rPr>
        <w:t>1999</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2004</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28</w:t>
      </w:r>
      <w:r>
        <w:rPr>
          <w:rFonts w:ascii="Arial" w:hAnsi="Arial" w:cs="Arial"/>
          <w:sz w:val="28"/>
        </w:rPr>
        <w:t>日第十届全国人民代表大会常务委员会第十一次会议第二次修正通过，中华人民共和国主席令第</w:t>
      </w:r>
      <w:r>
        <w:rPr>
          <w:rFonts w:ascii="Arial" w:hAnsi="Arial" w:cs="Arial"/>
          <w:sz w:val="28"/>
        </w:rPr>
        <w:t>28</w:t>
      </w:r>
      <w:r>
        <w:rPr>
          <w:rFonts w:ascii="Arial" w:hAnsi="Arial" w:cs="Arial"/>
          <w:sz w:val="28"/>
        </w:rPr>
        <w:t>号公布，自公布起日起施行；</w:t>
      </w:r>
      <w:r>
        <w:rPr>
          <w:rFonts w:ascii="Arial" w:hAnsi="Arial" w:cs="Arial"/>
          <w:sz w:val="28"/>
        </w:rPr>
        <w:t>2019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26</w:t>
      </w:r>
      <w:r>
        <w:rPr>
          <w:rFonts w:ascii="Arial" w:hAnsi="Arial" w:cs="Arial"/>
          <w:sz w:val="28"/>
        </w:rPr>
        <w:t>日第十三届全国人民代表大会常务委员会第十二次会议第三次修正通过，自</w:t>
      </w:r>
      <w:r>
        <w:rPr>
          <w:rFonts w:ascii="Arial" w:hAnsi="Arial" w:cs="Arial"/>
          <w:sz w:val="28"/>
        </w:rPr>
        <w:t>2020</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14:paraId="0D3EBB00" w14:textId="77777777" w:rsidR="00000000" w:rsidRDefault="00000000">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《中华人民共和国城市房地产管理法》（</w:t>
      </w:r>
      <w:r>
        <w:rPr>
          <w:rFonts w:ascii="Arial" w:hAnsi="Arial" w:cs="Arial"/>
          <w:sz w:val="28"/>
        </w:rPr>
        <w:t>1994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5</w:t>
      </w:r>
      <w:r>
        <w:rPr>
          <w:rFonts w:ascii="Arial" w:hAnsi="Arial" w:cs="Arial"/>
          <w:sz w:val="28"/>
        </w:rPr>
        <w:t>日第八届全国人民代表大会常务委员会第八次会议通过，中华人民共和国主席令第</w:t>
      </w:r>
      <w:r>
        <w:rPr>
          <w:rFonts w:ascii="Arial" w:hAnsi="Arial" w:cs="Arial"/>
          <w:sz w:val="28"/>
        </w:rPr>
        <w:t>29</w:t>
      </w:r>
      <w:r>
        <w:rPr>
          <w:rFonts w:ascii="Arial" w:hAnsi="Arial" w:cs="Arial"/>
          <w:sz w:val="28"/>
        </w:rPr>
        <w:t>号公布，自</w:t>
      </w:r>
      <w:r>
        <w:rPr>
          <w:rFonts w:ascii="Arial" w:hAnsi="Arial" w:cs="Arial"/>
          <w:sz w:val="28"/>
        </w:rPr>
        <w:t>1995</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2007</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30</w:t>
      </w:r>
      <w:r>
        <w:rPr>
          <w:rFonts w:ascii="Arial" w:hAnsi="Arial" w:cs="Arial"/>
          <w:sz w:val="28"/>
        </w:rPr>
        <w:t>日第十届全国人民代表大会常务委员会第二十九次会议通过第一次修正通过，中华人民共和国主席令第</w:t>
      </w:r>
      <w:r>
        <w:rPr>
          <w:rFonts w:ascii="Arial" w:hAnsi="Arial" w:cs="Arial"/>
          <w:sz w:val="28"/>
        </w:rPr>
        <w:t>72</w:t>
      </w:r>
      <w:r>
        <w:rPr>
          <w:rFonts w:ascii="Arial" w:hAnsi="Arial" w:cs="Arial"/>
          <w:sz w:val="28"/>
        </w:rPr>
        <w:t>号公布，自公布之日起施行；</w:t>
      </w:r>
      <w:r>
        <w:rPr>
          <w:rFonts w:ascii="Arial" w:hAnsi="Arial" w:cs="Arial"/>
          <w:sz w:val="28"/>
        </w:rPr>
        <w:t>2009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27</w:t>
      </w:r>
      <w:r>
        <w:rPr>
          <w:rFonts w:ascii="Arial" w:hAnsi="Arial" w:cs="Arial"/>
          <w:sz w:val="28"/>
        </w:rPr>
        <w:t>日第十一届全国人民代表大会常务委员会第十次会议第二次修正通过，中华人民共和国主席令第</w:t>
      </w:r>
      <w:r>
        <w:rPr>
          <w:rFonts w:ascii="Arial" w:hAnsi="Arial" w:cs="Arial"/>
          <w:sz w:val="28"/>
        </w:rPr>
        <w:t>18</w:t>
      </w:r>
      <w:r>
        <w:rPr>
          <w:rFonts w:ascii="Arial" w:hAnsi="Arial" w:cs="Arial"/>
          <w:sz w:val="28"/>
        </w:rPr>
        <w:t>号公布，自公布之日起施行；</w:t>
      </w:r>
      <w:r>
        <w:rPr>
          <w:rFonts w:ascii="Arial" w:hAnsi="Arial" w:cs="Arial"/>
          <w:sz w:val="28"/>
        </w:rPr>
        <w:t>2019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26</w:t>
      </w:r>
      <w:r>
        <w:rPr>
          <w:rFonts w:ascii="Arial" w:hAnsi="Arial" w:cs="Arial"/>
          <w:sz w:val="28"/>
        </w:rPr>
        <w:t>日第十三届全国人大常委会第十二次会议通过第三次修正，自</w:t>
      </w:r>
      <w:r>
        <w:rPr>
          <w:rFonts w:ascii="Arial" w:hAnsi="Arial" w:cs="Arial"/>
          <w:sz w:val="28"/>
        </w:rPr>
        <w:t>2020</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14:paraId="3A98B55C" w14:textId="77777777" w:rsidR="00000000" w:rsidRDefault="00000000">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《中华人民共和国城乡规划法》（</w:t>
      </w:r>
      <w:r>
        <w:rPr>
          <w:rFonts w:ascii="Arial" w:hAnsi="Arial" w:cs="Arial"/>
          <w:sz w:val="28"/>
        </w:rPr>
        <w:t xml:space="preserve">2007 </w:t>
      </w:r>
      <w:r>
        <w:rPr>
          <w:rFonts w:ascii="Arial" w:hAnsi="Arial" w:cs="Arial"/>
          <w:sz w:val="28"/>
        </w:rPr>
        <w:t>年</w:t>
      </w:r>
      <w:r>
        <w:rPr>
          <w:rFonts w:ascii="Arial" w:hAnsi="Arial" w:cs="Arial"/>
          <w:sz w:val="28"/>
        </w:rPr>
        <w:t xml:space="preserve"> 10 </w:t>
      </w:r>
      <w:r>
        <w:rPr>
          <w:rFonts w:ascii="Arial" w:hAnsi="Arial" w:cs="Arial"/>
          <w:sz w:val="28"/>
        </w:rPr>
        <w:t>月</w:t>
      </w:r>
      <w:r>
        <w:rPr>
          <w:rFonts w:ascii="Arial" w:hAnsi="Arial" w:cs="Arial"/>
          <w:sz w:val="28"/>
        </w:rPr>
        <w:t xml:space="preserve"> 28 </w:t>
      </w:r>
      <w:r>
        <w:rPr>
          <w:rFonts w:ascii="Arial" w:hAnsi="Arial" w:cs="Arial"/>
          <w:sz w:val="28"/>
        </w:rPr>
        <w:t>日第十届全国人民代表大会常务委员会第三十次会议通过，中华人民共和国主席令第</w:t>
      </w:r>
      <w:r>
        <w:rPr>
          <w:rFonts w:ascii="Arial" w:hAnsi="Arial" w:cs="Arial"/>
          <w:sz w:val="28"/>
        </w:rPr>
        <w:t>74</w:t>
      </w:r>
      <w:r>
        <w:rPr>
          <w:rFonts w:ascii="Arial" w:hAnsi="Arial" w:cs="Arial"/>
          <w:sz w:val="28"/>
        </w:rPr>
        <w:lastRenderedPageBreak/>
        <w:t>号，自公布之日起施行；根据</w:t>
      </w:r>
      <w:r>
        <w:rPr>
          <w:rFonts w:ascii="Arial" w:hAnsi="Arial" w:cs="Arial"/>
          <w:sz w:val="28"/>
        </w:rPr>
        <w:t xml:space="preserve"> 2015 </w:t>
      </w:r>
      <w:r>
        <w:rPr>
          <w:rFonts w:ascii="Arial" w:hAnsi="Arial" w:cs="Arial"/>
          <w:sz w:val="28"/>
        </w:rPr>
        <w:t>年</w:t>
      </w:r>
      <w:r>
        <w:rPr>
          <w:rFonts w:ascii="Arial" w:hAnsi="Arial" w:cs="Arial"/>
          <w:sz w:val="28"/>
        </w:rPr>
        <w:t xml:space="preserve"> 4 </w:t>
      </w:r>
      <w:r>
        <w:rPr>
          <w:rFonts w:ascii="Arial" w:hAnsi="Arial" w:cs="Arial"/>
          <w:sz w:val="28"/>
        </w:rPr>
        <w:t>月</w:t>
      </w:r>
      <w:r>
        <w:rPr>
          <w:rFonts w:ascii="Arial" w:hAnsi="Arial" w:cs="Arial"/>
          <w:sz w:val="28"/>
        </w:rPr>
        <w:t xml:space="preserve"> 24 </w:t>
      </w:r>
      <w:r>
        <w:rPr>
          <w:rFonts w:ascii="Arial" w:hAnsi="Arial" w:cs="Arial"/>
          <w:sz w:val="28"/>
        </w:rPr>
        <w:t>日第十二届全国人民代表大会常务委员会第十四次会议通过第一次修正，中华人民共和国主席令第</w:t>
      </w:r>
      <w:r>
        <w:rPr>
          <w:rFonts w:ascii="Arial" w:hAnsi="Arial" w:cs="Arial"/>
          <w:sz w:val="28"/>
        </w:rPr>
        <w:t>23</w:t>
      </w:r>
      <w:r>
        <w:rPr>
          <w:rFonts w:ascii="Arial" w:hAnsi="Arial" w:cs="Arial"/>
          <w:sz w:val="28"/>
        </w:rPr>
        <w:t>号公布，自公布之日起施行；根据</w:t>
      </w:r>
      <w:r>
        <w:rPr>
          <w:rFonts w:ascii="Arial" w:hAnsi="Arial" w:cs="Arial"/>
          <w:sz w:val="28"/>
        </w:rPr>
        <w:t>2019</w:t>
      </w:r>
      <w:r>
        <w:rPr>
          <w:rFonts w:ascii="Arial" w:hAnsi="Arial" w:cs="Arial"/>
          <w:sz w:val="28"/>
        </w:rPr>
        <w:t>年</w:t>
      </w:r>
      <w:r>
        <w:rPr>
          <w:rFonts w:ascii="Arial" w:hAnsi="Arial" w:cs="Arial"/>
          <w:sz w:val="28"/>
        </w:rPr>
        <w:t>4</w:t>
      </w:r>
      <w:r>
        <w:rPr>
          <w:rFonts w:ascii="Arial" w:hAnsi="Arial" w:cs="Arial"/>
          <w:sz w:val="28"/>
        </w:rPr>
        <w:t>月</w:t>
      </w:r>
      <w:r>
        <w:rPr>
          <w:rFonts w:ascii="Arial" w:hAnsi="Arial" w:cs="Arial"/>
          <w:sz w:val="28"/>
        </w:rPr>
        <w:t>23</w:t>
      </w:r>
      <w:r>
        <w:rPr>
          <w:rFonts w:ascii="Arial" w:hAnsi="Arial" w:cs="Arial"/>
          <w:sz w:val="28"/>
        </w:rPr>
        <w:t>日第十三届全国人民代表大会常务委员会第十次会议通过第二次修正，自公布之日起施行）</w:t>
      </w:r>
    </w:p>
    <w:p w14:paraId="0F725368" w14:textId="77777777" w:rsidR="00000000" w:rsidRDefault="00000000">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《中华人民共和国资产评估法》（</w:t>
      </w:r>
      <w:r>
        <w:rPr>
          <w:rFonts w:ascii="Arial" w:hAnsi="Arial" w:cs="Arial"/>
          <w:sz w:val="28"/>
        </w:rPr>
        <w:t>2016</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w:t>
      </w:r>
      <w:r>
        <w:rPr>
          <w:rFonts w:ascii="Arial" w:hAnsi="Arial" w:cs="Arial"/>
          <w:sz w:val="28"/>
        </w:rPr>
        <w:t>日第十二届全国人民代表大会常务委员会第二十一次会议通过，</w:t>
      </w:r>
      <w:r>
        <w:rPr>
          <w:rFonts w:ascii="Arial" w:hAnsi="Arial" w:cs="Arial"/>
          <w:sz w:val="28"/>
        </w:rPr>
        <w:t>2016</w:t>
      </w:r>
      <w:r>
        <w:rPr>
          <w:rFonts w:ascii="Arial" w:hAnsi="Arial" w:cs="Arial"/>
          <w:sz w:val="28"/>
        </w:rPr>
        <w:t>年</w:t>
      </w:r>
      <w:r>
        <w:rPr>
          <w:rFonts w:ascii="Arial" w:hAnsi="Arial" w:cs="Arial"/>
          <w:sz w:val="28"/>
        </w:rPr>
        <w:t>3</w:t>
      </w:r>
      <w:r>
        <w:rPr>
          <w:rFonts w:ascii="Arial" w:hAnsi="Arial" w:cs="Arial"/>
          <w:sz w:val="28"/>
        </w:rPr>
        <w:t>月</w:t>
      </w:r>
      <w:r>
        <w:rPr>
          <w:rFonts w:ascii="Arial" w:hAnsi="Arial" w:cs="Arial"/>
          <w:sz w:val="28"/>
        </w:rPr>
        <w:t>16</w:t>
      </w:r>
      <w:r>
        <w:rPr>
          <w:rFonts w:ascii="Arial" w:hAnsi="Arial" w:cs="Arial"/>
          <w:sz w:val="28"/>
        </w:rPr>
        <w:t>日中华人民共和国主席令第</w:t>
      </w:r>
      <w:r>
        <w:rPr>
          <w:rFonts w:ascii="Arial" w:hAnsi="Arial" w:cs="Arial"/>
          <w:sz w:val="28"/>
        </w:rPr>
        <w:t>46</w:t>
      </w:r>
      <w:r>
        <w:rPr>
          <w:rFonts w:ascii="Arial" w:hAnsi="Arial" w:cs="Arial"/>
          <w:sz w:val="28"/>
        </w:rPr>
        <w:t>号公布，自</w:t>
      </w:r>
      <w:r>
        <w:rPr>
          <w:rFonts w:ascii="Arial" w:hAnsi="Arial" w:cs="Arial"/>
          <w:sz w:val="28"/>
        </w:rPr>
        <w:t>2016</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1</w:t>
      </w:r>
      <w:r>
        <w:rPr>
          <w:rFonts w:ascii="Arial" w:hAnsi="Arial" w:cs="Arial"/>
          <w:sz w:val="28"/>
        </w:rPr>
        <w:t>日起施行）</w:t>
      </w:r>
    </w:p>
    <w:p w14:paraId="2FF66D1C" w14:textId="77777777" w:rsidR="00000000" w:rsidRDefault="00000000">
      <w:pPr>
        <w:spacing w:line="360" w:lineRule="auto"/>
        <w:ind w:firstLineChars="200" w:firstLine="560"/>
        <w:jc w:val="both"/>
        <w:rPr>
          <w:rFonts w:ascii="Arial" w:hAnsi="Arial" w:cs="Arial"/>
          <w:sz w:val="28"/>
        </w:rPr>
      </w:pPr>
      <w:r>
        <w:rPr>
          <w:rFonts w:ascii="Arial" w:hAnsi="Arial" w:cs="Arial"/>
          <w:sz w:val="28"/>
        </w:rPr>
        <w:t>5.</w:t>
      </w:r>
      <w:r>
        <w:rPr>
          <w:rFonts w:ascii="Arial" w:hAnsi="Arial" w:cs="Arial"/>
          <w:sz w:val="28"/>
        </w:rPr>
        <w:t>《中华人民共和国民法典》（</w:t>
      </w:r>
      <w:r>
        <w:rPr>
          <w:rFonts w:ascii="Arial" w:hAnsi="Arial" w:cs="Arial"/>
          <w:sz w:val="28"/>
        </w:rPr>
        <w:t>2020</w:t>
      </w:r>
      <w:r>
        <w:rPr>
          <w:rFonts w:ascii="Arial" w:hAnsi="Arial" w:cs="Arial"/>
          <w:sz w:val="28"/>
        </w:rPr>
        <w:t>年</w:t>
      </w:r>
      <w:r>
        <w:rPr>
          <w:rFonts w:ascii="Arial" w:hAnsi="Arial" w:cs="Arial"/>
          <w:sz w:val="28"/>
        </w:rPr>
        <w:t>5</w:t>
      </w:r>
      <w:r>
        <w:rPr>
          <w:rFonts w:ascii="Arial" w:hAnsi="Arial" w:cs="Arial"/>
          <w:sz w:val="28"/>
        </w:rPr>
        <w:t>月</w:t>
      </w:r>
      <w:r>
        <w:rPr>
          <w:rFonts w:ascii="Arial" w:hAnsi="Arial" w:cs="Arial"/>
          <w:sz w:val="28"/>
        </w:rPr>
        <w:t>28</w:t>
      </w:r>
      <w:r>
        <w:rPr>
          <w:rFonts w:ascii="Arial" w:hAnsi="Arial" w:cs="Arial"/>
          <w:sz w:val="28"/>
        </w:rPr>
        <w:t>日第十三届全国人大三次会议表决通过，自</w:t>
      </w:r>
      <w:r>
        <w:rPr>
          <w:rFonts w:ascii="Arial" w:hAnsi="Arial" w:cs="Arial"/>
          <w:sz w:val="28"/>
        </w:rPr>
        <w:t>2021</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14:paraId="1BC4AB15" w14:textId="77777777" w:rsidR="00000000" w:rsidRDefault="00000000">
      <w:pPr>
        <w:spacing w:line="360" w:lineRule="auto"/>
        <w:ind w:firstLineChars="200" w:firstLine="560"/>
        <w:jc w:val="both"/>
        <w:rPr>
          <w:rFonts w:ascii="Arial" w:hAnsi="Arial" w:cs="Arial"/>
          <w:sz w:val="28"/>
        </w:rPr>
      </w:pPr>
      <w:r>
        <w:rPr>
          <w:rFonts w:ascii="Arial" w:hAnsi="Arial" w:cs="Arial"/>
          <w:sz w:val="28"/>
        </w:rPr>
        <w:t>6.</w:t>
      </w:r>
      <w:r>
        <w:rPr>
          <w:rFonts w:ascii="Arial" w:hAnsi="Arial" w:cs="Arial"/>
          <w:sz w:val="28"/>
        </w:rPr>
        <w:t>《中华人民共和国城镇国有土地使用权出让和转让暂行条例》（</w:t>
      </w:r>
      <w:r>
        <w:rPr>
          <w:rFonts w:ascii="Arial" w:hAnsi="Arial" w:cs="Arial"/>
          <w:sz w:val="28"/>
        </w:rPr>
        <w:t>1990</w:t>
      </w:r>
      <w:r>
        <w:rPr>
          <w:rFonts w:ascii="Arial" w:hAnsi="Arial" w:cs="Arial"/>
          <w:sz w:val="28"/>
        </w:rPr>
        <w:t>年</w:t>
      </w:r>
      <w:r>
        <w:rPr>
          <w:rFonts w:ascii="Arial" w:hAnsi="Arial" w:cs="Arial"/>
          <w:sz w:val="28"/>
        </w:rPr>
        <w:t>5</w:t>
      </w:r>
      <w:r>
        <w:rPr>
          <w:rFonts w:ascii="Arial" w:hAnsi="Arial" w:cs="Arial"/>
          <w:sz w:val="28"/>
        </w:rPr>
        <w:t>月</w:t>
      </w:r>
      <w:r>
        <w:rPr>
          <w:rFonts w:ascii="Arial" w:hAnsi="Arial" w:cs="Arial"/>
          <w:sz w:val="28"/>
        </w:rPr>
        <w:t>19</w:t>
      </w:r>
      <w:r>
        <w:rPr>
          <w:rFonts w:ascii="Arial" w:hAnsi="Arial" w:cs="Arial"/>
          <w:sz w:val="28"/>
        </w:rPr>
        <w:t>日中华人民共和国国务院令第</w:t>
      </w:r>
      <w:r>
        <w:rPr>
          <w:rFonts w:ascii="Arial" w:hAnsi="Arial" w:cs="Arial"/>
          <w:sz w:val="28"/>
        </w:rPr>
        <w:t>55</w:t>
      </w:r>
      <w:r>
        <w:rPr>
          <w:rFonts w:ascii="Arial" w:hAnsi="Arial" w:cs="Arial"/>
          <w:sz w:val="28"/>
        </w:rPr>
        <w:t>号发布，自发布之日起施行）</w:t>
      </w:r>
    </w:p>
    <w:p w14:paraId="62E40B49" w14:textId="77777777" w:rsidR="00000000" w:rsidRDefault="00000000">
      <w:pPr>
        <w:spacing w:line="360" w:lineRule="auto"/>
        <w:ind w:firstLineChars="200" w:firstLine="560"/>
        <w:jc w:val="both"/>
        <w:rPr>
          <w:rFonts w:ascii="Arial" w:hAnsi="Arial" w:cs="Arial"/>
          <w:sz w:val="28"/>
        </w:rPr>
      </w:pPr>
      <w:r>
        <w:rPr>
          <w:rFonts w:ascii="Arial" w:hAnsi="Arial" w:cs="Arial"/>
          <w:sz w:val="28"/>
        </w:rPr>
        <w:t>7.</w:t>
      </w:r>
      <w:r>
        <w:rPr>
          <w:rFonts w:ascii="Arial" w:hAnsi="Arial" w:cs="Arial"/>
          <w:sz w:val="28"/>
        </w:rPr>
        <w:t>《中华人民共和国土地管理法实施条例》（</w:t>
      </w:r>
      <w:r>
        <w:rPr>
          <w:rFonts w:ascii="Arial" w:hAnsi="Arial" w:cs="Arial"/>
          <w:sz w:val="28"/>
        </w:rPr>
        <w:t>1998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24</w:t>
      </w:r>
      <w:r>
        <w:rPr>
          <w:rFonts w:ascii="Arial" w:hAnsi="Arial" w:cs="Arial"/>
          <w:sz w:val="28"/>
        </w:rPr>
        <w:t>日国务院第</w:t>
      </w:r>
      <w:r>
        <w:rPr>
          <w:rFonts w:ascii="Arial" w:hAnsi="Arial" w:cs="Arial"/>
          <w:sz w:val="28"/>
        </w:rPr>
        <w:t>12</w:t>
      </w:r>
      <w:r>
        <w:rPr>
          <w:rFonts w:ascii="Arial" w:hAnsi="Arial" w:cs="Arial"/>
          <w:sz w:val="28"/>
        </w:rPr>
        <w:t>次常务会议通过</w:t>
      </w:r>
      <w:r>
        <w:rPr>
          <w:rFonts w:ascii="Arial" w:hAnsi="Arial" w:cs="Arial"/>
          <w:sz w:val="28"/>
        </w:rPr>
        <w:t xml:space="preserve"> </w:t>
      </w:r>
      <w:r>
        <w:rPr>
          <w:rFonts w:ascii="Arial" w:hAnsi="Arial" w:cs="Arial"/>
          <w:sz w:val="28"/>
        </w:rPr>
        <w:t>，</w:t>
      </w:r>
      <w:r>
        <w:rPr>
          <w:rFonts w:ascii="Arial" w:hAnsi="Arial" w:cs="Arial"/>
          <w:sz w:val="28"/>
        </w:rPr>
        <w:t>1998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27</w:t>
      </w:r>
      <w:r>
        <w:rPr>
          <w:rFonts w:ascii="Arial" w:hAnsi="Arial" w:cs="Arial"/>
          <w:sz w:val="28"/>
        </w:rPr>
        <w:t>日中华人民共和国国务院令第</w:t>
      </w:r>
      <w:r>
        <w:rPr>
          <w:rFonts w:ascii="Arial" w:hAnsi="Arial" w:cs="Arial"/>
          <w:sz w:val="28"/>
        </w:rPr>
        <w:t>256</w:t>
      </w:r>
      <w:r>
        <w:rPr>
          <w:rFonts w:ascii="Arial" w:hAnsi="Arial" w:cs="Arial"/>
          <w:sz w:val="28"/>
        </w:rPr>
        <w:t>号发布，自</w:t>
      </w:r>
      <w:r>
        <w:rPr>
          <w:rFonts w:ascii="Arial" w:hAnsi="Arial" w:cs="Arial"/>
          <w:sz w:val="28"/>
        </w:rPr>
        <w:t>1999</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2010</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日国务院第</w:t>
      </w:r>
      <w:r>
        <w:rPr>
          <w:rFonts w:ascii="Arial" w:hAnsi="Arial" w:cs="Arial"/>
          <w:sz w:val="28"/>
        </w:rPr>
        <w:t>138</w:t>
      </w:r>
      <w:r>
        <w:rPr>
          <w:rFonts w:ascii="Arial" w:hAnsi="Arial" w:cs="Arial"/>
          <w:sz w:val="28"/>
        </w:rPr>
        <w:t>次常务会议第一次修正通过，</w:t>
      </w:r>
      <w:r>
        <w:rPr>
          <w:rFonts w:ascii="Arial" w:hAnsi="Arial" w:cs="Arial"/>
          <w:sz w:val="28"/>
        </w:rPr>
        <w:t>2011</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8</w:t>
      </w:r>
      <w:r>
        <w:rPr>
          <w:rFonts w:ascii="Arial" w:hAnsi="Arial" w:cs="Arial"/>
          <w:sz w:val="28"/>
        </w:rPr>
        <w:t>日中华人民共和国国务院令第</w:t>
      </w:r>
      <w:r>
        <w:rPr>
          <w:rFonts w:ascii="Arial" w:hAnsi="Arial" w:cs="Arial"/>
          <w:sz w:val="28"/>
        </w:rPr>
        <w:t>588</w:t>
      </w:r>
      <w:r>
        <w:rPr>
          <w:rFonts w:ascii="Arial" w:hAnsi="Arial" w:cs="Arial"/>
          <w:sz w:val="28"/>
        </w:rPr>
        <w:t>号发布，自发布之日起施行；</w:t>
      </w:r>
      <w:r>
        <w:rPr>
          <w:rFonts w:ascii="Arial" w:hAnsi="Arial" w:cs="Arial"/>
          <w:sz w:val="28"/>
        </w:rPr>
        <w:t>2014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9</w:t>
      </w:r>
      <w:r>
        <w:rPr>
          <w:rFonts w:ascii="Arial" w:hAnsi="Arial" w:cs="Arial"/>
          <w:sz w:val="28"/>
        </w:rPr>
        <w:t>日国务院第</w:t>
      </w:r>
      <w:r>
        <w:rPr>
          <w:rFonts w:ascii="Arial" w:hAnsi="Arial" w:cs="Arial"/>
          <w:sz w:val="28"/>
        </w:rPr>
        <w:t>54</w:t>
      </w:r>
      <w:r>
        <w:rPr>
          <w:rFonts w:ascii="Arial" w:hAnsi="Arial" w:cs="Arial"/>
          <w:sz w:val="28"/>
        </w:rPr>
        <w:t>次常务会议第二次修正通过，</w:t>
      </w:r>
      <w:r>
        <w:rPr>
          <w:rFonts w:ascii="Arial" w:hAnsi="Arial" w:cs="Arial"/>
          <w:sz w:val="28"/>
        </w:rPr>
        <w:t>2014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29</w:t>
      </w:r>
      <w:r>
        <w:rPr>
          <w:rFonts w:ascii="Arial" w:hAnsi="Arial" w:cs="Arial"/>
          <w:sz w:val="28"/>
        </w:rPr>
        <w:t>日中华人民共和国国务院令第</w:t>
      </w:r>
      <w:r>
        <w:rPr>
          <w:rFonts w:ascii="Arial" w:hAnsi="Arial" w:cs="Arial"/>
          <w:sz w:val="28"/>
        </w:rPr>
        <w:t>653</w:t>
      </w:r>
      <w:r>
        <w:rPr>
          <w:rFonts w:ascii="Arial" w:hAnsi="Arial" w:cs="Arial"/>
          <w:sz w:val="28"/>
        </w:rPr>
        <w:t>号公布，自公布之日起施行；</w:t>
      </w:r>
      <w:r>
        <w:rPr>
          <w:rFonts w:ascii="Arial" w:hAnsi="Arial" w:cs="Arial"/>
          <w:sz w:val="28"/>
        </w:rPr>
        <w:t>2021</w:t>
      </w:r>
      <w:r>
        <w:rPr>
          <w:rFonts w:ascii="Arial" w:hAnsi="Arial" w:cs="Arial"/>
          <w:sz w:val="28"/>
        </w:rPr>
        <w:t>年</w:t>
      </w:r>
      <w:r>
        <w:rPr>
          <w:rFonts w:ascii="Arial" w:hAnsi="Arial" w:cs="Arial"/>
          <w:sz w:val="28"/>
        </w:rPr>
        <w:t>4</w:t>
      </w:r>
      <w:r>
        <w:rPr>
          <w:rFonts w:ascii="Arial" w:hAnsi="Arial" w:cs="Arial"/>
          <w:sz w:val="28"/>
        </w:rPr>
        <w:t>月</w:t>
      </w:r>
      <w:r>
        <w:rPr>
          <w:rFonts w:ascii="Arial" w:hAnsi="Arial" w:cs="Arial"/>
          <w:sz w:val="28"/>
        </w:rPr>
        <w:t>21</w:t>
      </w:r>
      <w:r>
        <w:rPr>
          <w:rFonts w:ascii="Arial" w:hAnsi="Arial" w:cs="Arial"/>
          <w:sz w:val="28"/>
        </w:rPr>
        <w:t>日国务院第</w:t>
      </w:r>
      <w:r>
        <w:rPr>
          <w:rFonts w:ascii="Arial" w:hAnsi="Arial" w:cs="Arial"/>
          <w:sz w:val="28"/>
        </w:rPr>
        <w:t>132</w:t>
      </w:r>
      <w:r>
        <w:rPr>
          <w:rFonts w:ascii="Arial" w:hAnsi="Arial" w:cs="Arial"/>
          <w:sz w:val="28"/>
        </w:rPr>
        <w:t>次会议第三次修订通过，</w:t>
      </w:r>
      <w:r>
        <w:rPr>
          <w:rFonts w:ascii="Arial" w:hAnsi="Arial" w:cs="Arial"/>
          <w:sz w:val="28"/>
        </w:rPr>
        <w:t>2021</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w:t>
      </w:r>
      <w:r>
        <w:rPr>
          <w:rFonts w:ascii="Arial" w:hAnsi="Arial" w:cs="Arial"/>
          <w:sz w:val="28"/>
        </w:rPr>
        <w:t>日中华人民共和国国务院令第</w:t>
      </w:r>
      <w:r>
        <w:rPr>
          <w:rFonts w:ascii="Arial" w:hAnsi="Arial" w:cs="Arial"/>
          <w:sz w:val="28"/>
        </w:rPr>
        <w:t>743</w:t>
      </w:r>
      <w:r>
        <w:rPr>
          <w:rFonts w:ascii="Arial" w:hAnsi="Arial" w:cs="Arial"/>
          <w:sz w:val="28"/>
        </w:rPr>
        <w:t>号公布，自</w:t>
      </w:r>
      <w:r>
        <w:rPr>
          <w:rFonts w:ascii="Arial" w:hAnsi="Arial" w:cs="Arial"/>
          <w:sz w:val="28"/>
        </w:rPr>
        <w:t>2021</w:t>
      </w:r>
      <w:r>
        <w:rPr>
          <w:rFonts w:ascii="Arial" w:hAnsi="Arial" w:cs="Arial"/>
          <w:sz w:val="28"/>
        </w:rPr>
        <w:t>年</w:t>
      </w:r>
      <w:r>
        <w:rPr>
          <w:rFonts w:ascii="Arial" w:hAnsi="Arial" w:cs="Arial"/>
          <w:sz w:val="28"/>
        </w:rPr>
        <w:t>9</w:t>
      </w:r>
      <w:r>
        <w:rPr>
          <w:rFonts w:ascii="Arial" w:hAnsi="Arial" w:cs="Arial"/>
          <w:sz w:val="28"/>
        </w:rPr>
        <w:t>月</w:t>
      </w:r>
      <w:r>
        <w:rPr>
          <w:rFonts w:ascii="Arial" w:hAnsi="Arial" w:cs="Arial"/>
          <w:sz w:val="28"/>
        </w:rPr>
        <w:t>1</w:t>
      </w:r>
      <w:r>
        <w:rPr>
          <w:rFonts w:ascii="Arial" w:hAnsi="Arial" w:cs="Arial"/>
          <w:sz w:val="28"/>
        </w:rPr>
        <w:t>日起施行）</w:t>
      </w:r>
    </w:p>
    <w:p w14:paraId="6191D45F" w14:textId="77777777" w:rsidR="00000000" w:rsidRDefault="00000000">
      <w:pPr>
        <w:spacing w:line="360" w:lineRule="auto"/>
        <w:ind w:firstLineChars="200" w:firstLine="560"/>
        <w:jc w:val="both"/>
      </w:pPr>
      <w:r>
        <w:rPr>
          <w:rFonts w:ascii="Arial" w:hAnsi="Arial" w:cs="Arial" w:hint="eastAsia"/>
          <w:sz w:val="28"/>
        </w:rPr>
        <w:t>8</w:t>
      </w:r>
      <w:r>
        <w:rPr>
          <w:rFonts w:ascii="Arial" w:hAnsi="Arial" w:cs="Arial"/>
          <w:sz w:val="28"/>
        </w:rPr>
        <w:t>.</w:t>
      </w:r>
      <w:r>
        <w:rPr>
          <w:rFonts w:ascii="Arial" w:hAnsi="Arial" w:cs="Arial"/>
          <w:sz w:val="28"/>
        </w:rPr>
        <w:t>《关于我市利用集体土地建设租赁住房相关政策的补充意见》</w:t>
      </w:r>
      <w:r>
        <w:rPr>
          <w:rFonts w:ascii="Arial" w:hAnsi="Arial" w:cs="Arial" w:hint="eastAsia"/>
          <w:sz w:val="28"/>
        </w:rPr>
        <w:t>[</w:t>
      </w:r>
      <w:r>
        <w:rPr>
          <w:rFonts w:ascii="Arial" w:hAnsi="Arial" w:cs="Arial" w:hint="eastAsia"/>
          <w:sz w:val="28"/>
        </w:rPr>
        <w:t>京规自发</w:t>
      </w:r>
      <w:r>
        <w:rPr>
          <w:rFonts w:ascii="Arial" w:hAnsi="Arial" w:cs="Arial" w:hint="eastAsia"/>
          <w:sz w:val="28"/>
        </w:rPr>
        <w:t>[2018]64</w:t>
      </w:r>
      <w:r>
        <w:rPr>
          <w:rFonts w:ascii="Arial" w:hAnsi="Arial" w:cs="Arial" w:hint="eastAsia"/>
          <w:sz w:val="28"/>
        </w:rPr>
        <w:t>号</w:t>
      </w:r>
      <w:r>
        <w:rPr>
          <w:rFonts w:ascii="Arial" w:hAnsi="Arial" w:cs="Arial" w:hint="eastAsia"/>
          <w:sz w:val="28"/>
        </w:rPr>
        <w:t>]</w:t>
      </w:r>
    </w:p>
    <w:p w14:paraId="328D2D15" w14:textId="77777777" w:rsidR="00000000" w:rsidRDefault="00000000">
      <w:pPr>
        <w:spacing w:line="360" w:lineRule="auto"/>
        <w:ind w:firstLineChars="200" w:firstLine="560"/>
        <w:jc w:val="both"/>
        <w:rPr>
          <w:rFonts w:ascii="Arial" w:hAnsi="Arial" w:cs="Arial"/>
          <w:sz w:val="28"/>
        </w:rPr>
      </w:pPr>
      <w:r>
        <w:rPr>
          <w:rFonts w:ascii="Arial" w:hAnsi="Arial" w:cs="Arial"/>
          <w:sz w:val="28"/>
        </w:rPr>
        <w:t>9.</w:t>
      </w:r>
      <w:r>
        <w:rPr>
          <w:rFonts w:ascii="Arial" w:hAnsi="Arial" w:cs="Arial"/>
          <w:sz w:val="28"/>
        </w:rPr>
        <w:t>《关于进一步加强全市集体土地租赁住房规划建设管理的意见》</w:t>
      </w:r>
      <w:r>
        <w:rPr>
          <w:rFonts w:ascii="Arial" w:hAnsi="Arial" w:cs="Arial"/>
          <w:sz w:val="28"/>
        </w:rPr>
        <w:t>[</w:t>
      </w:r>
      <w:r>
        <w:rPr>
          <w:rFonts w:ascii="Arial" w:hAnsi="Arial" w:cs="Arial"/>
          <w:sz w:val="28"/>
        </w:rPr>
        <w:t>京建发〔</w:t>
      </w:r>
      <w:r>
        <w:rPr>
          <w:rFonts w:ascii="Arial" w:hAnsi="Arial" w:cs="Arial"/>
          <w:sz w:val="28"/>
        </w:rPr>
        <w:t>2020</w:t>
      </w:r>
      <w:r>
        <w:rPr>
          <w:rFonts w:ascii="Arial" w:hAnsi="Arial" w:cs="Arial"/>
          <w:sz w:val="28"/>
        </w:rPr>
        <w:t>〕</w:t>
      </w:r>
      <w:r>
        <w:rPr>
          <w:rFonts w:ascii="Arial" w:hAnsi="Arial" w:cs="Arial"/>
          <w:sz w:val="28"/>
        </w:rPr>
        <w:t>365</w:t>
      </w:r>
      <w:r>
        <w:rPr>
          <w:rFonts w:ascii="Arial" w:hAnsi="Arial" w:cs="Arial"/>
          <w:sz w:val="28"/>
        </w:rPr>
        <w:t>号</w:t>
      </w:r>
      <w:r>
        <w:rPr>
          <w:rFonts w:ascii="Arial" w:hAnsi="Arial" w:cs="Arial"/>
          <w:sz w:val="28"/>
        </w:rPr>
        <w:t>]</w:t>
      </w:r>
    </w:p>
    <w:p w14:paraId="6D076009" w14:textId="77777777" w:rsidR="00000000" w:rsidRDefault="00000000">
      <w:pPr>
        <w:spacing w:line="360" w:lineRule="auto"/>
        <w:ind w:firstLineChars="200" w:firstLine="560"/>
        <w:jc w:val="both"/>
        <w:rPr>
          <w:rFonts w:ascii="Arial" w:hAnsi="Arial" w:cs="Arial"/>
          <w:sz w:val="28"/>
        </w:rPr>
      </w:pPr>
      <w:r>
        <w:rPr>
          <w:rFonts w:ascii="Arial" w:hAnsi="Arial" w:cs="Arial"/>
          <w:sz w:val="28"/>
        </w:rPr>
        <w:t>10.</w:t>
      </w:r>
      <w:r>
        <w:rPr>
          <w:rFonts w:ascii="Arial" w:hAnsi="Arial" w:cs="Arial"/>
          <w:sz w:val="28"/>
        </w:rPr>
        <w:t>《北京市关于加快发展保障性租赁住房的实施方案》的通知</w:t>
      </w:r>
      <w:r>
        <w:rPr>
          <w:rFonts w:ascii="Arial" w:hAnsi="Arial" w:cs="Arial"/>
          <w:sz w:val="28"/>
        </w:rPr>
        <w:t>[</w:t>
      </w:r>
      <w:r>
        <w:rPr>
          <w:rFonts w:ascii="Arial" w:hAnsi="Arial" w:cs="Arial"/>
          <w:sz w:val="28"/>
        </w:rPr>
        <w:t>京政办</w:t>
      </w:r>
      <w:r>
        <w:rPr>
          <w:rFonts w:ascii="Arial" w:hAnsi="Arial" w:cs="Arial"/>
          <w:sz w:val="28"/>
        </w:rPr>
        <w:lastRenderedPageBreak/>
        <w:t>发〔</w:t>
      </w:r>
      <w:r>
        <w:rPr>
          <w:rFonts w:ascii="Arial" w:hAnsi="Arial" w:cs="Arial"/>
          <w:sz w:val="28"/>
        </w:rPr>
        <w:t>2022</w:t>
      </w:r>
      <w:r>
        <w:rPr>
          <w:rFonts w:ascii="Arial" w:hAnsi="Arial" w:cs="Arial"/>
          <w:sz w:val="28"/>
        </w:rPr>
        <w:t>〕</w:t>
      </w:r>
      <w:r>
        <w:rPr>
          <w:rFonts w:ascii="Arial" w:hAnsi="Arial" w:cs="Arial"/>
          <w:sz w:val="28"/>
        </w:rPr>
        <w:t>9</w:t>
      </w:r>
      <w:r>
        <w:rPr>
          <w:rFonts w:ascii="Arial" w:hAnsi="Arial" w:cs="Arial"/>
          <w:sz w:val="28"/>
        </w:rPr>
        <w:t>号</w:t>
      </w:r>
      <w:r>
        <w:rPr>
          <w:rFonts w:ascii="Arial" w:hAnsi="Arial" w:cs="Arial"/>
          <w:sz w:val="28"/>
        </w:rPr>
        <w:t>]</w:t>
      </w:r>
    </w:p>
    <w:p w14:paraId="4EFC1834" w14:textId="77777777" w:rsidR="00000000" w:rsidRDefault="00000000">
      <w:pPr>
        <w:spacing w:line="360" w:lineRule="auto"/>
        <w:jc w:val="both"/>
        <w:rPr>
          <w:rFonts w:ascii="Arial" w:hAnsi="Arial" w:cs="Arial"/>
          <w:sz w:val="28"/>
        </w:rPr>
      </w:pPr>
      <w:r>
        <w:rPr>
          <w:rFonts w:ascii="Arial" w:hAnsi="Arial" w:cs="Arial"/>
          <w:sz w:val="28"/>
        </w:rPr>
        <w:t>（二）采用的技术标准</w:t>
      </w:r>
    </w:p>
    <w:p w14:paraId="38396220" w14:textId="77777777" w:rsidR="00000000" w:rsidRDefault="00000000">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《城镇土地估价规程》</w:t>
      </w:r>
      <w:r>
        <w:rPr>
          <w:rFonts w:ascii="Arial" w:hAnsi="Arial" w:cs="Arial"/>
          <w:sz w:val="28"/>
        </w:rPr>
        <w:t>[GB/T 18508-2014]</w:t>
      </w:r>
    </w:p>
    <w:p w14:paraId="0C763A4C" w14:textId="77777777" w:rsidR="00000000" w:rsidRDefault="00000000">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《城镇土地分等定级规程》</w:t>
      </w:r>
      <w:hyperlink r:id="rId45" w:tgtFrame="_blank" w:history="1">
        <w:r>
          <w:rPr>
            <w:rFonts w:ascii="Arial" w:hAnsi="Arial" w:cs="Arial"/>
            <w:sz w:val="28"/>
          </w:rPr>
          <w:t>[GB/T 18507-2014]</w:t>
        </w:r>
      </w:hyperlink>
    </w:p>
    <w:p w14:paraId="2EA732D4" w14:textId="77777777" w:rsidR="00000000" w:rsidRDefault="00000000">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《土地利用现状分类》</w:t>
      </w:r>
      <w:r>
        <w:rPr>
          <w:rFonts w:ascii="Arial" w:hAnsi="Arial" w:cs="Arial"/>
          <w:sz w:val="28"/>
        </w:rPr>
        <w:t>[ GB/T 21010-2017]</w:t>
      </w:r>
    </w:p>
    <w:p w14:paraId="5F55B1DA" w14:textId="77777777" w:rsidR="00000000" w:rsidRDefault="00000000">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《城市用地分类与规划建设用地标准》</w:t>
      </w:r>
      <w:r>
        <w:rPr>
          <w:rFonts w:ascii="Arial" w:hAnsi="Arial" w:cs="Arial"/>
          <w:sz w:val="28"/>
        </w:rPr>
        <w:t>[GB50137-2011]</w:t>
      </w:r>
    </w:p>
    <w:p w14:paraId="7594D2EE" w14:textId="77777777" w:rsidR="00000000" w:rsidRDefault="00000000">
      <w:pPr>
        <w:spacing w:line="360" w:lineRule="auto"/>
        <w:ind w:firstLineChars="200" w:firstLine="560"/>
        <w:jc w:val="both"/>
        <w:rPr>
          <w:rFonts w:ascii="Arial" w:hAnsi="Arial" w:cs="Arial" w:hint="eastAsia"/>
          <w:sz w:val="28"/>
        </w:rPr>
      </w:pPr>
      <w:r>
        <w:rPr>
          <w:rFonts w:ascii="Arial" w:hAnsi="Arial" w:cs="Arial"/>
          <w:sz w:val="28"/>
        </w:rPr>
        <w:t>5</w:t>
      </w:r>
      <w:r>
        <w:rPr>
          <w:rFonts w:ascii="Arial" w:hAnsi="Arial" w:cs="Arial" w:hint="eastAsia"/>
          <w:sz w:val="28"/>
        </w:rPr>
        <w:t>.</w:t>
      </w:r>
      <w:r>
        <w:rPr>
          <w:rFonts w:ascii="Arial" w:hAnsi="Arial" w:cs="Arial" w:hint="eastAsia"/>
          <w:sz w:val="28"/>
        </w:rPr>
        <w:t>《农村集体土地价格评估技术指引》</w:t>
      </w:r>
      <w:r>
        <w:rPr>
          <w:rFonts w:ascii="Arial" w:hAnsi="Arial" w:cs="Arial" w:hint="eastAsia"/>
          <w:sz w:val="28"/>
        </w:rPr>
        <w:t>[</w:t>
      </w:r>
      <w:r>
        <w:rPr>
          <w:rFonts w:ascii="Arial" w:hAnsi="Arial" w:cs="Arial" w:hint="eastAsia"/>
          <w:sz w:val="28"/>
        </w:rPr>
        <w:t>中估协发（</w:t>
      </w:r>
      <w:r>
        <w:rPr>
          <w:rFonts w:ascii="Arial" w:hAnsi="Arial" w:cs="Arial" w:hint="eastAsia"/>
          <w:sz w:val="28"/>
        </w:rPr>
        <w:t>2020</w:t>
      </w:r>
      <w:r>
        <w:rPr>
          <w:rFonts w:ascii="Arial" w:hAnsi="Arial" w:cs="Arial" w:hint="eastAsia"/>
          <w:sz w:val="28"/>
        </w:rPr>
        <w:t>）</w:t>
      </w:r>
      <w:r>
        <w:rPr>
          <w:rFonts w:ascii="Arial" w:hAnsi="Arial" w:cs="Arial" w:hint="eastAsia"/>
          <w:sz w:val="28"/>
        </w:rPr>
        <w:t>16</w:t>
      </w:r>
      <w:r>
        <w:rPr>
          <w:rFonts w:ascii="Arial" w:hAnsi="Arial" w:cs="Arial" w:hint="eastAsia"/>
          <w:sz w:val="28"/>
        </w:rPr>
        <w:t>号</w:t>
      </w:r>
      <w:r>
        <w:rPr>
          <w:rFonts w:ascii="Arial" w:hAnsi="Arial" w:cs="Arial" w:hint="eastAsia"/>
          <w:sz w:val="28"/>
        </w:rPr>
        <w:t>]</w:t>
      </w:r>
    </w:p>
    <w:p w14:paraId="696CF363"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6.</w:t>
      </w:r>
      <w:r>
        <w:rPr>
          <w:rFonts w:ascii="Arial" w:hAnsi="Arial" w:cs="Arial" w:hint="eastAsia"/>
          <w:sz w:val="28"/>
        </w:rPr>
        <w:t>《北京市国土空间调查、规划、用途管制用地分类指南（试行）》（北京市规划和自然资源委员会</w:t>
      </w:r>
      <w:r>
        <w:rPr>
          <w:rFonts w:ascii="Arial" w:hAnsi="Arial" w:cs="Arial" w:hint="eastAsia"/>
          <w:sz w:val="28"/>
        </w:rPr>
        <w:t>2022</w:t>
      </w:r>
      <w:r>
        <w:rPr>
          <w:rFonts w:ascii="Arial" w:hAnsi="Arial" w:cs="Arial" w:hint="eastAsia"/>
          <w:sz w:val="28"/>
        </w:rPr>
        <w:t>年</w:t>
      </w:r>
      <w:r>
        <w:rPr>
          <w:rFonts w:ascii="Arial" w:hAnsi="Arial" w:cs="Arial" w:hint="eastAsia"/>
          <w:sz w:val="28"/>
        </w:rPr>
        <w:t>4</w:t>
      </w:r>
      <w:r>
        <w:rPr>
          <w:rFonts w:ascii="Arial" w:hAnsi="Arial" w:cs="Arial" w:hint="eastAsia"/>
          <w:sz w:val="28"/>
        </w:rPr>
        <w:t>月发布）</w:t>
      </w:r>
    </w:p>
    <w:p w14:paraId="13C211C8" w14:textId="77777777" w:rsidR="00000000" w:rsidRDefault="00000000">
      <w:pPr>
        <w:spacing w:line="360" w:lineRule="auto"/>
        <w:jc w:val="both"/>
        <w:rPr>
          <w:rFonts w:ascii="Arial" w:hAnsi="Arial" w:cs="Arial"/>
          <w:sz w:val="28"/>
        </w:rPr>
      </w:pPr>
      <w:r>
        <w:rPr>
          <w:rFonts w:ascii="Arial" w:hAnsi="Arial" w:cs="Arial"/>
          <w:sz w:val="28"/>
          <w:szCs w:val="18"/>
        </w:rPr>
        <w:t>（三）受托估价方掌握的有关资料和评估专业人员实地勘察、调查所获取的资料实地勘查</w:t>
      </w:r>
      <w:r>
        <w:rPr>
          <w:rFonts w:ascii="Arial" w:hAnsi="Arial" w:cs="Arial"/>
          <w:sz w:val="28"/>
        </w:rPr>
        <w:t>的有关资料</w:t>
      </w:r>
    </w:p>
    <w:p w14:paraId="1730DFF4" w14:textId="77777777" w:rsidR="00000000" w:rsidRDefault="00000000">
      <w:pPr>
        <w:spacing w:line="360" w:lineRule="auto"/>
        <w:jc w:val="both"/>
        <w:rPr>
          <w:rFonts w:ascii="Arial" w:hAnsi="Arial" w:cs="Arial"/>
          <w:sz w:val="28"/>
        </w:rPr>
      </w:pPr>
    </w:p>
    <w:p w14:paraId="490C5341" w14:textId="77777777" w:rsidR="00000000" w:rsidRDefault="00000000">
      <w:pPr>
        <w:spacing w:line="360" w:lineRule="auto"/>
        <w:outlineLvl w:val="1"/>
        <w:rPr>
          <w:rFonts w:ascii="Arial" w:hAnsi="Arial" w:cs="Arial"/>
          <w:b/>
          <w:sz w:val="28"/>
        </w:rPr>
      </w:pPr>
      <w:bookmarkStart w:id="155" w:name="_Toc31952"/>
      <w:bookmarkStart w:id="156" w:name="_Toc16580"/>
      <w:bookmarkStart w:id="157" w:name="_Toc416783536"/>
      <w:bookmarkStart w:id="158" w:name="_Toc425250321"/>
      <w:bookmarkStart w:id="159" w:name="_Toc418750899"/>
      <w:bookmarkStart w:id="160" w:name="_Toc469066319"/>
      <w:r>
        <w:rPr>
          <w:rFonts w:ascii="Arial" w:hAnsi="Arial" w:cs="Arial"/>
          <w:b/>
          <w:sz w:val="28"/>
        </w:rPr>
        <w:t>二、土地估价</w:t>
      </w:r>
      <w:bookmarkEnd w:id="155"/>
      <w:bookmarkEnd w:id="156"/>
      <w:bookmarkEnd w:id="157"/>
      <w:bookmarkEnd w:id="158"/>
      <w:bookmarkEnd w:id="159"/>
      <w:bookmarkEnd w:id="160"/>
    </w:p>
    <w:p w14:paraId="78E2C69E" w14:textId="77777777" w:rsidR="00000000" w:rsidRDefault="00000000">
      <w:pPr>
        <w:spacing w:line="360" w:lineRule="auto"/>
        <w:jc w:val="both"/>
        <w:rPr>
          <w:rFonts w:ascii="Arial" w:hAnsi="Arial" w:cs="Arial"/>
          <w:sz w:val="28"/>
        </w:rPr>
      </w:pPr>
      <w:r>
        <w:rPr>
          <w:rFonts w:ascii="Arial" w:hAnsi="Arial" w:cs="Arial"/>
          <w:sz w:val="28"/>
        </w:rPr>
        <w:t>（一）估价原则</w:t>
      </w:r>
    </w:p>
    <w:p w14:paraId="2EEA8BB8" w14:textId="77777777" w:rsidR="00000000" w:rsidRDefault="00000000">
      <w:pPr>
        <w:spacing w:line="360" w:lineRule="auto"/>
        <w:ind w:firstLineChars="200" w:firstLine="560"/>
        <w:jc w:val="both"/>
        <w:rPr>
          <w:rFonts w:ascii="Arial" w:hAnsi="Arial" w:cs="Arial"/>
          <w:sz w:val="28"/>
        </w:rPr>
      </w:pPr>
      <w:r>
        <w:rPr>
          <w:rFonts w:ascii="Arial" w:hAnsi="Arial" w:cs="Arial"/>
          <w:sz w:val="28"/>
        </w:rPr>
        <w:t>地价是由其效用、相对稀缺性及有效需求三者相互作用影响所形成，由于这些因素又经常处于变动之中，我们在估价时遵循以下原则：</w:t>
      </w:r>
    </w:p>
    <w:p w14:paraId="76FED01B" w14:textId="77777777" w:rsidR="00000000" w:rsidRDefault="00000000">
      <w:pPr>
        <w:spacing w:beforeLines="25" w:before="60" w:afterLines="25" w:after="60"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替代原则</w:t>
      </w:r>
    </w:p>
    <w:p w14:paraId="288299D7" w14:textId="77777777" w:rsidR="00000000" w:rsidRDefault="00000000">
      <w:pPr>
        <w:spacing w:line="360" w:lineRule="auto"/>
        <w:ind w:firstLineChars="200" w:firstLine="560"/>
        <w:jc w:val="both"/>
        <w:rPr>
          <w:rFonts w:ascii="Arial" w:hAnsi="Arial" w:cs="Arial"/>
          <w:sz w:val="28"/>
        </w:rPr>
      </w:pPr>
      <w:r>
        <w:rPr>
          <w:rFonts w:ascii="Arial"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基于这一原则，咨询对象土地价格可参考周边同类或类似土地交易案例确定，且咨询对象未来开发完成后的价格水平可参考周边项目的租售水平确定。</w:t>
      </w:r>
    </w:p>
    <w:p w14:paraId="355494AA" w14:textId="77777777" w:rsidR="00000000" w:rsidRDefault="00000000">
      <w:pPr>
        <w:spacing w:beforeLines="25" w:before="60" w:afterLines="25" w:after="60"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最有效利用原则</w:t>
      </w:r>
    </w:p>
    <w:p w14:paraId="08D80325" w14:textId="77777777" w:rsidR="00000000" w:rsidRDefault="00000000">
      <w:pPr>
        <w:spacing w:beforeLines="25" w:before="60" w:afterLines="25" w:after="60" w:line="360" w:lineRule="auto"/>
        <w:ind w:firstLineChars="200" w:firstLine="560"/>
        <w:jc w:val="both"/>
        <w:rPr>
          <w:rFonts w:ascii="Arial" w:hAnsi="Arial" w:cs="Arial"/>
          <w:sz w:val="28"/>
        </w:rPr>
      </w:pPr>
      <w:r>
        <w:rPr>
          <w:rFonts w:ascii="Arial" w:hAnsi="Arial" w:cs="Arial"/>
          <w:sz w:val="28"/>
        </w:rPr>
        <w:t>由于土地具有用途的多样性，不同的利用方式能为权利人带来不同的收益量，且土地权利人都期望从其所占有的土地上获取更多的收益，并以能满</w:t>
      </w:r>
      <w:r>
        <w:rPr>
          <w:rFonts w:ascii="Arial" w:hAnsi="Arial" w:cs="Arial"/>
          <w:sz w:val="28"/>
        </w:rPr>
        <w:lastRenderedPageBreak/>
        <w:t>足这一目的为确定土地利用方式的依据。所以，土地估价应以宗地的最有效利用为前提的。本次评估以设定规划条件符合最有效使用原则为前提。</w:t>
      </w:r>
    </w:p>
    <w:p w14:paraId="61FD5D8F" w14:textId="77777777" w:rsidR="00000000" w:rsidRDefault="00000000">
      <w:pPr>
        <w:spacing w:beforeLines="25" w:before="60" w:afterLines="25" w:after="60"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预期收益原则</w:t>
      </w:r>
    </w:p>
    <w:p w14:paraId="4FFB1CDA" w14:textId="77777777" w:rsidR="00000000" w:rsidRDefault="00000000">
      <w:pPr>
        <w:spacing w:beforeLines="25" w:before="60" w:afterLines="25" w:after="60" w:line="360" w:lineRule="auto"/>
        <w:ind w:firstLineChars="200" w:firstLine="560"/>
        <w:jc w:val="both"/>
        <w:rPr>
          <w:rFonts w:ascii="Arial" w:hAnsi="Arial" w:cs="Arial"/>
          <w:sz w:val="28"/>
        </w:rPr>
      </w:pPr>
      <w:r>
        <w:rPr>
          <w:rFonts w:ascii="Arial"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咨询对象土地价格时，就是以该原则为原理。</w:t>
      </w:r>
    </w:p>
    <w:p w14:paraId="6F8EB23B" w14:textId="77777777" w:rsidR="00000000" w:rsidRDefault="00000000">
      <w:pPr>
        <w:spacing w:beforeLines="25" w:before="60" w:afterLines="25" w:after="60"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供需原则</w:t>
      </w:r>
    </w:p>
    <w:p w14:paraId="505875DF" w14:textId="77777777" w:rsidR="00000000" w:rsidRDefault="00000000">
      <w:pPr>
        <w:spacing w:line="360" w:lineRule="auto"/>
        <w:ind w:firstLineChars="200" w:firstLine="560"/>
        <w:jc w:val="both"/>
        <w:rPr>
          <w:rFonts w:ascii="Arial" w:hAnsi="Arial" w:cs="Arial"/>
          <w:sz w:val="28"/>
        </w:rPr>
      </w:pPr>
      <w:r>
        <w:rPr>
          <w:rFonts w:ascii="Arial"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咨询对象位于北京市顺义区南法信镇北法信村</w:t>
      </w:r>
      <w:r>
        <w:rPr>
          <w:rFonts w:ascii="Arial" w:hAnsi="Arial" w:cs="Arial" w:hint="eastAsia"/>
          <w:sz w:val="28"/>
        </w:rPr>
        <w:t>，</w:t>
      </w:r>
      <w:r>
        <w:rPr>
          <w:rFonts w:ascii="Arial" w:hAnsi="Arial" w:cs="Arial"/>
          <w:sz w:val="28"/>
        </w:rPr>
        <w:t>土地性质为集体建设用地使用权。区域内土地资产存在一定增值潜力。评估中剩余法的运用主要考虑此项原则。</w:t>
      </w:r>
    </w:p>
    <w:p w14:paraId="6CAED057" w14:textId="77777777" w:rsidR="00000000" w:rsidRDefault="00000000">
      <w:pPr>
        <w:spacing w:beforeLines="25" w:before="60" w:afterLines="25" w:after="60" w:line="360" w:lineRule="auto"/>
        <w:ind w:firstLineChars="200" w:firstLine="560"/>
        <w:jc w:val="both"/>
        <w:rPr>
          <w:rFonts w:ascii="Arial" w:hAnsi="Arial" w:cs="Arial"/>
          <w:sz w:val="28"/>
        </w:rPr>
      </w:pPr>
      <w:r>
        <w:rPr>
          <w:rFonts w:ascii="Arial" w:hAnsi="Arial" w:cs="Arial"/>
          <w:sz w:val="28"/>
        </w:rPr>
        <w:t>5.</w:t>
      </w:r>
      <w:r>
        <w:rPr>
          <w:rFonts w:ascii="Arial" w:hAnsi="Arial" w:cs="Arial"/>
          <w:sz w:val="28"/>
        </w:rPr>
        <w:t>贡献原则</w:t>
      </w:r>
    </w:p>
    <w:p w14:paraId="097B7BC4" w14:textId="77777777" w:rsidR="00000000" w:rsidRDefault="00000000">
      <w:pPr>
        <w:spacing w:line="360" w:lineRule="auto"/>
        <w:ind w:firstLineChars="200" w:firstLine="560"/>
        <w:jc w:val="both"/>
        <w:rPr>
          <w:rFonts w:ascii="Arial" w:hAnsi="Arial" w:cs="Arial"/>
          <w:sz w:val="28"/>
        </w:rPr>
      </w:pPr>
      <w:r>
        <w:rPr>
          <w:rFonts w:ascii="Arial"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6147BFE1" w14:textId="77777777" w:rsidR="00000000" w:rsidRDefault="00000000">
      <w:pPr>
        <w:spacing w:line="360" w:lineRule="auto"/>
        <w:jc w:val="both"/>
        <w:rPr>
          <w:rFonts w:ascii="Arial" w:hAnsi="Arial" w:cs="Arial"/>
          <w:sz w:val="28"/>
        </w:rPr>
      </w:pPr>
      <w:r>
        <w:rPr>
          <w:rFonts w:ascii="Arial" w:hAnsi="Arial" w:cs="Arial"/>
          <w:sz w:val="28"/>
        </w:rPr>
        <w:lastRenderedPageBreak/>
        <w:t>（二）估价方法</w:t>
      </w:r>
    </w:p>
    <w:p w14:paraId="189904FD" w14:textId="77777777" w:rsidR="00000000" w:rsidRDefault="00000000">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方法选择</w:t>
      </w:r>
    </w:p>
    <w:p w14:paraId="4161271E" w14:textId="77777777" w:rsidR="00000000" w:rsidRDefault="00000000">
      <w:pPr>
        <w:spacing w:line="360" w:lineRule="auto"/>
        <w:ind w:firstLineChars="200" w:firstLine="560"/>
        <w:jc w:val="both"/>
        <w:rPr>
          <w:rFonts w:ascii="Arial" w:hAnsi="Arial" w:cs="Arial"/>
          <w:sz w:val="28"/>
        </w:rPr>
      </w:pPr>
      <w:r>
        <w:rPr>
          <w:rFonts w:ascii="Arial" w:hAnsi="Arial" w:cs="Arial"/>
          <w:sz w:val="28"/>
        </w:rPr>
        <w:t>根据《城镇土地估价规程》</w:t>
      </w:r>
      <w:r>
        <w:rPr>
          <w:rFonts w:ascii="Arial" w:hAnsi="Arial" w:cs="Arial"/>
          <w:sz w:val="28"/>
        </w:rPr>
        <w:t>[GB/T18508-2014]</w:t>
      </w:r>
      <w:r>
        <w:rPr>
          <w:rFonts w:ascii="Arial" w:hAnsi="Arial" w:cs="Arial" w:hint="eastAsia"/>
          <w:sz w:val="28"/>
        </w:rPr>
        <w:t>、《农村集体土地价格评估技术指引》</w:t>
      </w:r>
      <w:r>
        <w:rPr>
          <w:rFonts w:ascii="Arial" w:hAnsi="Arial" w:cs="Arial" w:hint="eastAsia"/>
          <w:sz w:val="28"/>
        </w:rPr>
        <w:t>[</w:t>
      </w:r>
      <w:r>
        <w:rPr>
          <w:rFonts w:ascii="Arial" w:hAnsi="Arial" w:cs="Arial" w:hint="eastAsia"/>
          <w:sz w:val="28"/>
        </w:rPr>
        <w:t>中估协发（</w:t>
      </w:r>
      <w:r>
        <w:rPr>
          <w:rFonts w:ascii="Arial" w:hAnsi="Arial" w:cs="Arial" w:hint="eastAsia"/>
          <w:sz w:val="28"/>
        </w:rPr>
        <w:t>2020</w:t>
      </w:r>
      <w:r>
        <w:rPr>
          <w:rFonts w:ascii="Arial" w:hAnsi="Arial" w:cs="Arial" w:hint="eastAsia"/>
          <w:sz w:val="28"/>
        </w:rPr>
        <w:t>）</w:t>
      </w:r>
      <w:r>
        <w:rPr>
          <w:rFonts w:ascii="Arial" w:hAnsi="Arial" w:cs="Arial" w:hint="eastAsia"/>
          <w:sz w:val="28"/>
        </w:rPr>
        <w:t>16</w:t>
      </w:r>
      <w:r>
        <w:rPr>
          <w:rFonts w:ascii="Arial" w:hAnsi="Arial" w:cs="Arial" w:hint="eastAsia"/>
          <w:sz w:val="28"/>
        </w:rPr>
        <w:t>号</w:t>
      </w:r>
      <w:r>
        <w:rPr>
          <w:rFonts w:ascii="Arial" w:hAnsi="Arial" w:cs="Arial" w:hint="eastAsia"/>
          <w:sz w:val="28"/>
        </w:rPr>
        <w:t>]</w:t>
      </w:r>
      <w:r>
        <w:rPr>
          <w:rFonts w:ascii="Arial" w:hAnsi="Arial" w:cs="Arial"/>
          <w:sz w:val="28"/>
        </w:rPr>
        <w:t>，估价方法通常有市场比较法、收益还原法、成本逼近法、剩余法及基准地价系数修正法共五种估价方法。</w:t>
      </w:r>
    </w:p>
    <w:p w14:paraId="47266F22" w14:textId="77777777" w:rsidR="00000000" w:rsidRDefault="00000000">
      <w:pPr>
        <w:pStyle w:val="Normal"/>
        <w:autoSpaceDE w:val="0"/>
        <w:autoSpaceDN w:val="0"/>
        <w:spacing w:line="360" w:lineRule="auto"/>
        <w:ind w:right="6" w:firstLineChars="200" w:firstLine="560"/>
        <w:jc w:val="both"/>
        <w:textAlignment w:val="bottom"/>
        <w:rPr>
          <w:rFonts w:ascii="Arial" w:hAnsi="Arial" w:cs="Arial"/>
          <w:i/>
          <w:sz w:val="28"/>
        </w:rPr>
      </w:pPr>
      <w:r>
        <w:rPr>
          <w:rFonts w:ascii="Arial" w:hAnsi="Arial" w:cs="Arial"/>
          <w:sz w:val="28"/>
        </w:rPr>
        <w:t>评估专业人员根据咨询对象的特点、实际情况以及咨询目的，对上述估价方法分析如下：</w:t>
      </w:r>
      <w:r>
        <w:rPr>
          <w:rFonts w:ascii="Arial" w:hAnsi="Arial" w:cs="Arial"/>
          <w:i/>
          <w:sz w:val="28"/>
        </w:rPr>
        <w:t xml:space="preserve"> </w:t>
      </w:r>
    </w:p>
    <w:p w14:paraId="28823EE6" w14:textId="77777777" w:rsidR="00000000" w:rsidRDefault="00000000">
      <w:pPr>
        <w:pStyle w:val="Normal"/>
        <w:autoSpaceDE w:val="0"/>
        <w:autoSpaceDN w:val="0"/>
        <w:spacing w:line="360" w:lineRule="auto"/>
        <w:ind w:right="6" w:firstLineChars="200" w:firstLine="560"/>
        <w:jc w:val="both"/>
        <w:textAlignment w:val="bottom"/>
        <w:rPr>
          <w:rFonts w:ascii="Arial" w:hAnsi="Arial" w:cs="Arial"/>
          <w:sz w:val="28"/>
        </w:rPr>
      </w:pPr>
      <w:r>
        <w:rPr>
          <w:rFonts w:ascii="Arial"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27B3C556" w14:textId="77777777" w:rsidR="00000000" w:rsidRDefault="00000000">
      <w:pPr>
        <w:spacing w:line="360" w:lineRule="auto"/>
        <w:ind w:firstLineChars="200" w:firstLine="560"/>
        <w:jc w:val="both"/>
        <w:rPr>
          <w:rFonts w:ascii="Arial" w:hAnsi="Arial" w:cs="Arial"/>
          <w:sz w:val="28"/>
        </w:rPr>
      </w:pPr>
      <w:r>
        <w:rPr>
          <w:rFonts w:ascii="Arial"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36A64E88" w14:textId="77777777" w:rsidR="00000000" w:rsidRDefault="00000000">
      <w:pPr>
        <w:spacing w:line="360" w:lineRule="auto"/>
        <w:ind w:leftChars="-1" w:left="-2" w:firstLineChars="200" w:firstLine="560"/>
        <w:jc w:val="both"/>
        <w:rPr>
          <w:rFonts w:ascii="Arial" w:hAnsi="Arial" w:cs="Arial"/>
          <w:sz w:val="28"/>
        </w:rPr>
      </w:pPr>
      <w:r>
        <w:rPr>
          <w:rFonts w:ascii="Arial" w:hAnsi="Arial" w:cs="Arial"/>
          <w:sz w:val="28"/>
        </w:rPr>
        <w:t>成本逼近法：成本逼近法是以取得和开发土地所耗费的各项费用之和为主要依据，再加上一定的利润、利息、应缴纳的税金和</w:t>
      </w:r>
      <w:hyperlink r:id="rId46" w:tgtFrame="_blank" w:history="1">
        <w:r>
          <w:rPr>
            <w:rFonts w:ascii="Arial" w:hAnsi="Arial" w:cs="Arial"/>
            <w:sz w:val="28"/>
          </w:rPr>
          <w:t>土地所有权</w:t>
        </w:r>
      </w:hyperlink>
      <w:r>
        <w:rPr>
          <w:rFonts w:ascii="Arial" w:hAnsi="Arial" w:cs="Arial"/>
          <w:sz w:val="28"/>
        </w:rPr>
        <w:t>收益来确定</w:t>
      </w:r>
      <w:hyperlink r:id="rId47" w:tgtFrame="_blank" w:history="1">
        <w:r>
          <w:rPr>
            <w:rFonts w:ascii="Arial" w:hAnsi="Arial" w:cs="Arial"/>
            <w:sz w:val="28"/>
          </w:rPr>
          <w:t>土地价格</w:t>
        </w:r>
      </w:hyperlink>
      <w:r>
        <w:rPr>
          <w:rFonts w:ascii="Arial" w:hAnsi="Arial" w:cs="Arial"/>
          <w:sz w:val="28"/>
        </w:rPr>
        <w:t>的咨询方法。成本逼近法一般是用于新开发土地，或土地市场欠发育、交易实例少的地区的土地价格评估。</w:t>
      </w:r>
    </w:p>
    <w:p w14:paraId="251F8C87" w14:textId="77777777" w:rsidR="00000000" w:rsidRDefault="00000000">
      <w:pPr>
        <w:spacing w:line="360" w:lineRule="auto"/>
        <w:ind w:firstLineChars="200" w:firstLine="560"/>
        <w:jc w:val="both"/>
        <w:rPr>
          <w:rFonts w:ascii="Arial" w:hAnsi="Arial" w:cs="Arial"/>
          <w:sz w:val="28"/>
        </w:rPr>
      </w:pPr>
      <w:r>
        <w:rPr>
          <w:rFonts w:ascii="Arial" w:hAnsi="Arial" w:cs="Arial"/>
          <w:sz w:val="28"/>
        </w:rPr>
        <w:t>剩余（增值收益扣减）法</w:t>
      </w:r>
      <w:r>
        <w:rPr>
          <w:rFonts w:ascii="Arial" w:hAnsi="Arial" w:cs="Arial"/>
          <w:sz w:val="28"/>
        </w:rPr>
        <w:t>:</w:t>
      </w:r>
      <w:r>
        <w:rPr>
          <w:rFonts w:ascii="Arial" w:hAnsi="Arial" w:cs="Arial"/>
          <w:sz w:val="28"/>
        </w:rPr>
        <w:t>是在《城镇土地估价规程》剩余法</w:t>
      </w:r>
      <w:r>
        <w:rPr>
          <w:rFonts w:ascii="Arial" w:hAnsi="Arial" w:cs="Arial"/>
          <w:sz w:val="28"/>
        </w:rPr>
        <w:t xml:space="preserve"> </w:t>
      </w:r>
      <w:r>
        <w:rPr>
          <w:rFonts w:ascii="Arial" w:hAnsi="Arial" w:cs="Arial"/>
          <w:sz w:val="28"/>
        </w:rPr>
        <w:t>思路上衍生技术路线，通过出让土地使用权价格扣减土地增值收益的方</w:t>
      </w:r>
      <w:r>
        <w:rPr>
          <w:rFonts w:ascii="Arial" w:hAnsi="Arial" w:cs="Arial"/>
          <w:sz w:val="28"/>
        </w:rPr>
        <w:t xml:space="preserve"> </w:t>
      </w:r>
      <w:r>
        <w:rPr>
          <w:rFonts w:ascii="Arial" w:hAnsi="Arial" w:cs="Arial"/>
          <w:sz w:val="28"/>
        </w:rPr>
        <w:t>法评估划拨地价。咨询对象周边市场满足出让土地使用权价格评估，虽</w:t>
      </w:r>
      <w:r>
        <w:rPr>
          <w:rFonts w:ascii="Arial" w:hAnsi="Arial" w:cs="Arial"/>
          <w:sz w:val="28"/>
        </w:rPr>
        <w:t xml:space="preserve"> </w:t>
      </w:r>
      <w:r>
        <w:rPr>
          <w:rFonts w:ascii="Arial" w:hAnsi="Arial" w:cs="Arial"/>
          <w:sz w:val="28"/>
        </w:rPr>
        <w:t>然北京市暂未公布土地增值收益，但可以通过招拍挂市场成交价与土地</w:t>
      </w:r>
      <w:r>
        <w:rPr>
          <w:rFonts w:ascii="Arial" w:hAnsi="Arial" w:cs="Arial"/>
          <w:sz w:val="28"/>
        </w:rPr>
        <w:t xml:space="preserve"> </w:t>
      </w:r>
      <w:r>
        <w:rPr>
          <w:rFonts w:ascii="Arial" w:hAnsi="Arial" w:cs="Arial"/>
          <w:sz w:val="28"/>
        </w:rPr>
        <w:t>一级开发成本差额计算土地增值收益。</w:t>
      </w:r>
    </w:p>
    <w:p w14:paraId="465ED7B5" w14:textId="77777777" w:rsidR="00000000" w:rsidRDefault="00000000">
      <w:pPr>
        <w:spacing w:line="360" w:lineRule="auto"/>
        <w:ind w:firstLineChars="200" w:firstLine="560"/>
        <w:jc w:val="both"/>
        <w:rPr>
          <w:rFonts w:ascii="Arial" w:hAnsi="Arial" w:cs="Arial"/>
          <w:sz w:val="28"/>
        </w:rPr>
      </w:pPr>
      <w:r>
        <w:rPr>
          <w:rFonts w:ascii="Arial" w:hAnsi="Arial" w:cs="Arial"/>
          <w:sz w:val="28"/>
        </w:rPr>
        <w:t>基准地价系数修正法：该方法适用于政府或其有关部门已公布基准地价</w:t>
      </w:r>
      <w:r>
        <w:rPr>
          <w:rFonts w:ascii="Arial" w:hAnsi="Arial" w:cs="Arial"/>
          <w:sz w:val="28"/>
        </w:rPr>
        <w:lastRenderedPageBreak/>
        <w:t>地区的土地咨询。</w:t>
      </w:r>
    </w:p>
    <w:p w14:paraId="3F860B3A" w14:textId="77777777" w:rsidR="00000000" w:rsidRDefault="00000000">
      <w:pPr>
        <w:spacing w:line="360" w:lineRule="auto"/>
        <w:ind w:firstLineChars="200" w:firstLine="560"/>
        <w:jc w:val="both"/>
        <w:rPr>
          <w:rFonts w:ascii="Arial" w:hAnsi="Arial" w:cs="Arial"/>
          <w:sz w:val="28"/>
        </w:rPr>
      </w:pPr>
      <w:r>
        <w:rPr>
          <w:rFonts w:ascii="Arial" w:hAnsi="Arial" w:cs="Arial"/>
          <w:sz w:val="28"/>
        </w:rPr>
        <w:t>本评估项目评估对象的性质为集体土地使用权，开发建设项目未来将以</w:t>
      </w:r>
      <w:r>
        <w:rPr>
          <w:rFonts w:ascii="Arial" w:hAnsi="Arial" w:cs="Arial" w:hint="eastAsia"/>
          <w:sz w:val="28"/>
        </w:rPr>
        <w:t>公寓</w:t>
      </w:r>
      <w:r>
        <w:rPr>
          <w:rFonts w:ascii="Arial" w:hAnsi="Arial" w:cs="Arial"/>
          <w:sz w:val="28"/>
        </w:rPr>
        <w:t>业态为主并建设部分商业</w:t>
      </w:r>
      <w:r>
        <w:rPr>
          <w:rFonts w:ascii="Arial" w:hAnsi="Arial" w:cs="Arial" w:hint="eastAsia"/>
          <w:sz w:val="28"/>
        </w:rPr>
        <w:t>、地下车库</w:t>
      </w:r>
      <w:r>
        <w:rPr>
          <w:rFonts w:ascii="Arial" w:hAnsi="Arial" w:cs="Arial"/>
          <w:sz w:val="28"/>
        </w:rPr>
        <w:t>业态采取出租收取租金的运营模式，该类开发建设项目属于新兴业态目前市场交易（包括出租、转让等）案例较少、公开信息不完整，故不适宜采用市场比较法、成本法和收益还原法；目前政府相关部门也尚未正式公布关于集体土地相关公示地价系数等资料，故也不适宜采用公示地价系数修正法。</w:t>
      </w:r>
    </w:p>
    <w:p w14:paraId="14698D0F" w14:textId="77777777" w:rsidR="00000000" w:rsidRDefault="00000000">
      <w:pPr>
        <w:pStyle w:val="Normal"/>
        <w:autoSpaceDE w:val="0"/>
        <w:autoSpaceDN w:val="0"/>
        <w:spacing w:line="360" w:lineRule="auto"/>
        <w:ind w:rightChars="13" w:right="31" w:firstLineChars="200" w:firstLine="560"/>
        <w:jc w:val="both"/>
        <w:textAlignment w:val="bottom"/>
        <w:rPr>
          <w:rFonts w:ascii="Arial" w:hAnsi="Arial" w:cs="Arial"/>
          <w:sz w:val="28"/>
        </w:rPr>
      </w:pPr>
      <w:r>
        <w:rPr>
          <w:rFonts w:ascii="Arial" w:hAnsi="Arial" w:cs="Arial"/>
          <w:sz w:val="28"/>
        </w:rPr>
        <w:t>综上所述，本次评估根据咨询对象的特点和实际状况，采用剩余法进行测算，其中剩余法中不动产开发完成后总价采用收益还原法求取，力求合理科学地评估出咨询对象的集体建设用地使用权价格。</w:t>
      </w:r>
    </w:p>
    <w:p w14:paraId="30553BE3" w14:textId="77777777" w:rsidR="00000000" w:rsidRDefault="00000000">
      <w:pPr>
        <w:pStyle w:val="Normal"/>
        <w:autoSpaceDE w:val="0"/>
        <w:autoSpaceDN w:val="0"/>
        <w:spacing w:line="360" w:lineRule="auto"/>
        <w:ind w:rightChars="13" w:right="31" w:firstLineChars="200" w:firstLine="560"/>
        <w:jc w:val="both"/>
        <w:textAlignment w:val="bottom"/>
        <w:rPr>
          <w:rFonts w:ascii="Arial" w:hAnsi="Arial" w:cs="Arial"/>
          <w:sz w:val="28"/>
        </w:rPr>
      </w:pPr>
      <w:r>
        <w:rPr>
          <w:rFonts w:ascii="Arial" w:hAnsi="Arial" w:cs="Arial"/>
          <w:sz w:val="28"/>
        </w:rPr>
        <w:t>2.</w:t>
      </w:r>
      <w:r>
        <w:rPr>
          <w:rFonts w:ascii="Arial" w:hAnsi="Arial" w:cs="Arial"/>
          <w:sz w:val="28"/>
        </w:rPr>
        <w:t>本次评估所采用的估价方法简述如下：</w:t>
      </w:r>
    </w:p>
    <w:p w14:paraId="50E73939" w14:textId="77777777" w:rsidR="00000000" w:rsidRDefault="00000000">
      <w:pPr>
        <w:spacing w:line="360" w:lineRule="auto"/>
        <w:ind w:firstLineChars="192" w:firstLine="538"/>
        <w:jc w:val="both"/>
        <w:rPr>
          <w:rFonts w:ascii="Arial" w:hAnsi="Arial" w:cs="Arial"/>
          <w:sz w:val="28"/>
        </w:rPr>
      </w:pPr>
      <w:r>
        <w:rPr>
          <w:rFonts w:ascii="Arial" w:hAnsi="Arial" w:cs="Arial"/>
          <w:sz w:val="28"/>
        </w:rPr>
        <w:t>剩余法是在测算完成开发后的不动产正常交易价格的基础上，扣除预计的正常建造成本以及有关专业费用、利息、利润和税费等，以价格余额来估算待估宗地价格的方法。</w:t>
      </w:r>
    </w:p>
    <w:p w14:paraId="518B1DAB" w14:textId="77777777" w:rsidR="00000000" w:rsidRDefault="00000000">
      <w:pPr>
        <w:spacing w:before="25" w:after="25" w:line="360" w:lineRule="auto"/>
        <w:ind w:firstLine="555"/>
        <w:rPr>
          <w:rFonts w:ascii="Arial" w:hAnsi="Arial" w:cs="Arial"/>
          <w:spacing w:val="10"/>
          <w:sz w:val="28"/>
        </w:rPr>
      </w:pPr>
      <w:r>
        <w:rPr>
          <w:rFonts w:ascii="Arial" w:hAnsi="Arial" w:cs="Arial"/>
          <w:spacing w:val="10"/>
          <w:sz w:val="28"/>
        </w:rPr>
        <w:t>其计算公式为：</w:t>
      </w:r>
    </w:p>
    <w:p w14:paraId="60FDFA6B" w14:textId="77777777" w:rsidR="00000000" w:rsidRDefault="00000000">
      <w:pPr>
        <w:spacing w:before="25" w:after="25" w:line="360" w:lineRule="auto"/>
        <w:ind w:firstLine="646"/>
        <w:rPr>
          <w:rFonts w:ascii="Arial" w:hAnsi="Arial" w:cs="Arial"/>
          <w:spacing w:val="10"/>
          <w:sz w:val="28"/>
        </w:rPr>
      </w:pPr>
      <w:r>
        <w:rPr>
          <w:rFonts w:ascii="Arial" w:hAnsi="Arial" w:cs="Arial"/>
          <w:sz w:val="28"/>
        </w:rPr>
        <w:t>P=</w:t>
      </w:r>
      <w:r>
        <w:rPr>
          <w:rFonts w:ascii="Arial" w:hAnsi="Arial" w:cs="Arial"/>
          <w:spacing w:val="10"/>
          <w:sz w:val="28"/>
        </w:rPr>
        <w:t>A</w:t>
      </w:r>
      <w:r>
        <w:rPr>
          <w:rFonts w:ascii="Arial" w:hAnsi="Arial" w:cs="Arial"/>
          <w:spacing w:val="10"/>
          <w:sz w:val="28"/>
        </w:rPr>
        <w:t>－</w:t>
      </w:r>
      <w:r>
        <w:rPr>
          <w:rFonts w:ascii="Arial" w:hAnsi="Arial" w:cs="Arial"/>
          <w:spacing w:val="10"/>
          <w:sz w:val="28"/>
        </w:rPr>
        <w:t>B</w:t>
      </w:r>
      <w:r>
        <w:rPr>
          <w:rFonts w:ascii="Arial" w:hAnsi="Arial" w:cs="Arial"/>
          <w:spacing w:val="10"/>
          <w:sz w:val="28"/>
        </w:rPr>
        <w:t>－</w:t>
      </w:r>
      <w:r>
        <w:rPr>
          <w:rFonts w:ascii="Arial" w:hAnsi="Arial" w:cs="Arial"/>
          <w:spacing w:val="10"/>
          <w:sz w:val="28"/>
        </w:rPr>
        <w:t>C</w:t>
      </w:r>
    </w:p>
    <w:p w14:paraId="0A7CB7C9" w14:textId="77777777" w:rsidR="00000000" w:rsidRDefault="00000000">
      <w:pPr>
        <w:pStyle w:val="Normal"/>
        <w:autoSpaceDE w:val="0"/>
        <w:autoSpaceDN w:val="0"/>
        <w:spacing w:line="360" w:lineRule="auto"/>
        <w:ind w:right="140" w:firstLine="570"/>
        <w:jc w:val="both"/>
        <w:textAlignment w:val="bottom"/>
        <w:rPr>
          <w:rFonts w:ascii="Arial" w:hAnsi="Arial" w:cs="Arial"/>
          <w:sz w:val="28"/>
        </w:rPr>
      </w:pPr>
      <w:r>
        <w:rPr>
          <w:rFonts w:ascii="Arial" w:hAnsi="Arial" w:cs="Arial"/>
          <w:sz w:val="28"/>
        </w:rPr>
        <w:t>式中：</w:t>
      </w:r>
    </w:p>
    <w:p w14:paraId="6DA3567C" w14:textId="77777777" w:rsidR="00000000" w:rsidRDefault="00000000">
      <w:pPr>
        <w:spacing w:before="25" w:after="25" w:line="360" w:lineRule="auto"/>
        <w:ind w:firstLine="646"/>
        <w:rPr>
          <w:rFonts w:ascii="Arial" w:hAnsi="Arial" w:cs="Arial"/>
          <w:spacing w:val="10"/>
          <w:sz w:val="28"/>
        </w:rPr>
      </w:pPr>
      <w:r>
        <w:rPr>
          <w:rFonts w:ascii="Arial" w:hAnsi="Arial" w:cs="Arial"/>
          <w:spacing w:val="10"/>
          <w:sz w:val="28"/>
        </w:rPr>
        <w:t>P——</w:t>
      </w:r>
      <w:r>
        <w:rPr>
          <w:rFonts w:ascii="Arial" w:hAnsi="Arial" w:cs="Arial"/>
          <w:sz w:val="28"/>
        </w:rPr>
        <w:t>待估宗地价格</w:t>
      </w:r>
    </w:p>
    <w:p w14:paraId="2E39C34A" w14:textId="77777777" w:rsidR="00000000" w:rsidRDefault="00000000">
      <w:pPr>
        <w:spacing w:before="25" w:after="25" w:line="360" w:lineRule="auto"/>
        <w:ind w:firstLine="646"/>
        <w:rPr>
          <w:rFonts w:ascii="Arial" w:hAnsi="Arial" w:cs="Arial"/>
          <w:sz w:val="28"/>
        </w:rPr>
      </w:pPr>
      <w:r>
        <w:rPr>
          <w:rFonts w:ascii="Arial" w:hAnsi="Arial" w:cs="Arial"/>
          <w:spacing w:val="10"/>
          <w:sz w:val="28"/>
        </w:rPr>
        <w:t>A——</w:t>
      </w:r>
      <w:r>
        <w:rPr>
          <w:rFonts w:ascii="Arial" w:hAnsi="Arial" w:cs="Arial"/>
          <w:spacing w:val="10"/>
          <w:sz w:val="28"/>
        </w:rPr>
        <w:t>不动产总价</w:t>
      </w:r>
    </w:p>
    <w:p w14:paraId="7905CB9D" w14:textId="77777777" w:rsidR="00000000" w:rsidRDefault="00000000">
      <w:pPr>
        <w:spacing w:before="25" w:after="25" w:line="360" w:lineRule="auto"/>
        <w:ind w:firstLine="646"/>
        <w:rPr>
          <w:rFonts w:ascii="Arial" w:hAnsi="Arial" w:cs="Arial"/>
          <w:sz w:val="28"/>
        </w:rPr>
      </w:pPr>
      <w:r>
        <w:rPr>
          <w:rFonts w:ascii="Arial" w:hAnsi="Arial" w:cs="Arial"/>
          <w:spacing w:val="10"/>
          <w:sz w:val="28"/>
        </w:rPr>
        <w:t>B——</w:t>
      </w:r>
      <w:r>
        <w:rPr>
          <w:rFonts w:ascii="Arial" w:hAnsi="Arial" w:cs="Arial"/>
          <w:spacing w:val="10"/>
          <w:sz w:val="28"/>
        </w:rPr>
        <w:t>开发项目整体的开发成本</w:t>
      </w:r>
    </w:p>
    <w:p w14:paraId="6E614F27" w14:textId="77777777" w:rsidR="00000000" w:rsidRDefault="00000000">
      <w:pPr>
        <w:spacing w:line="360" w:lineRule="auto"/>
        <w:ind w:firstLineChars="225" w:firstLine="630"/>
        <w:textAlignment w:val="bottom"/>
        <w:rPr>
          <w:rFonts w:ascii="Arial" w:hAnsi="Arial" w:cs="Arial"/>
          <w:sz w:val="28"/>
        </w:rPr>
      </w:pPr>
      <w:r>
        <w:rPr>
          <w:rFonts w:ascii="Arial" w:hAnsi="Arial" w:cs="Arial"/>
          <w:sz w:val="28"/>
        </w:rPr>
        <w:t>C——</w:t>
      </w:r>
      <w:r>
        <w:rPr>
          <w:rFonts w:ascii="Arial" w:hAnsi="Arial" w:cs="Arial"/>
          <w:sz w:val="28"/>
        </w:rPr>
        <w:t>投资利润</w:t>
      </w:r>
    </w:p>
    <w:p w14:paraId="26267498" w14:textId="77777777" w:rsidR="00000000" w:rsidRDefault="00000000">
      <w:pPr>
        <w:spacing w:line="360" w:lineRule="auto"/>
        <w:ind w:firstLineChars="225" w:firstLine="630"/>
        <w:textAlignment w:val="bottom"/>
        <w:rPr>
          <w:rFonts w:ascii="Arial" w:hAnsi="Arial" w:cs="Arial"/>
          <w:spacing w:val="10"/>
          <w:sz w:val="28"/>
        </w:rPr>
      </w:pPr>
      <w:r>
        <w:rPr>
          <w:rFonts w:ascii="Arial" w:hAnsi="Arial" w:cs="Arial"/>
          <w:sz w:val="28"/>
        </w:rPr>
        <w:t>其中：</w:t>
      </w:r>
      <w:r>
        <w:rPr>
          <w:rFonts w:ascii="Arial" w:hAnsi="Arial" w:cs="Arial"/>
          <w:spacing w:val="10"/>
          <w:sz w:val="28"/>
        </w:rPr>
        <w:t>开发项目整体的开发成本包括购地税费、房屋建造成本、管理费用、销售费用、投资利息和销售税费。</w:t>
      </w:r>
    </w:p>
    <w:p w14:paraId="2C53B493" w14:textId="77777777" w:rsidR="00000000" w:rsidRDefault="00000000">
      <w:pPr>
        <w:spacing w:line="360" w:lineRule="auto"/>
        <w:jc w:val="both"/>
        <w:rPr>
          <w:rFonts w:ascii="Arial" w:hAnsi="Arial" w:cs="Arial"/>
          <w:sz w:val="28"/>
        </w:rPr>
      </w:pPr>
      <w:r>
        <w:rPr>
          <w:rFonts w:ascii="Arial" w:hAnsi="Arial" w:cs="Arial"/>
          <w:sz w:val="28"/>
        </w:rPr>
        <w:t>（三）咨询结果</w:t>
      </w:r>
    </w:p>
    <w:p w14:paraId="22433E93" w14:textId="77777777" w:rsidR="00000000" w:rsidRDefault="00000000">
      <w:pPr>
        <w:spacing w:line="360" w:lineRule="auto"/>
        <w:ind w:firstLineChars="200" w:firstLine="560"/>
        <w:jc w:val="both"/>
        <w:rPr>
          <w:rFonts w:ascii="Arial" w:hAnsi="Arial" w:cs="Arial"/>
          <w:kern w:val="2"/>
          <w:sz w:val="28"/>
        </w:rPr>
      </w:pPr>
      <w:r>
        <w:rPr>
          <w:rFonts w:ascii="Arial" w:hAnsi="Arial" w:cs="Arial"/>
          <w:kern w:val="2"/>
          <w:sz w:val="28"/>
        </w:rPr>
        <w:t>评估专业人员根据估价的目的，按照估价的程序，采用科学的估价方法</w:t>
      </w:r>
      <w:r>
        <w:rPr>
          <w:rFonts w:ascii="Arial" w:hAnsi="Arial" w:cs="Arial"/>
          <w:kern w:val="2"/>
          <w:sz w:val="28"/>
        </w:rPr>
        <w:lastRenderedPageBreak/>
        <w:t>（剩余法），在认真分析现有资料的基础上，通过仔细测算和认真分析各种影响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08C458B5" w14:textId="77777777" w:rsidR="00000000" w:rsidRDefault="00000000">
      <w:pPr>
        <w:spacing w:line="360" w:lineRule="auto"/>
        <w:ind w:firstLineChars="200" w:firstLine="560"/>
        <w:jc w:val="both"/>
        <w:rPr>
          <w:rFonts w:ascii="Arial" w:hAnsi="Arial" w:cs="Arial"/>
          <w:sz w:val="28"/>
        </w:rPr>
      </w:pPr>
      <w:r>
        <w:rPr>
          <w:rFonts w:ascii="Arial" w:hAnsi="Arial" w:cs="Arial"/>
          <w:sz w:val="28"/>
        </w:rPr>
        <w:t>集体建设用地使用权价格：</w:t>
      </w:r>
      <w:r>
        <w:rPr>
          <w:rFonts w:ascii="Arial" w:hAnsi="Arial" w:cs="Arial" w:hint="eastAsia"/>
          <w:sz w:val="28"/>
        </w:rPr>
        <w:t>2438.16</w:t>
      </w:r>
      <w:r>
        <w:rPr>
          <w:rFonts w:ascii="Arial" w:hAnsi="Arial" w:cs="Arial"/>
          <w:sz w:val="28"/>
        </w:rPr>
        <w:t>万元</w:t>
      </w:r>
    </w:p>
    <w:p w14:paraId="6F8BE048" w14:textId="77777777" w:rsidR="00000000" w:rsidRDefault="00000000">
      <w:pPr>
        <w:spacing w:line="360" w:lineRule="auto"/>
        <w:ind w:firstLine="570"/>
        <w:jc w:val="both"/>
        <w:rPr>
          <w:rFonts w:ascii="Arial" w:hAnsi="Arial" w:cs="Arial"/>
          <w:sz w:val="28"/>
        </w:rPr>
      </w:pPr>
      <w:r>
        <w:rPr>
          <w:rFonts w:ascii="Arial" w:hAnsi="Arial" w:cs="Arial"/>
          <w:sz w:val="28"/>
        </w:rPr>
        <w:t>大写金额：人民币</w:t>
      </w:r>
      <w:r>
        <w:rPr>
          <w:rFonts w:ascii="Arial" w:hAnsi="Arial" w:cs="Arial"/>
          <w:sz w:val="28"/>
        </w:rPr>
        <w:fldChar w:fldCharType="begin"/>
      </w:r>
      <w:r>
        <w:rPr>
          <w:rFonts w:ascii="Arial" w:hAnsi="Arial" w:cs="Arial"/>
          <w:sz w:val="28"/>
        </w:rPr>
        <w:instrText xml:space="preserve"> = 634490000 \* CHINESENUM2 </w:instrText>
      </w:r>
      <w:r>
        <w:rPr>
          <w:rFonts w:ascii="Arial" w:hAnsi="Arial" w:cs="Arial"/>
          <w:sz w:val="28"/>
        </w:rPr>
        <w:fldChar w:fldCharType="separate"/>
      </w:r>
      <w:r>
        <w:rPr>
          <w:rFonts w:ascii="Arial" w:hAnsi="Arial" w:cs="Arial" w:hint="eastAsia"/>
          <w:sz w:val="28"/>
          <w:lang w:val="en-US"/>
        </w:rPr>
        <w:t>贰仟肆佰叁拾捌万壹仟陆佰</w:t>
      </w:r>
      <w:r>
        <w:rPr>
          <w:rFonts w:ascii="Arial" w:hAnsi="Arial" w:cs="Arial"/>
          <w:sz w:val="28"/>
        </w:rPr>
        <w:fldChar w:fldCharType="end"/>
      </w:r>
      <w:r>
        <w:rPr>
          <w:rFonts w:ascii="Arial" w:hAnsi="Arial" w:cs="Arial"/>
          <w:sz w:val="28"/>
        </w:rPr>
        <w:t>元整</w:t>
      </w:r>
    </w:p>
    <w:p w14:paraId="642823C3" w14:textId="77777777" w:rsidR="00000000" w:rsidRDefault="00000000">
      <w:pPr>
        <w:spacing w:line="360" w:lineRule="auto"/>
        <w:ind w:firstLine="570"/>
        <w:jc w:val="both"/>
        <w:rPr>
          <w:rFonts w:ascii="Arial" w:hAnsi="Arial" w:cs="Arial"/>
          <w:sz w:val="28"/>
        </w:rPr>
      </w:pPr>
      <w:r>
        <w:rPr>
          <w:rFonts w:ascii="Arial" w:hAnsi="Arial" w:cs="Arial"/>
          <w:sz w:val="28"/>
        </w:rPr>
        <w:t>单位面积地价：</w:t>
      </w:r>
      <w:r>
        <w:rPr>
          <w:rFonts w:ascii="Arial" w:hAnsi="Arial" w:cs="Arial" w:hint="eastAsia"/>
          <w:sz w:val="28"/>
        </w:rPr>
        <w:t>1439</w:t>
      </w:r>
      <w:r>
        <w:rPr>
          <w:rFonts w:ascii="Arial" w:hAnsi="Arial" w:cs="Arial"/>
          <w:sz w:val="28"/>
        </w:rPr>
        <w:t>元</w:t>
      </w:r>
      <w:r>
        <w:rPr>
          <w:rFonts w:ascii="Arial" w:hAnsi="Arial" w:cs="Arial"/>
          <w:sz w:val="28"/>
        </w:rPr>
        <w:t>/</w:t>
      </w:r>
      <w:r>
        <w:rPr>
          <w:rFonts w:ascii="Arial" w:hAnsi="Arial" w:cs="Arial"/>
          <w:sz w:val="28"/>
        </w:rPr>
        <w:t>平方米</w:t>
      </w:r>
    </w:p>
    <w:p w14:paraId="72F0E88C" w14:textId="77777777" w:rsidR="00000000" w:rsidRDefault="00000000">
      <w:pPr>
        <w:spacing w:line="360" w:lineRule="auto"/>
        <w:ind w:firstLine="570"/>
        <w:jc w:val="both"/>
        <w:rPr>
          <w:rFonts w:ascii="Arial" w:hAnsi="Arial" w:cs="Arial"/>
          <w:sz w:val="28"/>
        </w:rPr>
      </w:pPr>
      <w:r>
        <w:rPr>
          <w:rFonts w:ascii="Arial" w:hAnsi="Arial" w:cs="Arial"/>
          <w:sz w:val="28"/>
        </w:rPr>
        <w:t>楼面地价：</w:t>
      </w:r>
      <w:r>
        <w:rPr>
          <w:rFonts w:ascii="Arial" w:hAnsi="Arial" w:cs="Arial" w:hint="eastAsia"/>
          <w:sz w:val="28"/>
        </w:rPr>
        <w:t>603</w:t>
      </w:r>
      <w:r>
        <w:rPr>
          <w:rFonts w:ascii="Arial" w:hAnsi="Arial" w:cs="Arial"/>
          <w:sz w:val="28"/>
        </w:rPr>
        <w:t>元</w:t>
      </w:r>
      <w:r>
        <w:rPr>
          <w:rFonts w:ascii="Arial" w:hAnsi="Arial" w:cs="Arial"/>
          <w:sz w:val="28"/>
        </w:rPr>
        <w:t>/</w:t>
      </w:r>
      <w:r>
        <w:rPr>
          <w:rFonts w:ascii="Arial" w:hAnsi="Arial" w:cs="Arial"/>
          <w:sz w:val="28"/>
        </w:rPr>
        <w:t>平方米</w:t>
      </w:r>
    </w:p>
    <w:p w14:paraId="1F16349A" w14:textId="77777777" w:rsidR="00000000" w:rsidRDefault="00000000">
      <w:pPr>
        <w:spacing w:line="360" w:lineRule="auto"/>
        <w:ind w:firstLineChars="200" w:firstLine="560"/>
        <w:jc w:val="both"/>
        <w:rPr>
          <w:rFonts w:ascii="Arial" w:hAnsi="Arial" w:cs="Arial"/>
          <w:sz w:val="28"/>
        </w:rPr>
      </w:pPr>
      <w:r>
        <w:rPr>
          <w:rFonts w:ascii="Arial" w:hAnsi="Arial" w:cs="Arial"/>
          <w:sz w:val="28"/>
        </w:rPr>
        <w:t xml:space="preserve">  </w:t>
      </w:r>
      <w:r>
        <w:rPr>
          <w:rFonts w:ascii="Arial" w:hAnsi="Arial" w:cs="Arial"/>
          <w:sz w:val="28"/>
        </w:rPr>
        <w:t>备注：</w:t>
      </w:r>
    </w:p>
    <w:p w14:paraId="31ECC798" w14:textId="77777777" w:rsidR="00000000" w:rsidRDefault="00000000">
      <w:pPr>
        <w:spacing w:line="360" w:lineRule="auto"/>
        <w:ind w:firstLineChars="200" w:firstLine="560"/>
        <w:rPr>
          <w:rFonts w:ascii="Arial" w:hAnsi="Arial" w:cs="Arial"/>
          <w:sz w:val="28"/>
        </w:rPr>
      </w:pPr>
      <w:r>
        <w:rPr>
          <w:rFonts w:ascii="Arial" w:hAnsi="Arial" w:cs="Arial"/>
          <w:sz w:val="28"/>
        </w:rPr>
        <w:t xml:space="preserve">1. </w:t>
      </w:r>
      <w:r>
        <w:rPr>
          <w:rFonts w:ascii="Arial" w:hAnsi="Arial" w:cs="Arial"/>
          <w:sz w:val="28"/>
        </w:rPr>
        <w:t>在本次评估过程中，目前该开发项目尚未正式进行开发施工，评估专业人员尚未取得《</w:t>
      </w:r>
      <w:r>
        <w:rPr>
          <w:rFonts w:ascii="Arial" w:hAnsi="Arial" w:cs="Arial"/>
          <w:sz w:val="28"/>
        </w:rPr>
        <w:t xml:space="preserve"> “</w:t>
      </w:r>
      <w:r>
        <w:rPr>
          <w:rFonts w:ascii="Arial" w:hAnsi="Arial" w:cs="Arial"/>
          <w:sz w:val="28"/>
        </w:rPr>
        <w:t>多规合一</w:t>
      </w:r>
      <w:r>
        <w:rPr>
          <w:rFonts w:ascii="Arial" w:hAnsi="Arial" w:cs="Arial"/>
          <w:sz w:val="28"/>
        </w:rPr>
        <w:t>”</w:t>
      </w:r>
      <w:r>
        <w:rPr>
          <w:rFonts w:ascii="Arial" w:hAnsi="Arial" w:cs="Arial"/>
          <w:sz w:val="28"/>
        </w:rPr>
        <w:t>协同平台初审意见的函》、《北京市发展和改革委员会关于</w:t>
      </w:r>
      <w:commentRangeStart w:id="161"/>
      <w:r>
        <w:rPr>
          <w:rFonts w:ascii="Arial" w:hAnsi="Arial" w:cs="Arial"/>
          <w:sz w:val="28"/>
        </w:rPr>
        <w:t>顺义区南法信镇</w:t>
      </w:r>
      <w:commentRangeEnd w:id="161"/>
      <w:r w:rsidR="00A523B7">
        <w:rPr>
          <w:rStyle w:val="afe"/>
        </w:rPr>
        <w:commentReference w:id="161"/>
      </w:r>
      <w:r>
        <w:rPr>
          <w:rFonts w:ascii="Arial" w:hAnsi="Arial" w:cs="Arial" w:hint="eastAsia"/>
          <w:sz w:val="28"/>
        </w:rPr>
        <w:t>百泉庄村经济组织</w:t>
      </w:r>
      <w:r>
        <w:rPr>
          <w:rFonts w:ascii="Arial" w:hAnsi="Arial" w:cs="Arial"/>
          <w:sz w:val="28"/>
        </w:rPr>
        <w:t>集体土地租赁住房项目核准的批复》等相关项目资料，本次评估过程中涉及的相关测算参数主要是依据委托方提供的《估价委托书》及介绍的情况测算，如上述数据发生变化，可能会对目前的评估结论产生影响。</w:t>
      </w:r>
    </w:p>
    <w:p w14:paraId="63B1EF47" w14:textId="77777777" w:rsidR="00000000" w:rsidRDefault="00000000">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3C356790" w14:textId="77777777" w:rsidR="00000000" w:rsidRDefault="00000000">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．本次剩余法测算过程中，项目运营收入、成本、费用等为开发项目过程中以及建成后出租经济行为产生的相关收入和成本、费用，未包含开发项目建成后运营期与物业管理相关的收入、成本、费用；</w:t>
      </w:r>
    </w:p>
    <w:p w14:paraId="67D2C0F3" w14:textId="77777777" w:rsidR="00000000" w:rsidRDefault="00000000">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．集体建设用地使用权没有使用年限限制。根据北京市政府发布的</w:t>
      </w:r>
      <w:r>
        <w:rPr>
          <w:rFonts w:ascii="Arial" w:hAnsi="Arial" w:cs="Arial"/>
          <w:sz w:val="28"/>
        </w:rPr>
        <w:lastRenderedPageBreak/>
        <w:t>《关于我市利用集体土地建设租赁住房相关政策的补充意见》</w:t>
      </w:r>
      <w:r>
        <w:rPr>
          <w:rFonts w:ascii="Arial" w:hAnsi="Arial" w:cs="Arial"/>
          <w:sz w:val="28"/>
        </w:rPr>
        <w:t>[</w:t>
      </w:r>
      <w:r>
        <w:rPr>
          <w:rFonts w:ascii="Arial" w:hAnsi="Arial" w:cs="Arial"/>
          <w:sz w:val="28"/>
        </w:rPr>
        <w:t>京规自发</w:t>
      </w:r>
      <w:r>
        <w:rPr>
          <w:rFonts w:ascii="Arial" w:hAnsi="Arial" w:cs="Arial"/>
          <w:sz w:val="28"/>
        </w:rPr>
        <w:t>[2018]64</w:t>
      </w:r>
      <w:r>
        <w:rPr>
          <w:rFonts w:ascii="Arial" w:hAnsi="Arial" w:cs="Arial"/>
          <w:sz w:val="28"/>
        </w:rPr>
        <w:t>号</w:t>
      </w:r>
      <w:r>
        <w:rPr>
          <w:rFonts w:ascii="Arial" w:hAnsi="Arial" w:cs="Arial"/>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年。根据委托方提供的相关资料及对开发建设项目建设安排，联营期限</w:t>
      </w:r>
      <w:r>
        <w:rPr>
          <w:rFonts w:ascii="Arial" w:hAnsi="Arial" w:cs="Arial"/>
          <w:sz w:val="28"/>
        </w:rPr>
        <w:t>50</w:t>
      </w:r>
      <w:r>
        <w:rPr>
          <w:rFonts w:ascii="Arial" w:hAnsi="Arial" w:cs="Arial"/>
          <w:sz w:val="28"/>
        </w:rPr>
        <w:t>年自项目公司成立开始计算。根据相关规定，该开发项目只能采取出租的形式获得项目收入，介于收益期过长，本次评估考虑折现；合作期限</w:t>
      </w:r>
      <w:r>
        <w:rPr>
          <w:rFonts w:ascii="Arial" w:hAnsi="Arial" w:cs="Arial"/>
          <w:sz w:val="28"/>
        </w:rPr>
        <w:t>50</w:t>
      </w:r>
      <w:r>
        <w:rPr>
          <w:rFonts w:ascii="Arial" w:hAnsi="Arial" w:cs="Arial"/>
          <w:sz w:val="28"/>
        </w:rPr>
        <w:t>年结束后的后续处理模式，由于目前针对退出时相关政策行文件尚未正式出台，故届时将按照有关规定执行。综上所述，本次评估只考虑</w:t>
      </w:r>
      <w:r>
        <w:rPr>
          <w:rFonts w:ascii="Arial" w:hAnsi="Arial" w:cs="Arial"/>
          <w:sz w:val="28"/>
        </w:rPr>
        <w:t>50</w:t>
      </w:r>
      <w:r>
        <w:rPr>
          <w:rFonts w:ascii="Arial" w:hAnsi="Arial" w:cs="Arial"/>
          <w:sz w:val="28"/>
        </w:rPr>
        <w:t>年合作期限内的收益。</w:t>
      </w:r>
    </w:p>
    <w:p w14:paraId="1B41089D" w14:textId="77777777" w:rsidR="00000000" w:rsidRDefault="00000000">
      <w:pPr>
        <w:spacing w:line="240" w:lineRule="exact"/>
        <w:rPr>
          <w:rFonts w:ascii="Arial" w:hAnsi="Arial" w:cs="Arial"/>
          <w:sz w:val="18"/>
          <w:szCs w:val="18"/>
        </w:rPr>
      </w:pPr>
    </w:p>
    <w:p w14:paraId="28F43CD0" w14:textId="77777777" w:rsidR="00000000" w:rsidRDefault="00000000">
      <w:pPr>
        <w:spacing w:line="360" w:lineRule="auto"/>
        <w:ind w:firstLine="570"/>
        <w:jc w:val="both"/>
        <w:rPr>
          <w:rFonts w:ascii="Arial" w:hAnsi="Arial" w:cs="Arial"/>
          <w:b/>
          <w:sz w:val="28"/>
        </w:rPr>
      </w:pPr>
    </w:p>
    <w:p w14:paraId="3CCDBFDE" w14:textId="77777777" w:rsidR="00000000" w:rsidRDefault="00000000">
      <w:pPr>
        <w:spacing w:line="360" w:lineRule="auto"/>
        <w:outlineLvl w:val="1"/>
        <w:rPr>
          <w:rFonts w:ascii="Arial" w:hAnsi="Arial" w:cs="Arial"/>
          <w:b/>
          <w:sz w:val="28"/>
        </w:rPr>
      </w:pPr>
      <w:bookmarkStart w:id="162" w:name="_Toc25849"/>
      <w:bookmarkStart w:id="163" w:name="_Toc416783537"/>
      <w:bookmarkStart w:id="164" w:name="_Toc469066320"/>
      <w:bookmarkStart w:id="165" w:name="_Toc7253"/>
      <w:bookmarkStart w:id="166" w:name="_Toc418750900"/>
      <w:bookmarkStart w:id="167" w:name="_Toc425250322"/>
      <w:r>
        <w:rPr>
          <w:rFonts w:ascii="Arial" w:hAnsi="Arial" w:cs="Arial"/>
          <w:b/>
          <w:sz w:val="28"/>
        </w:rPr>
        <w:t>三、咨询结果和咨询报告的使用</w:t>
      </w:r>
      <w:bookmarkEnd w:id="162"/>
      <w:bookmarkEnd w:id="163"/>
      <w:bookmarkEnd w:id="164"/>
      <w:bookmarkEnd w:id="165"/>
      <w:bookmarkEnd w:id="166"/>
      <w:bookmarkEnd w:id="167"/>
    </w:p>
    <w:p w14:paraId="3C468C5A" w14:textId="77777777" w:rsidR="00000000" w:rsidRDefault="00000000">
      <w:pPr>
        <w:snapToGrid w:val="0"/>
        <w:spacing w:line="360" w:lineRule="auto"/>
        <w:jc w:val="both"/>
        <w:textAlignment w:val="bottom"/>
        <w:rPr>
          <w:rFonts w:ascii="Arial" w:hAnsi="Arial" w:cs="Arial"/>
          <w:sz w:val="28"/>
        </w:rPr>
      </w:pPr>
      <w:r>
        <w:rPr>
          <w:rFonts w:ascii="Arial" w:hAnsi="Arial" w:cs="Arial"/>
          <w:sz w:val="28"/>
        </w:rPr>
        <w:t>（一）咨询的前提条件和假设条件</w:t>
      </w:r>
    </w:p>
    <w:p w14:paraId="79833754" w14:textId="77777777" w:rsidR="00000000" w:rsidRDefault="00000000">
      <w:pPr>
        <w:snapToGrid w:val="0"/>
        <w:spacing w:line="360" w:lineRule="auto"/>
        <w:ind w:firstLine="555"/>
        <w:jc w:val="both"/>
        <w:textAlignment w:val="bottom"/>
        <w:rPr>
          <w:rFonts w:ascii="Arial" w:hAnsi="Arial" w:cs="Arial"/>
          <w:sz w:val="28"/>
        </w:rPr>
      </w:pPr>
      <w:r>
        <w:rPr>
          <w:rFonts w:ascii="Arial" w:hAnsi="Arial" w:cs="Arial"/>
          <w:sz w:val="28"/>
        </w:rPr>
        <w:t>1.</w:t>
      </w:r>
      <w:r>
        <w:rPr>
          <w:rFonts w:ascii="Arial" w:hAnsi="Arial" w:cs="Arial"/>
          <w:sz w:val="28"/>
        </w:rPr>
        <w:t>咨询对象作为</w:t>
      </w:r>
      <w:r>
        <w:rPr>
          <w:rFonts w:ascii="Arial" w:hAnsi="Arial" w:cs="Arial" w:hint="eastAsia"/>
          <w:sz w:val="28"/>
        </w:rPr>
        <w:t>公寓</w:t>
      </w:r>
      <w:r>
        <w:rPr>
          <w:rFonts w:ascii="Arial" w:hAnsi="Arial" w:cs="Arial"/>
          <w:sz w:val="28"/>
        </w:rPr>
        <w:t>、商业</w:t>
      </w:r>
      <w:r>
        <w:rPr>
          <w:rFonts w:ascii="Arial" w:hAnsi="Arial" w:cs="Arial" w:hint="eastAsia"/>
          <w:sz w:val="28"/>
        </w:rPr>
        <w:t>、地下车库用途</w:t>
      </w:r>
      <w:r>
        <w:rPr>
          <w:rFonts w:ascii="Arial" w:hAnsi="Arial" w:cs="Arial"/>
          <w:sz w:val="28"/>
        </w:rPr>
        <w:t>为最有效利用方式。</w:t>
      </w:r>
    </w:p>
    <w:p w14:paraId="39EE7B2A" w14:textId="77777777" w:rsidR="00000000" w:rsidRDefault="00000000">
      <w:pPr>
        <w:snapToGrid w:val="0"/>
        <w:spacing w:line="360" w:lineRule="auto"/>
        <w:ind w:firstLine="555"/>
        <w:jc w:val="both"/>
        <w:textAlignment w:val="bottom"/>
        <w:rPr>
          <w:rFonts w:ascii="Arial" w:hAnsi="Arial" w:cs="Arial"/>
          <w:sz w:val="28"/>
        </w:rPr>
      </w:pPr>
      <w:r>
        <w:rPr>
          <w:rFonts w:ascii="Arial" w:hAnsi="Arial" w:cs="Arial"/>
          <w:sz w:val="28"/>
        </w:rPr>
        <w:t>2.</w:t>
      </w:r>
      <w:r>
        <w:rPr>
          <w:rFonts w:ascii="Arial" w:hAnsi="Arial" w:cs="Arial"/>
          <w:sz w:val="28"/>
        </w:rPr>
        <w:t>委托方提供的资料属实，没有保留及隐瞒。</w:t>
      </w:r>
    </w:p>
    <w:p w14:paraId="0CF7D899" w14:textId="77777777" w:rsidR="00000000" w:rsidRDefault="00000000">
      <w:pPr>
        <w:snapToGrid w:val="0"/>
        <w:spacing w:line="360" w:lineRule="auto"/>
        <w:jc w:val="both"/>
        <w:textAlignment w:val="bottom"/>
        <w:rPr>
          <w:rFonts w:ascii="Arial" w:hAnsi="Arial" w:cs="Arial"/>
          <w:sz w:val="28"/>
        </w:rPr>
      </w:pPr>
      <w:r>
        <w:rPr>
          <w:rFonts w:ascii="Arial" w:hAnsi="Arial" w:cs="Arial"/>
          <w:sz w:val="28"/>
        </w:rPr>
        <w:t xml:space="preserve">    3.</w:t>
      </w:r>
      <w:r>
        <w:rPr>
          <w:rFonts w:ascii="Arial" w:hAnsi="Arial" w:cs="Arial"/>
          <w:sz w:val="28"/>
        </w:rPr>
        <w:t>在咨询期日的房地产市场为公开、平等、自愿的交易市场。</w:t>
      </w:r>
    </w:p>
    <w:p w14:paraId="1B3D0CFF" w14:textId="77777777" w:rsidR="00000000" w:rsidRDefault="00000000">
      <w:pPr>
        <w:snapToGrid w:val="0"/>
        <w:spacing w:line="360" w:lineRule="auto"/>
        <w:jc w:val="both"/>
        <w:textAlignment w:val="bottom"/>
        <w:rPr>
          <w:rFonts w:ascii="Arial" w:hAnsi="Arial" w:cs="Arial"/>
          <w:sz w:val="28"/>
        </w:rPr>
      </w:pPr>
      <w:r>
        <w:rPr>
          <w:rFonts w:ascii="Arial" w:hAnsi="Arial" w:cs="Arial"/>
          <w:sz w:val="28"/>
        </w:rPr>
        <w:t xml:space="preserve">    4.</w:t>
      </w:r>
      <w:r>
        <w:rPr>
          <w:rFonts w:ascii="Arial" w:hAnsi="Arial" w:cs="Arial"/>
          <w:sz w:val="28"/>
        </w:rPr>
        <w:t>任何有关咨询对象的运作方式、程序符合国家、地方的有关法律、法规。</w:t>
      </w:r>
    </w:p>
    <w:p w14:paraId="10285AF2" w14:textId="77777777" w:rsidR="00000000" w:rsidRDefault="00000000">
      <w:pPr>
        <w:spacing w:line="360" w:lineRule="auto"/>
        <w:ind w:right="17" w:firstLineChars="200" w:firstLine="560"/>
        <w:jc w:val="both"/>
        <w:rPr>
          <w:rFonts w:ascii="Arial" w:hAnsi="Arial" w:cs="Arial"/>
          <w:sz w:val="28"/>
        </w:rPr>
      </w:pPr>
      <w:r>
        <w:rPr>
          <w:rFonts w:ascii="Arial" w:hAnsi="Arial" w:cs="Arial"/>
          <w:sz w:val="28"/>
        </w:rPr>
        <w:t>5.</w:t>
      </w:r>
      <w:r>
        <w:rPr>
          <w:rFonts w:ascii="Arial" w:hAnsi="Arial" w:cs="Arial"/>
          <w:sz w:val="28"/>
        </w:rPr>
        <w:t>委托方合法取得咨询对象集体建设用地使用权，并支付全部相关税费。</w:t>
      </w:r>
    </w:p>
    <w:p w14:paraId="7735B440" w14:textId="77777777" w:rsidR="00000000" w:rsidRDefault="00000000">
      <w:pPr>
        <w:spacing w:line="360" w:lineRule="auto"/>
        <w:ind w:firstLineChars="200" w:firstLine="560"/>
        <w:jc w:val="both"/>
        <w:rPr>
          <w:rFonts w:ascii="Arial" w:hAnsi="Arial" w:cs="Arial"/>
          <w:i/>
          <w:sz w:val="28"/>
        </w:rPr>
      </w:pPr>
      <w:r>
        <w:rPr>
          <w:rFonts w:ascii="Arial" w:hAnsi="Arial" w:cs="Arial" w:hint="eastAsia"/>
          <w:sz w:val="28"/>
        </w:rPr>
        <w:t>6</w:t>
      </w:r>
      <w:r>
        <w:rPr>
          <w:rFonts w:ascii="Arial" w:hAnsi="Arial" w:cs="Arial"/>
          <w:sz w:val="28"/>
        </w:rPr>
        <w:t>.</w:t>
      </w:r>
      <w:r>
        <w:rPr>
          <w:rFonts w:ascii="Arial" w:hAnsi="Arial" w:cs="Arial"/>
          <w:sz w:val="28"/>
        </w:rPr>
        <w:t>根据委托方介绍及评估专业人员实地查勘，本次评估咨询对象实际土地开发程度为红线外市政基础设施为</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、宗地红线内场地未平整，宗地内有需要移除的树木。依据委托方介绍，该宗地以</w:t>
      </w:r>
      <w:r>
        <w:rPr>
          <w:rFonts w:ascii="Arial" w:hAnsi="Arial" w:cs="Arial"/>
          <w:sz w:val="28"/>
        </w:rPr>
        <w:t>“</w:t>
      </w:r>
      <w:r>
        <w:rPr>
          <w:rFonts w:ascii="Arial" w:hAnsi="Arial" w:cs="Arial"/>
          <w:sz w:val="28"/>
        </w:rPr>
        <w:t>三通一平</w:t>
      </w:r>
      <w:r>
        <w:rPr>
          <w:rFonts w:ascii="Arial" w:hAnsi="Arial" w:cs="Arial"/>
          <w:sz w:val="28"/>
        </w:rPr>
        <w:t>”</w:t>
      </w:r>
      <w:r>
        <w:rPr>
          <w:rFonts w:ascii="Arial" w:hAnsi="Arial" w:cs="Arial"/>
          <w:sz w:val="28"/>
        </w:rPr>
        <w:t>的形式作价入股，因此本次评估设定土地开发程度为红线外市政基础设施达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、宗地红线内场地平整。</w:t>
      </w:r>
      <w:r>
        <w:rPr>
          <w:rFonts w:ascii="Arial" w:hAnsi="Arial" w:cs="Arial"/>
          <w:spacing w:val="-12"/>
          <w:sz w:val="28"/>
        </w:rPr>
        <w:t>咨询结果</w:t>
      </w:r>
      <w:r>
        <w:rPr>
          <w:rFonts w:ascii="Arial" w:hAnsi="Arial" w:cs="Arial"/>
          <w:sz w:val="28"/>
        </w:rPr>
        <w:t>未扣除树木移除的费用。</w:t>
      </w:r>
    </w:p>
    <w:p w14:paraId="6251003F"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lastRenderedPageBreak/>
        <w:t>7</w:t>
      </w:r>
      <w:r>
        <w:rPr>
          <w:rFonts w:ascii="Arial" w:hAnsi="Arial" w:cs="Arial"/>
          <w:sz w:val="28"/>
        </w:rPr>
        <w:t>.</w:t>
      </w:r>
      <w:r>
        <w:rPr>
          <w:rFonts w:ascii="Arial" w:hAnsi="Arial" w:cs="Arial"/>
          <w:sz w:val="28"/>
        </w:rPr>
        <w:t>本次评估咨询对象的规划利用条件以</w:t>
      </w:r>
      <w:r>
        <w:rPr>
          <w:rFonts w:ascii="Arial" w:hAnsi="Arial" w:cs="Arial" w:hint="eastAsia"/>
          <w:sz w:val="28"/>
        </w:rPr>
        <w:t>委托方介绍的</w:t>
      </w:r>
      <w:r>
        <w:rPr>
          <w:rFonts w:ascii="Arial" w:hAnsi="Arial" w:cs="Arial"/>
          <w:sz w:val="28"/>
        </w:rPr>
        <w:t>为依据。</w:t>
      </w:r>
    </w:p>
    <w:p w14:paraId="58835A9C"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8</w:t>
      </w:r>
      <w:r>
        <w:rPr>
          <w:rFonts w:ascii="Arial" w:hAnsi="Arial" w:cs="Arial"/>
          <w:sz w:val="28"/>
        </w:rPr>
        <w:t>.</w:t>
      </w:r>
      <w:r>
        <w:rPr>
          <w:rFonts w:ascii="Arial" w:hAnsi="Arial" w:cs="Arial"/>
          <w:sz w:val="28"/>
        </w:rPr>
        <w:t>评估专业人员根据委托方所提供的资料，未发现有抵押、租赁的登记信息，本次评估设定咨询对象不存在抵押、租赁等他项权利。</w:t>
      </w:r>
    </w:p>
    <w:p w14:paraId="4237F7D3" w14:textId="77777777" w:rsidR="00000000" w:rsidRDefault="00000000">
      <w:pPr>
        <w:snapToGrid w:val="0"/>
        <w:spacing w:line="360" w:lineRule="auto"/>
        <w:ind w:firstLine="585"/>
        <w:jc w:val="both"/>
        <w:textAlignment w:val="bottom"/>
        <w:rPr>
          <w:rFonts w:ascii="Arial" w:hAnsi="Arial" w:cs="Arial"/>
          <w:sz w:val="28"/>
        </w:rPr>
      </w:pPr>
      <w:r>
        <w:rPr>
          <w:rFonts w:ascii="Arial" w:hAnsi="Arial" w:cs="Arial" w:hint="eastAsia"/>
          <w:sz w:val="28"/>
        </w:rPr>
        <w:t>9</w:t>
      </w:r>
      <w:r>
        <w:rPr>
          <w:rFonts w:ascii="Arial" w:hAnsi="Arial" w:cs="Arial"/>
          <w:sz w:val="28"/>
        </w:rPr>
        <w:t>.</w:t>
      </w:r>
      <w:r>
        <w:rPr>
          <w:rFonts w:ascii="Arial" w:hAnsi="Arial" w:cs="Arial"/>
          <w:sz w:val="28"/>
        </w:rPr>
        <w:t>本次咨询结果以咨询对象能够按照合理工期按时完成各项工程进度，直至通过竣工验收，能够在合理期限内正常投入使用，并最终在《集体土地所有权证》上登记建筑物信息为前提条件，未考虑咨询对象因其他原因无法顺利开工、完工而产生的重大影响，在此提请报告使用者注意。</w:t>
      </w:r>
    </w:p>
    <w:p w14:paraId="782B3BBB" w14:textId="77777777" w:rsidR="00000000" w:rsidRDefault="00000000">
      <w:pPr>
        <w:snapToGrid w:val="0"/>
        <w:spacing w:line="360" w:lineRule="auto"/>
        <w:jc w:val="both"/>
        <w:textAlignment w:val="bottom"/>
        <w:rPr>
          <w:rFonts w:ascii="Arial" w:hAnsi="Arial" w:cs="Arial"/>
          <w:sz w:val="28"/>
        </w:rPr>
      </w:pPr>
      <w:r>
        <w:rPr>
          <w:rFonts w:ascii="Arial" w:hAnsi="Arial" w:cs="Arial"/>
          <w:sz w:val="28"/>
        </w:rPr>
        <w:t>（二）咨询结果和咨询报告的使用</w:t>
      </w:r>
    </w:p>
    <w:p w14:paraId="2D9F6C39" w14:textId="77777777" w:rsidR="00000000" w:rsidRDefault="00000000">
      <w:pPr>
        <w:snapToGrid w:val="0"/>
        <w:spacing w:line="360" w:lineRule="auto"/>
        <w:ind w:firstLine="585"/>
        <w:jc w:val="both"/>
        <w:textAlignment w:val="auto"/>
        <w:rPr>
          <w:rFonts w:ascii="Arial" w:hAnsi="Arial" w:cs="Arial"/>
          <w:sz w:val="28"/>
        </w:rPr>
      </w:pPr>
      <w:r>
        <w:rPr>
          <w:rFonts w:ascii="Arial" w:hAnsi="Arial" w:cs="Arial"/>
          <w:sz w:val="28"/>
        </w:rPr>
        <w:t>1.</w:t>
      </w:r>
      <w:r>
        <w:rPr>
          <w:rFonts w:ascii="Arial" w:hAnsi="Arial" w:cs="Arial"/>
          <w:sz w:val="28"/>
        </w:rPr>
        <w:t>本咨询报告的依据为国务院、国土资源部、住建部、北京市人民政府及有关部门颁布的有关法律、法规、政策文件、委托方提供的资料、受托估价方掌握的有关资料以及评估专业人员实地勘察所获取的资料。</w:t>
      </w:r>
    </w:p>
    <w:p w14:paraId="580780C6" w14:textId="77777777" w:rsidR="00000000" w:rsidRDefault="00000000">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委托方</w:t>
      </w:r>
      <w:r>
        <w:rPr>
          <w:rFonts w:ascii="Arial" w:hAnsi="Arial" w:cs="Arial"/>
          <w:kern w:val="2"/>
          <w:sz w:val="28"/>
        </w:rPr>
        <w:t>应对其提供的权属证明以及其他资料的真实性、完整性和合法性负责。如因资料失实或资料提供人有所隐匿而导致咨询结果失真，估价机构不承担相应的责任。</w:t>
      </w:r>
    </w:p>
    <w:p w14:paraId="32E4235E" w14:textId="77777777" w:rsidR="00000000" w:rsidRDefault="00000000">
      <w:pPr>
        <w:snapToGrid w:val="0"/>
        <w:spacing w:line="360" w:lineRule="auto"/>
        <w:ind w:firstLine="585"/>
        <w:jc w:val="both"/>
        <w:textAlignment w:val="auto"/>
        <w:rPr>
          <w:rFonts w:ascii="Arial" w:hAnsi="Arial" w:cs="Arial"/>
          <w:sz w:val="28"/>
        </w:rPr>
      </w:pPr>
      <w:r>
        <w:rPr>
          <w:rFonts w:ascii="Arial" w:hAnsi="Arial" w:cs="Arial"/>
          <w:sz w:val="28"/>
        </w:rPr>
        <w:t>3.</w:t>
      </w:r>
      <w:r>
        <w:rPr>
          <w:rFonts w:ascii="Arial" w:hAnsi="Arial" w:cs="Arial"/>
          <w:sz w:val="28"/>
        </w:rPr>
        <w:t>本报告咨询结果为咨询期日下的正常市场价格，随着时间的推移，该价格需要做相应的调整直至重新评估。</w:t>
      </w:r>
    </w:p>
    <w:p w14:paraId="752D9527" w14:textId="77777777" w:rsidR="00000000" w:rsidRDefault="00000000">
      <w:pPr>
        <w:snapToGrid w:val="0"/>
        <w:spacing w:line="360" w:lineRule="auto"/>
        <w:ind w:firstLine="585"/>
        <w:jc w:val="both"/>
        <w:textAlignment w:val="auto"/>
        <w:rPr>
          <w:rFonts w:ascii="Arial" w:hAnsi="Arial" w:cs="Arial"/>
          <w:sz w:val="28"/>
        </w:rPr>
      </w:pPr>
      <w:r>
        <w:rPr>
          <w:rFonts w:ascii="Arial" w:hAnsi="Arial" w:cs="Arial"/>
          <w:sz w:val="28"/>
        </w:rPr>
        <w:t>4.</w:t>
      </w:r>
      <w:r>
        <w:rPr>
          <w:rFonts w:ascii="Arial" w:hAnsi="Arial" w:cs="Arial"/>
          <w:sz w:val="28"/>
        </w:rPr>
        <w:t>本咨询报告在估价机构盖章和土地估价师</w:t>
      </w:r>
      <w:r>
        <w:rPr>
          <w:rFonts w:ascii="Arial" w:hAnsi="Arial" w:cs="Arial" w:hint="eastAsia"/>
          <w:sz w:val="28"/>
        </w:rPr>
        <w:t>签字或</w:t>
      </w:r>
      <w:r>
        <w:rPr>
          <w:rFonts w:ascii="Arial" w:hAnsi="Arial" w:cs="Arial"/>
          <w:sz w:val="28"/>
        </w:rPr>
        <w:t>签</w:t>
      </w:r>
      <w:r>
        <w:rPr>
          <w:rFonts w:ascii="Arial" w:hAnsi="Arial" w:cs="Arial" w:hint="eastAsia"/>
          <w:sz w:val="28"/>
        </w:rPr>
        <w:t>章</w:t>
      </w:r>
      <w:r>
        <w:rPr>
          <w:rFonts w:ascii="Arial" w:hAnsi="Arial" w:cs="Arial"/>
          <w:sz w:val="28"/>
        </w:rPr>
        <w:t>的条件下有效。</w:t>
      </w:r>
    </w:p>
    <w:p w14:paraId="70BFE85C" w14:textId="77777777" w:rsidR="00000000" w:rsidRDefault="00000000">
      <w:pPr>
        <w:snapToGrid w:val="0"/>
        <w:spacing w:line="360" w:lineRule="auto"/>
        <w:ind w:firstLine="585"/>
        <w:jc w:val="both"/>
        <w:textAlignment w:val="auto"/>
        <w:rPr>
          <w:rFonts w:ascii="Arial" w:hAnsi="Arial" w:cs="Arial"/>
          <w:sz w:val="28"/>
        </w:rPr>
      </w:pPr>
      <w:r>
        <w:rPr>
          <w:rFonts w:ascii="Arial" w:hAnsi="Arial" w:cs="Arial"/>
          <w:sz w:val="28"/>
        </w:rPr>
        <w:t>5.</w:t>
      </w:r>
      <w:r>
        <w:rPr>
          <w:rFonts w:ascii="Arial" w:hAnsi="Arial" w:cs="Arial"/>
          <w:sz w:val="28"/>
        </w:rPr>
        <w:t>本次评估咨询报告分为</w:t>
      </w:r>
      <w:r>
        <w:rPr>
          <w:rFonts w:ascii="Arial" w:hAnsi="Arial" w:cs="Arial"/>
          <w:sz w:val="28"/>
        </w:rPr>
        <w:t>“</w:t>
      </w:r>
      <w:r>
        <w:rPr>
          <w:rFonts w:ascii="Arial" w:hAnsi="Arial" w:cs="Arial"/>
          <w:sz w:val="28"/>
        </w:rPr>
        <w:t>土地</w:t>
      </w:r>
      <w:r>
        <w:rPr>
          <w:rFonts w:ascii="Arial" w:hAnsi="Arial" w:cs="Arial" w:hint="eastAsia"/>
          <w:sz w:val="28"/>
        </w:rPr>
        <w:t>咨询</w:t>
      </w:r>
      <w:r>
        <w:rPr>
          <w:rFonts w:ascii="Arial" w:hAnsi="Arial" w:cs="Arial"/>
          <w:sz w:val="28"/>
        </w:rPr>
        <w:t>报告</w:t>
      </w:r>
      <w:r>
        <w:rPr>
          <w:rFonts w:ascii="Arial" w:hAnsi="Arial" w:cs="Arial"/>
          <w:sz w:val="28"/>
        </w:rPr>
        <w:t>”</w:t>
      </w:r>
      <w:r>
        <w:rPr>
          <w:rFonts w:ascii="Arial" w:hAnsi="Arial" w:cs="Arial"/>
          <w:sz w:val="28"/>
        </w:rPr>
        <w:t>和</w:t>
      </w:r>
      <w:r>
        <w:rPr>
          <w:rFonts w:ascii="Arial" w:hAnsi="Arial" w:cs="Arial"/>
          <w:sz w:val="28"/>
        </w:rPr>
        <w:t>“</w:t>
      </w:r>
      <w:r>
        <w:rPr>
          <w:rFonts w:ascii="Arial" w:hAnsi="Arial" w:cs="Arial"/>
          <w:sz w:val="28"/>
        </w:rPr>
        <w:t>土地</w:t>
      </w:r>
      <w:r>
        <w:rPr>
          <w:rFonts w:ascii="Arial" w:hAnsi="Arial" w:cs="Arial" w:hint="eastAsia"/>
          <w:sz w:val="28"/>
        </w:rPr>
        <w:t>咨询</w:t>
      </w:r>
      <w:r>
        <w:rPr>
          <w:rFonts w:ascii="Arial" w:hAnsi="Arial" w:cs="Arial"/>
          <w:sz w:val="28"/>
        </w:rPr>
        <w:t>技术报告</w:t>
      </w:r>
      <w:r>
        <w:rPr>
          <w:rFonts w:ascii="Arial" w:hAnsi="Arial" w:cs="Arial"/>
          <w:sz w:val="28"/>
        </w:rPr>
        <w:t>”</w:t>
      </w:r>
      <w:r>
        <w:rPr>
          <w:rFonts w:ascii="Arial" w:hAnsi="Arial" w:cs="Arial"/>
          <w:sz w:val="28"/>
        </w:rPr>
        <w:t>两部分，</w:t>
      </w:r>
      <w:r>
        <w:rPr>
          <w:rFonts w:ascii="Arial" w:hAnsi="Arial" w:cs="Arial"/>
          <w:sz w:val="28"/>
        </w:rPr>
        <w:t>“</w:t>
      </w:r>
      <w:r>
        <w:rPr>
          <w:rFonts w:ascii="Arial" w:hAnsi="Arial" w:cs="Arial"/>
          <w:sz w:val="28"/>
        </w:rPr>
        <w:t>土地</w:t>
      </w:r>
      <w:r>
        <w:rPr>
          <w:rFonts w:ascii="Arial" w:hAnsi="Arial" w:cs="Arial" w:hint="eastAsia"/>
          <w:sz w:val="28"/>
        </w:rPr>
        <w:t>咨询</w:t>
      </w:r>
      <w:r>
        <w:rPr>
          <w:rFonts w:ascii="Arial" w:hAnsi="Arial" w:cs="Arial"/>
          <w:sz w:val="28"/>
        </w:rPr>
        <w:t>报告</w:t>
      </w:r>
      <w:r>
        <w:rPr>
          <w:rFonts w:ascii="Arial" w:hAnsi="Arial" w:cs="Arial"/>
          <w:sz w:val="28"/>
        </w:rPr>
        <w:t>”</w:t>
      </w:r>
      <w:r>
        <w:rPr>
          <w:rFonts w:ascii="Arial" w:hAnsi="Arial" w:cs="Arial"/>
          <w:sz w:val="28"/>
        </w:rPr>
        <w:t>供委托方使用，</w:t>
      </w:r>
      <w:r>
        <w:rPr>
          <w:rFonts w:ascii="Arial" w:hAnsi="Arial" w:cs="Arial"/>
          <w:sz w:val="28"/>
        </w:rPr>
        <w:t>“</w:t>
      </w:r>
      <w:r>
        <w:rPr>
          <w:rFonts w:ascii="Arial" w:hAnsi="Arial" w:cs="Arial"/>
          <w:sz w:val="28"/>
        </w:rPr>
        <w:t>土地</w:t>
      </w:r>
      <w:r>
        <w:rPr>
          <w:rFonts w:ascii="Arial" w:hAnsi="Arial" w:cs="Arial" w:hint="eastAsia"/>
          <w:sz w:val="28"/>
        </w:rPr>
        <w:t>咨询</w:t>
      </w:r>
      <w:r>
        <w:rPr>
          <w:rFonts w:ascii="Arial" w:hAnsi="Arial" w:cs="Arial"/>
          <w:sz w:val="28"/>
        </w:rPr>
        <w:t>技术报告</w:t>
      </w:r>
      <w:r>
        <w:rPr>
          <w:rFonts w:ascii="Arial" w:hAnsi="Arial" w:cs="Arial"/>
          <w:sz w:val="28"/>
        </w:rPr>
        <w:t>”</w:t>
      </w:r>
      <w:r>
        <w:rPr>
          <w:rFonts w:ascii="Arial" w:hAnsi="Arial" w:cs="Arial"/>
          <w:sz w:val="28"/>
        </w:rPr>
        <w:t>仅供估价机构存档和作为咨询结果提交房屋土地管理部门确认或备案时的附件。</w:t>
      </w:r>
    </w:p>
    <w:p w14:paraId="0D42008B" w14:textId="77777777" w:rsidR="00000000" w:rsidRDefault="00000000">
      <w:pPr>
        <w:snapToGrid w:val="0"/>
        <w:spacing w:line="360" w:lineRule="auto"/>
        <w:ind w:firstLine="570"/>
        <w:jc w:val="both"/>
        <w:rPr>
          <w:rFonts w:ascii="Arial" w:hAnsi="Arial" w:cs="Arial"/>
          <w:sz w:val="28"/>
        </w:rPr>
      </w:pPr>
      <w:r>
        <w:rPr>
          <w:rFonts w:ascii="Arial" w:hAnsi="Arial" w:cs="Arial"/>
          <w:sz w:val="28"/>
        </w:rPr>
        <w:t>6.</w:t>
      </w:r>
      <w:r>
        <w:rPr>
          <w:rFonts w:ascii="Arial" w:hAnsi="Arial" w:cs="Arial"/>
          <w:sz w:val="28"/>
        </w:rPr>
        <w:t>本咨询报告只能由咨询报告载明的报告使用者使用，且只能用于本报告载明的唯一咨询目的和用途。</w:t>
      </w:r>
    </w:p>
    <w:p w14:paraId="381B965C" w14:textId="77777777" w:rsidR="00000000" w:rsidRDefault="00000000">
      <w:pPr>
        <w:snapToGrid w:val="0"/>
        <w:spacing w:line="360" w:lineRule="auto"/>
        <w:ind w:firstLine="570"/>
        <w:jc w:val="both"/>
        <w:rPr>
          <w:rFonts w:ascii="Arial" w:hAnsi="Arial" w:cs="Arial"/>
          <w:sz w:val="28"/>
        </w:rPr>
      </w:pPr>
      <w:r>
        <w:rPr>
          <w:rFonts w:ascii="Arial" w:hAnsi="Arial" w:cs="Arial"/>
          <w:sz w:val="28"/>
        </w:rPr>
        <w:t>7.</w:t>
      </w:r>
      <w:r>
        <w:rPr>
          <w:rFonts w:ascii="Arial" w:hAnsi="Arial" w:cs="Arial"/>
          <w:sz w:val="28"/>
        </w:rPr>
        <w:t>委托方或者本咨询报告使用人应按照法律规定和咨询报告载明的使用范围使用本咨询报告。委托方或者咨询报告使用人违反前述规定使用本咨询报告的，估价机构和评估专业人员不承担责任。</w:t>
      </w:r>
    </w:p>
    <w:p w14:paraId="1564144D" w14:textId="77777777" w:rsidR="00000000" w:rsidRDefault="00000000">
      <w:pPr>
        <w:snapToGrid w:val="0"/>
        <w:spacing w:line="360" w:lineRule="auto"/>
        <w:ind w:firstLine="570"/>
        <w:jc w:val="both"/>
        <w:rPr>
          <w:rFonts w:ascii="Arial" w:hAnsi="Arial" w:cs="Arial"/>
          <w:sz w:val="28"/>
        </w:rPr>
      </w:pPr>
      <w:r>
        <w:rPr>
          <w:rFonts w:ascii="Arial" w:hAnsi="Arial" w:cs="Arial"/>
          <w:sz w:val="28"/>
        </w:rPr>
        <w:lastRenderedPageBreak/>
        <w:t>8.</w:t>
      </w:r>
      <w:r>
        <w:rPr>
          <w:rFonts w:ascii="Arial" w:hAnsi="Arial" w:cs="Arial"/>
          <w:sz w:val="28"/>
        </w:rPr>
        <w:t>除委托方、估价委托合同中约定的其他咨询报告使用人和法律、行政法规规定的咨询报告使用人之外，其他任何机构和个人不能成为咨询报告的使用人。</w:t>
      </w:r>
    </w:p>
    <w:p w14:paraId="3B6B8F63" w14:textId="77777777" w:rsidR="00000000" w:rsidRDefault="00000000">
      <w:pPr>
        <w:snapToGrid w:val="0"/>
        <w:spacing w:line="360" w:lineRule="auto"/>
        <w:ind w:firstLine="570"/>
        <w:jc w:val="both"/>
        <w:rPr>
          <w:rFonts w:ascii="Arial" w:hAnsi="Arial" w:cs="Arial"/>
          <w:sz w:val="28"/>
        </w:rPr>
      </w:pPr>
      <w:r>
        <w:rPr>
          <w:rFonts w:ascii="Arial" w:hAnsi="Arial" w:cs="Arial"/>
          <w:sz w:val="28"/>
        </w:rPr>
        <w:t>9.</w:t>
      </w:r>
      <w:r>
        <w:rPr>
          <w:rFonts w:ascii="Arial" w:hAnsi="Arial" w:cs="Arial"/>
          <w:sz w:val="28"/>
        </w:rPr>
        <w:t>咨询报告使用人应当正确理解估价结论。估价结论不等同于咨询对象可实现价格，估价结论不应当被认为是对咨询对象可实现价格的保证。</w:t>
      </w:r>
    </w:p>
    <w:p w14:paraId="28689265" w14:textId="77777777" w:rsidR="00000000" w:rsidRDefault="00000000">
      <w:pPr>
        <w:snapToGrid w:val="0"/>
        <w:spacing w:line="360" w:lineRule="auto"/>
        <w:ind w:firstLine="570"/>
        <w:jc w:val="both"/>
        <w:rPr>
          <w:rFonts w:ascii="Arial" w:hAnsi="Arial" w:cs="Arial"/>
          <w:sz w:val="28"/>
        </w:rPr>
      </w:pPr>
      <w:r>
        <w:rPr>
          <w:rFonts w:ascii="Arial" w:hAnsi="Arial" w:cs="Arial"/>
          <w:sz w:val="28"/>
        </w:rPr>
        <w:t>10.</w:t>
      </w:r>
      <w:r>
        <w:rPr>
          <w:rFonts w:ascii="Arial" w:hAnsi="Arial" w:cs="Arial"/>
          <w:sz w:val="28"/>
        </w:rPr>
        <w:t>本报告所确定的土地价格仅供了解咨询对象作价入股价格参考，若违反特定用途使用本土地评估报告和咨询结果，由此引出的一切法律责任由使用者自负。</w:t>
      </w:r>
    </w:p>
    <w:p w14:paraId="4EC506D4" w14:textId="77777777" w:rsidR="00000000" w:rsidRDefault="00000000">
      <w:pPr>
        <w:snapToGrid w:val="0"/>
        <w:spacing w:line="360" w:lineRule="auto"/>
        <w:ind w:firstLine="570"/>
        <w:jc w:val="both"/>
        <w:rPr>
          <w:rFonts w:ascii="Arial" w:hAnsi="Arial" w:cs="Arial"/>
          <w:sz w:val="28"/>
        </w:rPr>
      </w:pPr>
      <w:commentRangeStart w:id="168"/>
      <w:r>
        <w:rPr>
          <w:rFonts w:ascii="Arial" w:hAnsi="Arial" w:cs="Arial"/>
          <w:sz w:val="28"/>
        </w:rPr>
        <w:t>12.</w:t>
      </w:r>
      <w:commentRangeEnd w:id="168"/>
      <w:r w:rsidR="00ED67E4">
        <w:rPr>
          <w:rStyle w:val="afe"/>
        </w:rPr>
        <w:commentReference w:id="168"/>
      </w:r>
      <w:r>
        <w:rPr>
          <w:rFonts w:ascii="Arial" w:hAnsi="Arial" w:cs="Arial"/>
          <w:sz w:val="28"/>
        </w:rPr>
        <w:t>报告有效期限为报告出具之日起壹年内有效。</w:t>
      </w:r>
    </w:p>
    <w:p w14:paraId="77A3E08F" w14:textId="77777777" w:rsidR="00000000" w:rsidRDefault="00000000">
      <w:pPr>
        <w:snapToGrid w:val="0"/>
        <w:spacing w:line="360" w:lineRule="auto"/>
        <w:ind w:firstLine="570"/>
        <w:jc w:val="both"/>
        <w:rPr>
          <w:rFonts w:ascii="Arial" w:hAnsi="Arial" w:cs="Arial"/>
          <w:sz w:val="28"/>
        </w:rPr>
      </w:pPr>
      <w:r>
        <w:rPr>
          <w:rFonts w:ascii="Arial" w:hAnsi="Arial" w:cs="Arial"/>
          <w:kern w:val="2"/>
          <w:sz w:val="28"/>
        </w:rPr>
        <w:t>13</w:t>
      </w:r>
      <w:r>
        <w:rPr>
          <w:rFonts w:ascii="Arial" w:hAnsi="Arial" w:cs="Arial"/>
          <w:sz w:val="28"/>
        </w:rPr>
        <w:t>.</w:t>
      </w:r>
      <w:r>
        <w:rPr>
          <w:rFonts w:ascii="Arial" w:hAnsi="Arial" w:cs="Arial"/>
          <w:sz w:val="28"/>
        </w:rPr>
        <w:t>本次土地咨询报告的使用权归</w:t>
      </w:r>
      <w:r>
        <w:rPr>
          <w:rFonts w:ascii="Arial" w:hAnsi="Arial" w:cs="Arial" w:hint="eastAsia"/>
          <w:sz w:val="28"/>
        </w:rPr>
        <w:t>北京保障房中心有限公司</w:t>
      </w:r>
      <w:r>
        <w:rPr>
          <w:rFonts w:ascii="Arial" w:hAnsi="Arial" w:cs="Arial"/>
          <w:sz w:val="28"/>
        </w:rPr>
        <w:t>，土地咨询报告由北京康正宏基房地产评估有限公司负责解释。</w:t>
      </w:r>
    </w:p>
    <w:p w14:paraId="64EABD37" w14:textId="77777777" w:rsidR="00000000" w:rsidRDefault="00000000">
      <w:pPr>
        <w:snapToGrid w:val="0"/>
        <w:spacing w:line="360" w:lineRule="auto"/>
        <w:jc w:val="both"/>
        <w:textAlignment w:val="bottom"/>
        <w:rPr>
          <w:rFonts w:ascii="Arial" w:hAnsi="Arial" w:cs="Arial"/>
          <w:sz w:val="28"/>
        </w:rPr>
      </w:pPr>
      <w:r>
        <w:rPr>
          <w:rFonts w:ascii="Arial" w:hAnsi="Arial" w:cs="Arial"/>
          <w:sz w:val="28"/>
        </w:rPr>
        <w:t>（三）需要特殊说明的事项</w:t>
      </w:r>
    </w:p>
    <w:p w14:paraId="1C69DD25"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1.</w:t>
      </w:r>
      <w:r>
        <w:rPr>
          <w:rFonts w:ascii="Arial" w:hAnsi="Arial" w:cs="Arial"/>
          <w:sz w:val="28"/>
        </w:rPr>
        <w:t>资料来源说明</w:t>
      </w:r>
    </w:p>
    <w:p w14:paraId="24559914"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1</w:t>
      </w:r>
      <w:r>
        <w:rPr>
          <w:rFonts w:ascii="Arial" w:hAnsi="Arial" w:cs="Arial"/>
          <w:sz w:val="28"/>
        </w:rPr>
        <w:t>）咨询对象的土地、房屋权属资料、土地利用状况、评估项目相关资料由委托方提供。</w:t>
      </w:r>
    </w:p>
    <w:p w14:paraId="02DE566E"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2</w:t>
      </w:r>
      <w:r>
        <w:rPr>
          <w:rFonts w:ascii="Arial" w:hAnsi="Arial" w:cs="Arial"/>
          <w:sz w:val="28"/>
        </w:rPr>
        <w:t>）土地区位条件、地产市场交易资料、土地利用现状照片等相关资料由评估专业人员实地调查取得。</w:t>
      </w:r>
    </w:p>
    <w:p w14:paraId="26A67C59"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3</w:t>
      </w:r>
      <w:r>
        <w:rPr>
          <w:rFonts w:ascii="Arial" w:hAnsi="Arial" w:cs="Arial"/>
          <w:sz w:val="28"/>
        </w:rPr>
        <w:t>）区域经济发展状况、统计数据、城市规划资料、基准地价资料等由评估专业人员通过政府相关部门获取。</w:t>
      </w:r>
    </w:p>
    <w:p w14:paraId="5BFD39A0"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4</w:t>
      </w:r>
      <w:r>
        <w:rPr>
          <w:rFonts w:ascii="Arial" w:hAnsi="Arial" w:cs="Arial"/>
          <w:sz w:val="28"/>
        </w:rPr>
        <w:t>）估价中的相关参数资料由评估专业人员通过政府部门相关文件规定、公开媒体等多种途径获取。</w:t>
      </w:r>
    </w:p>
    <w:p w14:paraId="1C98910F"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5</w:t>
      </w:r>
      <w:r>
        <w:rPr>
          <w:rFonts w:ascii="Arial" w:hAnsi="Arial" w:cs="Arial"/>
          <w:sz w:val="28"/>
        </w:rPr>
        <w:t>）评估专业人员结合执业经验，对上述相关评估资料的真实性、合法性、有效性、适用性进行了尽职核实、专业判断。委托方对所提供资料的真实性负责，估价机构对所收集资料的真实性、准确性负责。</w:t>
      </w:r>
    </w:p>
    <w:p w14:paraId="2401AF70"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2.</w:t>
      </w:r>
      <w:r>
        <w:rPr>
          <w:rFonts w:ascii="Arial" w:hAnsi="Arial" w:cs="Arial"/>
          <w:sz w:val="28"/>
        </w:rPr>
        <w:t>有关参数确定及使用说明</w:t>
      </w:r>
    </w:p>
    <w:p w14:paraId="6FB41DFF"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lastRenderedPageBreak/>
        <w:t>（</w:t>
      </w:r>
      <w:r>
        <w:rPr>
          <w:rFonts w:ascii="Arial" w:hAnsi="Arial" w:cs="Arial"/>
          <w:sz w:val="28"/>
        </w:rPr>
        <w:t>1</w:t>
      </w:r>
      <w:r>
        <w:rPr>
          <w:rFonts w:ascii="Arial" w:hAnsi="Arial" w:cs="Arial"/>
          <w:sz w:val="28"/>
        </w:rPr>
        <w:t>）本次评估咨询对象准确建筑面积应以委托方最终取得的《集体土地所有权证》为准。如本次咨询报告采用的建筑面积与最终取得的《集体土地所有权证》上所登记的咨询对象建筑面积不一致，咨询结果将进行相应调整。</w:t>
      </w:r>
    </w:p>
    <w:p w14:paraId="6BEFB652"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2</w:t>
      </w:r>
      <w:r>
        <w:rPr>
          <w:rFonts w:ascii="Arial"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66325D33" w14:textId="77777777" w:rsidR="00000000" w:rsidRDefault="00000000">
      <w:pPr>
        <w:snapToGrid w:val="0"/>
        <w:spacing w:line="360" w:lineRule="auto"/>
        <w:ind w:firstLineChars="200" w:firstLine="560"/>
        <w:jc w:val="both"/>
        <w:textAlignment w:val="bottom"/>
        <w:rPr>
          <w:rFonts w:ascii="Arial" w:hAnsi="Arial" w:cs="Arial"/>
          <w:sz w:val="28"/>
        </w:rPr>
      </w:pPr>
    </w:p>
    <w:p w14:paraId="352E5FA5" w14:textId="77777777" w:rsidR="00000000" w:rsidRDefault="00000000">
      <w:pPr>
        <w:snapToGrid w:val="0"/>
        <w:spacing w:line="360" w:lineRule="auto"/>
        <w:ind w:firstLine="570"/>
        <w:jc w:val="both"/>
        <w:rPr>
          <w:rFonts w:ascii="Arial" w:hAnsi="Arial" w:cs="Arial"/>
          <w:sz w:val="28"/>
        </w:rPr>
        <w:sectPr w:rsidR="00000000">
          <w:pgSz w:w="11907" w:h="16840"/>
          <w:pgMar w:top="1843" w:right="1304" w:bottom="1134" w:left="1304" w:header="1134" w:footer="907" w:gutter="0"/>
          <w:cols w:space="720"/>
          <w:docGrid w:linePitch="326"/>
        </w:sectPr>
      </w:pPr>
    </w:p>
    <w:p w14:paraId="4F1808EB" w14:textId="77777777" w:rsidR="00000000" w:rsidRDefault="00000000">
      <w:pPr>
        <w:spacing w:line="360" w:lineRule="auto"/>
        <w:jc w:val="center"/>
        <w:outlineLvl w:val="0"/>
        <w:rPr>
          <w:rFonts w:ascii="Arial" w:hAnsi="Arial" w:cs="Arial"/>
          <w:b/>
          <w:sz w:val="32"/>
        </w:rPr>
      </w:pPr>
      <w:bookmarkStart w:id="169" w:name="_Toc418750901"/>
      <w:bookmarkStart w:id="170" w:name="_Toc425250323"/>
      <w:bookmarkStart w:id="171" w:name="_Toc469066321"/>
      <w:bookmarkStart w:id="172" w:name="_Toc416783538"/>
      <w:bookmarkStart w:id="173" w:name="_Toc26617"/>
      <w:bookmarkStart w:id="174" w:name="_Toc1214"/>
      <w:r>
        <w:rPr>
          <w:rFonts w:ascii="Arial" w:hAnsi="Arial" w:cs="Arial"/>
          <w:b/>
          <w:sz w:val="32"/>
        </w:rPr>
        <w:lastRenderedPageBreak/>
        <w:t>第四部分</w:t>
      </w:r>
      <w:r>
        <w:rPr>
          <w:rFonts w:ascii="Arial" w:hAnsi="Arial" w:cs="Arial"/>
          <w:b/>
          <w:sz w:val="32"/>
        </w:rPr>
        <w:t xml:space="preserve">  </w:t>
      </w:r>
      <w:r>
        <w:rPr>
          <w:rFonts w:ascii="Arial" w:hAnsi="Arial" w:cs="Arial"/>
          <w:b/>
          <w:sz w:val="32"/>
        </w:rPr>
        <w:t>附</w:t>
      </w:r>
      <w:r>
        <w:rPr>
          <w:rFonts w:ascii="Arial" w:hAnsi="Arial" w:cs="Arial"/>
          <w:b/>
          <w:sz w:val="32"/>
        </w:rPr>
        <w:t xml:space="preserve">  </w:t>
      </w:r>
      <w:r>
        <w:rPr>
          <w:rFonts w:ascii="Arial" w:hAnsi="Arial" w:cs="Arial"/>
          <w:b/>
          <w:sz w:val="32"/>
        </w:rPr>
        <w:t>件</w:t>
      </w:r>
      <w:bookmarkEnd w:id="169"/>
      <w:bookmarkEnd w:id="170"/>
      <w:bookmarkEnd w:id="171"/>
      <w:bookmarkEnd w:id="172"/>
      <w:bookmarkEnd w:id="173"/>
      <w:bookmarkEnd w:id="174"/>
    </w:p>
    <w:p w14:paraId="681B0040" w14:textId="77777777" w:rsidR="00000000" w:rsidRDefault="00000000">
      <w:pPr>
        <w:spacing w:line="360" w:lineRule="auto"/>
        <w:ind w:firstLineChars="200" w:firstLine="560"/>
        <w:jc w:val="both"/>
        <w:rPr>
          <w:rFonts w:ascii="Arial" w:hAnsi="Arial" w:cs="Arial"/>
          <w:sz w:val="28"/>
        </w:rPr>
      </w:pPr>
    </w:p>
    <w:p w14:paraId="6EE59221" w14:textId="77777777" w:rsidR="00000000" w:rsidRDefault="00000000">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咨询对象所在位置示意图</w:t>
      </w:r>
    </w:p>
    <w:p w14:paraId="7823F7FE"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sz w:val="28"/>
        </w:rPr>
        <w:t>.</w:t>
      </w:r>
      <w:r>
        <w:rPr>
          <w:rFonts w:ascii="Arial" w:hAnsi="Arial" w:cs="Arial"/>
          <w:sz w:val="28"/>
          <w:szCs w:val="28"/>
        </w:rPr>
        <w:t>咨询对象实地勘察相关照片</w:t>
      </w:r>
    </w:p>
    <w:p w14:paraId="16EDBCCB"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3</w:t>
      </w:r>
      <w:r>
        <w:rPr>
          <w:rFonts w:ascii="Arial" w:hAnsi="Arial" w:cs="Arial"/>
          <w:sz w:val="28"/>
        </w:rPr>
        <w:t>.</w:t>
      </w:r>
      <w:r>
        <w:rPr>
          <w:rFonts w:ascii="Arial" w:hAnsi="Arial" w:cs="Arial"/>
          <w:sz w:val="28"/>
        </w:rPr>
        <w:t>委托方《营业执照（副本）》复印件</w:t>
      </w:r>
    </w:p>
    <w:p w14:paraId="3970726A"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4</w:t>
      </w:r>
      <w:r>
        <w:rPr>
          <w:rFonts w:ascii="Arial" w:hAnsi="Arial" w:cs="Arial"/>
          <w:sz w:val="28"/>
        </w:rPr>
        <w:t>.</w:t>
      </w:r>
      <w:r>
        <w:rPr>
          <w:rFonts w:ascii="Arial" w:hAnsi="Arial" w:cs="Arial"/>
          <w:sz w:val="28"/>
        </w:rPr>
        <w:t>估价机构《营业执照（副本）》复印件</w:t>
      </w:r>
    </w:p>
    <w:p w14:paraId="29E22EF7"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5</w:t>
      </w:r>
      <w:r>
        <w:rPr>
          <w:rFonts w:ascii="Arial" w:hAnsi="Arial" w:cs="Arial"/>
          <w:sz w:val="28"/>
        </w:rPr>
        <w:t>.</w:t>
      </w:r>
      <w:r>
        <w:rPr>
          <w:rFonts w:ascii="Arial" w:hAnsi="Arial" w:cs="Arial"/>
          <w:sz w:val="28"/>
        </w:rPr>
        <w:t>估价机构估价资格证书复印件</w:t>
      </w:r>
    </w:p>
    <w:p w14:paraId="65308721" w14:textId="77777777" w:rsidR="00000000" w:rsidRDefault="00000000">
      <w:pPr>
        <w:spacing w:line="360" w:lineRule="auto"/>
        <w:ind w:firstLineChars="200" w:firstLine="560"/>
        <w:jc w:val="both"/>
        <w:rPr>
          <w:rFonts w:ascii="Arial" w:hAnsi="Arial" w:cs="Arial"/>
          <w:sz w:val="28"/>
        </w:rPr>
      </w:pPr>
    </w:p>
    <w:p w14:paraId="11BCEF2F" w14:textId="77777777" w:rsidR="00000000" w:rsidRDefault="00000000">
      <w:pPr>
        <w:spacing w:line="360" w:lineRule="auto"/>
        <w:ind w:left="840" w:hangingChars="300" w:hanging="840"/>
        <w:jc w:val="both"/>
        <w:rPr>
          <w:rFonts w:ascii="Arial" w:hAnsi="Arial" w:cs="Arial"/>
          <w:sz w:val="28"/>
        </w:rPr>
        <w:sectPr w:rsidR="00000000">
          <w:headerReference w:type="first" r:id="rId48"/>
          <w:pgSz w:w="11907" w:h="16840"/>
          <w:pgMar w:top="1843" w:right="1304" w:bottom="1134" w:left="1304" w:header="1134" w:footer="907" w:gutter="0"/>
          <w:cols w:space="720"/>
          <w:titlePg/>
          <w:docGrid w:linePitch="326"/>
        </w:sectPr>
      </w:pPr>
    </w:p>
    <w:p w14:paraId="18308AA9" w14:textId="77777777" w:rsidR="00000000" w:rsidRDefault="00000000">
      <w:pPr>
        <w:spacing w:line="432" w:lineRule="auto"/>
        <w:ind w:left="840" w:hangingChars="300" w:hanging="840"/>
        <w:jc w:val="both"/>
        <w:rPr>
          <w:rFonts w:ascii="Arial" w:hAnsi="Arial" w:cs="Arial"/>
          <w:sz w:val="28"/>
        </w:rPr>
      </w:pPr>
    </w:p>
    <w:p w14:paraId="19442BCC" w14:textId="77777777" w:rsidR="00000000" w:rsidRDefault="00000000">
      <w:pPr>
        <w:spacing w:line="432" w:lineRule="auto"/>
        <w:jc w:val="center"/>
        <w:rPr>
          <w:rFonts w:ascii="Arial" w:hAnsi="Arial" w:cs="Arial"/>
          <w:sz w:val="44"/>
        </w:rPr>
      </w:pPr>
      <w:bookmarkStart w:id="175" w:name="_Toc416783539"/>
      <w:bookmarkStart w:id="176" w:name="_Toc418750902"/>
      <w:bookmarkStart w:id="177" w:name="_Toc416783635"/>
      <w:r>
        <w:rPr>
          <w:rFonts w:ascii="Arial" w:hAnsi="Arial" w:cs="Arial"/>
          <w:b/>
          <w:sz w:val="44"/>
        </w:rPr>
        <w:t>土</w:t>
      </w:r>
      <w:r>
        <w:rPr>
          <w:rFonts w:ascii="Arial" w:hAnsi="Arial" w:cs="Arial"/>
          <w:b/>
          <w:sz w:val="44"/>
        </w:rPr>
        <w:t xml:space="preserve"> </w:t>
      </w:r>
      <w:r>
        <w:rPr>
          <w:rFonts w:ascii="Arial" w:hAnsi="Arial" w:cs="Arial"/>
          <w:b/>
          <w:sz w:val="44"/>
        </w:rPr>
        <w:t>地</w:t>
      </w:r>
      <w:r>
        <w:rPr>
          <w:rFonts w:ascii="Arial" w:hAnsi="Arial" w:cs="Arial"/>
          <w:b/>
          <w:sz w:val="44"/>
        </w:rPr>
        <w:t xml:space="preserve"> </w:t>
      </w:r>
      <w:r>
        <w:rPr>
          <w:rFonts w:ascii="Arial" w:hAnsi="Arial" w:cs="Arial" w:hint="eastAsia"/>
          <w:b/>
          <w:sz w:val="44"/>
        </w:rPr>
        <w:t>咨</w:t>
      </w:r>
      <w:r>
        <w:rPr>
          <w:rFonts w:ascii="Arial" w:hAnsi="Arial" w:cs="Arial" w:hint="eastAsia"/>
          <w:b/>
          <w:sz w:val="44"/>
        </w:rPr>
        <w:t xml:space="preserve"> </w:t>
      </w:r>
      <w:r>
        <w:rPr>
          <w:rFonts w:ascii="Arial" w:hAnsi="Arial" w:cs="Arial" w:hint="eastAsia"/>
          <w:b/>
          <w:sz w:val="44"/>
        </w:rPr>
        <w:t>询</w:t>
      </w:r>
      <w:r>
        <w:rPr>
          <w:rFonts w:ascii="Arial" w:hAnsi="Arial" w:cs="Arial"/>
          <w:b/>
          <w:sz w:val="44"/>
        </w:rPr>
        <w:t xml:space="preserve"> </w:t>
      </w:r>
      <w:r>
        <w:rPr>
          <w:rFonts w:ascii="Arial" w:hAnsi="Arial" w:cs="Arial"/>
          <w:b/>
          <w:sz w:val="44"/>
        </w:rPr>
        <w:t>技</w:t>
      </w:r>
      <w:r>
        <w:rPr>
          <w:rFonts w:ascii="Arial" w:hAnsi="Arial" w:cs="Arial"/>
          <w:b/>
          <w:sz w:val="44"/>
        </w:rPr>
        <w:t xml:space="preserve"> </w:t>
      </w:r>
      <w:r>
        <w:rPr>
          <w:rFonts w:ascii="Arial" w:hAnsi="Arial" w:cs="Arial"/>
          <w:b/>
          <w:sz w:val="44"/>
        </w:rPr>
        <w:t>术</w:t>
      </w:r>
      <w:r>
        <w:rPr>
          <w:rFonts w:ascii="Arial" w:hAnsi="Arial" w:cs="Arial"/>
          <w:b/>
          <w:sz w:val="44"/>
        </w:rPr>
        <w:t xml:space="preserve"> </w:t>
      </w:r>
      <w:r>
        <w:rPr>
          <w:rFonts w:ascii="Arial" w:hAnsi="Arial" w:cs="Arial"/>
          <w:b/>
          <w:sz w:val="44"/>
        </w:rPr>
        <w:t>报</w:t>
      </w:r>
      <w:r>
        <w:rPr>
          <w:rFonts w:ascii="Arial" w:hAnsi="Arial" w:cs="Arial"/>
          <w:b/>
          <w:sz w:val="44"/>
        </w:rPr>
        <w:t xml:space="preserve"> </w:t>
      </w:r>
      <w:r>
        <w:rPr>
          <w:rFonts w:ascii="Arial" w:hAnsi="Arial" w:cs="Arial"/>
          <w:b/>
          <w:sz w:val="44"/>
        </w:rPr>
        <w:t>告</w:t>
      </w:r>
      <w:bookmarkEnd w:id="175"/>
      <w:bookmarkEnd w:id="176"/>
      <w:bookmarkEnd w:id="177"/>
    </w:p>
    <w:p w14:paraId="6750DFA3" w14:textId="77777777" w:rsidR="00000000" w:rsidRDefault="00000000">
      <w:pPr>
        <w:spacing w:line="432" w:lineRule="auto"/>
        <w:jc w:val="center"/>
        <w:rPr>
          <w:rFonts w:ascii="Arial" w:hAnsi="Arial" w:cs="Arial"/>
          <w:sz w:val="44"/>
        </w:rPr>
      </w:pPr>
    </w:p>
    <w:p w14:paraId="24A068B4" w14:textId="77777777" w:rsidR="00000000" w:rsidRDefault="00000000">
      <w:pPr>
        <w:spacing w:line="432" w:lineRule="auto"/>
        <w:jc w:val="center"/>
        <w:rPr>
          <w:rFonts w:ascii="Arial" w:hAnsi="Arial" w:cs="Arial"/>
          <w:sz w:val="44"/>
        </w:rPr>
      </w:pPr>
    </w:p>
    <w:p w14:paraId="38DD77DD" w14:textId="77777777" w:rsidR="00000000" w:rsidRDefault="00000000">
      <w:pPr>
        <w:spacing w:line="432" w:lineRule="auto"/>
        <w:jc w:val="center"/>
        <w:rPr>
          <w:rFonts w:ascii="Arial" w:hAnsi="Arial" w:cs="Arial"/>
          <w:bCs/>
          <w:sz w:val="32"/>
        </w:rPr>
      </w:pPr>
    </w:p>
    <w:p w14:paraId="234C3526" w14:textId="77777777" w:rsidR="00000000" w:rsidRDefault="00000000">
      <w:pPr>
        <w:spacing w:line="432" w:lineRule="auto"/>
        <w:ind w:left="2201" w:hangingChars="685" w:hanging="2201"/>
        <w:jc w:val="both"/>
        <w:rPr>
          <w:rFonts w:ascii="Arial" w:hAnsi="Arial" w:cs="Arial" w:hint="eastAsia"/>
          <w:b/>
          <w:i/>
          <w:sz w:val="28"/>
          <w:szCs w:val="28"/>
        </w:rPr>
      </w:pPr>
      <w:r>
        <w:rPr>
          <w:rFonts w:ascii="Arial" w:hAnsi="Arial" w:cs="Arial"/>
          <w:b/>
          <w:sz w:val="32"/>
        </w:rPr>
        <w:t>项</w:t>
      </w:r>
      <w:r>
        <w:rPr>
          <w:rFonts w:ascii="Arial" w:hAnsi="Arial" w:cs="Arial"/>
          <w:b/>
          <w:sz w:val="32"/>
        </w:rPr>
        <w:t xml:space="preserve">  </w:t>
      </w:r>
      <w:r>
        <w:rPr>
          <w:rFonts w:ascii="Arial" w:hAnsi="Arial" w:cs="Arial"/>
          <w:b/>
          <w:sz w:val="32"/>
        </w:rPr>
        <w:t>目</w:t>
      </w:r>
      <w:r>
        <w:rPr>
          <w:rFonts w:ascii="Arial" w:hAnsi="Arial" w:cs="Arial"/>
          <w:b/>
          <w:sz w:val="32"/>
        </w:rPr>
        <w:t xml:space="preserve"> </w:t>
      </w:r>
      <w:r>
        <w:rPr>
          <w:rFonts w:ascii="Arial" w:hAnsi="Arial" w:cs="Arial"/>
          <w:b/>
          <w:sz w:val="32"/>
        </w:rPr>
        <w:t>名</w:t>
      </w:r>
      <w:r>
        <w:rPr>
          <w:rFonts w:ascii="Arial" w:hAnsi="Arial" w:cs="Arial"/>
          <w:b/>
          <w:sz w:val="32"/>
        </w:rPr>
        <w:t xml:space="preserve"> </w:t>
      </w:r>
      <w:r>
        <w:rPr>
          <w:rFonts w:ascii="Arial" w:hAnsi="Arial" w:cs="Arial"/>
          <w:b/>
          <w:sz w:val="32"/>
        </w:rPr>
        <w:t>称：</w:t>
      </w:r>
      <w:r>
        <w:rPr>
          <w:rFonts w:ascii="Arial" w:hAnsi="Arial" w:cs="Arial" w:hint="eastAsia"/>
          <w:b/>
          <w:sz w:val="32"/>
        </w:rPr>
        <w:t>北京市昌平区马池口镇百泉庄村集体土地租赁住房项目集体经营性建设用地使用权地价评估</w:t>
      </w:r>
    </w:p>
    <w:p w14:paraId="3D9FC0CE" w14:textId="77777777" w:rsidR="00000000" w:rsidRDefault="00000000">
      <w:pPr>
        <w:spacing w:line="432" w:lineRule="auto"/>
        <w:rPr>
          <w:rFonts w:ascii="Arial" w:hAnsi="Arial" w:cs="Arial"/>
          <w:b/>
          <w:bCs/>
          <w:sz w:val="32"/>
        </w:rPr>
      </w:pPr>
      <w:r>
        <w:rPr>
          <w:rFonts w:ascii="Arial" w:hAnsi="Arial" w:cs="Arial"/>
          <w:b/>
          <w:sz w:val="32"/>
        </w:rPr>
        <w:t>受托单位：北京康正宏基房地产评估有限公司</w:t>
      </w:r>
    </w:p>
    <w:p w14:paraId="34B47C0C" w14:textId="77777777" w:rsidR="00000000" w:rsidRDefault="00000000">
      <w:pPr>
        <w:spacing w:line="432" w:lineRule="auto"/>
        <w:ind w:right="-327"/>
        <w:rPr>
          <w:rFonts w:ascii="Arial" w:hAnsi="Arial" w:cs="Arial"/>
          <w:b/>
          <w:bCs/>
          <w:sz w:val="32"/>
        </w:rPr>
      </w:pPr>
      <w:bookmarkStart w:id="178" w:name="_Toc418750903"/>
      <w:r>
        <w:rPr>
          <w:rFonts w:ascii="Arial" w:hAnsi="Arial" w:cs="Arial"/>
          <w:b/>
          <w:sz w:val="32"/>
        </w:rPr>
        <w:t>报告编号：康正评字</w:t>
      </w:r>
      <w:r>
        <w:rPr>
          <w:rFonts w:ascii="Arial" w:hAnsi="Arial" w:cs="Arial"/>
          <w:b/>
          <w:sz w:val="32"/>
        </w:rPr>
        <w:t>202</w:t>
      </w:r>
      <w:r>
        <w:rPr>
          <w:rFonts w:ascii="Arial" w:hAnsi="Arial" w:cs="Arial" w:hint="eastAsia"/>
          <w:b/>
          <w:sz w:val="32"/>
        </w:rPr>
        <w:t>5</w:t>
      </w:r>
      <w:r>
        <w:rPr>
          <w:rFonts w:ascii="Arial" w:hAnsi="Arial" w:cs="Arial"/>
          <w:b/>
          <w:sz w:val="32"/>
        </w:rPr>
        <w:t>-1-0</w:t>
      </w:r>
      <w:r>
        <w:rPr>
          <w:rFonts w:ascii="Arial" w:hAnsi="Arial" w:cs="Arial" w:hint="eastAsia"/>
          <w:b/>
          <w:sz w:val="32"/>
        </w:rPr>
        <w:t>732</w:t>
      </w:r>
      <w:r>
        <w:rPr>
          <w:rFonts w:ascii="Arial" w:hAnsi="Arial" w:cs="Arial"/>
          <w:b/>
          <w:sz w:val="32"/>
        </w:rPr>
        <w:t>-F0</w:t>
      </w:r>
      <w:r>
        <w:rPr>
          <w:rFonts w:ascii="Arial" w:hAnsi="Arial" w:cs="Arial" w:hint="eastAsia"/>
          <w:b/>
          <w:sz w:val="32"/>
        </w:rPr>
        <w:t>1</w:t>
      </w:r>
      <w:r>
        <w:rPr>
          <w:rFonts w:ascii="Arial" w:hAnsi="Arial" w:cs="Arial"/>
          <w:b/>
          <w:sz w:val="32"/>
        </w:rPr>
        <w:t>TDCR6</w:t>
      </w:r>
      <w:r>
        <w:rPr>
          <w:rFonts w:ascii="Arial" w:hAnsi="Arial" w:cs="Arial"/>
          <w:b/>
          <w:sz w:val="32"/>
        </w:rPr>
        <w:t>号</w:t>
      </w:r>
      <w:bookmarkEnd w:id="178"/>
    </w:p>
    <w:p w14:paraId="0B07B0B4" w14:textId="77777777" w:rsidR="00000000" w:rsidRDefault="00000000">
      <w:pPr>
        <w:spacing w:line="432" w:lineRule="auto"/>
        <w:ind w:right="-207"/>
        <w:rPr>
          <w:rFonts w:ascii="Arial" w:hAnsi="Arial" w:cs="Arial"/>
          <w:b/>
          <w:bCs/>
          <w:spacing w:val="-10"/>
          <w:sz w:val="32"/>
        </w:rPr>
      </w:pPr>
      <w:bookmarkStart w:id="179" w:name="_Toc418750904"/>
      <w:bookmarkStart w:id="180" w:name="_Toc416783637"/>
      <w:bookmarkStart w:id="181" w:name="_Toc416783541"/>
      <w:r>
        <w:rPr>
          <w:rFonts w:ascii="Arial" w:hAnsi="Arial" w:cs="Arial"/>
          <w:b/>
          <w:bCs/>
          <w:spacing w:val="-10"/>
          <w:sz w:val="32"/>
        </w:rPr>
        <w:t>土地</w:t>
      </w:r>
      <w:r>
        <w:rPr>
          <w:rFonts w:ascii="Arial" w:hAnsi="Arial" w:cs="Arial" w:hint="eastAsia"/>
          <w:b/>
          <w:bCs/>
          <w:spacing w:val="-10"/>
          <w:sz w:val="32"/>
        </w:rPr>
        <w:t>咨询</w:t>
      </w:r>
      <w:r>
        <w:rPr>
          <w:rFonts w:ascii="Arial" w:hAnsi="Arial" w:cs="Arial"/>
          <w:b/>
          <w:bCs/>
          <w:spacing w:val="-10"/>
          <w:sz w:val="32"/>
        </w:rPr>
        <w:t>技术报告编号：</w:t>
      </w:r>
      <w:r>
        <w:rPr>
          <w:rFonts w:ascii="Arial" w:hAnsi="Arial" w:cs="Arial"/>
          <w:b/>
          <w:bCs/>
          <w:sz w:val="32"/>
        </w:rPr>
        <w:t>康正技评字</w:t>
      </w:r>
      <w:r>
        <w:rPr>
          <w:rFonts w:ascii="Arial" w:hAnsi="Arial" w:cs="Arial"/>
          <w:b/>
          <w:sz w:val="32"/>
        </w:rPr>
        <w:t>202</w:t>
      </w:r>
      <w:r>
        <w:rPr>
          <w:rFonts w:ascii="Arial" w:hAnsi="Arial" w:cs="Arial" w:hint="eastAsia"/>
          <w:b/>
          <w:sz w:val="32"/>
        </w:rPr>
        <w:t>5</w:t>
      </w:r>
      <w:r>
        <w:rPr>
          <w:rFonts w:ascii="Arial" w:hAnsi="Arial" w:cs="Arial"/>
          <w:b/>
          <w:sz w:val="32"/>
        </w:rPr>
        <w:t>-1-0</w:t>
      </w:r>
      <w:r>
        <w:rPr>
          <w:rFonts w:ascii="Arial" w:hAnsi="Arial" w:cs="Arial" w:hint="eastAsia"/>
          <w:b/>
          <w:sz w:val="32"/>
        </w:rPr>
        <w:t>732</w:t>
      </w:r>
      <w:r>
        <w:rPr>
          <w:rFonts w:ascii="Arial" w:hAnsi="Arial" w:cs="Arial"/>
          <w:b/>
          <w:sz w:val="32"/>
        </w:rPr>
        <w:t>-F0</w:t>
      </w:r>
      <w:r>
        <w:rPr>
          <w:rFonts w:ascii="Arial" w:hAnsi="Arial" w:cs="Arial" w:hint="eastAsia"/>
          <w:b/>
          <w:sz w:val="32"/>
        </w:rPr>
        <w:t>1</w:t>
      </w:r>
      <w:r>
        <w:rPr>
          <w:rFonts w:ascii="Arial" w:hAnsi="Arial" w:cs="Arial"/>
          <w:b/>
          <w:sz w:val="32"/>
        </w:rPr>
        <w:t>TDCR6</w:t>
      </w:r>
      <w:r>
        <w:rPr>
          <w:rFonts w:ascii="Arial" w:hAnsi="Arial" w:cs="Arial"/>
          <w:b/>
          <w:bCs/>
          <w:sz w:val="32"/>
        </w:rPr>
        <w:t>号</w:t>
      </w:r>
      <w:bookmarkEnd w:id="179"/>
      <w:bookmarkEnd w:id="180"/>
      <w:bookmarkEnd w:id="181"/>
    </w:p>
    <w:p w14:paraId="4112A2C9" w14:textId="77777777" w:rsidR="00000000" w:rsidRDefault="00000000">
      <w:pPr>
        <w:spacing w:line="432" w:lineRule="auto"/>
        <w:rPr>
          <w:rFonts w:ascii="Arial" w:hAnsi="Arial" w:cs="Arial" w:hint="eastAsia"/>
          <w:b/>
          <w:bCs/>
          <w:spacing w:val="-20"/>
          <w:sz w:val="32"/>
        </w:rPr>
      </w:pPr>
      <w:r>
        <w:rPr>
          <w:rFonts w:ascii="Arial" w:hAnsi="Arial" w:cs="Arial"/>
          <w:b/>
          <w:bCs/>
          <w:sz w:val="32"/>
        </w:rPr>
        <w:t>提交报告日期：</w:t>
      </w:r>
      <w:r>
        <w:rPr>
          <w:rFonts w:ascii="Arial" w:hAnsi="Arial" w:cs="Arial" w:hint="eastAsia"/>
          <w:b/>
          <w:sz w:val="32"/>
        </w:rPr>
        <w:t>2025</w:t>
      </w:r>
      <w:r>
        <w:rPr>
          <w:rFonts w:ascii="Arial" w:hAnsi="Arial" w:cs="Arial" w:hint="eastAsia"/>
          <w:b/>
          <w:sz w:val="32"/>
        </w:rPr>
        <w:t>年</w:t>
      </w:r>
      <w:r>
        <w:rPr>
          <w:rFonts w:ascii="Arial" w:hAnsi="Arial" w:cs="Arial" w:hint="eastAsia"/>
          <w:b/>
          <w:sz w:val="32"/>
        </w:rPr>
        <w:t>10</w:t>
      </w:r>
      <w:r>
        <w:rPr>
          <w:rFonts w:ascii="Arial" w:hAnsi="Arial" w:cs="Arial" w:hint="eastAsia"/>
          <w:b/>
          <w:sz w:val="32"/>
        </w:rPr>
        <w:t>月</w:t>
      </w:r>
      <w:r>
        <w:rPr>
          <w:rFonts w:ascii="Arial" w:hAnsi="Arial" w:cs="Arial" w:hint="eastAsia"/>
          <w:b/>
          <w:sz w:val="32"/>
        </w:rPr>
        <w:t>19</w:t>
      </w:r>
      <w:r>
        <w:rPr>
          <w:rFonts w:ascii="Arial" w:hAnsi="Arial" w:cs="Arial" w:hint="eastAsia"/>
          <w:b/>
          <w:sz w:val="32"/>
        </w:rPr>
        <w:t>日</w:t>
      </w:r>
    </w:p>
    <w:p w14:paraId="02FBD81C" w14:textId="77777777" w:rsidR="00000000" w:rsidRDefault="00000000">
      <w:pPr>
        <w:spacing w:line="240" w:lineRule="auto"/>
        <w:rPr>
          <w:rFonts w:ascii="Arial" w:hAnsi="Arial" w:cs="Arial"/>
          <w:b/>
          <w:bCs/>
          <w:sz w:val="32"/>
        </w:rPr>
      </w:pPr>
      <w:r>
        <w:rPr>
          <w:rFonts w:ascii="Arial" w:hAnsi="Arial" w:cs="Arial"/>
          <w:b/>
          <w:bCs/>
          <w:sz w:val="32"/>
        </w:rPr>
        <w:t>关键词：北京市、</w:t>
      </w:r>
      <w:r>
        <w:rPr>
          <w:rFonts w:ascii="Arial" w:hAnsi="Arial" w:cs="Arial" w:hint="eastAsia"/>
          <w:b/>
          <w:bCs/>
          <w:sz w:val="32"/>
        </w:rPr>
        <w:t>昌平</w:t>
      </w:r>
      <w:r>
        <w:rPr>
          <w:rFonts w:ascii="Arial" w:hAnsi="Arial" w:cs="Arial"/>
          <w:b/>
          <w:bCs/>
          <w:sz w:val="32"/>
        </w:rPr>
        <w:t>区</w:t>
      </w:r>
      <w:r>
        <w:rPr>
          <w:rFonts w:ascii="Arial" w:hAnsi="Arial" w:cs="Arial" w:hint="eastAsia"/>
          <w:b/>
          <w:bCs/>
          <w:sz w:val="32"/>
        </w:rPr>
        <w:t>、咨询</w:t>
      </w:r>
    </w:p>
    <w:p w14:paraId="129E4A8B" w14:textId="77777777" w:rsidR="00000000" w:rsidRDefault="00000000">
      <w:pPr>
        <w:spacing w:line="240" w:lineRule="auto"/>
        <w:ind w:firstLineChars="400" w:firstLine="1285"/>
        <w:rPr>
          <w:rFonts w:ascii="Arial" w:hAnsi="Arial" w:cs="Arial"/>
          <w:b/>
          <w:bCs/>
          <w:sz w:val="32"/>
        </w:rPr>
      </w:pPr>
      <w:r>
        <w:rPr>
          <w:rFonts w:ascii="Arial" w:hAnsi="Arial" w:cs="Arial"/>
          <w:b/>
          <w:bCs/>
          <w:sz w:val="32"/>
        </w:rPr>
        <w:t>北京康正宏基房地产评估有限公司</w:t>
      </w:r>
    </w:p>
    <w:p w14:paraId="5D9E7BF5" w14:textId="77777777" w:rsidR="00000000" w:rsidRDefault="00000000">
      <w:pPr>
        <w:spacing w:line="240" w:lineRule="auto"/>
        <w:rPr>
          <w:rFonts w:ascii="Arial" w:hAnsi="Arial" w:cs="Arial"/>
          <w:b/>
          <w:bCs/>
          <w:spacing w:val="-20"/>
          <w:sz w:val="32"/>
        </w:rPr>
      </w:pPr>
      <w:r>
        <w:rPr>
          <w:rFonts w:ascii="Arial" w:hAnsi="Arial" w:cs="Arial"/>
          <w:b/>
          <w:bCs/>
          <w:sz w:val="32"/>
        </w:rPr>
        <w:t xml:space="preserve">        </w:t>
      </w:r>
      <w:r>
        <w:rPr>
          <w:rFonts w:ascii="Arial" w:hAnsi="Arial" w:cs="Arial"/>
          <w:b/>
          <w:bCs/>
          <w:sz w:val="32"/>
        </w:rPr>
        <w:t>二Ｏ二</w:t>
      </w:r>
      <w:r>
        <w:rPr>
          <w:rFonts w:ascii="Arial" w:hAnsi="Arial" w:cs="Arial" w:hint="eastAsia"/>
          <w:b/>
          <w:bCs/>
          <w:sz w:val="32"/>
        </w:rPr>
        <w:t>五</w:t>
      </w:r>
      <w:r>
        <w:rPr>
          <w:rFonts w:ascii="Arial" w:hAnsi="Arial" w:cs="Arial"/>
          <w:b/>
          <w:bCs/>
          <w:sz w:val="32"/>
        </w:rPr>
        <w:t>年</w:t>
      </w:r>
    </w:p>
    <w:p w14:paraId="24063F18" w14:textId="77777777" w:rsidR="00000000" w:rsidRDefault="00000000">
      <w:pPr>
        <w:spacing w:line="360" w:lineRule="auto"/>
        <w:rPr>
          <w:rFonts w:ascii="Arial" w:hAnsi="Arial" w:cs="Arial"/>
          <w:bCs/>
          <w:sz w:val="32"/>
        </w:rPr>
      </w:pPr>
    </w:p>
    <w:p w14:paraId="1EAF5470" w14:textId="77777777" w:rsidR="00000000" w:rsidRDefault="00000000">
      <w:pPr>
        <w:spacing w:line="360" w:lineRule="auto"/>
        <w:rPr>
          <w:rFonts w:ascii="Arial" w:hAnsi="Arial" w:cs="Arial"/>
          <w:bCs/>
          <w:sz w:val="32"/>
        </w:rPr>
        <w:sectPr w:rsidR="00000000">
          <w:headerReference w:type="first" r:id="rId49"/>
          <w:footerReference w:type="first" r:id="rId50"/>
          <w:pgSz w:w="11907" w:h="16840"/>
          <w:pgMar w:top="1843" w:right="1304" w:bottom="1134" w:left="1304" w:header="851" w:footer="1134" w:gutter="0"/>
          <w:pgNumType w:start="0"/>
          <w:cols w:space="720"/>
          <w:titlePg/>
          <w:docGrid w:linePitch="326"/>
        </w:sectPr>
      </w:pPr>
    </w:p>
    <w:p w14:paraId="47470290" w14:textId="77777777" w:rsidR="00000000" w:rsidRDefault="00000000">
      <w:pPr>
        <w:pStyle w:val="TOC2"/>
        <w:jc w:val="center"/>
      </w:pPr>
      <w:r>
        <w:rPr>
          <w:rFonts w:ascii="Arial" w:cs="Arial"/>
          <w:b/>
          <w:sz w:val="32"/>
          <w:szCs w:val="32"/>
        </w:rPr>
        <w:lastRenderedPageBreak/>
        <w:t>目录</w:t>
      </w:r>
      <w:r>
        <w:rPr>
          <w:rStyle w:val="afd"/>
          <w:rFonts w:ascii="Arial" w:cs="Arial"/>
          <w:color w:val="auto"/>
          <w:szCs w:val="24"/>
        </w:rPr>
        <w:fldChar w:fldCharType="begin"/>
      </w:r>
      <w:r>
        <w:rPr>
          <w:rStyle w:val="afd"/>
          <w:rFonts w:ascii="Arial" w:cs="Arial"/>
          <w:color w:val="auto"/>
          <w:szCs w:val="24"/>
        </w:rPr>
        <w:instrText xml:space="preserve"> TOC \o "1-2" \h \z \u </w:instrText>
      </w:r>
      <w:r>
        <w:rPr>
          <w:rStyle w:val="afd"/>
          <w:rFonts w:ascii="Arial" w:cs="Arial"/>
          <w:color w:val="auto"/>
          <w:szCs w:val="24"/>
        </w:rPr>
        <w:fldChar w:fldCharType="separate"/>
      </w:r>
    </w:p>
    <w:p w14:paraId="0A3A18CB" w14:textId="77777777" w:rsidR="00000000" w:rsidRDefault="00000000">
      <w:pPr>
        <w:pStyle w:val="TOC1"/>
        <w:tabs>
          <w:tab w:val="clear" w:pos="840"/>
          <w:tab w:val="clear" w:pos="8654"/>
          <w:tab w:val="right" w:leader="dot" w:pos="9299"/>
        </w:tabs>
      </w:pPr>
      <w:hyperlink w:anchor="_Toc177" w:history="1">
        <w:r>
          <w:rPr>
            <w:rFonts w:ascii="Arial" w:cs="Arial"/>
          </w:rPr>
          <w:t>第一部分</w:t>
        </w:r>
        <w:r>
          <w:rPr>
            <w:rFonts w:ascii="Arial" w:cs="Arial"/>
          </w:rPr>
          <w:t xml:space="preserve">  </w:t>
        </w:r>
        <w:r>
          <w:rPr>
            <w:rFonts w:ascii="Arial" w:cs="Arial"/>
          </w:rPr>
          <w:t>总</w:t>
        </w:r>
        <w:r>
          <w:rPr>
            <w:rFonts w:ascii="Arial" w:cs="Arial"/>
          </w:rPr>
          <w:t xml:space="preserve">  </w:t>
        </w:r>
        <w:r>
          <w:rPr>
            <w:rFonts w:ascii="Arial" w:cs="Arial"/>
          </w:rPr>
          <w:t>述</w:t>
        </w:r>
        <w:r>
          <w:tab/>
        </w:r>
        <w:r>
          <w:fldChar w:fldCharType="begin"/>
        </w:r>
        <w:r>
          <w:instrText xml:space="preserve"> PAGEREF _Toc177 \h </w:instrText>
        </w:r>
        <w:r>
          <w:fldChar w:fldCharType="separate"/>
        </w:r>
        <w:r>
          <w:t>1</w:t>
        </w:r>
        <w:r>
          <w:fldChar w:fldCharType="end"/>
        </w:r>
      </w:hyperlink>
    </w:p>
    <w:p w14:paraId="71D5EC59" w14:textId="77777777" w:rsidR="00000000" w:rsidRDefault="00000000">
      <w:pPr>
        <w:pStyle w:val="TOC2"/>
        <w:tabs>
          <w:tab w:val="clear" w:pos="8931"/>
          <w:tab w:val="right" w:leader="dot" w:pos="9299"/>
        </w:tabs>
      </w:pPr>
      <w:hyperlink w:anchor="_Toc14790" w:history="1">
        <w:r>
          <w:rPr>
            <w:rFonts w:ascii="Arial" w:hAnsi="Arial" w:cs="Arial"/>
          </w:rPr>
          <w:t>一、项目名称</w:t>
        </w:r>
        <w:r>
          <w:tab/>
        </w:r>
        <w:fldSimple w:instr=" PAGEREF _Toc14790 \h ">
          <w:r>
            <w:t>1</w:t>
          </w:r>
        </w:fldSimple>
      </w:hyperlink>
    </w:p>
    <w:p w14:paraId="36D912E9" w14:textId="77777777" w:rsidR="00000000" w:rsidRDefault="00000000">
      <w:pPr>
        <w:pStyle w:val="TOC2"/>
        <w:tabs>
          <w:tab w:val="clear" w:pos="8931"/>
          <w:tab w:val="right" w:leader="dot" w:pos="9299"/>
        </w:tabs>
      </w:pPr>
      <w:hyperlink w:anchor="_Toc2982" w:history="1">
        <w:r>
          <w:rPr>
            <w:rFonts w:ascii="Arial" w:hAnsi="Arial" w:cs="Arial"/>
          </w:rPr>
          <w:t>二、委托方</w:t>
        </w:r>
        <w:r>
          <w:tab/>
        </w:r>
        <w:fldSimple w:instr=" PAGEREF _Toc2982 \h ">
          <w:r>
            <w:t>1</w:t>
          </w:r>
        </w:fldSimple>
      </w:hyperlink>
    </w:p>
    <w:p w14:paraId="40B742CC" w14:textId="77777777" w:rsidR="00000000" w:rsidRDefault="00000000">
      <w:pPr>
        <w:pStyle w:val="TOC2"/>
        <w:tabs>
          <w:tab w:val="clear" w:pos="8931"/>
          <w:tab w:val="right" w:leader="dot" w:pos="9299"/>
        </w:tabs>
      </w:pPr>
      <w:hyperlink w:anchor="_Toc21210" w:history="1">
        <w:r>
          <w:rPr>
            <w:rFonts w:ascii="Arial" w:hAnsi="Arial" w:cs="Arial"/>
          </w:rPr>
          <w:t>三、受托估价方</w:t>
        </w:r>
        <w:r>
          <w:tab/>
        </w:r>
        <w:fldSimple w:instr=" PAGEREF _Toc21210 \h ">
          <w:r>
            <w:t>1</w:t>
          </w:r>
        </w:fldSimple>
      </w:hyperlink>
    </w:p>
    <w:p w14:paraId="518A50E5" w14:textId="77777777" w:rsidR="00000000" w:rsidRDefault="00000000">
      <w:pPr>
        <w:pStyle w:val="TOC2"/>
        <w:tabs>
          <w:tab w:val="clear" w:pos="8931"/>
          <w:tab w:val="right" w:leader="dot" w:pos="9299"/>
        </w:tabs>
      </w:pPr>
      <w:hyperlink w:anchor="_Toc27192" w:history="1">
        <w:r>
          <w:rPr>
            <w:rFonts w:ascii="Arial" w:hAnsi="Arial" w:cs="Arial"/>
          </w:rPr>
          <w:t>四、咨询目的</w:t>
        </w:r>
        <w:r>
          <w:tab/>
        </w:r>
        <w:fldSimple w:instr=" PAGEREF _Toc27192 \h ">
          <w:r>
            <w:t>1</w:t>
          </w:r>
        </w:fldSimple>
      </w:hyperlink>
    </w:p>
    <w:p w14:paraId="424E314A" w14:textId="77777777" w:rsidR="00000000" w:rsidRDefault="00000000">
      <w:pPr>
        <w:pStyle w:val="TOC2"/>
        <w:tabs>
          <w:tab w:val="clear" w:pos="8931"/>
          <w:tab w:val="right" w:leader="dot" w:pos="9299"/>
        </w:tabs>
      </w:pPr>
      <w:hyperlink w:anchor="_Toc13024" w:history="1">
        <w:r>
          <w:rPr>
            <w:rFonts w:ascii="Arial" w:hAnsi="Arial" w:cs="Arial"/>
          </w:rPr>
          <w:t>五、估价依据</w:t>
        </w:r>
        <w:r>
          <w:tab/>
        </w:r>
        <w:fldSimple w:instr=" PAGEREF _Toc13024 \h ">
          <w:r>
            <w:t>2</w:t>
          </w:r>
        </w:fldSimple>
      </w:hyperlink>
    </w:p>
    <w:p w14:paraId="4CC5C464" w14:textId="77777777" w:rsidR="00000000" w:rsidRDefault="00000000">
      <w:pPr>
        <w:pStyle w:val="TOC2"/>
        <w:tabs>
          <w:tab w:val="clear" w:pos="8931"/>
          <w:tab w:val="right" w:leader="dot" w:pos="9299"/>
        </w:tabs>
      </w:pPr>
      <w:hyperlink w:anchor="_Toc27536" w:history="1">
        <w:r>
          <w:rPr>
            <w:rFonts w:ascii="Arial" w:hAnsi="Arial" w:cs="Arial"/>
          </w:rPr>
          <w:t>六、咨询期日</w:t>
        </w:r>
        <w:r>
          <w:tab/>
        </w:r>
        <w:fldSimple w:instr=" PAGEREF _Toc27536 \h ">
          <w:r>
            <w:t>4</w:t>
          </w:r>
        </w:fldSimple>
      </w:hyperlink>
    </w:p>
    <w:p w14:paraId="5A0C085E" w14:textId="77777777" w:rsidR="00000000" w:rsidRDefault="00000000">
      <w:pPr>
        <w:pStyle w:val="TOC2"/>
        <w:tabs>
          <w:tab w:val="clear" w:pos="8931"/>
          <w:tab w:val="right" w:leader="dot" w:pos="9299"/>
        </w:tabs>
      </w:pPr>
      <w:hyperlink w:anchor="_Toc3258" w:history="1">
        <w:r>
          <w:rPr>
            <w:rFonts w:ascii="Arial" w:hAnsi="Arial" w:cs="Arial"/>
            <w:bCs/>
          </w:rPr>
          <w:t>七、咨询日期</w:t>
        </w:r>
        <w:r>
          <w:tab/>
        </w:r>
        <w:fldSimple w:instr=" PAGEREF _Toc3258 \h ">
          <w:r>
            <w:t>4</w:t>
          </w:r>
        </w:fldSimple>
      </w:hyperlink>
    </w:p>
    <w:p w14:paraId="1AA9E866" w14:textId="77777777" w:rsidR="00000000" w:rsidRDefault="00000000">
      <w:pPr>
        <w:pStyle w:val="TOC2"/>
        <w:tabs>
          <w:tab w:val="clear" w:pos="8931"/>
          <w:tab w:val="right" w:leader="dot" w:pos="9299"/>
        </w:tabs>
      </w:pPr>
      <w:hyperlink w:anchor="_Toc32253" w:history="1">
        <w:r>
          <w:rPr>
            <w:rFonts w:ascii="Arial" w:cs="Arial"/>
            <w:bCs/>
          </w:rPr>
          <w:t>八、地价定义</w:t>
        </w:r>
        <w:r>
          <w:tab/>
        </w:r>
        <w:fldSimple w:instr=" PAGEREF _Toc32253 \h ">
          <w:r>
            <w:t>4</w:t>
          </w:r>
        </w:fldSimple>
      </w:hyperlink>
    </w:p>
    <w:p w14:paraId="03455A43" w14:textId="77777777" w:rsidR="00000000" w:rsidRDefault="00000000">
      <w:pPr>
        <w:pStyle w:val="TOC2"/>
        <w:tabs>
          <w:tab w:val="clear" w:pos="8931"/>
          <w:tab w:val="right" w:leader="dot" w:pos="9299"/>
        </w:tabs>
      </w:pPr>
      <w:hyperlink w:anchor="_Toc18597" w:history="1">
        <w:r>
          <w:rPr>
            <w:rFonts w:ascii="Arial" w:hAnsi="Arial" w:cs="Arial"/>
          </w:rPr>
          <w:t>九、咨询结果</w:t>
        </w:r>
        <w:r>
          <w:tab/>
        </w:r>
        <w:fldSimple w:instr=" PAGEREF _Toc18597 \h ">
          <w:r>
            <w:t>6</w:t>
          </w:r>
        </w:fldSimple>
      </w:hyperlink>
    </w:p>
    <w:p w14:paraId="16A48194" w14:textId="77777777" w:rsidR="00000000" w:rsidRDefault="00000000">
      <w:pPr>
        <w:pStyle w:val="TOC2"/>
        <w:tabs>
          <w:tab w:val="clear" w:pos="8931"/>
          <w:tab w:val="right" w:leader="dot" w:pos="9299"/>
        </w:tabs>
      </w:pPr>
      <w:hyperlink w:anchor="_Toc16834" w:history="1">
        <w:r>
          <w:rPr>
            <w:rFonts w:ascii="Arial" w:hAnsi="Arial" w:cs="Arial"/>
          </w:rPr>
          <w:t>十、需要特殊说明的事项</w:t>
        </w:r>
        <w:r>
          <w:tab/>
        </w:r>
        <w:fldSimple w:instr=" PAGEREF _Toc16834 \h ">
          <w:r>
            <w:t>9</w:t>
          </w:r>
        </w:fldSimple>
      </w:hyperlink>
    </w:p>
    <w:p w14:paraId="400BB7F3" w14:textId="77777777" w:rsidR="00000000" w:rsidRDefault="00000000">
      <w:pPr>
        <w:pStyle w:val="TOC2"/>
        <w:tabs>
          <w:tab w:val="clear" w:pos="8931"/>
          <w:tab w:val="right" w:leader="dot" w:pos="9299"/>
        </w:tabs>
        <w:rPr>
          <w:rFonts w:hint="eastAsia"/>
        </w:rPr>
      </w:pPr>
      <w:hyperlink w:anchor="_Toc6305" w:history="1">
        <w:r>
          <w:rPr>
            <w:rFonts w:ascii="Arial" w:hAnsi="Arial" w:cs="Arial"/>
          </w:rPr>
          <w:t>十一、评估专业人员签字</w:t>
        </w:r>
        <w:r>
          <w:tab/>
        </w:r>
        <w:r>
          <w:rPr>
            <w:rFonts w:hint="eastAsia"/>
          </w:rPr>
          <w:t>1</w:t>
        </w:r>
      </w:hyperlink>
      <w:r>
        <w:rPr>
          <w:rFonts w:ascii="Arial" w:hAnsi="Arial" w:cs="Arial" w:hint="eastAsia"/>
          <w:szCs w:val="24"/>
        </w:rPr>
        <w:t>0</w:t>
      </w:r>
    </w:p>
    <w:p w14:paraId="1C9CC410" w14:textId="77777777" w:rsidR="00000000" w:rsidRDefault="00000000">
      <w:pPr>
        <w:pStyle w:val="TOC2"/>
        <w:tabs>
          <w:tab w:val="clear" w:pos="8931"/>
          <w:tab w:val="right" w:leader="dot" w:pos="9299"/>
        </w:tabs>
      </w:pPr>
      <w:hyperlink w:anchor="_Toc1215" w:history="1">
        <w:r>
          <w:rPr>
            <w:rFonts w:ascii="Arial" w:hAnsi="Arial" w:cs="Arial"/>
          </w:rPr>
          <w:t>十二、土地估价机构</w:t>
        </w:r>
        <w:r>
          <w:tab/>
        </w:r>
        <w:fldSimple w:instr=" PAGEREF _Toc1215 \h ">
          <w:r>
            <w:t>11</w:t>
          </w:r>
        </w:fldSimple>
      </w:hyperlink>
    </w:p>
    <w:p w14:paraId="451A6B09" w14:textId="77777777" w:rsidR="00000000" w:rsidRDefault="00000000">
      <w:pPr>
        <w:pStyle w:val="TOC1"/>
        <w:tabs>
          <w:tab w:val="clear" w:pos="840"/>
          <w:tab w:val="clear" w:pos="8654"/>
          <w:tab w:val="right" w:leader="dot" w:pos="9299"/>
        </w:tabs>
      </w:pPr>
      <w:hyperlink w:anchor="_Toc29473" w:history="1">
        <w:r>
          <w:rPr>
            <w:rFonts w:ascii="Arial" w:cs="Arial"/>
          </w:rPr>
          <w:t>第二部分</w:t>
        </w:r>
        <w:r>
          <w:rPr>
            <w:rFonts w:ascii="Arial" w:cs="Arial"/>
          </w:rPr>
          <w:t xml:space="preserve">  </w:t>
        </w:r>
        <w:r>
          <w:rPr>
            <w:rFonts w:ascii="Arial" w:cs="Arial"/>
          </w:rPr>
          <w:t>咨询对象描述及土地价格影响因素分析</w:t>
        </w:r>
        <w:r>
          <w:tab/>
        </w:r>
        <w:r>
          <w:fldChar w:fldCharType="begin"/>
        </w:r>
        <w:r>
          <w:instrText xml:space="preserve"> PAGEREF _Toc29473 \h </w:instrText>
        </w:r>
        <w:r>
          <w:fldChar w:fldCharType="separate"/>
        </w:r>
        <w:r>
          <w:t>13</w:t>
        </w:r>
        <w:r>
          <w:fldChar w:fldCharType="end"/>
        </w:r>
      </w:hyperlink>
    </w:p>
    <w:p w14:paraId="21890E37" w14:textId="77777777" w:rsidR="00000000" w:rsidRDefault="00000000">
      <w:pPr>
        <w:pStyle w:val="TOC2"/>
        <w:tabs>
          <w:tab w:val="clear" w:pos="8931"/>
          <w:tab w:val="right" w:leader="dot" w:pos="9299"/>
        </w:tabs>
      </w:pPr>
      <w:hyperlink w:anchor="_Toc16635" w:history="1">
        <w:r>
          <w:rPr>
            <w:rFonts w:ascii="Arial" w:hAnsi="Arial" w:cs="Arial"/>
          </w:rPr>
          <w:t>一、咨询对象描述</w:t>
        </w:r>
        <w:r>
          <w:tab/>
        </w:r>
        <w:fldSimple w:instr=" PAGEREF _Toc16635 \h ">
          <w:r>
            <w:t>13</w:t>
          </w:r>
        </w:fldSimple>
      </w:hyperlink>
    </w:p>
    <w:p w14:paraId="21F31492" w14:textId="77777777" w:rsidR="00000000" w:rsidRDefault="00000000">
      <w:pPr>
        <w:pStyle w:val="TOC2"/>
        <w:tabs>
          <w:tab w:val="clear" w:pos="8931"/>
          <w:tab w:val="right" w:leader="dot" w:pos="9299"/>
        </w:tabs>
      </w:pPr>
      <w:hyperlink w:anchor="_Toc14556" w:history="1">
        <w:r>
          <w:rPr>
            <w:rFonts w:ascii="Arial" w:hAnsi="Arial" w:cs="Arial"/>
          </w:rPr>
          <w:t>二、地价影响因素分析</w:t>
        </w:r>
        <w:r>
          <w:tab/>
        </w:r>
        <w:fldSimple w:instr=" PAGEREF _Toc14556 \h ">
          <w:r>
            <w:t>14</w:t>
          </w:r>
        </w:fldSimple>
      </w:hyperlink>
    </w:p>
    <w:p w14:paraId="0568EE8C" w14:textId="77777777" w:rsidR="00000000" w:rsidRDefault="00000000">
      <w:pPr>
        <w:pStyle w:val="TOC1"/>
        <w:tabs>
          <w:tab w:val="clear" w:pos="840"/>
          <w:tab w:val="clear" w:pos="8654"/>
          <w:tab w:val="right" w:leader="dot" w:pos="9299"/>
        </w:tabs>
      </w:pPr>
      <w:hyperlink w:anchor="_Toc4198" w:history="1">
        <w:r>
          <w:rPr>
            <w:rFonts w:ascii="Arial" w:cs="Arial"/>
          </w:rPr>
          <w:t>第三部分</w:t>
        </w:r>
        <w:r>
          <w:rPr>
            <w:rFonts w:ascii="Arial" w:cs="Arial"/>
          </w:rPr>
          <w:t xml:space="preserve">  </w:t>
        </w:r>
        <w:r>
          <w:rPr>
            <w:rFonts w:ascii="Arial" w:cs="Arial"/>
          </w:rPr>
          <w:t>土地估价</w:t>
        </w:r>
        <w:r>
          <w:tab/>
        </w:r>
        <w:r>
          <w:fldChar w:fldCharType="begin"/>
        </w:r>
        <w:r>
          <w:instrText xml:space="preserve"> PAGEREF _Toc4198 \h </w:instrText>
        </w:r>
        <w:r>
          <w:fldChar w:fldCharType="separate"/>
        </w:r>
        <w:r>
          <w:t>47</w:t>
        </w:r>
        <w:r>
          <w:fldChar w:fldCharType="end"/>
        </w:r>
      </w:hyperlink>
    </w:p>
    <w:p w14:paraId="25942B9B" w14:textId="77777777" w:rsidR="00000000" w:rsidRDefault="00000000">
      <w:pPr>
        <w:pStyle w:val="TOC2"/>
        <w:tabs>
          <w:tab w:val="clear" w:pos="8931"/>
          <w:tab w:val="right" w:leader="dot" w:pos="9299"/>
        </w:tabs>
      </w:pPr>
      <w:hyperlink w:anchor="_Toc27002" w:history="1">
        <w:r>
          <w:rPr>
            <w:rFonts w:ascii="Arial" w:hAnsi="Arial" w:cs="Arial"/>
          </w:rPr>
          <w:t>一、估价原则</w:t>
        </w:r>
        <w:r>
          <w:tab/>
        </w:r>
        <w:fldSimple w:instr=" PAGEREF _Toc27002 \h ">
          <w:r>
            <w:t>47</w:t>
          </w:r>
        </w:fldSimple>
      </w:hyperlink>
    </w:p>
    <w:p w14:paraId="40599C5F" w14:textId="77777777" w:rsidR="00000000" w:rsidRDefault="00000000">
      <w:pPr>
        <w:pStyle w:val="TOC2"/>
        <w:tabs>
          <w:tab w:val="clear" w:pos="8931"/>
          <w:tab w:val="right" w:leader="dot" w:pos="9299"/>
        </w:tabs>
      </w:pPr>
      <w:hyperlink w:anchor="_Toc14947" w:history="1">
        <w:r>
          <w:rPr>
            <w:rFonts w:ascii="Arial" w:hAnsi="Arial" w:cs="Arial"/>
          </w:rPr>
          <w:t>二、估价方法与估价过程</w:t>
        </w:r>
        <w:r>
          <w:tab/>
        </w:r>
        <w:fldSimple w:instr=" PAGEREF _Toc14947 \h ">
          <w:r>
            <w:t>48</w:t>
          </w:r>
        </w:fldSimple>
      </w:hyperlink>
    </w:p>
    <w:p w14:paraId="48D0B1CB" w14:textId="77777777" w:rsidR="00000000" w:rsidRDefault="00000000">
      <w:pPr>
        <w:pStyle w:val="TOC2"/>
        <w:tabs>
          <w:tab w:val="clear" w:pos="8931"/>
          <w:tab w:val="right" w:leader="dot" w:pos="9299"/>
        </w:tabs>
      </w:pPr>
      <w:hyperlink w:anchor="_Toc15911" w:history="1">
        <w:r>
          <w:rPr>
            <w:rFonts w:ascii="Arial" w:hAnsi="Arial" w:cs="Arial"/>
            <w:bCs/>
          </w:rPr>
          <w:t>三、咨询结果的确定</w:t>
        </w:r>
        <w:r>
          <w:tab/>
        </w:r>
        <w:fldSimple w:instr=" PAGEREF _Toc15911 \h ">
          <w:r>
            <w:t>57</w:t>
          </w:r>
        </w:fldSimple>
      </w:hyperlink>
    </w:p>
    <w:p w14:paraId="094184F4" w14:textId="77777777" w:rsidR="00000000" w:rsidRDefault="00000000">
      <w:pPr>
        <w:pStyle w:val="TOC1"/>
        <w:tabs>
          <w:tab w:val="clear" w:pos="840"/>
          <w:tab w:val="clear" w:pos="8654"/>
          <w:tab w:val="right" w:leader="dot" w:pos="9299"/>
        </w:tabs>
      </w:pPr>
      <w:hyperlink w:anchor="_Toc28304" w:history="1">
        <w:r>
          <w:rPr>
            <w:rFonts w:ascii="Arial" w:cs="Arial"/>
          </w:rPr>
          <w:t>第四部分</w:t>
        </w:r>
        <w:r>
          <w:rPr>
            <w:rFonts w:ascii="Arial" w:cs="Arial"/>
          </w:rPr>
          <w:t xml:space="preserve">  </w:t>
        </w:r>
        <w:r>
          <w:rPr>
            <w:rFonts w:ascii="Arial" w:cs="Arial"/>
          </w:rPr>
          <w:t>附</w:t>
        </w:r>
        <w:r>
          <w:rPr>
            <w:rFonts w:ascii="Arial" w:cs="Arial"/>
          </w:rPr>
          <w:t xml:space="preserve">  </w:t>
        </w:r>
        <w:r>
          <w:rPr>
            <w:rFonts w:ascii="Arial" w:cs="Arial"/>
          </w:rPr>
          <w:t>件</w:t>
        </w:r>
        <w:r>
          <w:tab/>
        </w:r>
        <w:r>
          <w:fldChar w:fldCharType="begin"/>
        </w:r>
        <w:r>
          <w:instrText xml:space="preserve"> PAGEREF _Toc28304 \h </w:instrText>
        </w:r>
        <w:r>
          <w:fldChar w:fldCharType="separate"/>
        </w:r>
        <w:r>
          <w:t>59</w:t>
        </w:r>
        <w:r>
          <w:fldChar w:fldCharType="end"/>
        </w:r>
      </w:hyperlink>
    </w:p>
    <w:p w14:paraId="31962DB4" w14:textId="77777777" w:rsidR="00000000" w:rsidRDefault="00000000">
      <w:pPr>
        <w:pStyle w:val="TOC1"/>
        <w:rPr>
          <w:rFonts w:ascii="Arial" w:cs="Arial"/>
          <w:sz w:val="32"/>
        </w:rPr>
        <w:sectPr w:rsidR="00000000">
          <w:headerReference w:type="first" r:id="rId51"/>
          <w:pgSz w:w="11907" w:h="16840"/>
          <w:pgMar w:top="1843" w:right="1304" w:bottom="1134" w:left="1304" w:header="1134" w:footer="907" w:gutter="0"/>
          <w:pgNumType w:start="0"/>
          <w:cols w:space="720"/>
          <w:titlePg/>
          <w:docGrid w:linePitch="326"/>
        </w:sectPr>
      </w:pPr>
      <w:r>
        <w:rPr>
          <w:rStyle w:val="afd"/>
          <w:rFonts w:ascii="Arial" w:cs="Arial"/>
          <w:color w:val="auto"/>
          <w:szCs w:val="24"/>
        </w:rPr>
        <w:fldChar w:fldCharType="end"/>
      </w:r>
    </w:p>
    <w:p w14:paraId="69641A8B" w14:textId="77777777" w:rsidR="00000000" w:rsidRDefault="00000000">
      <w:pPr>
        <w:spacing w:line="360" w:lineRule="auto"/>
        <w:jc w:val="center"/>
        <w:rPr>
          <w:rFonts w:ascii="Arial" w:hAnsi="Arial" w:cs="Arial"/>
          <w:sz w:val="32"/>
        </w:rPr>
      </w:pPr>
      <w:bookmarkStart w:id="182" w:name="_Toc416783638"/>
      <w:bookmarkStart w:id="183" w:name="_Toc416783542"/>
      <w:r>
        <w:rPr>
          <w:rFonts w:ascii="Arial" w:hAnsi="Arial" w:cs="Arial"/>
          <w:b/>
          <w:sz w:val="32"/>
        </w:rPr>
        <w:lastRenderedPageBreak/>
        <w:t>土</w:t>
      </w:r>
      <w:r>
        <w:rPr>
          <w:rFonts w:ascii="Arial" w:hAnsi="Arial" w:cs="Arial"/>
          <w:b/>
          <w:sz w:val="32"/>
        </w:rPr>
        <w:t xml:space="preserve"> </w:t>
      </w:r>
      <w:r>
        <w:rPr>
          <w:rFonts w:ascii="Arial" w:hAnsi="Arial" w:cs="Arial"/>
          <w:b/>
          <w:sz w:val="32"/>
        </w:rPr>
        <w:t>地</w:t>
      </w:r>
      <w:r>
        <w:rPr>
          <w:rFonts w:ascii="Arial" w:hAnsi="Arial" w:cs="Arial"/>
          <w:b/>
          <w:sz w:val="32"/>
        </w:rPr>
        <w:t xml:space="preserve"> </w:t>
      </w:r>
      <w:r>
        <w:rPr>
          <w:rFonts w:ascii="Arial" w:hAnsi="Arial" w:cs="Arial" w:hint="eastAsia"/>
          <w:b/>
          <w:sz w:val="32"/>
        </w:rPr>
        <w:t>咨</w:t>
      </w:r>
      <w:r>
        <w:rPr>
          <w:rFonts w:ascii="Arial" w:hAnsi="Arial" w:cs="Arial" w:hint="eastAsia"/>
          <w:b/>
          <w:sz w:val="32"/>
        </w:rPr>
        <w:t xml:space="preserve"> </w:t>
      </w:r>
      <w:r>
        <w:rPr>
          <w:rFonts w:ascii="Arial" w:hAnsi="Arial" w:cs="Arial" w:hint="eastAsia"/>
          <w:b/>
          <w:sz w:val="32"/>
        </w:rPr>
        <w:t>询</w:t>
      </w:r>
      <w:r>
        <w:rPr>
          <w:rFonts w:ascii="Arial" w:hAnsi="Arial" w:cs="Arial"/>
          <w:b/>
          <w:sz w:val="32"/>
        </w:rPr>
        <w:t xml:space="preserve"> </w:t>
      </w:r>
      <w:r>
        <w:rPr>
          <w:rFonts w:ascii="Arial" w:hAnsi="Arial" w:cs="Arial"/>
          <w:b/>
          <w:sz w:val="32"/>
        </w:rPr>
        <w:t>技</w:t>
      </w:r>
      <w:r>
        <w:rPr>
          <w:rFonts w:ascii="Arial" w:hAnsi="Arial" w:cs="Arial"/>
          <w:b/>
          <w:sz w:val="32"/>
        </w:rPr>
        <w:t xml:space="preserve"> </w:t>
      </w:r>
      <w:r>
        <w:rPr>
          <w:rFonts w:ascii="Arial" w:hAnsi="Arial" w:cs="Arial"/>
          <w:b/>
          <w:sz w:val="32"/>
        </w:rPr>
        <w:t>术</w:t>
      </w:r>
      <w:r>
        <w:rPr>
          <w:rFonts w:ascii="Arial" w:hAnsi="Arial" w:cs="Arial"/>
          <w:b/>
          <w:sz w:val="32"/>
        </w:rPr>
        <w:t xml:space="preserve"> </w:t>
      </w:r>
      <w:r>
        <w:rPr>
          <w:rFonts w:ascii="Arial" w:hAnsi="Arial" w:cs="Arial"/>
          <w:b/>
          <w:sz w:val="32"/>
        </w:rPr>
        <w:t>报</w:t>
      </w:r>
      <w:r>
        <w:rPr>
          <w:rFonts w:ascii="Arial" w:hAnsi="Arial" w:cs="Arial"/>
          <w:b/>
          <w:sz w:val="32"/>
        </w:rPr>
        <w:t xml:space="preserve"> </w:t>
      </w:r>
      <w:r>
        <w:rPr>
          <w:rFonts w:ascii="Arial" w:hAnsi="Arial" w:cs="Arial"/>
          <w:b/>
          <w:sz w:val="32"/>
        </w:rPr>
        <w:t>告</w:t>
      </w:r>
      <w:bookmarkEnd w:id="182"/>
      <w:bookmarkEnd w:id="183"/>
    </w:p>
    <w:p w14:paraId="405B43A0" w14:textId="77777777" w:rsidR="00000000" w:rsidRDefault="00000000">
      <w:pPr>
        <w:spacing w:line="360" w:lineRule="auto"/>
        <w:jc w:val="center"/>
        <w:rPr>
          <w:rFonts w:ascii="Arial" w:hAnsi="Arial" w:cs="Arial"/>
          <w:sz w:val="32"/>
        </w:rPr>
      </w:pPr>
    </w:p>
    <w:p w14:paraId="083E3801" w14:textId="77777777" w:rsidR="00000000" w:rsidRDefault="00000000">
      <w:pPr>
        <w:spacing w:line="360" w:lineRule="auto"/>
        <w:jc w:val="center"/>
        <w:outlineLvl w:val="0"/>
        <w:rPr>
          <w:rFonts w:ascii="Arial" w:hAnsi="Arial" w:cs="Arial"/>
          <w:sz w:val="32"/>
        </w:rPr>
      </w:pPr>
      <w:bookmarkStart w:id="184" w:name="_Toc97732869"/>
      <w:bookmarkStart w:id="185" w:name="_Toc469066149"/>
      <w:bookmarkStart w:id="186" w:name="_Toc416783639"/>
      <w:bookmarkStart w:id="187" w:name="_Toc97732751"/>
      <w:bookmarkStart w:id="188" w:name="_Toc6054"/>
      <w:bookmarkStart w:id="189" w:name="_Toc416783543"/>
      <w:bookmarkStart w:id="190" w:name="_Toc177"/>
      <w:r>
        <w:rPr>
          <w:rFonts w:ascii="Arial" w:hAnsi="Arial" w:cs="Arial"/>
          <w:b/>
          <w:sz w:val="32"/>
        </w:rPr>
        <w:t>第一部分</w:t>
      </w:r>
      <w:r>
        <w:rPr>
          <w:rFonts w:ascii="Arial" w:hAnsi="Arial" w:cs="Arial"/>
          <w:b/>
          <w:sz w:val="32"/>
        </w:rPr>
        <w:t xml:space="preserve">  </w:t>
      </w:r>
      <w:r>
        <w:rPr>
          <w:rFonts w:ascii="Arial" w:hAnsi="Arial" w:cs="Arial"/>
          <w:b/>
          <w:sz w:val="32"/>
        </w:rPr>
        <w:t>总</w:t>
      </w:r>
      <w:r>
        <w:rPr>
          <w:rFonts w:ascii="Arial" w:hAnsi="Arial" w:cs="Arial"/>
          <w:b/>
          <w:sz w:val="32"/>
        </w:rPr>
        <w:t xml:space="preserve">  </w:t>
      </w:r>
      <w:r>
        <w:rPr>
          <w:rFonts w:ascii="Arial" w:hAnsi="Arial" w:cs="Arial"/>
          <w:b/>
          <w:sz w:val="32"/>
        </w:rPr>
        <w:t>述</w:t>
      </w:r>
      <w:bookmarkEnd w:id="184"/>
      <w:bookmarkEnd w:id="185"/>
      <w:bookmarkEnd w:id="186"/>
      <w:bookmarkEnd w:id="187"/>
      <w:bookmarkEnd w:id="188"/>
      <w:bookmarkEnd w:id="189"/>
      <w:bookmarkEnd w:id="190"/>
    </w:p>
    <w:p w14:paraId="55F740E6" w14:textId="77777777" w:rsidR="00000000" w:rsidRDefault="00000000">
      <w:pPr>
        <w:spacing w:line="360" w:lineRule="auto"/>
        <w:jc w:val="center"/>
        <w:rPr>
          <w:rFonts w:ascii="Arial" w:hAnsi="Arial" w:cs="Arial"/>
          <w:sz w:val="28"/>
        </w:rPr>
      </w:pPr>
    </w:p>
    <w:p w14:paraId="09819CC9" w14:textId="77777777" w:rsidR="00000000" w:rsidRDefault="00000000">
      <w:pPr>
        <w:spacing w:line="360" w:lineRule="auto"/>
        <w:outlineLvl w:val="1"/>
        <w:rPr>
          <w:rFonts w:ascii="Arial" w:hAnsi="Arial" w:cs="Arial"/>
          <w:b/>
          <w:sz w:val="28"/>
        </w:rPr>
      </w:pPr>
      <w:bookmarkStart w:id="191" w:name="_Toc97732752"/>
      <w:bookmarkStart w:id="192" w:name="_Toc416783544"/>
      <w:bookmarkStart w:id="193" w:name="_Toc416783640"/>
      <w:bookmarkStart w:id="194" w:name="_Toc23877"/>
      <w:bookmarkStart w:id="195" w:name="_Toc469066150"/>
      <w:bookmarkStart w:id="196" w:name="_Toc14790"/>
      <w:bookmarkStart w:id="197" w:name="_Toc97732870"/>
      <w:r>
        <w:rPr>
          <w:rFonts w:ascii="Arial" w:hAnsi="Arial" w:cs="Arial"/>
          <w:b/>
          <w:sz w:val="28"/>
        </w:rPr>
        <w:t>一、项目名称</w:t>
      </w:r>
      <w:bookmarkEnd w:id="191"/>
      <w:bookmarkEnd w:id="192"/>
      <w:bookmarkEnd w:id="193"/>
      <w:bookmarkEnd w:id="194"/>
      <w:bookmarkEnd w:id="195"/>
      <w:bookmarkEnd w:id="196"/>
      <w:bookmarkEnd w:id="197"/>
    </w:p>
    <w:p w14:paraId="4C688DB5" w14:textId="77777777" w:rsidR="00000000" w:rsidRDefault="00000000">
      <w:pPr>
        <w:spacing w:line="360" w:lineRule="auto"/>
        <w:ind w:firstLineChars="199" w:firstLine="557"/>
        <w:rPr>
          <w:rFonts w:ascii="Arial" w:hAnsi="Arial" w:cs="Arial"/>
          <w:bCs/>
          <w:sz w:val="28"/>
        </w:rPr>
      </w:pPr>
      <w:r>
        <w:rPr>
          <w:rFonts w:ascii="Arial" w:hAnsi="Arial" w:cs="Arial" w:hint="eastAsia"/>
          <w:sz w:val="28"/>
        </w:rPr>
        <w:t>北京市昌平区马池口镇百泉庄村集体土地租赁住房项目集体经营性建设用地使用权地价评估</w:t>
      </w:r>
    </w:p>
    <w:p w14:paraId="6211258E" w14:textId="77777777" w:rsidR="00000000" w:rsidRDefault="00000000">
      <w:pPr>
        <w:spacing w:line="360" w:lineRule="auto"/>
        <w:ind w:right="-327"/>
        <w:rPr>
          <w:rFonts w:ascii="Arial" w:hAnsi="Arial" w:cs="Arial"/>
          <w:sz w:val="28"/>
        </w:rPr>
      </w:pPr>
    </w:p>
    <w:p w14:paraId="46DA9965" w14:textId="77777777" w:rsidR="00000000" w:rsidRDefault="00000000">
      <w:pPr>
        <w:spacing w:line="360" w:lineRule="auto"/>
        <w:outlineLvl w:val="1"/>
        <w:rPr>
          <w:rFonts w:ascii="Arial" w:hAnsi="Arial" w:cs="Arial"/>
          <w:b/>
          <w:sz w:val="28"/>
        </w:rPr>
      </w:pPr>
      <w:bookmarkStart w:id="198" w:name="_Toc97732753"/>
      <w:bookmarkStart w:id="199" w:name="_Toc416783546"/>
      <w:bookmarkStart w:id="200" w:name="_Toc2982"/>
      <w:bookmarkStart w:id="201" w:name="_Toc469066151"/>
      <w:bookmarkStart w:id="202" w:name="_Toc10531"/>
      <w:bookmarkStart w:id="203" w:name="_Toc97732871"/>
      <w:bookmarkStart w:id="204" w:name="_Toc416783642"/>
      <w:r>
        <w:rPr>
          <w:rFonts w:ascii="Arial" w:hAnsi="Arial" w:cs="Arial"/>
          <w:b/>
          <w:sz w:val="28"/>
        </w:rPr>
        <w:t>二、委托方</w:t>
      </w:r>
      <w:bookmarkEnd w:id="198"/>
      <w:bookmarkEnd w:id="199"/>
      <w:bookmarkEnd w:id="200"/>
      <w:bookmarkEnd w:id="201"/>
      <w:bookmarkEnd w:id="202"/>
      <w:bookmarkEnd w:id="203"/>
      <w:bookmarkEnd w:id="204"/>
    </w:p>
    <w:p w14:paraId="4B3B853E" w14:textId="77777777" w:rsidR="00000000" w:rsidRDefault="00000000">
      <w:pPr>
        <w:spacing w:line="360" w:lineRule="auto"/>
        <w:ind w:left="1" w:right="-85" w:firstLineChars="200" w:firstLine="560"/>
        <w:jc w:val="both"/>
        <w:rPr>
          <w:rFonts w:ascii="Arial" w:hAnsi="Arial" w:cs="Arial" w:hint="eastAsia"/>
          <w:bCs/>
          <w:sz w:val="28"/>
        </w:rPr>
      </w:pPr>
      <w:r>
        <w:rPr>
          <w:rFonts w:ascii="Arial" w:hAnsi="Arial" w:cs="Arial" w:hint="eastAsia"/>
          <w:bCs/>
          <w:sz w:val="28"/>
        </w:rPr>
        <w:t>北京保障房中心有限公司</w:t>
      </w:r>
    </w:p>
    <w:p w14:paraId="4573754A" w14:textId="77777777" w:rsidR="00000000" w:rsidRDefault="00000000">
      <w:pPr>
        <w:spacing w:line="360" w:lineRule="auto"/>
        <w:rPr>
          <w:rFonts w:ascii="Arial" w:hAnsi="Arial" w:cs="Arial"/>
          <w:b/>
          <w:sz w:val="28"/>
        </w:rPr>
      </w:pPr>
    </w:p>
    <w:p w14:paraId="79676295" w14:textId="77777777" w:rsidR="00000000" w:rsidRDefault="00000000">
      <w:pPr>
        <w:spacing w:line="360" w:lineRule="auto"/>
        <w:outlineLvl w:val="1"/>
        <w:rPr>
          <w:rFonts w:ascii="Arial" w:hAnsi="Arial" w:cs="Arial"/>
          <w:b/>
          <w:sz w:val="28"/>
        </w:rPr>
      </w:pPr>
      <w:bookmarkStart w:id="205" w:name="_Toc97732754"/>
      <w:bookmarkStart w:id="206" w:name="_Toc97732872"/>
      <w:bookmarkStart w:id="207" w:name="_Toc416783547"/>
      <w:bookmarkStart w:id="208" w:name="_Toc469066152"/>
      <w:bookmarkStart w:id="209" w:name="_Toc21210"/>
      <w:bookmarkStart w:id="210" w:name="_Toc416783643"/>
      <w:bookmarkStart w:id="211" w:name="_Toc24392"/>
      <w:r>
        <w:rPr>
          <w:rFonts w:ascii="Arial" w:hAnsi="Arial" w:cs="Arial"/>
          <w:b/>
          <w:sz w:val="28"/>
        </w:rPr>
        <w:t>三、受托估价方</w:t>
      </w:r>
      <w:bookmarkEnd w:id="205"/>
      <w:bookmarkEnd w:id="206"/>
      <w:bookmarkEnd w:id="207"/>
      <w:bookmarkEnd w:id="208"/>
      <w:bookmarkEnd w:id="209"/>
      <w:bookmarkEnd w:id="210"/>
      <w:bookmarkEnd w:id="211"/>
    </w:p>
    <w:p w14:paraId="0E3DF202" w14:textId="77777777" w:rsidR="00000000" w:rsidRDefault="00000000">
      <w:pPr>
        <w:spacing w:line="360" w:lineRule="auto"/>
        <w:ind w:firstLine="570"/>
        <w:jc w:val="both"/>
        <w:rPr>
          <w:rFonts w:ascii="Arial" w:hAnsi="Arial" w:cs="Arial"/>
          <w:sz w:val="28"/>
        </w:rPr>
      </w:pPr>
      <w:bookmarkStart w:id="212" w:name="_Toc416783644"/>
      <w:bookmarkStart w:id="213" w:name="_Toc416783548"/>
      <w:r>
        <w:rPr>
          <w:rFonts w:ascii="Arial" w:hAnsi="Arial" w:cs="Arial"/>
          <w:sz w:val="28"/>
        </w:rPr>
        <w:t>受托机构：北京康正宏基房地产评估有限公司</w:t>
      </w:r>
      <w:bookmarkEnd w:id="212"/>
      <w:bookmarkEnd w:id="213"/>
    </w:p>
    <w:p w14:paraId="7979DE36" w14:textId="77777777" w:rsidR="00000000" w:rsidRDefault="00000000">
      <w:pPr>
        <w:spacing w:line="360" w:lineRule="auto"/>
        <w:ind w:left="1960" w:hangingChars="700" w:hanging="1960"/>
        <w:rPr>
          <w:rFonts w:ascii="Arial" w:hAnsi="Arial" w:cs="Arial"/>
          <w:sz w:val="28"/>
        </w:rPr>
      </w:pPr>
      <w:r>
        <w:rPr>
          <w:rFonts w:ascii="Arial" w:hAnsi="Arial" w:cs="Arial"/>
          <w:sz w:val="28"/>
        </w:rPr>
        <w:t xml:space="preserve">    </w:t>
      </w:r>
      <w:r>
        <w:rPr>
          <w:rFonts w:ascii="Arial" w:hAnsi="Arial" w:cs="Arial"/>
          <w:sz w:val="28"/>
        </w:rPr>
        <w:t>地</w:t>
      </w:r>
      <w:r>
        <w:rPr>
          <w:rFonts w:ascii="Arial" w:hAnsi="Arial" w:cs="Arial"/>
          <w:sz w:val="28"/>
        </w:rPr>
        <w:t xml:space="preserve">    </w:t>
      </w:r>
      <w:r>
        <w:rPr>
          <w:rFonts w:ascii="Arial" w:hAnsi="Arial" w:cs="Arial"/>
          <w:sz w:val="28"/>
        </w:rPr>
        <w:t>址：北京市朝阳区裕民路</w:t>
      </w:r>
      <w:r>
        <w:rPr>
          <w:rFonts w:ascii="Arial" w:hAnsi="Arial" w:cs="Arial"/>
          <w:sz w:val="28"/>
        </w:rPr>
        <w:t>12</w:t>
      </w:r>
      <w:r>
        <w:rPr>
          <w:rFonts w:ascii="Arial" w:hAnsi="Arial" w:cs="Arial"/>
          <w:sz w:val="28"/>
        </w:rPr>
        <w:t>号中国国际科技会展中心</w:t>
      </w:r>
      <w:r>
        <w:rPr>
          <w:rFonts w:ascii="Arial" w:hAnsi="Arial" w:cs="Arial"/>
          <w:sz w:val="28"/>
        </w:rPr>
        <w:t xml:space="preserve">B </w:t>
      </w:r>
      <w:r>
        <w:rPr>
          <w:rFonts w:ascii="Arial" w:hAnsi="Arial" w:cs="Arial"/>
          <w:sz w:val="28"/>
        </w:rPr>
        <w:t>座</w:t>
      </w:r>
      <w:r>
        <w:rPr>
          <w:rFonts w:ascii="Arial" w:hAnsi="Arial" w:cs="Arial"/>
          <w:sz w:val="28"/>
        </w:rPr>
        <w:t>10</w:t>
      </w:r>
      <w:r>
        <w:rPr>
          <w:rFonts w:ascii="Arial" w:hAnsi="Arial" w:cs="Arial"/>
          <w:sz w:val="28"/>
        </w:rPr>
        <w:t>层</w:t>
      </w:r>
      <w:r>
        <w:rPr>
          <w:rFonts w:ascii="Arial" w:hAnsi="Arial" w:cs="Arial"/>
          <w:sz w:val="28"/>
        </w:rPr>
        <w:t>1003</w:t>
      </w:r>
      <w:r>
        <w:rPr>
          <w:rFonts w:ascii="Arial" w:hAnsi="Arial" w:cs="Arial"/>
          <w:sz w:val="28"/>
        </w:rPr>
        <w:t>室</w:t>
      </w:r>
    </w:p>
    <w:p w14:paraId="534EB341" w14:textId="77777777" w:rsidR="00000000" w:rsidRDefault="00000000">
      <w:pPr>
        <w:spacing w:line="360" w:lineRule="auto"/>
        <w:rPr>
          <w:rFonts w:ascii="Arial" w:hAnsi="Arial" w:cs="Arial"/>
          <w:sz w:val="28"/>
        </w:rPr>
      </w:pPr>
      <w:r>
        <w:rPr>
          <w:rFonts w:ascii="Arial" w:hAnsi="Arial" w:cs="Arial"/>
          <w:sz w:val="28"/>
        </w:rPr>
        <w:t xml:space="preserve">    </w:t>
      </w:r>
      <w:r>
        <w:rPr>
          <w:rFonts w:ascii="Arial" w:hAnsi="Arial" w:cs="Arial"/>
          <w:sz w:val="28"/>
        </w:rPr>
        <w:t>资信等级：</w:t>
      </w:r>
      <w:r>
        <w:rPr>
          <w:rFonts w:ascii="Arial" w:hAnsi="Arial" w:cs="Arial"/>
          <w:sz w:val="28"/>
        </w:rPr>
        <w:t>A</w:t>
      </w:r>
      <w:r>
        <w:rPr>
          <w:rFonts w:ascii="Arial" w:hAnsi="Arial" w:cs="Arial"/>
          <w:sz w:val="28"/>
        </w:rPr>
        <w:t>级</w:t>
      </w:r>
    </w:p>
    <w:p w14:paraId="0D3FA559" w14:textId="77777777" w:rsidR="00000000" w:rsidRDefault="00000000">
      <w:pPr>
        <w:spacing w:line="360" w:lineRule="auto"/>
        <w:rPr>
          <w:rFonts w:ascii="Arial" w:hAnsi="Arial" w:cs="Arial"/>
          <w:sz w:val="28"/>
        </w:rPr>
      </w:pPr>
      <w:r>
        <w:rPr>
          <w:rFonts w:ascii="Arial" w:hAnsi="Arial" w:cs="Arial"/>
          <w:sz w:val="28"/>
        </w:rPr>
        <w:t xml:space="preserve">    </w:t>
      </w:r>
      <w:r>
        <w:rPr>
          <w:rFonts w:ascii="Arial" w:hAnsi="Arial" w:cs="Arial"/>
          <w:sz w:val="28"/>
        </w:rPr>
        <w:t>备案编号：</w:t>
      </w:r>
      <w:r>
        <w:rPr>
          <w:rFonts w:ascii="Arial" w:hAnsi="Arial" w:cs="Arial"/>
          <w:sz w:val="28"/>
        </w:rPr>
        <w:t>2020110057</w:t>
      </w:r>
    </w:p>
    <w:p w14:paraId="5DB70DEA" w14:textId="77777777" w:rsidR="00000000" w:rsidRDefault="00000000">
      <w:pPr>
        <w:spacing w:line="360" w:lineRule="auto"/>
        <w:rPr>
          <w:rFonts w:ascii="Arial" w:hAnsi="Arial" w:cs="Arial"/>
          <w:sz w:val="28"/>
        </w:rPr>
      </w:pPr>
      <w:r>
        <w:rPr>
          <w:rFonts w:ascii="Arial" w:hAnsi="Arial" w:cs="Arial"/>
          <w:sz w:val="28"/>
        </w:rPr>
        <w:t xml:space="preserve">    </w:t>
      </w:r>
      <w:r>
        <w:rPr>
          <w:rFonts w:ascii="Arial" w:hAnsi="Arial" w:cs="Arial"/>
          <w:sz w:val="28"/>
        </w:rPr>
        <w:t>法人代表：齐</w:t>
      </w:r>
      <w:r>
        <w:rPr>
          <w:rFonts w:ascii="Arial" w:hAnsi="Arial" w:cs="Arial"/>
          <w:sz w:val="28"/>
        </w:rPr>
        <w:t xml:space="preserve">  </w:t>
      </w:r>
      <w:r>
        <w:rPr>
          <w:rFonts w:ascii="Arial" w:hAnsi="Arial" w:cs="Arial"/>
          <w:sz w:val="28"/>
        </w:rPr>
        <w:t>宏</w:t>
      </w:r>
    </w:p>
    <w:p w14:paraId="529DA7E4" w14:textId="77777777" w:rsidR="00000000" w:rsidRDefault="00000000">
      <w:pPr>
        <w:spacing w:line="360" w:lineRule="auto"/>
        <w:rPr>
          <w:rFonts w:ascii="Arial" w:hAnsi="Arial" w:cs="Arial"/>
          <w:sz w:val="28"/>
        </w:rPr>
      </w:pPr>
      <w:r>
        <w:rPr>
          <w:rFonts w:ascii="Arial" w:hAnsi="Arial" w:cs="Arial"/>
          <w:sz w:val="28"/>
        </w:rPr>
        <w:t xml:space="preserve">    </w:t>
      </w:r>
      <w:r>
        <w:rPr>
          <w:rFonts w:ascii="Arial" w:hAnsi="Arial" w:cs="Arial"/>
          <w:spacing w:val="38"/>
          <w:sz w:val="28"/>
        </w:rPr>
        <w:t>联系人：</w:t>
      </w:r>
      <w:r>
        <w:rPr>
          <w:rFonts w:ascii="Arial" w:hAnsi="Arial" w:cs="Arial"/>
          <w:sz w:val="28"/>
        </w:rPr>
        <w:t>常</w:t>
      </w:r>
      <w:r>
        <w:rPr>
          <w:rFonts w:ascii="Arial" w:hAnsi="Arial" w:cs="Arial" w:hint="eastAsia"/>
          <w:sz w:val="28"/>
        </w:rPr>
        <w:t xml:space="preserve">  </w:t>
      </w:r>
      <w:r>
        <w:rPr>
          <w:rFonts w:ascii="Arial" w:hAnsi="Arial" w:cs="Arial"/>
          <w:sz w:val="28"/>
        </w:rPr>
        <w:t>畅</w:t>
      </w:r>
    </w:p>
    <w:p w14:paraId="053EC686" w14:textId="77777777" w:rsidR="00000000" w:rsidRDefault="00000000">
      <w:pPr>
        <w:spacing w:line="360" w:lineRule="auto"/>
        <w:ind w:firstLine="600"/>
        <w:jc w:val="both"/>
        <w:rPr>
          <w:rFonts w:ascii="Arial" w:hAnsi="Arial" w:cs="Arial"/>
          <w:sz w:val="28"/>
        </w:rPr>
      </w:pPr>
      <w:r>
        <w:rPr>
          <w:rFonts w:ascii="Arial" w:hAnsi="Arial" w:cs="Arial"/>
          <w:sz w:val="28"/>
        </w:rPr>
        <w:t>联系电话：</w:t>
      </w:r>
      <w:r>
        <w:rPr>
          <w:rFonts w:ascii="Arial" w:hAnsi="Arial" w:cs="Arial"/>
          <w:sz w:val="28"/>
        </w:rPr>
        <w:t>010-82253558-237</w:t>
      </w:r>
    </w:p>
    <w:p w14:paraId="5452BD59" w14:textId="77777777" w:rsidR="00000000" w:rsidRDefault="00000000">
      <w:pPr>
        <w:spacing w:line="360" w:lineRule="auto"/>
        <w:ind w:firstLine="600"/>
        <w:jc w:val="both"/>
        <w:rPr>
          <w:rFonts w:ascii="Arial" w:hAnsi="Arial" w:cs="Arial"/>
          <w:sz w:val="28"/>
        </w:rPr>
      </w:pPr>
    </w:p>
    <w:p w14:paraId="0536E1CB" w14:textId="77777777" w:rsidR="00000000" w:rsidRDefault="00000000">
      <w:pPr>
        <w:spacing w:line="360" w:lineRule="auto"/>
        <w:outlineLvl w:val="1"/>
        <w:rPr>
          <w:rFonts w:ascii="Arial" w:hAnsi="Arial" w:cs="Arial"/>
          <w:b/>
          <w:sz w:val="28"/>
        </w:rPr>
      </w:pPr>
      <w:bookmarkStart w:id="214" w:name="_Toc97732873"/>
      <w:bookmarkStart w:id="215" w:name="_Toc416783549"/>
      <w:bookmarkStart w:id="216" w:name="_Toc27192"/>
      <w:bookmarkStart w:id="217" w:name="_Toc469066153"/>
      <w:bookmarkStart w:id="218" w:name="_Toc97732755"/>
      <w:bookmarkStart w:id="219" w:name="_Toc416783645"/>
      <w:bookmarkStart w:id="220" w:name="_Toc24527"/>
      <w:r>
        <w:rPr>
          <w:rFonts w:ascii="Arial" w:hAnsi="Arial" w:cs="Arial"/>
          <w:b/>
          <w:sz w:val="28"/>
        </w:rPr>
        <w:t>四、咨询目的</w:t>
      </w:r>
      <w:bookmarkEnd w:id="214"/>
      <w:bookmarkEnd w:id="215"/>
      <w:bookmarkEnd w:id="216"/>
      <w:bookmarkEnd w:id="217"/>
      <w:bookmarkEnd w:id="218"/>
      <w:bookmarkEnd w:id="219"/>
      <w:bookmarkEnd w:id="220"/>
    </w:p>
    <w:p w14:paraId="2580CFC9" w14:textId="77777777" w:rsidR="00000000" w:rsidRDefault="00000000">
      <w:pPr>
        <w:spacing w:line="360" w:lineRule="auto"/>
        <w:ind w:firstLineChars="199" w:firstLine="557"/>
        <w:rPr>
          <w:rFonts w:ascii="Arial" w:hAnsi="Arial" w:cs="Arial"/>
          <w:sz w:val="28"/>
        </w:rPr>
      </w:pPr>
      <w:r>
        <w:rPr>
          <w:rFonts w:ascii="Arial" w:hAnsi="Arial" w:cs="Arial" w:hint="eastAsia"/>
          <w:sz w:val="28"/>
        </w:rPr>
        <w:t>百泉庄</w:t>
      </w:r>
      <w:r>
        <w:rPr>
          <w:rFonts w:ascii="Arial" w:hAnsi="Arial" w:cs="Arial"/>
          <w:sz w:val="28"/>
        </w:rPr>
        <w:t>村经济</w:t>
      </w:r>
      <w:r>
        <w:rPr>
          <w:rFonts w:ascii="Arial" w:hAnsi="Arial" w:cs="Arial" w:hint="eastAsia"/>
          <w:sz w:val="28"/>
        </w:rPr>
        <w:t>组织</w:t>
      </w:r>
      <w:r>
        <w:rPr>
          <w:rFonts w:ascii="Arial" w:hAnsi="Arial" w:cs="Arial"/>
          <w:sz w:val="28"/>
        </w:rPr>
        <w:t>拟使用咨询对象集体土地作价入股，本次评估是为委托方了解咨询对象作价入股价格提供参考依据。</w:t>
      </w:r>
    </w:p>
    <w:p w14:paraId="59B01DD9" w14:textId="77777777" w:rsidR="00000000" w:rsidRDefault="00000000">
      <w:pPr>
        <w:spacing w:line="360" w:lineRule="auto"/>
        <w:jc w:val="both"/>
        <w:rPr>
          <w:rFonts w:ascii="Arial" w:hAnsi="Arial" w:cs="Arial"/>
          <w:sz w:val="28"/>
        </w:rPr>
      </w:pPr>
    </w:p>
    <w:p w14:paraId="5475E0C7" w14:textId="77777777" w:rsidR="00000000" w:rsidRDefault="00000000">
      <w:pPr>
        <w:spacing w:line="360" w:lineRule="auto"/>
        <w:outlineLvl w:val="1"/>
        <w:rPr>
          <w:rFonts w:ascii="Arial" w:hAnsi="Arial" w:cs="Arial"/>
          <w:b/>
          <w:sz w:val="28"/>
        </w:rPr>
      </w:pPr>
      <w:bookmarkStart w:id="221" w:name="_Toc416783553"/>
      <w:bookmarkStart w:id="222" w:name="_Toc97732756"/>
      <w:bookmarkStart w:id="223" w:name="_Toc469066154"/>
      <w:bookmarkStart w:id="224" w:name="_Toc25802"/>
      <w:bookmarkStart w:id="225" w:name="_Toc416783649"/>
      <w:bookmarkStart w:id="226" w:name="_Toc97732874"/>
      <w:bookmarkStart w:id="227" w:name="_Toc13024"/>
      <w:r>
        <w:rPr>
          <w:rFonts w:ascii="Arial" w:hAnsi="Arial" w:cs="Arial"/>
          <w:b/>
          <w:sz w:val="28"/>
        </w:rPr>
        <w:lastRenderedPageBreak/>
        <w:t>五、估价依据</w:t>
      </w:r>
      <w:bookmarkEnd w:id="221"/>
      <w:bookmarkEnd w:id="222"/>
      <w:bookmarkEnd w:id="223"/>
      <w:bookmarkEnd w:id="224"/>
      <w:bookmarkEnd w:id="225"/>
      <w:bookmarkEnd w:id="226"/>
      <w:bookmarkEnd w:id="227"/>
    </w:p>
    <w:p w14:paraId="493D0F0E" w14:textId="77777777" w:rsidR="00000000" w:rsidRDefault="00000000">
      <w:pPr>
        <w:spacing w:line="360" w:lineRule="auto"/>
        <w:jc w:val="both"/>
        <w:rPr>
          <w:rFonts w:ascii="Arial" w:hAnsi="Arial" w:cs="Arial"/>
          <w:sz w:val="28"/>
        </w:rPr>
      </w:pPr>
      <w:r>
        <w:rPr>
          <w:rFonts w:ascii="Arial" w:hAnsi="Arial" w:cs="Arial"/>
          <w:sz w:val="28"/>
        </w:rPr>
        <w:t>（一）有关的法律、法规、行政规章及咨询对象所在省市的有关法律法规和政策</w:t>
      </w:r>
    </w:p>
    <w:p w14:paraId="467760FB" w14:textId="77777777" w:rsidR="00000000" w:rsidRDefault="00000000">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《中华人民共和国土地管理法》（</w:t>
      </w:r>
      <w:r>
        <w:rPr>
          <w:rFonts w:ascii="Arial" w:hAnsi="Arial" w:cs="Arial"/>
          <w:sz w:val="28"/>
        </w:rPr>
        <w:t>1986</w:t>
      </w:r>
      <w:r>
        <w:rPr>
          <w:rFonts w:ascii="Arial" w:hAnsi="Arial" w:cs="Arial"/>
          <w:sz w:val="28"/>
        </w:rPr>
        <w:t>年</w:t>
      </w:r>
      <w:r>
        <w:rPr>
          <w:rFonts w:ascii="Arial" w:hAnsi="Arial" w:cs="Arial"/>
          <w:sz w:val="28"/>
        </w:rPr>
        <w:t>6</w:t>
      </w:r>
      <w:r>
        <w:rPr>
          <w:rFonts w:ascii="Arial" w:hAnsi="Arial" w:cs="Arial"/>
          <w:sz w:val="28"/>
        </w:rPr>
        <w:t>月</w:t>
      </w:r>
      <w:r>
        <w:rPr>
          <w:rFonts w:ascii="Arial" w:hAnsi="Arial" w:cs="Arial"/>
          <w:sz w:val="28"/>
        </w:rPr>
        <w:t>25</w:t>
      </w:r>
      <w:r>
        <w:rPr>
          <w:rFonts w:ascii="Arial" w:hAnsi="Arial" w:cs="Arial"/>
          <w:sz w:val="28"/>
        </w:rPr>
        <w:t>日第六届全国人民代表大会常务委员会第十六次会议通过，中华人民共和国主席令第</w:t>
      </w:r>
      <w:r>
        <w:rPr>
          <w:rFonts w:ascii="Arial" w:hAnsi="Arial" w:cs="Arial"/>
          <w:sz w:val="28"/>
        </w:rPr>
        <w:t>41</w:t>
      </w:r>
      <w:r>
        <w:rPr>
          <w:rFonts w:ascii="Arial" w:hAnsi="Arial" w:cs="Arial"/>
          <w:sz w:val="28"/>
        </w:rPr>
        <w:t>号公布，</w:t>
      </w:r>
      <w:r>
        <w:rPr>
          <w:rFonts w:ascii="Arial" w:hAnsi="Arial" w:cs="Arial"/>
          <w:sz w:val="28"/>
        </w:rPr>
        <w:t>1987</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1988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日第七届全国人民代表大会常务委员会第五次会议第一次修正通过，自</w:t>
      </w:r>
      <w:r>
        <w:rPr>
          <w:rFonts w:ascii="Arial" w:hAnsi="Arial" w:cs="Arial"/>
          <w:sz w:val="28"/>
        </w:rPr>
        <w:t>1988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日起施行；</w:t>
      </w:r>
      <w:r>
        <w:rPr>
          <w:rFonts w:ascii="Arial" w:hAnsi="Arial" w:cs="Arial"/>
          <w:sz w:val="28"/>
        </w:rPr>
        <w:t>1998</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29</w:t>
      </w:r>
      <w:r>
        <w:rPr>
          <w:rFonts w:ascii="Arial" w:hAnsi="Arial" w:cs="Arial"/>
          <w:sz w:val="28"/>
        </w:rPr>
        <w:t>日第九届全国人民代表大会常务委员会第四次会议修订通过，中华人民共和国主席令第</w:t>
      </w:r>
      <w:r>
        <w:rPr>
          <w:rFonts w:ascii="Arial" w:hAnsi="Arial" w:cs="Arial"/>
          <w:sz w:val="28"/>
        </w:rPr>
        <w:t>8</w:t>
      </w:r>
      <w:r>
        <w:rPr>
          <w:rFonts w:ascii="Arial" w:hAnsi="Arial" w:cs="Arial"/>
          <w:sz w:val="28"/>
        </w:rPr>
        <w:t>号公布，自</w:t>
      </w:r>
      <w:r>
        <w:rPr>
          <w:rFonts w:ascii="Arial" w:hAnsi="Arial" w:cs="Arial"/>
          <w:sz w:val="28"/>
        </w:rPr>
        <w:t>1999</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2004</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28</w:t>
      </w:r>
      <w:r>
        <w:rPr>
          <w:rFonts w:ascii="Arial" w:hAnsi="Arial" w:cs="Arial"/>
          <w:sz w:val="28"/>
        </w:rPr>
        <w:t>日第十届全国人民代表大会常务委员会第十一次会议第二次修正通过，中华人民共和国主席令第</w:t>
      </w:r>
      <w:r>
        <w:rPr>
          <w:rFonts w:ascii="Arial" w:hAnsi="Arial" w:cs="Arial"/>
          <w:sz w:val="28"/>
        </w:rPr>
        <w:t>28</w:t>
      </w:r>
      <w:r>
        <w:rPr>
          <w:rFonts w:ascii="Arial" w:hAnsi="Arial" w:cs="Arial"/>
          <w:sz w:val="28"/>
        </w:rPr>
        <w:t>号公布，自公布起日起施行；</w:t>
      </w:r>
      <w:r>
        <w:rPr>
          <w:rFonts w:ascii="Arial" w:hAnsi="Arial" w:cs="Arial"/>
          <w:sz w:val="28"/>
        </w:rPr>
        <w:t>2019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26</w:t>
      </w:r>
      <w:r>
        <w:rPr>
          <w:rFonts w:ascii="Arial" w:hAnsi="Arial" w:cs="Arial"/>
          <w:sz w:val="28"/>
        </w:rPr>
        <w:t>日第十三届全国人民代表大会常务委员会第十二次会议第三次修正通过，自</w:t>
      </w:r>
      <w:r>
        <w:rPr>
          <w:rFonts w:ascii="Arial" w:hAnsi="Arial" w:cs="Arial"/>
          <w:sz w:val="28"/>
        </w:rPr>
        <w:t>2020</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14:paraId="6CD04F4D" w14:textId="77777777" w:rsidR="00000000" w:rsidRDefault="00000000">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《中华人民共和国城市房地产管理法》（</w:t>
      </w:r>
      <w:r>
        <w:rPr>
          <w:rFonts w:ascii="Arial" w:hAnsi="Arial" w:cs="Arial"/>
          <w:sz w:val="28"/>
        </w:rPr>
        <w:t>1994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5</w:t>
      </w:r>
      <w:r>
        <w:rPr>
          <w:rFonts w:ascii="Arial" w:hAnsi="Arial" w:cs="Arial"/>
          <w:sz w:val="28"/>
        </w:rPr>
        <w:t>日第八届全国人民代表大会常务委员会第八次会议通过，中华人民共和国主席令第</w:t>
      </w:r>
      <w:r>
        <w:rPr>
          <w:rFonts w:ascii="Arial" w:hAnsi="Arial" w:cs="Arial"/>
          <w:sz w:val="28"/>
        </w:rPr>
        <w:t>29</w:t>
      </w:r>
      <w:r>
        <w:rPr>
          <w:rFonts w:ascii="Arial" w:hAnsi="Arial" w:cs="Arial"/>
          <w:sz w:val="28"/>
        </w:rPr>
        <w:t>号公布，自</w:t>
      </w:r>
      <w:r>
        <w:rPr>
          <w:rFonts w:ascii="Arial" w:hAnsi="Arial" w:cs="Arial"/>
          <w:sz w:val="28"/>
        </w:rPr>
        <w:t>1995</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2007</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30</w:t>
      </w:r>
      <w:r>
        <w:rPr>
          <w:rFonts w:ascii="Arial" w:hAnsi="Arial" w:cs="Arial"/>
          <w:sz w:val="28"/>
        </w:rPr>
        <w:t>日第十届全国人民代表大会常务委员会第二十九次会议通过第一次修正通过，中华人民共和国主席令第</w:t>
      </w:r>
      <w:r>
        <w:rPr>
          <w:rFonts w:ascii="Arial" w:hAnsi="Arial" w:cs="Arial"/>
          <w:sz w:val="28"/>
        </w:rPr>
        <w:t>72</w:t>
      </w:r>
      <w:r>
        <w:rPr>
          <w:rFonts w:ascii="Arial" w:hAnsi="Arial" w:cs="Arial"/>
          <w:sz w:val="28"/>
        </w:rPr>
        <w:t>号公布，自公布之日起施行；</w:t>
      </w:r>
      <w:r>
        <w:rPr>
          <w:rFonts w:ascii="Arial" w:hAnsi="Arial" w:cs="Arial"/>
          <w:sz w:val="28"/>
        </w:rPr>
        <w:t>2009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27</w:t>
      </w:r>
      <w:r>
        <w:rPr>
          <w:rFonts w:ascii="Arial" w:hAnsi="Arial" w:cs="Arial"/>
          <w:sz w:val="28"/>
        </w:rPr>
        <w:t>日第十一届全国人民代表大会常务委员会第十次会议第二次修正通过，中华人民共和国主席令第</w:t>
      </w:r>
      <w:r>
        <w:rPr>
          <w:rFonts w:ascii="Arial" w:hAnsi="Arial" w:cs="Arial"/>
          <w:sz w:val="28"/>
        </w:rPr>
        <w:t>18</w:t>
      </w:r>
      <w:r>
        <w:rPr>
          <w:rFonts w:ascii="Arial" w:hAnsi="Arial" w:cs="Arial"/>
          <w:sz w:val="28"/>
        </w:rPr>
        <w:t>号公布，自公布之日起施行；</w:t>
      </w:r>
      <w:r>
        <w:rPr>
          <w:rFonts w:ascii="Arial" w:hAnsi="Arial" w:cs="Arial"/>
          <w:sz w:val="28"/>
        </w:rPr>
        <w:t>2019</w:t>
      </w:r>
      <w:r>
        <w:rPr>
          <w:rFonts w:ascii="Arial" w:hAnsi="Arial" w:cs="Arial"/>
          <w:sz w:val="28"/>
        </w:rPr>
        <w:t>年</w:t>
      </w:r>
      <w:r>
        <w:rPr>
          <w:rFonts w:ascii="Arial" w:hAnsi="Arial" w:cs="Arial"/>
          <w:sz w:val="28"/>
        </w:rPr>
        <w:t>8</w:t>
      </w:r>
      <w:r>
        <w:rPr>
          <w:rFonts w:ascii="Arial" w:hAnsi="Arial" w:cs="Arial"/>
          <w:sz w:val="28"/>
        </w:rPr>
        <w:t>月</w:t>
      </w:r>
      <w:r>
        <w:rPr>
          <w:rFonts w:ascii="Arial" w:hAnsi="Arial" w:cs="Arial"/>
          <w:sz w:val="28"/>
        </w:rPr>
        <w:t>26</w:t>
      </w:r>
      <w:r>
        <w:rPr>
          <w:rFonts w:ascii="Arial" w:hAnsi="Arial" w:cs="Arial"/>
          <w:sz w:val="28"/>
        </w:rPr>
        <w:t>日第十三届全国人大常委会第十二次会议通过第三次修正，自</w:t>
      </w:r>
      <w:r>
        <w:rPr>
          <w:rFonts w:ascii="Arial" w:hAnsi="Arial" w:cs="Arial"/>
          <w:sz w:val="28"/>
        </w:rPr>
        <w:t>2020</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14:paraId="0E7F402D" w14:textId="77777777" w:rsidR="00000000" w:rsidRDefault="00000000">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《中华人民共和国城乡规划法》（</w:t>
      </w:r>
      <w:r>
        <w:rPr>
          <w:rFonts w:ascii="Arial" w:hAnsi="Arial" w:cs="Arial"/>
          <w:sz w:val="28"/>
        </w:rPr>
        <w:t xml:space="preserve">2007 </w:t>
      </w:r>
      <w:r>
        <w:rPr>
          <w:rFonts w:ascii="Arial" w:hAnsi="Arial" w:cs="Arial"/>
          <w:sz w:val="28"/>
        </w:rPr>
        <w:t>年</w:t>
      </w:r>
      <w:r>
        <w:rPr>
          <w:rFonts w:ascii="Arial" w:hAnsi="Arial" w:cs="Arial"/>
          <w:sz w:val="28"/>
        </w:rPr>
        <w:t xml:space="preserve"> 10 </w:t>
      </w:r>
      <w:r>
        <w:rPr>
          <w:rFonts w:ascii="Arial" w:hAnsi="Arial" w:cs="Arial"/>
          <w:sz w:val="28"/>
        </w:rPr>
        <w:t>月</w:t>
      </w:r>
      <w:r>
        <w:rPr>
          <w:rFonts w:ascii="Arial" w:hAnsi="Arial" w:cs="Arial"/>
          <w:sz w:val="28"/>
        </w:rPr>
        <w:t xml:space="preserve"> 28 </w:t>
      </w:r>
      <w:r>
        <w:rPr>
          <w:rFonts w:ascii="Arial" w:hAnsi="Arial" w:cs="Arial"/>
          <w:sz w:val="28"/>
        </w:rPr>
        <w:t>日第十届全国人民代表大会常务委员会第三十次会议通过，中华人民共和国主席令第</w:t>
      </w:r>
      <w:r>
        <w:rPr>
          <w:rFonts w:ascii="Arial" w:hAnsi="Arial" w:cs="Arial"/>
          <w:sz w:val="28"/>
        </w:rPr>
        <w:t>74</w:t>
      </w:r>
      <w:r>
        <w:rPr>
          <w:rFonts w:ascii="Arial" w:hAnsi="Arial" w:cs="Arial"/>
          <w:sz w:val="28"/>
        </w:rPr>
        <w:t>号，自公布之日起施行；根据</w:t>
      </w:r>
      <w:r>
        <w:rPr>
          <w:rFonts w:ascii="Arial" w:hAnsi="Arial" w:cs="Arial"/>
          <w:sz w:val="28"/>
        </w:rPr>
        <w:t xml:space="preserve"> 2015 </w:t>
      </w:r>
      <w:r>
        <w:rPr>
          <w:rFonts w:ascii="Arial" w:hAnsi="Arial" w:cs="Arial"/>
          <w:sz w:val="28"/>
        </w:rPr>
        <w:t>年</w:t>
      </w:r>
      <w:r>
        <w:rPr>
          <w:rFonts w:ascii="Arial" w:hAnsi="Arial" w:cs="Arial"/>
          <w:sz w:val="28"/>
        </w:rPr>
        <w:t xml:space="preserve"> 4 </w:t>
      </w:r>
      <w:r>
        <w:rPr>
          <w:rFonts w:ascii="Arial" w:hAnsi="Arial" w:cs="Arial"/>
          <w:sz w:val="28"/>
        </w:rPr>
        <w:t>月</w:t>
      </w:r>
      <w:r>
        <w:rPr>
          <w:rFonts w:ascii="Arial" w:hAnsi="Arial" w:cs="Arial"/>
          <w:sz w:val="28"/>
        </w:rPr>
        <w:t xml:space="preserve"> 24 </w:t>
      </w:r>
      <w:r>
        <w:rPr>
          <w:rFonts w:ascii="Arial" w:hAnsi="Arial" w:cs="Arial"/>
          <w:sz w:val="28"/>
        </w:rPr>
        <w:t>日第十二届全国人民代表大会常务委员会第十四次会议通过第一次修正，中华人民共和国主席令第</w:t>
      </w:r>
      <w:r>
        <w:rPr>
          <w:rFonts w:ascii="Arial" w:hAnsi="Arial" w:cs="Arial"/>
          <w:sz w:val="28"/>
        </w:rPr>
        <w:lastRenderedPageBreak/>
        <w:t>23</w:t>
      </w:r>
      <w:r>
        <w:rPr>
          <w:rFonts w:ascii="Arial" w:hAnsi="Arial" w:cs="Arial"/>
          <w:sz w:val="28"/>
        </w:rPr>
        <w:t>号公布，自公布之日起施行；根据</w:t>
      </w:r>
      <w:r>
        <w:rPr>
          <w:rFonts w:ascii="Arial" w:hAnsi="Arial" w:cs="Arial"/>
          <w:sz w:val="28"/>
        </w:rPr>
        <w:t>2019</w:t>
      </w:r>
      <w:r>
        <w:rPr>
          <w:rFonts w:ascii="Arial" w:hAnsi="Arial" w:cs="Arial"/>
          <w:sz w:val="28"/>
        </w:rPr>
        <w:t>年</w:t>
      </w:r>
      <w:r>
        <w:rPr>
          <w:rFonts w:ascii="Arial" w:hAnsi="Arial" w:cs="Arial"/>
          <w:sz w:val="28"/>
        </w:rPr>
        <w:t>4</w:t>
      </w:r>
      <w:r>
        <w:rPr>
          <w:rFonts w:ascii="Arial" w:hAnsi="Arial" w:cs="Arial"/>
          <w:sz w:val="28"/>
        </w:rPr>
        <w:t>月</w:t>
      </w:r>
      <w:r>
        <w:rPr>
          <w:rFonts w:ascii="Arial" w:hAnsi="Arial" w:cs="Arial"/>
          <w:sz w:val="28"/>
        </w:rPr>
        <w:t>23</w:t>
      </w:r>
      <w:r>
        <w:rPr>
          <w:rFonts w:ascii="Arial" w:hAnsi="Arial" w:cs="Arial"/>
          <w:sz w:val="28"/>
        </w:rPr>
        <w:t>日第十三届全国人民代表大会常务委员会第十次会议通过第二次修正，自公布之日起施行）</w:t>
      </w:r>
    </w:p>
    <w:p w14:paraId="42CDB3EC" w14:textId="77777777" w:rsidR="00000000" w:rsidRDefault="00000000">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《中华人民共和国资产评估法》（</w:t>
      </w:r>
      <w:r>
        <w:rPr>
          <w:rFonts w:ascii="Arial" w:hAnsi="Arial" w:cs="Arial"/>
          <w:sz w:val="28"/>
        </w:rPr>
        <w:t>2016</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w:t>
      </w:r>
      <w:r>
        <w:rPr>
          <w:rFonts w:ascii="Arial" w:hAnsi="Arial" w:cs="Arial"/>
          <w:sz w:val="28"/>
        </w:rPr>
        <w:t>日第十二届全国人民代表大会常务委员会第二十一次会议通过，</w:t>
      </w:r>
      <w:r>
        <w:rPr>
          <w:rFonts w:ascii="Arial" w:hAnsi="Arial" w:cs="Arial"/>
          <w:sz w:val="28"/>
        </w:rPr>
        <w:t>2016</w:t>
      </w:r>
      <w:r>
        <w:rPr>
          <w:rFonts w:ascii="Arial" w:hAnsi="Arial" w:cs="Arial"/>
          <w:sz w:val="28"/>
        </w:rPr>
        <w:t>年</w:t>
      </w:r>
      <w:r>
        <w:rPr>
          <w:rFonts w:ascii="Arial" w:hAnsi="Arial" w:cs="Arial"/>
          <w:sz w:val="28"/>
        </w:rPr>
        <w:t>3</w:t>
      </w:r>
      <w:r>
        <w:rPr>
          <w:rFonts w:ascii="Arial" w:hAnsi="Arial" w:cs="Arial"/>
          <w:sz w:val="28"/>
        </w:rPr>
        <w:t>月</w:t>
      </w:r>
      <w:r>
        <w:rPr>
          <w:rFonts w:ascii="Arial" w:hAnsi="Arial" w:cs="Arial"/>
          <w:sz w:val="28"/>
        </w:rPr>
        <w:t>16</w:t>
      </w:r>
      <w:r>
        <w:rPr>
          <w:rFonts w:ascii="Arial" w:hAnsi="Arial" w:cs="Arial"/>
          <w:sz w:val="28"/>
        </w:rPr>
        <w:t>日中华人民共和国主席令第</w:t>
      </w:r>
      <w:r>
        <w:rPr>
          <w:rFonts w:ascii="Arial" w:hAnsi="Arial" w:cs="Arial"/>
          <w:sz w:val="28"/>
        </w:rPr>
        <w:t>46</w:t>
      </w:r>
      <w:r>
        <w:rPr>
          <w:rFonts w:ascii="Arial" w:hAnsi="Arial" w:cs="Arial"/>
          <w:sz w:val="28"/>
        </w:rPr>
        <w:t>号公布，自</w:t>
      </w:r>
      <w:r>
        <w:rPr>
          <w:rFonts w:ascii="Arial" w:hAnsi="Arial" w:cs="Arial"/>
          <w:sz w:val="28"/>
        </w:rPr>
        <w:t>2016</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1</w:t>
      </w:r>
      <w:r>
        <w:rPr>
          <w:rFonts w:ascii="Arial" w:hAnsi="Arial" w:cs="Arial"/>
          <w:sz w:val="28"/>
        </w:rPr>
        <w:t>日起施行）</w:t>
      </w:r>
    </w:p>
    <w:p w14:paraId="687C39B3" w14:textId="77777777" w:rsidR="00000000" w:rsidRDefault="00000000">
      <w:pPr>
        <w:spacing w:line="360" w:lineRule="auto"/>
        <w:ind w:firstLineChars="200" w:firstLine="560"/>
        <w:jc w:val="both"/>
        <w:rPr>
          <w:rFonts w:ascii="Arial" w:hAnsi="Arial" w:cs="Arial"/>
          <w:sz w:val="28"/>
        </w:rPr>
      </w:pPr>
      <w:r>
        <w:rPr>
          <w:rFonts w:ascii="Arial" w:hAnsi="Arial" w:cs="Arial"/>
          <w:sz w:val="28"/>
        </w:rPr>
        <w:t>5.</w:t>
      </w:r>
      <w:r>
        <w:rPr>
          <w:rFonts w:ascii="Arial" w:hAnsi="Arial" w:cs="Arial"/>
          <w:sz w:val="28"/>
        </w:rPr>
        <w:t>《中华人民共和国民法典》（</w:t>
      </w:r>
      <w:r>
        <w:rPr>
          <w:rFonts w:ascii="Arial" w:hAnsi="Arial" w:cs="Arial"/>
          <w:sz w:val="28"/>
        </w:rPr>
        <w:t>2020</w:t>
      </w:r>
      <w:r>
        <w:rPr>
          <w:rFonts w:ascii="Arial" w:hAnsi="Arial" w:cs="Arial"/>
          <w:sz w:val="28"/>
        </w:rPr>
        <w:t>年</w:t>
      </w:r>
      <w:r>
        <w:rPr>
          <w:rFonts w:ascii="Arial" w:hAnsi="Arial" w:cs="Arial"/>
          <w:sz w:val="28"/>
        </w:rPr>
        <w:t>5</w:t>
      </w:r>
      <w:r>
        <w:rPr>
          <w:rFonts w:ascii="Arial" w:hAnsi="Arial" w:cs="Arial"/>
          <w:sz w:val="28"/>
        </w:rPr>
        <w:t>月</w:t>
      </w:r>
      <w:r>
        <w:rPr>
          <w:rFonts w:ascii="Arial" w:hAnsi="Arial" w:cs="Arial"/>
          <w:sz w:val="28"/>
        </w:rPr>
        <w:t>28</w:t>
      </w:r>
      <w:r>
        <w:rPr>
          <w:rFonts w:ascii="Arial" w:hAnsi="Arial" w:cs="Arial"/>
          <w:sz w:val="28"/>
        </w:rPr>
        <w:t>日第十三届全国人大三次会议表决通过，自</w:t>
      </w:r>
      <w:r>
        <w:rPr>
          <w:rFonts w:ascii="Arial" w:hAnsi="Arial" w:cs="Arial"/>
          <w:sz w:val="28"/>
        </w:rPr>
        <w:t>2021</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p>
    <w:p w14:paraId="00BE877C" w14:textId="77777777" w:rsidR="00000000" w:rsidRDefault="00000000">
      <w:pPr>
        <w:spacing w:line="360" w:lineRule="auto"/>
        <w:ind w:firstLineChars="200" w:firstLine="560"/>
        <w:jc w:val="both"/>
        <w:rPr>
          <w:rFonts w:ascii="Arial" w:hAnsi="Arial" w:cs="Arial"/>
          <w:sz w:val="28"/>
        </w:rPr>
      </w:pPr>
      <w:r>
        <w:rPr>
          <w:rFonts w:ascii="Arial" w:hAnsi="Arial" w:cs="Arial"/>
          <w:sz w:val="28"/>
        </w:rPr>
        <w:t>6.</w:t>
      </w:r>
      <w:r>
        <w:rPr>
          <w:rFonts w:ascii="Arial" w:hAnsi="Arial" w:cs="Arial"/>
          <w:sz w:val="28"/>
        </w:rPr>
        <w:t>《中华人民共和国城镇国有土地使用权出让和转让暂行条例》（</w:t>
      </w:r>
      <w:r>
        <w:rPr>
          <w:rFonts w:ascii="Arial" w:hAnsi="Arial" w:cs="Arial"/>
          <w:sz w:val="28"/>
        </w:rPr>
        <w:t>1990</w:t>
      </w:r>
      <w:r>
        <w:rPr>
          <w:rFonts w:ascii="Arial" w:hAnsi="Arial" w:cs="Arial"/>
          <w:sz w:val="28"/>
        </w:rPr>
        <w:t>年</w:t>
      </w:r>
      <w:r>
        <w:rPr>
          <w:rFonts w:ascii="Arial" w:hAnsi="Arial" w:cs="Arial"/>
          <w:sz w:val="28"/>
        </w:rPr>
        <w:t>5</w:t>
      </w:r>
      <w:r>
        <w:rPr>
          <w:rFonts w:ascii="Arial" w:hAnsi="Arial" w:cs="Arial"/>
          <w:sz w:val="28"/>
        </w:rPr>
        <w:t>月</w:t>
      </w:r>
      <w:r>
        <w:rPr>
          <w:rFonts w:ascii="Arial" w:hAnsi="Arial" w:cs="Arial"/>
          <w:sz w:val="28"/>
        </w:rPr>
        <w:t>19</w:t>
      </w:r>
      <w:r>
        <w:rPr>
          <w:rFonts w:ascii="Arial" w:hAnsi="Arial" w:cs="Arial"/>
          <w:sz w:val="28"/>
        </w:rPr>
        <w:t>日中华人民共和国国务院令第</w:t>
      </w:r>
      <w:r>
        <w:rPr>
          <w:rFonts w:ascii="Arial" w:hAnsi="Arial" w:cs="Arial"/>
          <w:sz w:val="28"/>
        </w:rPr>
        <w:t>55</w:t>
      </w:r>
      <w:r>
        <w:rPr>
          <w:rFonts w:ascii="Arial" w:hAnsi="Arial" w:cs="Arial"/>
          <w:sz w:val="28"/>
        </w:rPr>
        <w:t>号发布，自发布之日起施行）</w:t>
      </w:r>
    </w:p>
    <w:p w14:paraId="28605267" w14:textId="77777777" w:rsidR="00000000" w:rsidRDefault="00000000">
      <w:pPr>
        <w:spacing w:line="360" w:lineRule="auto"/>
        <w:ind w:firstLineChars="200" w:firstLine="560"/>
        <w:jc w:val="both"/>
        <w:rPr>
          <w:rFonts w:ascii="Arial" w:hAnsi="Arial" w:cs="Arial"/>
          <w:sz w:val="28"/>
        </w:rPr>
      </w:pPr>
      <w:r>
        <w:rPr>
          <w:rFonts w:ascii="Arial" w:hAnsi="Arial" w:cs="Arial"/>
          <w:sz w:val="28"/>
        </w:rPr>
        <w:t>7.</w:t>
      </w:r>
      <w:r>
        <w:rPr>
          <w:rFonts w:ascii="Arial" w:hAnsi="Arial" w:cs="Arial"/>
          <w:sz w:val="28"/>
        </w:rPr>
        <w:t>《中华人民共和国土地管理法实施条例》（</w:t>
      </w:r>
      <w:r>
        <w:rPr>
          <w:rFonts w:ascii="Arial" w:hAnsi="Arial" w:cs="Arial"/>
          <w:sz w:val="28"/>
        </w:rPr>
        <w:t>1998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24</w:t>
      </w:r>
      <w:r>
        <w:rPr>
          <w:rFonts w:ascii="Arial" w:hAnsi="Arial" w:cs="Arial"/>
          <w:sz w:val="28"/>
        </w:rPr>
        <w:t>日国务院第</w:t>
      </w:r>
      <w:r>
        <w:rPr>
          <w:rFonts w:ascii="Arial" w:hAnsi="Arial" w:cs="Arial"/>
          <w:sz w:val="28"/>
        </w:rPr>
        <w:t>12</w:t>
      </w:r>
      <w:r>
        <w:rPr>
          <w:rFonts w:ascii="Arial" w:hAnsi="Arial" w:cs="Arial"/>
          <w:sz w:val="28"/>
        </w:rPr>
        <w:t>次常务会议通过</w:t>
      </w:r>
      <w:r>
        <w:rPr>
          <w:rFonts w:ascii="Arial" w:hAnsi="Arial" w:cs="Arial"/>
          <w:sz w:val="28"/>
        </w:rPr>
        <w:t xml:space="preserve"> </w:t>
      </w:r>
      <w:r>
        <w:rPr>
          <w:rFonts w:ascii="Arial" w:hAnsi="Arial" w:cs="Arial"/>
          <w:sz w:val="28"/>
        </w:rPr>
        <w:t>，</w:t>
      </w:r>
      <w:r>
        <w:rPr>
          <w:rFonts w:ascii="Arial" w:hAnsi="Arial" w:cs="Arial"/>
          <w:sz w:val="28"/>
        </w:rPr>
        <w:t>1998</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27</w:t>
      </w:r>
      <w:r>
        <w:rPr>
          <w:rFonts w:ascii="Arial" w:hAnsi="Arial" w:cs="Arial"/>
          <w:sz w:val="28"/>
        </w:rPr>
        <w:t>日中华人民共和国国务院令第</w:t>
      </w:r>
      <w:r>
        <w:rPr>
          <w:rFonts w:ascii="Arial" w:hAnsi="Arial" w:cs="Arial"/>
          <w:sz w:val="28"/>
        </w:rPr>
        <w:t>256</w:t>
      </w:r>
      <w:r>
        <w:rPr>
          <w:rFonts w:ascii="Arial" w:hAnsi="Arial" w:cs="Arial"/>
          <w:sz w:val="28"/>
        </w:rPr>
        <w:t>号发布，自</w:t>
      </w:r>
      <w:r>
        <w:rPr>
          <w:rFonts w:ascii="Arial" w:hAnsi="Arial" w:cs="Arial"/>
          <w:sz w:val="28"/>
        </w:rPr>
        <w:t>1999</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1</w:t>
      </w:r>
      <w:r>
        <w:rPr>
          <w:rFonts w:ascii="Arial" w:hAnsi="Arial" w:cs="Arial"/>
          <w:sz w:val="28"/>
        </w:rPr>
        <w:t>日起施行；</w:t>
      </w:r>
      <w:r>
        <w:rPr>
          <w:rFonts w:ascii="Arial" w:hAnsi="Arial" w:cs="Arial"/>
          <w:sz w:val="28"/>
        </w:rPr>
        <w:t>2010</w:t>
      </w:r>
      <w:r>
        <w:rPr>
          <w:rFonts w:ascii="Arial" w:hAnsi="Arial" w:cs="Arial"/>
          <w:sz w:val="28"/>
        </w:rPr>
        <w:t>年</w:t>
      </w:r>
      <w:r>
        <w:rPr>
          <w:rFonts w:ascii="Arial" w:hAnsi="Arial" w:cs="Arial"/>
          <w:sz w:val="28"/>
        </w:rPr>
        <w:t>12</w:t>
      </w:r>
      <w:r>
        <w:rPr>
          <w:rFonts w:ascii="Arial" w:hAnsi="Arial" w:cs="Arial"/>
          <w:sz w:val="28"/>
        </w:rPr>
        <w:t>月</w:t>
      </w:r>
      <w:r>
        <w:rPr>
          <w:rFonts w:ascii="Arial" w:hAnsi="Arial" w:cs="Arial"/>
          <w:sz w:val="28"/>
        </w:rPr>
        <w:t>29</w:t>
      </w:r>
      <w:r>
        <w:rPr>
          <w:rFonts w:ascii="Arial" w:hAnsi="Arial" w:cs="Arial"/>
          <w:sz w:val="28"/>
        </w:rPr>
        <w:t>日国务院第</w:t>
      </w:r>
      <w:r>
        <w:rPr>
          <w:rFonts w:ascii="Arial" w:hAnsi="Arial" w:cs="Arial"/>
          <w:sz w:val="28"/>
        </w:rPr>
        <w:t>138</w:t>
      </w:r>
      <w:r>
        <w:rPr>
          <w:rFonts w:ascii="Arial" w:hAnsi="Arial" w:cs="Arial"/>
          <w:sz w:val="28"/>
        </w:rPr>
        <w:t>次常务会议第一次修正通过，</w:t>
      </w:r>
      <w:r>
        <w:rPr>
          <w:rFonts w:ascii="Arial" w:hAnsi="Arial" w:cs="Arial"/>
          <w:sz w:val="28"/>
        </w:rPr>
        <w:t>2011</w:t>
      </w:r>
      <w:r>
        <w:rPr>
          <w:rFonts w:ascii="Arial" w:hAnsi="Arial" w:cs="Arial"/>
          <w:sz w:val="28"/>
        </w:rPr>
        <w:t>年</w:t>
      </w:r>
      <w:r>
        <w:rPr>
          <w:rFonts w:ascii="Arial" w:hAnsi="Arial" w:cs="Arial"/>
          <w:sz w:val="28"/>
        </w:rPr>
        <w:t>1</w:t>
      </w:r>
      <w:r>
        <w:rPr>
          <w:rFonts w:ascii="Arial" w:hAnsi="Arial" w:cs="Arial"/>
          <w:sz w:val="28"/>
        </w:rPr>
        <w:t>月</w:t>
      </w:r>
      <w:r>
        <w:rPr>
          <w:rFonts w:ascii="Arial" w:hAnsi="Arial" w:cs="Arial"/>
          <w:sz w:val="28"/>
        </w:rPr>
        <w:t>8</w:t>
      </w:r>
      <w:r>
        <w:rPr>
          <w:rFonts w:ascii="Arial" w:hAnsi="Arial" w:cs="Arial"/>
          <w:sz w:val="28"/>
        </w:rPr>
        <w:t>日中华人民共和国国务院令第</w:t>
      </w:r>
      <w:r>
        <w:rPr>
          <w:rFonts w:ascii="Arial" w:hAnsi="Arial" w:cs="Arial"/>
          <w:sz w:val="28"/>
        </w:rPr>
        <w:t>588</w:t>
      </w:r>
      <w:r>
        <w:rPr>
          <w:rFonts w:ascii="Arial" w:hAnsi="Arial" w:cs="Arial"/>
          <w:sz w:val="28"/>
        </w:rPr>
        <w:t>号发布，自发布之日起施行；</w:t>
      </w:r>
      <w:r>
        <w:rPr>
          <w:rFonts w:ascii="Arial" w:hAnsi="Arial" w:cs="Arial"/>
          <w:sz w:val="28"/>
        </w:rPr>
        <w:t>2014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9</w:t>
      </w:r>
      <w:r>
        <w:rPr>
          <w:rFonts w:ascii="Arial" w:hAnsi="Arial" w:cs="Arial"/>
          <w:sz w:val="28"/>
        </w:rPr>
        <w:t>日国务院第</w:t>
      </w:r>
      <w:r>
        <w:rPr>
          <w:rFonts w:ascii="Arial" w:hAnsi="Arial" w:cs="Arial"/>
          <w:sz w:val="28"/>
        </w:rPr>
        <w:t>54</w:t>
      </w:r>
      <w:r>
        <w:rPr>
          <w:rFonts w:ascii="Arial" w:hAnsi="Arial" w:cs="Arial"/>
          <w:sz w:val="28"/>
        </w:rPr>
        <w:t>次常务会议第二次修正通过，</w:t>
      </w:r>
      <w:r>
        <w:rPr>
          <w:rFonts w:ascii="Arial" w:hAnsi="Arial" w:cs="Arial"/>
          <w:sz w:val="28"/>
        </w:rPr>
        <w:t>2014</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29</w:t>
      </w:r>
      <w:r>
        <w:rPr>
          <w:rFonts w:ascii="Arial" w:hAnsi="Arial" w:cs="Arial"/>
          <w:sz w:val="28"/>
        </w:rPr>
        <w:t>日中华人民共和国国务院令第</w:t>
      </w:r>
      <w:r>
        <w:rPr>
          <w:rFonts w:ascii="Arial" w:hAnsi="Arial" w:cs="Arial"/>
          <w:sz w:val="28"/>
        </w:rPr>
        <w:t>653</w:t>
      </w:r>
      <w:r>
        <w:rPr>
          <w:rFonts w:ascii="Arial" w:hAnsi="Arial" w:cs="Arial"/>
          <w:sz w:val="28"/>
        </w:rPr>
        <w:t>号公布，自公布之日起施行；</w:t>
      </w:r>
      <w:r>
        <w:rPr>
          <w:rFonts w:ascii="Arial" w:hAnsi="Arial" w:cs="Arial"/>
          <w:sz w:val="28"/>
        </w:rPr>
        <w:t>2021</w:t>
      </w:r>
      <w:r>
        <w:rPr>
          <w:rFonts w:ascii="Arial" w:hAnsi="Arial" w:cs="Arial"/>
          <w:sz w:val="28"/>
        </w:rPr>
        <w:t>年</w:t>
      </w:r>
      <w:r>
        <w:rPr>
          <w:rFonts w:ascii="Arial" w:hAnsi="Arial" w:cs="Arial"/>
          <w:sz w:val="28"/>
        </w:rPr>
        <w:t>4</w:t>
      </w:r>
      <w:r>
        <w:rPr>
          <w:rFonts w:ascii="Arial" w:hAnsi="Arial" w:cs="Arial"/>
          <w:sz w:val="28"/>
        </w:rPr>
        <w:t>月</w:t>
      </w:r>
      <w:r>
        <w:rPr>
          <w:rFonts w:ascii="Arial" w:hAnsi="Arial" w:cs="Arial"/>
          <w:sz w:val="28"/>
        </w:rPr>
        <w:t>21</w:t>
      </w:r>
      <w:r>
        <w:rPr>
          <w:rFonts w:ascii="Arial" w:hAnsi="Arial" w:cs="Arial"/>
          <w:sz w:val="28"/>
        </w:rPr>
        <w:t>日国务院第</w:t>
      </w:r>
      <w:r>
        <w:rPr>
          <w:rFonts w:ascii="Arial" w:hAnsi="Arial" w:cs="Arial"/>
          <w:sz w:val="28"/>
        </w:rPr>
        <w:t>132</w:t>
      </w:r>
      <w:r>
        <w:rPr>
          <w:rFonts w:ascii="Arial" w:hAnsi="Arial" w:cs="Arial"/>
          <w:sz w:val="28"/>
        </w:rPr>
        <w:t>次会议第三次修订通过，</w:t>
      </w:r>
      <w:r>
        <w:rPr>
          <w:rFonts w:ascii="Arial" w:hAnsi="Arial" w:cs="Arial"/>
          <w:sz w:val="28"/>
        </w:rPr>
        <w:t>2021</w:t>
      </w:r>
      <w:r>
        <w:rPr>
          <w:rFonts w:ascii="Arial" w:hAnsi="Arial" w:cs="Arial"/>
          <w:sz w:val="28"/>
        </w:rPr>
        <w:t>年</w:t>
      </w:r>
      <w:r>
        <w:rPr>
          <w:rFonts w:ascii="Arial" w:hAnsi="Arial" w:cs="Arial"/>
          <w:sz w:val="28"/>
        </w:rPr>
        <w:t>7</w:t>
      </w:r>
      <w:r>
        <w:rPr>
          <w:rFonts w:ascii="Arial" w:hAnsi="Arial" w:cs="Arial"/>
          <w:sz w:val="28"/>
        </w:rPr>
        <w:t>月</w:t>
      </w:r>
      <w:r>
        <w:rPr>
          <w:rFonts w:ascii="Arial" w:hAnsi="Arial" w:cs="Arial"/>
          <w:sz w:val="28"/>
        </w:rPr>
        <w:t>2</w:t>
      </w:r>
      <w:r>
        <w:rPr>
          <w:rFonts w:ascii="Arial" w:hAnsi="Arial" w:cs="Arial"/>
          <w:sz w:val="28"/>
        </w:rPr>
        <w:t>日中华人民共和国国务院令第</w:t>
      </w:r>
      <w:r>
        <w:rPr>
          <w:rFonts w:ascii="Arial" w:hAnsi="Arial" w:cs="Arial"/>
          <w:sz w:val="28"/>
        </w:rPr>
        <w:t>743</w:t>
      </w:r>
      <w:r>
        <w:rPr>
          <w:rFonts w:ascii="Arial" w:hAnsi="Arial" w:cs="Arial"/>
          <w:sz w:val="28"/>
        </w:rPr>
        <w:t>号公布，自</w:t>
      </w:r>
      <w:r>
        <w:rPr>
          <w:rFonts w:ascii="Arial" w:hAnsi="Arial" w:cs="Arial"/>
          <w:sz w:val="28"/>
        </w:rPr>
        <w:t>2021</w:t>
      </w:r>
      <w:r>
        <w:rPr>
          <w:rFonts w:ascii="Arial" w:hAnsi="Arial" w:cs="Arial"/>
          <w:sz w:val="28"/>
        </w:rPr>
        <w:t>年</w:t>
      </w:r>
      <w:r>
        <w:rPr>
          <w:rFonts w:ascii="Arial" w:hAnsi="Arial" w:cs="Arial"/>
          <w:sz w:val="28"/>
        </w:rPr>
        <w:t>9</w:t>
      </w:r>
      <w:r>
        <w:rPr>
          <w:rFonts w:ascii="Arial" w:hAnsi="Arial" w:cs="Arial"/>
          <w:sz w:val="28"/>
        </w:rPr>
        <w:t>月</w:t>
      </w:r>
      <w:r>
        <w:rPr>
          <w:rFonts w:ascii="Arial" w:hAnsi="Arial" w:cs="Arial"/>
          <w:sz w:val="28"/>
        </w:rPr>
        <w:t>1</w:t>
      </w:r>
      <w:r>
        <w:rPr>
          <w:rFonts w:ascii="Arial" w:hAnsi="Arial" w:cs="Arial"/>
          <w:sz w:val="28"/>
        </w:rPr>
        <w:t>日起施行）</w:t>
      </w:r>
    </w:p>
    <w:p w14:paraId="1245EF4C" w14:textId="77777777" w:rsidR="00000000" w:rsidRDefault="00000000">
      <w:pPr>
        <w:spacing w:line="360" w:lineRule="auto"/>
        <w:ind w:firstLineChars="200" w:firstLine="560"/>
        <w:jc w:val="both"/>
      </w:pPr>
      <w:r>
        <w:rPr>
          <w:rFonts w:ascii="Arial" w:hAnsi="Arial" w:cs="Arial" w:hint="eastAsia"/>
          <w:sz w:val="28"/>
        </w:rPr>
        <w:t>8</w:t>
      </w:r>
      <w:r>
        <w:rPr>
          <w:rFonts w:ascii="Arial" w:hAnsi="Arial" w:cs="Arial"/>
          <w:sz w:val="28"/>
        </w:rPr>
        <w:t>.</w:t>
      </w:r>
      <w:r>
        <w:rPr>
          <w:rFonts w:ascii="Arial" w:hAnsi="Arial" w:cs="Arial"/>
          <w:sz w:val="28"/>
        </w:rPr>
        <w:t>《关于我市利用集体土地建设租赁住房相关政策的补充意见》</w:t>
      </w:r>
      <w:r>
        <w:rPr>
          <w:rFonts w:ascii="Arial" w:hAnsi="Arial" w:cs="Arial" w:hint="eastAsia"/>
          <w:sz w:val="28"/>
        </w:rPr>
        <w:t>[</w:t>
      </w:r>
      <w:r>
        <w:rPr>
          <w:rFonts w:ascii="Arial" w:hAnsi="Arial" w:cs="Arial" w:hint="eastAsia"/>
          <w:sz w:val="28"/>
        </w:rPr>
        <w:t>京规自发</w:t>
      </w:r>
      <w:r>
        <w:rPr>
          <w:rFonts w:ascii="Arial" w:hAnsi="Arial" w:cs="Arial" w:hint="eastAsia"/>
          <w:sz w:val="28"/>
        </w:rPr>
        <w:t>[2018]64</w:t>
      </w:r>
      <w:r>
        <w:rPr>
          <w:rFonts w:ascii="Arial" w:hAnsi="Arial" w:cs="Arial" w:hint="eastAsia"/>
          <w:sz w:val="28"/>
        </w:rPr>
        <w:t>号</w:t>
      </w:r>
      <w:r>
        <w:rPr>
          <w:rFonts w:ascii="Arial" w:hAnsi="Arial" w:cs="Arial" w:hint="eastAsia"/>
          <w:sz w:val="28"/>
        </w:rPr>
        <w:t>]</w:t>
      </w:r>
    </w:p>
    <w:p w14:paraId="1FF9E63B" w14:textId="77777777" w:rsidR="00000000" w:rsidRDefault="00000000">
      <w:pPr>
        <w:spacing w:line="360" w:lineRule="auto"/>
        <w:ind w:firstLineChars="200" w:firstLine="560"/>
        <w:jc w:val="both"/>
        <w:rPr>
          <w:rFonts w:ascii="Arial" w:hAnsi="Arial" w:cs="Arial"/>
          <w:sz w:val="28"/>
        </w:rPr>
      </w:pPr>
      <w:r>
        <w:rPr>
          <w:rFonts w:ascii="Arial" w:hAnsi="Arial" w:cs="Arial"/>
          <w:sz w:val="28"/>
        </w:rPr>
        <w:t>9.</w:t>
      </w:r>
      <w:r>
        <w:rPr>
          <w:rFonts w:ascii="Arial" w:hAnsi="Arial" w:cs="Arial"/>
          <w:sz w:val="28"/>
        </w:rPr>
        <w:t>《关于进一步加强全市集体土地租赁住房规划建设管理的意见》</w:t>
      </w:r>
      <w:r>
        <w:rPr>
          <w:rFonts w:ascii="Arial" w:hAnsi="Arial" w:cs="Arial"/>
          <w:sz w:val="28"/>
        </w:rPr>
        <w:t>[</w:t>
      </w:r>
      <w:r>
        <w:rPr>
          <w:rFonts w:ascii="Arial" w:hAnsi="Arial" w:cs="Arial"/>
          <w:sz w:val="28"/>
        </w:rPr>
        <w:t>京建发〔</w:t>
      </w:r>
      <w:r>
        <w:rPr>
          <w:rFonts w:ascii="Arial" w:hAnsi="Arial" w:cs="Arial"/>
          <w:sz w:val="28"/>
        </w:rPr>
        <w:t>2020</w:t>
      </w:r>
      <w:r>
        <w:rPr>
          <w:rFonts w:ascii="Arial" w:hAnsi="Arial" w:cs="Arial"/>
          <w:sz w:val="28"/>
        </w:rPr>
        <w:t>〕</w:t>
      </w:r>
      <w:r>
        <w:rPr>
          <w:rFonts w:ascii="Arial" w:hAnsi="Arial" w:cs="Arial"/>
          <w:sz w:val="28"/>
        </w:rPr>
        <w:t>365</w:t>
      </w:r>
      <w:r>
        <w:rPr>
          <w:rFonts w:ascii="Arial" w:hAnsi="Arial" w:cs="Arial"/>
          <w:sz w:val="28"/>
        </w:rPr>
        <w:t>号</w:t>
      </w:r>
      <w:r>
        <w:rPr>
          <w:rFonts w:ascii="Arial" w:hAnsi="Arial" w:cs="Arial"/>
          <w:sz w:val="28"/>
        </w:rPr>
        <w:t>]</w:t>
      </w:r>
    </w:p>
    <w:p w14:paraId="51021653" w14:textId="77777777" w:rsidR="00000000" w:rsidRDefault="00000000">
      <w:pPr>
        <w:spacing w:line="360" w:lineRule="auto"/>
        <w:ind w:firstLineChars="200" w:firstLine="560"/>
        <w:jc w:val="both"/>
        <w:rPr>
          <w:rFonts w:ascii="Arial" w:hAnsi="Arial" w:cs="Arial"/>
          <w:sz w:val="28"/>
        </w:rPr>
      </w:pPr>
      <w:r>
        <w:rPr>
          <w:rFonts w:ascii="Arial" w:hAnsi="Arial" w:cs="Arial"/>
          <w:sz w:val="28"/>
        </w:rPr>
        <w:t>10.</w:t>
      </w:r>
      <w:r>
        <w:rPr>
          <w:rFonts w:ascii="Arial" w:hAnsi="Arial" w:cs="Arial"/>
          <w:sz w:val="28"/>
        </w:rPr>
        <w:t>《北京市关于加快发展保障性租赁住房的实施方案》的通知</w:t>
      </w:r>
      <w:r>
        <w:rPr>
          <w:rFonts w:ascii="Arial" w:hAnsi="Arial" w:cs="Arial"/>
          <w:sz w:val="28"/>
        </w:rPr>
        <w:t>[</w:t>
      </w:r>
      <w:r>
        <w:rPr>
          <w:rFonts w:ascii="Arial" w:hAnsi="Arial" w:cs="Arial"/>
          <w:sz w:val="28"/>
        </w:rPr>
        <w:t>京政办发〔</w:t>
      </w:r>
      <w:r>
        <w:rPr>
          <w:rFonts w:ascii="Arial" w:hAnsi="Arial" w:cs="Arial"/>
          <w:sz w:val="28"/>
        </w:rPr>
        <w:t>2022</w:t>
      </w:r>
      <w:r>
        <w:rPr>
          <w:rFonts w:ascii="Arial" w:hAnsi="Arial" w:cs="Arial"/>
          <w:sz w:val="28"/>
        </w:rPr>
        <w:t>〕</w:t>
      </w:r>
      <w:r>
        <w:rPr>
          <w:rFonts w:ascii="Arial" w:hAnsi="Arial" w:cs="Arial"/>
          <w:sz w:val="28"/>
        </w:rPr>
        <w:t>9</w:t>
      </w:r>
      <w:r>
        <w:rPr>
          <w:rFonts w:ascii="Arial" w:hAnsi="Arial" w:cs="Arial"/>
          <w:sz w:val="28"/>
        </w:rPr>
        <w:t>号</w:t>
      </w:r>
      <w:r>
        <w:rPr>
          <w:rFonts w:ascii="Arial" w:hAnsi="Arial" w:cs="Arial"/>
          <w:sz w:val="28"/>
        </w:rPr>
        <w:t>]</w:t>
      </w:r>
    </w:p>
    <w:p w14:paraId="581F48C7" w14:textId="77777777" w:rsidR="00000000" w:rsidRDefault="00000000">
      <w:pPr>
        <w:spacing w:line="360" w:lineRule="auto"/>
        <w:jc w:val="both"/>
        <w:rPr>
          <w:rFonts w:ascii="Arial" w:hAnsi="Arial" w:cs="Arial"/>
          <w:sz w:val="28"/>
        </w:rPr>
      </w:pPr>
      <w:r>
        <w:rPr>
          <w:rFonts w:ascii="Arial" w:hAnsi="Arial" w:cs="Arial"/>
          <w:sz w:val="28"/>
        </w:rPr>
        <w:t>（二）采用的技术标准</w:t>
      </w:r>
    </w:p>
    <w:p w14:paraId="4337DB8D" w14:textId="77777777" w:rsidR="00000000" w:rsidRDefault="00000000">
      <w:pPr>
        <w:spacing w:line="360" w:lineRule="auto"/>
        <w:ind w:firstLineChars="200" w:firstLine="560"/>
        <w:jc w:val="both"/>
        <w:rPr>
          <w:rFonts w:ascii="Arial" w:hAnsi="Arial" w:cs="Arial"/>
          <w:sz w:val="28"/>
        </w:rPr>
      </w:pPr>
      <w:r>
        <w:rPr>
          <w:rFonts w:ascii="Arial" w:hAnsi="Arial" w:cs="Arial"/>
          <w:sz w:val="28"/>
        </w:rPr>
        <w:lastRenderedPageBreak/>
        <w:t>1.</w:t>
      </w:r>
      <w:r>
        <w:rPr>
          <w:rFonts w:ascii="Arial" w:hAnsi="Arial" w:cs="Arial"/>
          <w:sz w:val="28"/>
        </w:rPr>
        <w:t>《城镇土地估价规程》</w:t>
      </w:r>
      <w:r>
        <w:rPr>
          <w:rFonts w:ascii="Arial" w:hAnsi="Arial" w:cs="Arial"/>
          <w:sz w:val="28"/>
        </w:rPr>
        <w:t>[GB/T 18508-2014]</w:t>
      </w:r>
    </w:p>
    <w:p w14:paraId="50EE8138" w14:textId="77777777" w:rsidR="00000000" w:rsidRDefault="00000000">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《城镇土地分等定级规程》</w:t>
      </w:r>
      <w:hyperlink r:id="rId52" w:tgtFrame="_blank" w:history="1">
        <w:r>
          <w:rPr>
            <w:rFonts w:ascii="Arial" w:hAnsi="Arial" w:cs="Arial"/>
            <w:sz w:val="28"/>
          </w:rPr>
          <w:t>[GB/T 18507-2014]</w:t>
        </w:r>
      </w:hyperlink>
    </w:p>
    <w:p w14:paraId="68E028BE" w14:textId="77777777" w:rsidR="00000000" w:rsidRDefault="00000000">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《土地利用现状分类》</w:t>
      </w:r>
      <w:r>
        <w:rPr>
          <w:rFonts w:ascii="Arial" w:hAnsi="Arial" w:cs="Arial"/>
          <w:sz w:val="28"/>
        </w:rPr>
        <w:t>[ GB/T 21010-2017]</w:t>
      </w:r>
    </w:p>
    <w:p w14:paraId="7A87F456" w14:textId="77777777" w:rsidR="00000000" w:rsidRDefault="00000000">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《城市用地分类与规划建设用地标准》</w:t>
      </w:r>
      <w:r>
        <w:rPr>
          <w:rFonts w:ascii="Arial" w:hAnsi="Arial" w:cs="Arial"/>
          <w:sz w:val="28"/>
        </w:rPr>
        <w:t>[GB50137-2011]</w:t>
      </w:r>
    </w:p>
    <w:p w14:paraId="4CB575FC" w14:textId="77777777" w:rsidR="00000000" w:rsidRDefault="00000000">
      <w:pPr>
        <w:spacing w:line="360" w:lineRule="auto"/>
        <w:ind w:firstLineChars="200" w:firstLine="560"/>
        <w:jc w:val="both"/>
        <w:rPr>
          <w:rFonts w:ascii="Arial" w:hAnsi="Arial" w:cs="Arial" w:hint="eastAsia"/>
          <w:sz w:val="28"/>
        </w:rPr>
      </w:pPr>
      <w:r>
        <w:rPr>
          <w:rFonts w:ascii="Arial" w:hAnsi="Arial" w:cs="Arial"/>
          <w:sz w:val="28"/>
        </w:rPr>
        <w:t>5</w:t>
      </w:r>
      <w:r>
        <w:rPr>
          <w:rFonts w:ascii="Arial" w:hAnsi="Arial" w:cs="Arial" w:hint="eastAsia"/>
          <w:sz w:val="28"/>
        </w:rPr>
        <w:t>.</w:t>
      </w:r>
      <w:r>
        <w:rPr>
          <w:rFonts w:ascii="Arial" w:hAnsi="Arial" w:cs="Arial" w:hint="eastAsia"/>
          <w:sz w:val="28"/>
        </w:rPr>
        <w:t>《农村集体土地价格评估技术指引》</w:t>
      </w:r>
      <w:r>
        <w:rPr>
          <w:rFonts w:ascii="Arial" w:hAnsi="Arial" w:cs="Arial" w:hint="eastAsia"/>
          <w:sz w:val="28"/>
        </w:rPr>
        <w:t>[</w:t>
      </w:r>
      <w:r>
        <w:rPr>
          <w:rFonts w:ascii="Arial" w:hAnsi="Arial" w:cs="Arial" w:hint="eastAsia"/>
          <w:sz w:val="28"/>
        </w:rPr>
        <w:t>中估协发（</w:t>
      </w:r>
      <w:r>
        <w:rPr>
          <w:rFonts w:ascii="Arial" w:hAnsi="Arial" w:cs="Arial" w:hint="eastAsia"/>
          <w:sz w:val="28"/>
        </w:rPr>
        <w:t>2020</w:t>
      </w:r>
      <w:r>
        <w:rPr>
          <w:rFonts w:ascii="Arial" w:hAnsi="Arial" w:cs="Arial" w:hint="eastAsia"/>
          <w:sz w:val="28"/>
        </w:rPr>
        <w:t>）</w:t>
      </w:r>
      <w:r>
        <w:rPr>
          <w:rFonts w:ascii="Arial" w:hAnsi="Arial" w:cs="Arial" w:hint="eastAsia"/>
          <w:sz w:val="28"/>
        </w:rPr>
        <w:t>16</w:t>
      </w:r>
      <w:r>
        <w:rPr>
          <w:rFonts w:ascii="Arial" w:hAnsi="Arial" w:cs="Arial" w:hint="eastAsia"/>
          <w:sz w:val="28"/>
        </w:rPr>
        <w:t>号</w:t>
      </w:r>
      <w:r>
        <w:rPr>
          <w:rFonts w:ascii="Arial" w:hAnsi="Arial" w:cs="Arial" w:hint="eastAsia"/>
          <w:sz w:val="28"/>
        </w:rPr>
        <w:t>]</w:t>
      </w:r>
    </w:p>
    <w:p w14:paraId="687C305E" w14:textId="77777777" w:rsidR="00000000" w:rsidRDefault="00000000">
      <w:pPr>
        <w:spacing w:line="360" w:lineRule="auto"/>
        <w:jc w:val="both"/>
        <w:rPr>
          <w:rFonts w:ascii="Arial" w:hAnsi="Arial" w:cs="Arial"/>
          <w:sz w:val="28"/>
        </w:rPr>
      </w:pPr>
      <w:r>
        <w:rPr>
          <w:rFonts w:ascii="Arial" w:hAnsi="Arial" w:cs="Arial"/>
          <w:sz w:val="28"/>
          <w:szCs w:val="18"/>
        </w:rPr>
        <w:t>（三）</w:t>
      </w:r>
      <w:r>
        <w:rPr>
          <w:rFonts w:ascii="Arial" w:hAnsi="Arial" w:cs="Arial"/>
          <w:sz w:val="28"/>
          <w:szCs w:val="18"/>
        </w:rPr>
        <w:t xml:space="preserve"> </w:t>
      </w:r>
      <w:r>
        <w:rPr>
          <w:rFonts w:ascii="Arial" w:hAnsi="Arial" w:cs="Arial"/>
          <w:sz w:val="28"/>
          <w:szCs w:val="18"/>
        </w:rPr>
        <w:t>受托估价方掌握的有关资料和评估专业人员实地勘察、调查所获取的资料实地勘查</w:t>
      </w:r>
      <w:r>
        <w:rPr>
          <w:rFonts w:ascii="Arial" w:hAnsi="Arial" w:cs="Arial"/>
          <w:sz w:val="28"/>
        </w:rPr>
        <w:t>的有关资料</w:t>
      </w:r>
    </w:p>
    <w:p w14:paraId="7F586E98" w14:textId="77777777" w:rsidR="00000000" w:rsidRDefault="00000000">
      <w:pPr>
        <w:spacing w:line="360" w:lineRule="auto"/>
        <w:jc w:val="both"/>
        <w:rPr>
          <w:rFonts w:ascii="Arial" w:hAnsi="Arial" w:cs="Arial"/>
          <w:sz w:val="28"/>
        </w:rPr>
      </w:pPr>
    </w:p>
    <w:p w14:paraId="7E97C55C" w14:textId="77777777" w:rsidR="00000000" w:rsidRDefault="00000000">
      <w:pPr>
        <w:spacing w:line="360" w:lineRule="auto"/>
        <w:outlineLvl w:val="1"/>
        <w:rPr>
          <w:rFonts w:ascii="Arial" w:hAnsi="Arial" w:cs="Arial"/>
          <w:b/>
          <w:sz w:val="28"/>
        </w:rPr>
      </w:pPr>
      <w:bookmarkStart w:id="228" w:name="_Toc13271"/>
      <w:bookmarkStart w:id="229" w:name="_Toc469066155"/>
      <w:bookmarkStart w:id="230" w:name="_Toc97732875"/>
      <w:bookmarkStart w:id="231" w:name="_Toc27536"/>
      <w:bookmarkStart w:id="232" w:name="_Toc97732757"/>
      <w:bookmarkStart w:id="233" w:name="_Toc416783574"/>
      <w:bookmarkStart w:id="234" w:name="_Toc416783670"/>
      <w:r>
        <w:rPr>
          <w:rFonts w:ascii="Arial" w:hAnsi="Arial" w:cs="Arial"/>
          <w:b/>
          <w:sz w:val="28"/>
        </w:rPr>
        <w:t>六、咨询期日</w:t>
      </w:r>
      <w:bookmarkEnd w:id="228"/>
      <w:bookmarkEnd w:id="229"/>
      <w:bookmarkEnd w:id="230"/>
      <w:bookmarkEnd w:id="231"/>
      <w:bookmarkEnd w:id="232"/>
    </w:p>
    <w:bookmarkEnd w:id="233"/>
    <w:bookmarkEnd w:id="234"/>
    <w:p w14:paraId="1F7B5C46" w14:textId="77777777" w:rsidR="00000000" w:rsidRDefault="00000000">
      <w:pPr>
        <w:spacing w:line="360" w:lineRule="auto"/>
        <w:ind w:firstLineChars="200" w:firstLine="560"/>
        <w:rPr>
          <w:rFonts w:ascii="Arial" w:hAnsi="Arial" w:cs="Arial"/>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（评估专业人员勘察现场之日）</w:t>
      </w:r>
    </w:p>
    <w:p w14:paraId="5A8FBB06" w14:textId="77777777" w:rsidR="00000000" w:rsidRDefault="00000000">
      <w:pPr>
        <w:spacing w:line="360" w:lineRule="auto"/>
        <w:rPr>
          <w:rFonts w:ascii="Arial" w:hAnsi="Arial" w:cs="Arial"/>
          <w:b/>
          <w:bCs/>
          <w:sz w:val="28"/>
        </w:rPr>
      </w:pPr>
    </w:p>
    <w:p w14:paraId="5706CDF7" w14:textId="77777777" w:rsidR="00000000" w:rsidRDefault="00000000">
      <w:pPr>
        <w:spacing w:line="360" w:lineRule="auto"/>
        <w:outlineLvl w:val="1"/>
        <w:rPr>
          <w:rFonts w:ascii="Arial" w:hAnsi="Arial" w:cs="Arial"/>
          <w:b/>
          <w:bCs/>
          <w:sz w:val="28"/>
        </w:rPr>
      </w:pPr>
      <w:bookmarkStart w:id="235" w:name="_Toc3258"/>
      <w:bookmarkStart w:id="236" w:name="_Toc97732876"/>
      <w:bookmarkStart w:id="237" w:name="_Toc469066156"/>
      <w:bookmarkStart w:id="238" w:name="_Toc97732758"/>
      <w:bookmarkStart w:id="239" w:name="_Toc30853"/>
      <w:bookmarkStart w:id="240" w:name="_Toc416783575"/>
      <w:bookmarkStart w:id="241" w:name="_Toc416783671"/>
      <w:r>
        <w:rPr>
          <w:rFonts w:ascii="Arial" w:hAnsi="Arial" w:cs="Arial"/>
          <w:b/>
          <w:bCs/>
          <w:sz w:val="28"/>
        </w:rPr>
        <w:t>七、咨询日期</w:t>
      </w:r>
      <w:bookmarkEnd w:id="235"/>
      <w:bookmarkEnd w:id="236"/>
      <w:bookmarkEnd w:id="237"/>
      <w:bookmarkEnd w:id="238"/>
      <w:bookmarkEnd w:id="239"/>
    </w:p>
    <w:bookmarkEnd w:id="240"/>
    <w:bookmarkEnd w:id="241"/>
    <w:p w14:paraId="3B184F14" w14:textId="77777777" w:rsidR="00000000" w:rsidRDefault="00000000">
      <w:pPr>
        <w:spacing w:line="360" w:lineRule="auto"/>
        <w:ind w:firstLineChars="200" w:firstLine="560"/>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至</w:t>
      </w:r>
      <w:r>
        <w:rPr>
          <w:rFonts w:ascii="Arial" w:hAnsi="Arial" w:cs="Arial" w:hint="eastAsia"/>
          <w:sz w:val="28"/>
        </w:rPr>
        <w:t>2025</w:t>
      </w:r>
      <w:r>
        <w:rPr>
          <w:rFonts w:ascii="Arial" w:hAnsi="Arial" w:cs="Arial" w:hint="eastAsia"/>
          <w:sz w:val="28"/>
        </w:rPr>
        <w:t>年</w:t>
      </w:r>
      <w:r>
        <w:rPr>
          <w:rFonts w:ascii="Arial" w:hAnsi="Arial" w:cs="Arial" w:hint="eastAsia"/>
          <w:sz w:val="28"/>
        </w:rPr>
        <w:t>10</w:t>
      </w:r>
      <w:r>
        <w:rPr>
          <w:rFonts w:ascii="Arial" w:hAnsi="Arial" w:cs="Arial" w:hint="eastAsia"/>
          <w:sz w:val="28"/>
        </w:rPr>
        <w:t>月</w:t>
      </w:r>
      <w:r>
        <w:rPr>
          <w:rFonts w:ascii="Arial" w:hAnsi="Arial" w:cs="Arial" w:hint="eastAsia"/>
          <w:sz w:val="28"/>
        </w:rPr>
        <w:t>19</w:t>
      </w:r>
      <w:r>
        <w:rPr>
          <w:rFonts w:ascii="Arial" w:hAnsi="Arial" w:cs="Arial" w:hint="eastAsia"/>
          <w:sz w:val="28"/>
        </w:rPr>
        <w:t>日</w:t>
      </w:r>
    </w:p>
    <w:p w14:paraId="2E9E7DA5" w14:textId="77777777" w:rsidR="00000000" w:rsidRDefault="00000000">
      <w:pPr>
        <w:pStyle w:val="31"/>
        <w:spacing w:line="360" w:lineRule="auto"/>
        <w:ind w:left="1405" w:hangingChars="500" w:hanging="1405"/>
        <w:jc w:val="left"/>
        <w:rPr>
          <w:rFonts w:ascii="Arial" w:eastAsia="宋体" w:cs="Arial"/>
          <w:b/>
          <w:bCs/>
          <w:sz w:val="28"/>
        </w:rPr>
      </w:pPr>
    </w:p>
    <w:p w14:paraId="1146F272" w14:textId="77777777" w:rsidR="00000000" w:rsidRDefault="00000000">
      <w:pPr>
        <w:pStyle w:val="31"/>
        <w:spacing w:line="360" w:lineRule="auto"/>
        <w:ind w:left="1405" w:hangingChars="500" w:hanging="1405"/>
        <w:jc w:val="left"/>
        <w:outlineLvl w:val="1"/>
        <w:rPr>
          <w:rFonts w:ascii="Arial" w:eastAsia="宋体" w:cs="Arial"/>
          <w:b/>
          <w:bCs/>
          <w:sz w:val="28"/>
        </w:rPr>
      </w:pPr>
      <w:bookmarkStart w:id="242" w:name="_Toc32253"/>
      <w:bookmarkStart w:id="243" w:name="_Toc97732877"/>
      <w:bookmarkStart w:id="244" w:name="_Toc97732759"/>
      <w:bookmarkStart w:id="245" w:name="_Toc469066157"/>
      <w:bookmarkStart w:id="246" w:name="_Toc29551"/>
      <w:r>
        <w:rPr>
          <w:rFonts w:ascii="Arial" w:eastAsia="宋体" w:cs="Arial"/>
          <w:b/>
          <w:bCs/>
          <w:sz w:val="28"/>
        </w:rPr>
        <w:t>八、地价定义</w:t>
      </w:r>
      <w:bookmarkEnd w:id="242"/>
      <w:bookmarkEnd w:id="243"/>
      <w:bookmarkEnd w:id="244"/>
      <w:bookmarkEnd w:id="245"/>
      <w:bookmarkEnd w:id="246"/>
    </w:p>
    <w:p w14:paraId="69CFA82C" w14:textId="77777777" w:rsidR="00000000" w:rsidRDefault="00000000">
      <w:pPr>
        <w:spacing w:line="360" w:lineRule="auto"/>
        <w:jc w:val="both"/>
        <w:rPr>
          <w:rFonts w:ascii="Arial" w:hAnsi="Arial" w:cs="Arial"/>
          <w:sz w:val="28"/>
        </w:rPr>
      </w:pPr>
      <w:r>
        <w:rPr>
          <w:rFonts w:ascii="Arial" w:hAnsi="Arial" w:cs="Arial"/>
          <w:sz w:val="28"/>
        </w:rPr>
        <w:t>（一）用途</w:t>
      </w:r>
    </w:p>
    <w:p w14:paraId="5E7398FE"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经委托方介绍，拟与百泉庄</w:t>
      </w:r>
      <w:r>
        <w:rPr>
          <w:rFonts w:ascii="Arial" w:hAnsi="Arial" w:cs="Arial"/>
          <w:sz w:val="28"/>
        </w:rPr>
        <w:t>村经济</w:t>
      </w:r>
      <w:r>
        <w:rPr>
          <w:rFonts w:ascii="Arial" w:hAnsi="Arial" w:cs="Arial" w:hint="eastAsia"/>
          <w:sz w:val="28"/>
        </w:rPr>
        <w:t>组织采用股权合作模式开发建设昌平区马池口镇百泉庄村集体土地租赁住房项目，总</w:t>
      </w:r>
      <w:r>
        <w:rPr>
          <w:rFonts w:ascii="Arial" w:hAnsi="Arial" w:cs="Arial"/>
          <w:sz w:val="28"/>
        </w:rPr>
        <w:t>建设用地</w:t>
      </w:r>
      <w:r>
        <w:rPr>
          <w:rFonts w:ascii="Arial" w:hAnsi="Arial" w:cs="Arial" w:hint="eastAsia"/>
          <w:sz w:val="28"/>
        </w:rPr>
        <w:t>18132</w:t>
      </w:r>
      <w:r>
        <w:rPr>
          <w:rFonts w:ascii="Arial" w:hAnsi="Arial" w:cs="Arial" w:hint="eastAsia"/>
          <w:sz w:val="28"/>
        </w:rPr>
        <w:t>平方米</w:t>
      </w:r>
      <w:r>
        <w:rPr>
          <w:rFonts w:ascii="Arial" w:hAnsi="Arial" w:cs="Arial"/>
          <w:sz w:val="28"/>
        </w:rPr>
        <w:t>（</w:t>
      </w:r>
      <w:r>
        <w:rPr>
          <w:rFonts w:ascii="Arial" w:hAnsi="Arial" w:cs="Arial" w:hint="eastAsia"/>
          <w:sz w:val="28"/>
        </w:rPr>
        <w:t>27.20</w:t>
      </w:r>
      <w:r>
        <w:rPr>
          <w:rFonts w:ascii="Arial" w:hAnsi="Arial" w:cs="Arial"/>
          <w:sz w:val="28"/>
        </w:rPr>
        <w:t>亩）。</w:t>
      </w:r>
    </w:p>
    <w:p w14:paraId="13C12F87" w14:textId="77777777" w:rsidR="00000000" w:rsidRDefault="00000000">
      <w:pPr>
        <w:spacing w:line="360" w:lineRule="auto"/>
        <w:jc w:val="both"/>
        <w:rPr>
          <w:rFonts w:ascii="Arial" w:hAnsi="Arial" w:cs="Arial"/>
          <w:sz w:val="28"/>
        </w:rPr>
      </w:pPr>
      <w:r>
        <w:rPr>
          <w:rFonts w:ascii="Arial" w:hAnsi="Arial" w:cs="Arial"/>
          <w:sz w:val="28"/>
        </w:rPr>
        <w:t>（二）土地开发程度</w:t>
      </w:r>
    </w:p>
    <w:p w14:paraId="75490D0E" w14:textId="77777777" w:rsidR="00000000" w:rsidRDefault="00000000">
      <w:pPr>
        <w:spacing w:line="360" w:lineRule="auto"/>
        <w:ind w:firstLineChars="200" w:firstLine="560"/>
        <w:jc w:val="both"/>
        <w:rPr>
          <w:rFonts w:ascii="Arial" w:hAnsi="Arial" w:cs="Arial"/>
          <w:i/>
          <w:sz w:val="28"/>
        </w:rPr>
      </w:pPr>
      <w:r>
        <w:rPr>
          <w:rFonts w:ascii="Arial" w:hAnsi="Arial" w:cs="Arial"/>
          <w:sz w:val="28"/>
        </w:rPr>
        <w:t>根据委托方介绍及评估专业人员实地查勘，本次评估咨询对象实际土地开发程度为红线外市政基础设施为</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、宗地红线内场地未平整，宗地内有需要移除的树木。依据委托方介绍，该宗地以</w:t>
      </w:r>
      <w:r>
        <w:rPr>
          <w:rFonts w:ascii="Arial" w:hAnsi="Arial" w:cs="Arial"/>
          <w:sz w:val="28"/>
        </w:rPr>
        <w:t>“</w:t>
      </w:r>
      <w:r>
        <w:rPr>
          <w:rFonts w:ascii="Arial" w:hAnsi="Arial" w:cs="Arial"/>
          <w:sz w:val="28"/>
        </w:rPr>
        <w:t>三通一平</w:t>
      </w:r>
      <w:r>
        <w:rPr>
          <w:rFonts w:ascii="Arial" w:hAnsi="Arial" w:cs="Arial"/>
          <w:sz w:val="28"/>
        </w:rPr>
        <w:t>”</w:t>
      </w:r>
      <w:r>
        <w:rPr>
          <w:rFonts w:ascii="Arial" w:hAnsi="Arial" w:cs="Arial"/>
          <w:sz w:val="28"/>
        </w:rPr>
        <w:t>的形式作价入股，因此本次评估设定土地开发程度为红线外市政基础设施达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、宗地红线内场地平整。</w:t>
      </w:r>
      <w:r>
        <w:rPr>
          <w:rFonts w:ascii="Arial" w:hAnsi="Arial" w:cs="Arial"/>
          <w:spacing w:val="-12"/>
          <w:sz w:val="28"/>
        </w:rPr>
        <w:t>咨询结果</w:t>
      </w:r>
      <w:r>
        <w:rPr>
          <w:rFonts w:ascii="Arial" w:hAnsi="Arial" w:cs="Arial"/>
          <w:sz w:val="28"/>
        </w:rPr>
        <w:t>未扣除树木移除的费用。</w:t>
      </w:r>
    </w:p>
    <w:p w14:paraId="0E86C913" w14:textId="77777777" w:rsidR="00000000" w:rsidRDefault="00000000">
      <w:pPr>
        <w:spacing w:line="360" w:lineRule="auto"/>
        <w:jc w:val="both"/>
        <w:rPr>
          <w:rFonts w:ascii="Arial" w:hAnsi="Arial" w:cs="Arial"/>
          <w:sz w:val="28"/>
        </w:rPr>
      </w:pPr>
      <w:r>
        <w:rPr>
          <w:rFonts w:ascii="Arial" w:hAnsi="Arial" w:cs="Arial"/>
          <w:sz w:val="28"/>
        </w:rPr>
        <w:t>（三）规划利用条件</w:t>
      </w:r>
    </w:p>
    <w:p w14:paraId="63DCA276" w14:textId="77777777" w:rsidR="00000000" w:rsidRDefault="00000000">
      <w:pPr>
        <w:spacing w:line="360" w:lineRule="auto"/>
        <w:jc w:val="both"/>
        <w:rPr>
          <w:rFonts w:ascii="Arial" w:hAnsi="Arial" w:cs="Arial"/>
          <w:sz w:val="28"/>
        </w:rPr>
      </w:pPr>
      <w:r>
        <w:rPr>
          <w:rFonts w:ascii="Arial" w:hAnsi="Arial" w:cs="Arial" w:hint="eastAsia"/>
          <w:sz w:val="28"/>
        </w:rPr>
        <w:lastRenderedPageBreak/>
        <w:t xml:space="preserve">    </w:t>
      </w:r>
      <w:r>
        <w:rPr>
          <w:rFonts w:ascii="Arial" w:hAnsi="Arial" w:cs="Arial" w:hint="eastAsia"/>
          <w:sz w:val="28"/>
        </w:rPr>
        <w:t>根据委托方介绍</w:t>
      </w:r>
      <w:r>
        <w:rPr>
          <w:rFonts w:ascii="Arial" w:hAnsi="Arial" w:cs="Arial" w:hint="eastAsia"/>
          <w:sz w:val="28"/>
        </w:rPr>
        <w:t>,</w:t>
      </w:r>
      <w:r>
        <w:rPr>
          <w:rFonts w:ascii="Arial" w:hAnsi="Arial" w:cs="Arial"/>
          <w:sz w:val="28"/>
        </w:rPr>
        <w:t>咨询对象为</w:t>
      </w:r>
      <w:r>
        <w:rPr>
          <w:rFonts w:ascii="Arial" w:hAnsi="Arial" w:cs="Arial" w:hint="eastAsia"/>
          <w:sz w:val="28"/>
        </w:rPr>
        <w:t>北京保障房中心有限公司拟</w:t>
      </w:r>
      <w:r>
        <w:rPr>
          <w:rFonts w:ascii="Arial" w:hAnsi="Arial" w:cs="Arial"/>
          <w:sz w:val="28"/>
        </w:rPr>
        <w:t>使用的集体建设用地。咨询对象土地面积为</w:t>
      </w:r>
      <w:r>
        <w:rPr>
          <w:rFonts w:ascii="Arial" w:hAnsi="Arial" w:cs="Arial" w:hint="eastAsia"/>
          <w:sz w:val="28"/>
        </w:rPr>
        <w:t>18132</w:t>
      </w:r>
      <w:r>
        <w:rPr>
          <w:rFonts w:ascii="Arial" w:hAnsi="Arial" w:cs="Arial"/>
          <w:sz w:val="28"/>
        </w:rPr>
        <w:t>平方米，规划建筑面积为</w:t>
      </w:r>
      <w:r>
        <w:rPr>
          <w:rFonts w:ascii="Arial" w:hAnsi="Arial" w:cs="Arial" w:hint="eastAsia"/>
          <w:sz w:val="28"/>
        </w:rPr>
        <w:t>43300</w:t>
      </w:r>
      <w:r>
        <w:rPr>
          <w:rFonts w:ascii="Arial" w:hAnsi="Arial" w:cs="Arial"/>
          <w:sz w:val="28"/>
        </w:rPr>
        <w:t>平方米。其中</w:t>
      </w:r>
      <w:r>
        <w:rPr>
          <w:rFonts w:ascii="Arial" w:hAnsi="Arial" w:cs="Arial" w:hint="eastAsia"/>
          <w:sz w:val="28"/>
        </w:rPr>
        <w:t>地上</w:t>
      </w:r>
      <w:r>
        <w:rPr>
          <w:rFonts w:ascii="Arial" w:hAnsi="Arial" w:cs="Arial"/>
          <w:sz w:val="28"/>
        </w:rPr>
        <w:t>经营性用途用房</w:t>
      </w:r>
      <w:r>
        <w:rPr>
          <w:rFonts w:ascii="Arial" w:hAnsi="Arial" w:cs="Arial" w:hint="eastAsia"/>
          <w:sz w:val="28"/>
        </w:rPr>
        <w:t>31948</w:t>
      </w:r>
      <w:r>
        <w:rPr>
          <w:rFonts w:ascii="Arial" w:hAnsi="Arial" w:cs="Arial"/>
          <w:sz w:val="28"/>
        </w:rPr>
        <w:t>平方米（其中：</w:t>
      </w:r>
      <w:r>
        <w:rPr>
          <w:rFonts w:ascii="Arial" w:hAnsi="Arial" w:cs="Arial" w:hint="eastAsia"/>
          <w:sz w:val="28"/>
        </w:rPr>
        <w:t>公寓</w:t>
      </w:r>
      <w:r>
        <w:rPr>
          <w:rFonts w:ascii="Arial" w:hAnsi="Arial" w:cs="Arial" w:hint="eastAsia"/>
          <w:sz w:val="28"/>
        </w:rPr>
        <w:t>31152</w:t>
      </w:r>
      <w:r>
        <w:rPr>
          <w:rFonts w:ascii="Arial" w:hAnsi="Arial" w:cs="Arial"/>
          <w:sz w:val="28"/>
        </w:rPr>
        <w:t>平方米，商业</w:t>
      </w:r>
      <w:r>
        <w:rPr>
          <w:rFonts w:ascii="Arial" w:hAnsi="Arial" w:cs="Arial" w:hint="eastAsia"/>
          <w:sz w:val="28"/>
        </w:rPr>
        <w:t>796</w:t>
      </w:r>
      <w:r>
        <w:rPr>
          <w:rFonts w:ascii="Arial" w:hAnsi="Arial" w:cs="Arial"/>
          <w:sz w:val="28"/>
        </w:rPr>
        <w:t>平方米）；非经营性用途用房</w:t>
      </w:r>
      <w:r>
        <w:rPr>
          <w:rFonts w:ascii="Arial" w:hAnsi="Arial" w:cs="Arial" w:hint="eastAsia"/>
          <w:sz w:val="28"/>
        </w:rPr>
        <w:t>690</w:t>
      </w:r>
      <w:r>
        <w:rPr>
          <w:rFonts w:ascii="Arial" w:hAnsi="Arial" w:cs="Arial"/>
          <w:sz w:val="28"/>
        </w:rPr>
        <w:t>平方米（其中：配套设施</w:t>
      </w:r>
      <w:r>
        <w:rPr>
          <w:rFonts w:ascii="Arial" w:hAnsi="Arial" w:cs="Arial" w:hint="eastAsia"/>
          <w:sz w:val="28"/>
        </w:rPr>
        <w:t>540</w:t>
      </w:r>
      <w:r>
        <w:rPr>
          <w:rFonts w:ascii="Arial" w:hAnsi="Arial" w:cs="Arial"/>
          <w:sz w:val="28"/>
        </w:rPr>
        <w:t>平方米，</w:t>
      </w:r>
      <w:r>
        <w:rPr>
          <w:rFonts w:ascii="Arial" w:hAnsi="Arial" w:cs="Arial" w:hint="eastAsia"/>
          <w:sz w:val="28"/>
        </w:rPr>
        <w:t>地下建筑出入口</w:t>
      </w:r>
      <w:r>
        <w:rPr>
          <w:rFonts w:ascii="Arial" w:hAnsi="Arial" w:cs="Arial" w:hint="eastAsia"/>
          <w:sz w:val="28"/>
        </w:rPr>
        <w:t>150</w:t>
      </w:r>
      <w:r>
        <w:rPr>
          <w:rFonts w:ascii="Arial" w:hAnsi="Arial" w:cs="Arial"/>
          <w:sz w:val="28"/>
        </w:rPr>
        <w:t>平方米）</w:t>
      </w:r>
      <w:r>
        <w:rPr>
          <w:rFonts w:ascii="Arial" w:hAnsi="Arial" w:cs="Arial" w:hint="eastAsia"/>
          <w:sz w:val="28"/>
        </w:rPr>
        <w:t>；地下车库</w:t>
      </w:r>
      <w:r>
        <w:rPr>
          <w:rFonts w:ascii="Arial" w:hAnsi="Arial" w:cs="Arial" w:hint="eastAsia"/>
          <w:sz w:val="28"/>
        </w:rPr>
        <w:t>218</w:t>
      </w:r>
      <w:r>
        <w:rPr>
          <w:rFonts w:ascii="Arial" w:hAnsi="Arial" w:cs="Arial" w:hint="eastAsia"/>
          <w:sz w:val="28"/>
        </w:rPr>
        <w:t>个（约</w:t>
      </w:r>
      <w:r>
        <w:rPr>
          <w:rFonts w:ascii="Arial" w:hAnsi="Arial" w:cs="Arial" w:hint="eastAsia"/>
          <w:sz w:val="28"/>
        </w:rPr>
        <w:t>5556</w:t>
      </w:r>
      <w:r>
        <w:rPr>
          <w:rFonts w:ascii="Arial" w:hAnsi="Arial" w:cs="Arial" w:hint="eastAsia"/>
          <w:sz w:val="28"/>
        </w:rPr>
        <w:t>平方米），其他</w:t>
      </w:r>
      <w:r>
        <w:rPr>
          <w:rFonts w:ascii="Arial" w:hAnsi="Arial" w:cs="Arial"/>
          <w:sz w:val="28"/>
        </w:rPr>
        <w:t>非经营性用途用房</w:t>
      </w:r>
      <w:r>
        <w:rPr>
          <w:rFonts w:ascii="Arial" w:hAnsi="Arial" w:cs="Arial" w:hint="eastAsia"/>
          <w:sz w:val="28"/>
        </w:rPr>
        <w:t>约</w:t>
      </w:r>
      <w:r>
        <w:rPr>
          <w:rFonts w:ascii="Arial" w:hAnsi="Arial" w:cs="Arial" w:hint="eastAsia"/>
          <w:sz w:val="28"/>
        </w:rPr>
        <w:t>5106</w:t>
      </w:r>
      <w:r>
        <w:rPr>
          <w:rFonts w:ascii="Arial" w:hAnsi="Arial" w:cs="Arial" w:hint="eastAsia"/>
          <w:sz w:val="28"/>
        </w:rPr>
        <w:t>平方米。</w:t>
      </w:r>
    </w:p>
    <w:p w14:paraId="22516A6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根据委托方提供的经济技术指标，规划利用条件如下：</w:t>
      </w:r>
    </w:p>
    <w:tbl>
      <w:tblPr>
        <w:tblpPr w:leftFromText="180" w:rightFromText="180" w:vertAnchor="text" w:horzAnchor="margin" w:tblpX="1" w:tblpY="143"/>
        <w:tblW w:w="9450" w:type="dxa"/>
        <w:tblInd w:w="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000" w:firstRow="0" w:lastRow="0" w:firstColumn="0" w:lastColumn="0" w:noHBand="0" w:noVBand="0"/>
      </w:tblPr>
      <w:tblGrid>
        <w:gridCol w:w="1165"/>
        <w:gridCol w:w="1020"/>
        <w:gridCol w:w="3341"/>
        <w:gridCol w:w="1488"/>
        <w:gridCol w:w="2436"/>
      </w:tblGrid>
      <w:tr w:rsidR="00000000" w14:paraId="37535E7A" w14:textId="77777777">
        <w:trPr>
          <w:trHeight w:val="280"/>
        </w:trPr>
        <w:tc>
          <w:tcPr>
            <w:tcW w:w="5526" w:type="dxa"/>
            <w:gridSpan w:val="3"/>
            <w:tcBorders>
              <w:bottom w:val="single" w:sz="4" w:space="0" w:color="auto"/>
              <w:right w:val="single" w:sz="4" w:space="0" w:color="auto"/>
            </w:tcBorders>
            <w:noWrap/>
            <w:vAlign w:val="center"/>
          </w:tcPr>
          <w:p w14:paraId="286C9E1B"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sz="4" w:space="0" w:color="auto"/>
              <w:right w:val="single" w:sz="4" w:space="0" w:color="auto"/>
            </w:tcBorders>
            <w:noWrap/>
            <w:vAlign w:val="center"/>
          </w:tcPr>
          <w:p w14:paraId="69FA48B9"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sz="4" w:space="0" w:color="auto"/>
              <w:right w:val="single" w:sz="4" w:space="0" w:color="auto"/>
            </w:tcBorders>
            <w:noWrap/>
            <w:vAlign w:val="center"/>
          </w:tcPr>
          <w:p w14:paraId="41C4D605"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数量</w:t>
            </w:r>
          </w:p>
        </w:tc>
      </w:tr>
      <w:tr w:rsidR="00000000" w14:paraId="37D0056F"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145C2DF0"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sz="4" w:space="0" w:color="auto"/>
              <w:right w:val="single" w:sz="4" w:space="0" w:color="auto"/>
            </w:tcBorders>
            <w:noWrap/>
            <w:vAlign w:val="center"/>
          </w:tcPr>
          <w:p w14:paraId="2F5B0BD5"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52E1B455"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000000" w14:paraId="05D854C3"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426D4406"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建设用地面积</w:t>
            </w:r>
          </w:p>
        </w:tc>
        <w:tc>
          <w:tcPr>
            <w:tcW w:w="1488" w:type="dxa"/>
            <w:tcBorders>
              <w:top w:val="nil"/>
              <w:left w:val="nil"/>
              <w:bottom w:val="single" w:sz="4" w:space="0" w:color="auto"/>
              <w:right w:val="single" w:sz="4" w:space="0" w:color="auto"/>
            </w:tcBorders>
            <w:noWrap/>
            <w:vAlign w:val="center"/>
          </w:tcPr>
          <w:p w14:paraId="74D765B4"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0665AE31"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000000" w14:paraId="17DFE69B"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573870D7"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总建筑面积</w:t>
            </w:r>
          </w:p>
        </w:tc>
        <w:tc>
          <w:tcPr>
            <w:tcW w:w="1488" w:type="dxa"/>
            <w:tcBorders>
              <w:top w:val="nil"/>
              <w:left w:val="nil"/>
              <w:bottom w:val="single" w:sz="4" w:space="0" w:color="auto"/>
              <w:right w:val="single" w:sz="4" w:space="0" w:color="auto"/>
            </w:tcBorders>
            <w:noWrap/>
            <w:vAlign w:val="center"/>
          </w:tcPr>
          <w:p w14:paraId="2B4DC432"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616C6EB4"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43300</w:t>
            </w:r>
          </w:p>
        </w:tc>
      </w:tr>
      <w:tr w:rsidR="00000000" w14:paraId="6D0107F3" w14:textId="77777777">
        <w:trPr>
          <w:trHeight w:val="280"/>
        </w:trPr>
        <w:tc>
          <w:tcPr>
            <w:tcW w:w="1165" w:type="dxa"/>
            <w:vMerge w:val="restart"/>
            <w:tcBorders>
              <w:top w:val="nil"/>
              <w:right w:val="single" w:sz="4" w:space="0" w:color="auto"/>
            </w:tcBorders>
            <w:noWrap/>
            <w:vAlign w:val="center"/>
          </w:tcPr>
          <w:p w14:paraId="039E7B6A"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sz="4" w:space="0" w:color="auto"/>
              <w:left w:val="nil"/>
              <w:bottom w:val="single" w:sz="4" w:space="0" w:color="auto"/>
              <w:right w:val="single" w:sz="4" w:space="0" w:color="auto"/>
            </w:tcBorders>
            <w:noWrap/>
            <w:vAlign w:val="center"/>
          </w:tcPr>
          <w:p w14:paraId="71F14056"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sz="4" w:space="0" w:color="auto"/>
              <w:right w:val="single" w:sz="4" w:space="0" w:color="auto"/>
            </w:tcBorders>
            <w:noWrap/>
            <w:vAlign w:val="center"/>
          </w:tcPr>
          <w:p w14:paraId="4F3E113C"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1B281D84"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32638</w:t>
            </w:r>
          </w:p>
        </w:tc>
      </w:tr>
      <w:tr w:rsidR="00000000" w14:paraId="391BF59E" w14:textId="77777777">
        <w:trPr>
          <w:trHeight w:val="280"/>
        </w:trPr>
        <w:tc>
          <w:tcPr>
            <w:tcW w:w="1165" w:type="dxa"/>
            <w:vMerge/>
            <w:tcBorders>
              <w:right w:val="single" w:sz="4" w:space="0" w:color="auto"/>
            </w:tcBorders>
            <w:vAlign w:val="center"/>
          </w:tcPr>
          <w:p w14:paraId="5B9ADB8E" w14:textId="77777777" w:rsidR="00000000" w:rsidRDefault="00000000">
            <w:pPr>
              <w:widowControl/>
              <w:spacing w:line="240" w:lineRule="auto"/>
              <w:jc w:val="center"/>
              <w:rPr>
                <w:rFonts w:ascii="Arial" w:hAnsi="Arial" w:cs="Arial"/>
                <w:color w:val="000000"/>
                <w:sz w:val="20"/>
              </w:rPr>
            </w:pPr>
          </w:p>
        </w:tc>
        <w:tc>
          <w:tcPr>
            <w:tcW w:w="1020" w:type="dxa"/>
            <w:vMerge w:val="restart"/>
            <w:tcBorders>
              <w:top w:val="nil"/>
              <w:left w:val="single" w:sz="4" w:space="0" w:color="auto"/>
              <w:bottom w:val="single" w:sz="4" w:space="0" w:color="auto"/>
              <w:right w:val="single" w:sz="4" w:space="0" w:color="auto"/>
            </w:tcBorders>
            <w:noWrap/>
            <w:vAlign w:val="center"/>
          </w:tcPr>
          <w:p w14:paraId="5EE5AE2D"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sz="4" w:space="0" w:color="auto"/>
              <w:right w:val="single" w:sz="4" w:space="0" w:color="auto"/>
            </w:tcBorders>
            <w:noWrap/>
            <w:vAlign w:val="center"/>
          </w:tcPr>
          <w:p w14:paraId="2C57DB27"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公寓建筑面积</w:t>
            </w:r>
          </w:p>
        </w:tc>
        <w:tc>
          <w:tcPr>
            <w:tcW w:w="1488" w:type="dxa"/>
            <w:tcBorders>
              <w:top w:val="nil"/>
              <w:left w:val="nil"/>
              <w:bottom w:val="single" w:sz="4" w:space="0" w:color="auto"/>
              <w:right w:val="single" w:sz="4" w:space="0" w:color="auto"/>
            </w:tcBorders>
            <w:noWrap/>
            <w:vAlign w:val="center"/>
          </w:tcPr>
          <w:p w14:paraId="417F22BC"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45646FA5"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31152</w:t>
            </w:r>
          </w:p>
        </w:tc>
      </w:tr>
      <w:tr w:rsidR="00000000" w14:paraId="023D9E84" w14:textId="77777777">
        <w:trPr>
          <w:trHeight w:val="280"/>
        </w:trPr>
        <w:tc>
          <w:tcPr>
            <w:tcW w:w="1165" w:type="dxa"/>
            <w:vMerge/>
            <w:tcBorders>
              <w:right w:val="single" w:sz="4" w:space="0" w:color="auto"/>
            </w:tcBorders>
            <w:vAlign w:val="center"/>
          </w:tcPr>
          <w:p w14:paraId="00AA7EBA" w14:textId="77777777" w:rsidR="00000000" w:rsidRDefault="00000000">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14:paraId="27CC4E42"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63E305A7"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商业建筑面积</w:t>
            </w:r>
          </w:p>
        </w:tc>
        <w:tc>
          <w:tcPr>
            <w:tcW w:w="1488" w:type="dxa"/>
            <w:tcBorders>
              <w:top w:val="nil"/>
              <w:left w:val="nil"/>
              <w:bottom w:val="single" w:sz="4" w:space="0" w:color="auto"/>
              <w:right w:val="single" w:sz="4" w:space="0" w:color="auto"/>
            </w:tcBorders>
            <w:noWrap/>
            <w:vAlign w:val="center"/>
          </w:tcPr>
          <w:p w14:paraId="175CCE8B"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5E6C77D2"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796</w:t>
            </w:r>
          </w:p>
        </w:tc>
      </w:tr>
      <w:tr w:rsidR="00000000" w14:paraId="03F7F28E" w14:textId="77777777">
        <w:trPr>
          <w:trHeight w:val="280"/>
        </w:trPr>
        <w:tc>
          <w:tcPr>
            <w:tcW w:w="1165" w:type="dxa"/>
            <w:vMerge/>
            <w:tcBorders>
              <w:right w:val="single" w:sz="4" w:space="0" w:color="auto"/>
            </w:tcBorders>
            <w:vAlign w:val="center"/>
          </w:tcPr>
          <w:p w14:paraId="10F6DEA9" w14:textId="77777777" w:rsidR="00000000" w:rsidRDefault="00000000">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14:paraId="69C8AF6B"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52FE8B4A"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地下建筑出入口</w:t>
            </w:r>
          </w:p>
        </w:tc>
        <w:tc>
          <w:tcPr>
            <w:tcW w:w="1488" w:type="dxa"/>
            <w:tcBorders>
              <w:top w:val="nil"/>
              <w:left w:val="nil"/>
              <w:bottom w:val="single" w:sz="4" w:space="0" w:color="auto"/>
              <w:right w:val="single" w:sz="4" w:space="0" w:color="auto"/>
            </w:tcBorders>
            <w:noWrap/>
            <w:vAlign w:val="center"/>
          </w:tcPr>
          <w:p w14:paraId="0A32738C"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4C877748"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150</w:t>
            </w:r>
          </w:p>
        </w:tc>
      </w:tr>
      <w:tr w:rsidR="00000000" w14:paraId="7ED9E775" w14:textId="77777777">
        <w:trPr>
          <w:trHeight w:val="280"/>
        </w:trPr>
        <w:tc>
          <w:tcPr>
            <w:tcW w:w="1165" w:type="dxa"/>
            <w:vMerge/>
            <w:tcBorders>
              <w:right w:val="single" w:sz="4" w:space="0" w:color="auto"/>
            </w:tcBorders>
            <w:vAlign w:val="center"/>
          </w:tcPr>
          <w:p w14:paraId="5A20EC8E" w14:textId="77777777" w:rsidR="00000000" w:rsidRDefault="00000000">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14:paraId="3C1FDB8D"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2D369381"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配套设施面积</w:t>
            </w:r>
          </w:p>
        </w:tc>
        <w:tc>
          <w:tcPr>
            <w:tcW w:w="1488" w:type="dxa"/>
            <w:tcBorders>
              <w:top w:val="nil"/>
              <w:left w:val="nil"/>
              <w:bottom w:val="single" w:sz="4" w:space="0" w:color="auto"/>
              <w:right w:val="single" w:sz="4" w:space="0" w:color="auto"/>
            </w:tcBorders>
            <w:noWrap/>
            <w:vAlign w:val="center"/>
          </w:tcPr>
          <w:p w14:paraId="21C58931"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322CE1A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540</w:t>
            </w:r>
          </w:p>
        </w:tc>
      </w:tr>
      <w:tr w:rsidR="00000000" w14:paraId="526A834A" w14:textId="77777777">
        <w:trPr>
          <w:trHeight w:val="280"/>
        </w:trPr>
        <w:tc>
          <w:tcPr>
            <w:tcW w:w="1165" w:type="dxa"/>
            <w:vMerge/>
            <w:tcBorders>
              <w:right w:val="single" w:sz="4" w:space="0" w:color="auto"/>
            </w:tcBorders>
            <w:vAlign w:val="center"/>
          </w:tcPr>
          <w:p w14:paraId="08917642" w14:textId="77777777" w:rsidR="00000000" w:rsidRDefault="00000000">
            <w:pPr>
              <w:widowControl/>
              <w:spacing w:line="240" w:lineRule="auto"/>
              <w:jc w:val="center"/>
              <w:rPr>
                <w:rFonts w:ascii="Arial" w:hAnsi="Arial" w:cs="Arial"/>
                <w:color w:val="000000"/>
                <w:sz w:val="20"/>
              </w:rPr>
            </w:pPr>
          </w:p>
        </w:tc>
        <w:tc>
          <w:tcPr>
            <w:tcW w:w="4361" w:type="dxa"/>
            <w:gridSpan w:val="2"/>
            <w:tcBorders>
              <w:top w:val="single" w:sz="4" w:space="0" w:color="auto"/>
              <w:left w:val="single" w:sz="4" w:space="0" w:color="auto"/>
              <w:bottom w:val="single" w:sz="4" w:space="0" w:color="auto"/>
              <w:right w:val="single" w:sz="4" w:space="0" w:color="auto"/>
            </w:tcBorders>
            <w:vAlign w:val="center"/>
          </w:tcPr>
          <w:p w14:paraId="4F72741A" w14:textId="77777777" w:rsidR="00000000" w:rsidRDefault="00000000">
            <w:pPr>
              <w:widowControl/>
              <w:spacing w:line="240" w:lineRule="auto"/>
              <w:jc w:val="center"/>
              <w:rPr>
                <w:rFonts w:ascii="Arial" w:hAnsi="Arial" w:cs="Arial" w:hint="eastAsia"/>
                <w:color w:val="000000"/>
                <w:sz w:val="20"/>
              </w:rPr>
            </w:pPr>
            <w:r>
              <w:rPr>
                <w:rFonts w:ascii="Arial" w:hAnsi="Arial" w:cs="Arial"/>
                <w:color w:val="000000"/>
                <w:sz w:val="20"/>
              </w:rPr>
              <w:t>地下建筑面积</w:t>
            </w:r>
          </w:p>
        </w:tc>
        <w:tc>
          <w:tcPr>
            <w:tcW w:w="1488" w:type="dxa"/>
            <w:tcBorders>
              <w:top w:val="nil"/>
              <w:left w:val="nil"/>
              <w:bottom w:val="single" w:sz="4" w:space="0" w:color="auto"/>
              <w:right w:val="single" w:sz="4" w:space="0" w:color="auto"/>
            </w:tcBorders>
            <w:noWrap/>
            <w:vAlign w:val="center"/>
          </w:tcPr>
          <w:p w14:paraId="74DCF723"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5C01F6EB"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10662</w:t>
            </w:r>
          </w:p>
        </w:tc>
      </w:tr>
      <w:tr w:rsidR="00000000" w14:paraId="5B5AEDEA" w14:textId="77777777">
        <w:trPr>
          <w:trHeight w:val="280"/>
        </w:trPr>
        <w:tc>
          <w:tcPr>
            <w:tcW w:w="1165" w:type="dxa"/>
            <w:vMerge/>
            <w:tcBorders>
              <w:right w:val="single" w:sz="4" w:space="0" w:color="auto"/>
            </w:tcBorders>
            <w:vAlign w:val="center"/>
          </w:tcPr>
          <w:p w14:paraId="5B3B99A1" w14:textId="77777777" w:rsidR="00000000" w:rsidRDefault="00000000">
            <w:pPr>
              <w:widowControl/>
              <w:spacing w:line="240" w:lineRule="auto"/>
              <w:jc w:val="center"/>
              <w:rPr>
                <w:rFonts w:ascii="Arial" w:hAnsi="Arial" w:cs="Arial"/>
                <w:color w:val="000000"/>
                <w:sz w:val="20"/>
              </w:rPr>
            </w:pPr>
          </w:p>
        </w:tc>
        <w:tc>
          <w:tcPr>
            <w:tcW w:w="1020" w:type="dxa"/>
            <w:vMerge w:val="restart"/>
            <w:tcBorders>
              <w:top w:val="single" w:sz="4" w:space="0" w:color="auto"/>
              <w:left w:val="single" w:sz="4" w:space="0" w:color="auto"/>
              <w:bottom w:val="single" w:sz="4" w:space="0" w:color="auto"/>
              <w:right w:val="single" w:sz="4" w:space="0" w:color="auto"/>
            </w:tcBorders>
            <w:vAlign w:val="center"/>
          </w:tcPr>
          <w:p w14:paraId="188196F9"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sz="4" w:space="0" w:color="auto"/>
              <w:left w:val="nil"/>
              <w:bottom w:val="single" w:sz="4" w:space="0" w:color="auto"/>
              <w:right w:val="single" w:sz="4" w:space="0" w:color="auto"/>
            </w:tcBorders>
            <w:noWrap/>
            <w:vAlign w:val="center"/>
          </w:tcPr>
          <w:p w14:paraId="3E898DFF"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人防建筑面积</w:t>
            </w:r>
          </w:p>
        </w:tc>
        <w:tc>
          <w:tcPr>
            <w:tcW w:w="1488" w:type="dxa"/>
            <w:tcBorders>
              <w:top w:val="nil"/>
              <w:left w:val="nil"/>
              <w:bottom w:val="single" w:sz="4" w:space="0" w:color="auto"/>
              <w:right w:val="single" w:sz="4" w:space="0" w:color="auto"/>
            </w:tcBorders>
            <w:noWrap/>
            <w:vAlign w:val="center"/>
          </w:tcPr>
          <w:p w14:paraId="3E194AAD"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6B529CEC"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2837</w:t>
            </w:r>
          </w:p>
        </w:tc>
      </w:tr>
      <w:tr w:rsidR="00000000" w14:paraId="718F89D2" w14:textId="77777777">
        <w:trPr>
          <w:trHeight w:val="280"/>
        </w:trPr>
        <w:tc>
          <w:tcPr>
            <w:tcW w:w="1165" w:type="dxa"/>
            <w:vMerge/>
            <w:tcBorders>
              <w:right w:val="single" w:sz="4" w:space="0" w:color="auto"/>
            </w:tcBorders>
            <w:vAlign w:val="center"/>
          </w:tcPr>
          <w:p w14:paraId="4A65FE4D" w14:textId="77777777" w:rsidR="00000000" w:rsidRDefault="00000000">
            <w:pPr>
              <w:widowControl/>
              <w:spacing w:line="240" w:lineRule="auto"/>
              <w:jc w:val="center"/>
              <w:rPr>
                <w:rFonts w:ascii="Arial" w:hAnsi="Arial" w:cs="Arial"/>
                <w:color w:val="000000"/>
                <w:sz w:val="20"/>
              </w:rPr>
            </w:pPr>
          </w:p>
        </w:tc>
        <w:tc>
          <w:tcPr>
            <w:tcW w:w="1020" w:type="dxa"/>
            <w:vMerge/>
            <w:tcBorders>
              <w:top w:val="single" w:sz="4" w:space="0" w:color="auto"/>
              <w:left w:val="single" w:sz="4" w:space="0" w:color="auto"/>
              <w:right w:val="single" w:sz="4" w:space="0" w:color="auto"/>
            </w:tcBorders>
            <w:vAlign w:val="center"/>
          </w:tcPr>
          <w:p w14:paraId="45D9B713" w14:textId="77777777" w:rsidR="00000000" w:rsidRDefault="00000000">
            <w:pPr>
              <w:widowControl/>
              <w:spacing w:line="240" w:lineRule="auto"/>
              <w:jc w:val="center"/>
              <w:rPr>
                <w:rFonts w:ascii="Arial" w:hAnsi="Arial" w:cs="Arial"/>
                <w:color w:val="000000"/>
                <w:sz w:val="20"/>
              </w:rPr>
            </w:pPr>
          </w:p>
        </w:tc>
        <w:tc>
          <w:tcPr>
            <w:tcW w:w="3341" w:type="dxa"/>
            <w:tcBorders>
              <w:top w:val="single" w:sz="4" w:space="0" w:color="auto"/>
              <w:left w:val="nil"/>
              <w:bottom w:val="single" w:sz="4" w:space="0" w:color="auto"/>
              <w:right w:val="single" w:sz="4" w:space="0" w:color="auto"/>
            </w:tcBorders>
            <w:noWrap/>
            <w:vAlign w:val="center"/>
          </w:tcPr>
          <w:p w14:paraId="4C512B58"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地下机动车库面积</w:t>
            </w:r>
          </w:p>
        </w:tc>
        <w:tc>
          <w:tcPr>
            <w:tcW w:w="1488" w:type="dxa"/>
            <w:tcBorders>
              <w:top w:val="nil"/>
              <w:left w:val="nil"/>
              <w:bottom w:val="single" w:sz="4" w:space="0" w:color="auto"/>
              <w:right w:val="single" w:sz="4" w:space="0" w:color="auto"/>
            </w:tcBorders>
            <w:noWrap/>
            <w:vAlign w:val="center"/>
          </w:tcPr>
          <w:p w14:paraId="60F8A7D5"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3E4B808D"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5556</w:t>
            </w:r>
          </w:p>
        </w:tc>
      </w:tr>
      <w:tr w:rsidR="00000000" w14:paraId="43BBC29C" w14:textId="77777777">
        <w:trPr>
          <w:trHeight w:val="280"/>
        </w:trPr>
        <w:tc>
          <w:tcPr>
            <w:tcW w:w="1165" w:type="dxa"/>
            <w:vMerge/>
            <w:tcBorders>
              <w:right w:val="single" w:sz="4" w:space="0" w:color="auto"/>
            </w:tcBorders>
            <w:vAlign w:val="center"/>
          </w:tcPr>
          <w:p w14:paraId="2AA72D02" w14:textId="77777777" w:rsidR="00000000" w:rsidRDefault="00000000">
            <w:pPr>
              <w:widowControl/>
              <w:spacing w:line="240" w:lineRule="auto"/>
              <w:jc w:val="center"/>
              <w:rPr>
                <w:rFonts w:ascii="Arial" w:hAnsi="Arial" w:cs="Arial"/>
                <w:color w:val="000000"/>
                <w:sz w:val="20"/>
              </w:rPr>
            </w:pPr>
          </w:p>
        </w:tc>
        <w:tc>
          <w:tcPr>
            <w:tcW w:w="1020" w:type="dxa"/>
            <w:vMerge/>
            <w:tcBorders>
              <w:left w:val="single" w:sz="4" w:space="0" w:color="auto"/>
              <w:right w:val="single" w:sz="4" w:space="0" w:color="auto"/>
            </w:tcBorders>
            <w:vAlign w:val="center"/>
          </w:tcPr>
          <w:p w14:paraId="6A7678F8"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5E0BBABA"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自行车</w:t>
            </w:r>
          </w:p>
        </w:tc>
        <w:tc>
          <w:tcPr>
            <w:tcW w:w="1488" w:type="dxa"/>
            <w:tcBorders>
              <w:top w:val="nil"/>
              <w:left w:val="nil"/>
              <w:bottom w:val="single" w:sz="4" w:space="0" w:color="auto"/>
              <w:right w:val="single" w:sz="4" w:space="0" w:color="auto"/>
            </w:tcBorders>
            <w:noWrap/>
            <w:vAlign w:val="center"/>
          </w:tcPr>
          <w:p w14:paraId="03075C59"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4C6E6F97"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979</w:t>
            </w:r>
          </w:p>
        </w:tc>
      </w:tr>
      <w:tr w:rsidR="00000000" w14:paraId="4067E40C" w14:textId="77777777">
        <w:trPr>
          <w:trHeight w:val="280"/>
        </w:trPr>
        <w:tc>
          <w:tcPr>
            <w:tcW w:w="1165" w:type="dxa"/>
            <w:vMerge/>
            <w:tcBorders>
              <w:right w:val="single" w:sz="4" w:space="0" w:color="auto"/>
            </w:tcBorders>
            <w:vAlign w:val="center"/>
          </w:tcPr>
          <w:p w14:paraId="1525A17B" w14:textId="77777777" w:rsidR="00000000" w:rsidRDefault="00000000">
            <w:pPr>
              <w:widowControl/>
              <w:spacing w:line="240" w:lineRule="auto"/>
              <w:jc w:val="center"/>
              <w:rPr>
                <w:rFonts w:ascii="Arial" w:hAnsi="Arial" w:cs="Arial"/>
                <w:color w:val="000000"/>
                <w:sz w:val="20"/>
              </w:rPr>
            </w:pPr>
          </w:p>
        </w:tc>
        <w:tc>
          <w:tcPr>
            <w:tcW w:w="1020" w:type="dxa"/>
            <w:vMerge/>
            <w:tcBorders>
              <w:left w:val="single" w:sz="4" w:space="0" w:color="auto"/>
              <w:bottom w:val="single" w:sz="4" w:space="0" w:color="auto"/>
              <w:right w:val="single" w:sz="4" w:space="0" w:color="auto"/>
            </w:tcBorders>
            <w:vAlign w:val="center"/>
          </w:tcPr>
          <w:p w14:paraId="5FB0B81C"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1993EE81"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设备用房</w:t>
            </w:r>
          </w:p>
        </w:tc>
        <w:tc>
          <w:tcPr>
            <w:tcW w:w="1488" w:type="dxa"/>
            <w:tcBorders>
              <w:top w:val="nil"/>
              <w:left w:val="nil"/>
              <w:bottom w:val="single" w:sz="4" w:space="0" w:color="auto"/>
              <w:right w:val="single" w:sz="4" w:space="0" w:color="auto"/>
            </w:tcBorders>
            <w:noWrap/>
            <w:vAlign w:val="center"/>
          </w:tcPr>
          <w:p w14:paraId="5B3186A8"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1607B2ED"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12900</w:t>
            </w:r>
          </w:p>
        </w:tc>
      </w:tr>
      <w:tr w:rsidR="00000000" w14:paraId="1F871FB4"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6CA471CE"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sz="4" w:space="0" w:color="auto"/>
              <w:right w:val="single" w:sz="4" w:space="0" w:color="auto"/>
            </w:tcBorders>
            <w:noWrap/>
            <w:vAlign w:val="center"/>
          </w:tcPr>
          <w:p w14:paraId="7BAED6AE"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sz="4" w:space="0" w:color="auto"/>
              <w:right w:val="single" w:sz="4" w:space="0" w:color="auto"/>
            </w:tcBorders>
            <w:noWrap/>
            <w:vAlign w:val="center"/>
          </w:tcPr>
          <w:p w14:paraId="7D6ED24F"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1090</w:t>
            </w:r>
          </w:p>
        </w:tc>
      </w:tr>
      <w:tr w:rsidR="00000000" w14:paraId="0D81F697"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1DD811BD"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机动车停车位</w:t>
            </w:r>
          </w:p>
        </w:tc>
        <w:tc>
          <w:tcPr>
            <w:tcW w:w="1488" w:type="dxa"/>
            <w:tcBorders>
              <w:top w:val="nil"/>
              <w:left w:val="nil"/>
              <w:bottom w:val="single" w:sz="4" w:space="0" w:color="auto"/>
              <w:right w:val="single" w:sz="4" w:space="0" w:color="auto"/>
            </w:tcBorders>
            <w:noWrap/>
            <w:vAlign w:val="center"/>
          </w:tcPr>
          <w:p w14:paraId="052D2EDE"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个</w:t>
            </w:r>
          </w:p>
        </w:tc>
        <w:tc>
          <w:tcPr>
            <w:tcW w:w="2436" w:type="dxa"/>
            <w:tcBorders>
              <w:top w:val="nil"/>
              <w:left w:val="nil"/>
              <w:bottom w:val="single" w:sz="4" w:space="0" w:color="auto"/>
              <w:right w:val="single" w:sz="4" w:space="0" w:color="auto"/>
            </w:tcBorders>
            <w:noWrap/>
            <w:vAlign w:val="center"/>
          </w:tcPr>
          <w:p w14:paraId="316BBEC2"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218</w:t>
            </w:r>
          </w:p>
        </w:tc>
      </w:tr>
      <w:tr w:rsidR="00000000" w14:paraId="7459ADDB"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4DDDB7BA"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sz="4" w:space="0" w:color="auto"/>
              <w:right w:val="single" w:sz="4" w:space="0" w:color="auto"/>
            </w:tcBorders>
            <w:noWrap/>
            <w:vAlign w:val="center"/>
          </w:tcPr>
          <w:p w14:paraId="4DDE2F3D"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5FC71ABD"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1.8</w:t>
            </w:r>
          </w:p>
        </w:tc>
      </w:tr>
      <w:tr w:rsidR="00000000" w14:paraId="795715BB"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2F6FABA9"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sz="4" w:space="0" w:color="auto"/>
              <w:right w:val="single" w:sz="4" w:space="0" w:color="auto"/>
            </w:tcBorders>
            <w:noWrap/>
            <w:vAlign w:val="center"/>
          </w:tcPr>
          <w:p w14:paraId="6A194B08"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67606D8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29.93</w:t>
            </w:r>
            <w:r>
              <w:rPr>
                <w:rFonts w:ascii="Arial" w:hAnsi="Arial" w:cs="Arial"/>
                <w:color w:val="000000"/>
                <w:sz w:val="20"/>
              </w:rPr>
              <w:t>%</w:t>
            </w:r>
          </w:p>
        </w:tc>
      </w:tr>
      <w:tr w:rsidR="00000000" w14:paraId="501C37A2"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1CE99588"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sz="4" w:space="0" w:color="auto"/>
              <w:right w:val="single" w:sz="4" w:space="0" w:color="auto"/>
            </w:tcBorders>
            <w:noWrap/>
            <w:vAlign w:val="center"/>
          </w:tcPr>
          <w:p w14:paraId="481A39C7"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31276A0D"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30.0</w:t>
            </w:r>
            <w:r>
              <w:rPr>
                <w:rFonts w:ascii="Arial" w:hAnsi="Arial" w:cs="Arial" w:hint="eastAsia"/>
                <w:color w:val="000000"/>
                <w:sz w:val="20"/>
              </w:rPr>
              <w:t>0%</w:t>
            </w:r>
          </w:p>
        </w:tc>
      </w:tr>
    </w:tbl>
    <w:p w14:paraId="658F238E" w14:textId="77777777" w:rsidR="00000000" w:rsidRDefault="00000000">
      <w:pPr>
        <w:spacing w:beforeLines="100" w:before="240" w:line="360" w:lineRule="auto"/>
        <w:jc w:val="both"/>
        <w:rPr>
          <w:rFonts w:ascii="Arial" w:hAnsi="Arial" w:cs="Arial"/>
          <w:sz w:val="28"/>
        </w:rPr>
      </w:pPr>
      <w:r>
        <w:rPr>
          <w:rFonts w:ascii="Arial" w:hAnsi="Arial" w:cs="Arial"/>
          <w:sz w:val="28"/>
        </w:rPr>
        <w:t>（四）土地使用年限</w:t>
      </w:r>
    </w:p>
    <w:p w14:paraId="3F53F965" w14:textId="77777777" w:rsidR="00000000" w:rsidRDefault="00000000">
      <w:pPr>
        <w:spacing w:line="360" w:lineRule="auto"/>
        <w:ind w:firstLineChars="200" w:firstLine="560"/>
        <w:jc w:val="both"/>
        <w:rPr>
          <w:rFonts w:ascii="Arial" w:hAnsi="Arial" w:cs="Arial"/>
          <w:sz w:val="28"/>
        </w:rPr>
      </w:pP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sz w:val="28"/>
        </w:rPr>
        <w:t>[</w:t>
      </w:r>
      <w:r>
        <w:rPr>
          <w:rFonts w:ascii="Arial" w:hAnsi="Arial" w:cs="Arial"/>
          <w:sz w:val="28"/>
        </w:rPr>
        <w:t>京规自发</w:t>
      </w:r>
      <w:r>
        <w:rPr>
          <w:rFonts w:ascii="Arial" w:hAnsi="Arial" w:cs="Arial"/>
          <w:sz w:val="28"/>
        </w:rPr>
        <w:t>[2018]64</w:t>
      </w:r>
      <w:r>
        <w:rPr>
          <w:rFonts w:ascii="Arial" w:hAnsi="Arial" w:cs="Arial"/>
          <w:sz w:val="28"/>
        </w:rPr>
        <w:t>号</w:t>
      </w:r>
      <w:r>
        <w:rPr>
          <w:rFonts w:ascii="Arial" w:hAnsi="Arial" w:cs="Arial"/>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w:t>
      </w:r>
      <w:r>
        <w:rPr>
          <w:rFonts w:ascii="Arial" w:hAnsi="Arial" w:cs="Arial"/>
          <w:sz w:val="28"/>
        </w:rPr>
        <w:lastRenderedPageBreak/>
        <w:t>营期限</w:t>
      </w:r>
      <w:r>
        <w:rPr>
          <w:rFonts w:ascii="Arial" w:hAnsi="Arial" w:cs="Arial"/>
          <w:sz w:val="28"/>
        </w:rPr>
        <w:t>50</w:t>
      </w:r>
      <w:r>
        <w:rPr>
          <w:rFonts w:ascii="Arial" w:hAnsi="Arial" w:cs="Arial"/>
          <w:sz w:val="28"/>
        </w:rPr>
        <w:t>年自项目公司成立开始计算。</w:t>
      </w:r>
    </w:p>
    <w:p w14:paraId="1393665F" w14:textId="77777777" w:rsidR="00000000" w:rsidRDefault="00000000">
      <w:pPr>
        <w:spacing w:line="360" w:lineRule="auto"/>
        <w:ind w:firstLineChars="200" w:firstLine="560"/>
        <w:jc w:val="both"/>
        <w:rPr>
          <w:rFonts w:ascii="Arial" w:hAnsi="Arial" w:cs="Arial"/>
          <w:sz w:val="28"/>
        </w:rPr>
      </w:pPr>
      <w:r>
        <w:rPr>
          <w:rFonts w:ascii="Arial" w:hAnsi="Arial" w:cs="Arial"/>
          <w:sz w:val="28"/>
        </w:rPr>
        <w:t>本次估价的</w:t>
      </w:r>
      <w:r>
        <w:rPr>
          <w:rFonts w:ascii="Arial" w:hAnsi="Arial" w:cs="Arial"/>
          <w:sz w:val="28"/>
        </w:rPr>
        <w:t>“</w:t>
      </w:r>
      <w:r>
        <w:rPr>
          <w:rFonts w:ascii="Arial" w:hAnsi="Arial" w:cs="Arial"/>
          <w:sz w:val="28"/>
        </w:rPr>
        <w:t>集体建设用地使用权价格</w:t>
      </w:r>
      <w:r>
        <w:rPr>
          <w:rFonts w:ascii="Arial" w:hAnsi="Arial" w:cs="Arial"/>
          <w:sz w:val="28"/>
        </w:rPr>
        <w:t>”</w:t>
      </w:r>
      <w:r>
        <w:rPr>
          <w:rFonts w:ascii="Arial" w:hAnsi="Arial" w:cs="Arial"/>
          <w:sz w:val="28"/>
        </w:rPr>
        <w:t>是指咨询对象土地所有权为集体所有，在公开市场条件下，于咨询期日</w:t>
      </w:r>
      <w:r>
        <w:rPr>
          <w:rFonts w:ascii="Arial" w:hAnsi="Arial" w:cs="Arial" w:hint="eastAsia"/>
          <w:sz w:val="28"/>
        </w:rPr>
        <w:t>2025</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22</w:t>
      </w:r>
      <w:r>
        <w:rPr>
          <w:rFonts w:ascii="Arial" w:hAnsi="Arial" w:cs="Arial" w:hint="eastAsia"/>
          <w:sz w:val="28"/>
        </w:rPr>
        <w:t>日</w:t>
      </w:r>
      <w:r>
        <w:rPr>
          <w:rFonts w:ascii="Arial" w:hAnsi="Arial" w:cs="Arial"/>
          <w:sz w:val="28"/>
        </w:rPr>
        <w:t>，在规划利用条件下，设定土地开发程度为宗地红线外市政基础设施达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（即通路、通上水、通下水）、宗地红线内场地平整，设定用途为住宅、商业、地下车库，剩余土地使用年限为</w:t>
      </w:r>
      <w:r>
        <w:rPr>
          <w:rFonts w:ascii="Arial" w:hAnsi="Arial" w:cs="Arial"/>
          <w:sz w:val="28"/>
        </w:rPr>
        <w:t>50</w:t>
      </w:r>
      <w:r>
        <w:rPr>
          <w:rFonts w:ascii="Arial" w:hAnsi="Arial" w:cs="Arial"/>
          <w:sz w:val="28"/>
        </w:rPr>
        <w:t>年的集体建设用地使用权价格。</w:t>
      </w:r>
    </w:p>
    <w:p w14:paraId="18CAF35A" w14:textId="77777777" w:rsidR="00000000" w:rsidRDefault="00000000">
      <w:pPr>
        <w:spacing w:line="360" w:lineRule="auto"/>
        <w:jc w:val="both"/>
        <w:rPr>
          <w:rFonts w:ascii="Arial" w:hAnsi="Arial" w:cs="Arial"/>
          <w:sz w:val="28"/>
        </w:rPr>
      </w:pPr>
    </w:p>
    <w:p w14:paraId="3CE676F2" w14:textId="77777777" w:rsidR="00000000" w:rsidRDefault="00000000">
      <w:pPr>
        <w:spacing w:line="360" w:lineRule="auto"/>
        <w:jc w:val="both"/>
        <w:outlineLvl w:val="1"/>
        <w:rPr>
          <w:rFonts w:ascii="Arial" w:hAnsi="Arial" w:cs="Arial"/>
          <w:sz w:val="28"/>
        </w:rPr>
      </w:pPr>
      <w:bookmarkStart w:id="247" w:name="_Toc469066158"/>
      <w:bookmarkStart w:id="248" w:name="_Toc97732760"/>
      <w:bookmarkStart w:id="249" w:name="_Toc18597"/>
      <w:bookmarkStart w:id="250" w:name="_Toc97732878"/>
      <w:bookmarkStart w:id="251" w:name="_Toc8911"/>
      <w:bookmarkStart w:id="252" w:name="_Toc416783576"/>
      <w:bookmarkStart w:id="253" w:name="_Toc416783672"/>
      <w:r>
        <w:rPr>
          <w:rFonts w:ascii="Arial" w:hAnsi="Arial" w:cs="Arial"/>
          <w:b/>
          <w:sz w:val="28"/>
        </w:rPr>
        <w:t>九、咨询结果</w:t>
      </w:r>
      <w:bookmarkEnd w:id="247"/>
      <w:bookmarkEnd w:id="248"/>
      <w:bookmarkEnd w:id="249"/>
      <w:bookmarkEnd w:id="250"/>
      <w:bookmarkEnd w:id="251"/>
      <w:bookmarkEnd w:id="252"/>
      <w:bookmarkEnd w:id="253"/>
    </w:p>
    <w:p w14:paraId="706E050B" w14:textId="77777777" w:rsidR="00000000" w:rsidRDefault="00000000">
      <w:pPr>
        <w:spacing w:line="360" w:lineRule="auto"/>
        <w:ind w:firstLineChars="200" w:firstLine="560"/>
        <w:jc w:val="both"/>
        <w:rPr>
          <w:rFonts w:ascii="Arial" w:hAnsi="Arial" w:cs="Arial"/>
          <w:kern w:val="2"/>
          <w:sz w:val="28"/>
        </w:rPr>
      </w:pPr>
      <w:bookmarkStart w:id="254" w:name="_Toc416783580"/>
      <w:bookmarkStart w:id="255" w:name="_Toc416783676"/>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47C45CC0" w14:textId="77777777" w:rsidR="00000000" w:rsidRDefault="00000000">
      <w:pPr>
        <w:spacing w:line="360" w:lineRule="auto"/>
        <w:ind w:firstLineChars="200" w:firstLine="560"/>
        <w:jc w:val="both"/>
        <w:rPr>
          <w:rFonts w:ascii="Arial" w:hAnsi="Arial" w:cs="Arial"/>
          <w:sz w:val="28"/>
        </w:rPr>
      </w:pPr>
      <w:r>
        <w:rPr>
          <w:rFonts w:ascii="Arial" w:hAnsi="Arial" w:cs="Arial"/>
          <w:sz w:val="28"/>
        </w:rPr>
        <w:t>集体建设用地使用权价格：</w:t>
      </w:r>
      <w:r>
        <w:rPr>
          <w:rFonts w:ascii="Arial" w:hAnsi="Arial" w:cs="Arial" w:hint="eastAsia"/>
          <w:sz w:val="28"/>
        </w:rPr>
        <w:t>2438.16</w:t>
      </w:r>
      <w:r>
        <w:rPr>
          <w:rFonts w:ascii="Arial" w:hAnsi="Arial" w:cs="Arial"/>
          <w:sz w:val="28"/>
        </w:rPr>
        <w:t>万元</w:t>
      </w:r>
    </w:p>
    <w:p w14:paraId="5326FF00" w14:textId="77777777" w:rsidR="00000000" w:rsidRDefault="00000000">
      <w:pPr>
        <w:spacing w:line="360" w:lineRule="auto"/>
        <w:ind w:firstLine="570"/>
        <w:jc w:val="both"/>
        <w:rPr>
          <w:rFonts w:ascii="Arial" w:hAnsi="Arial" w:cs="Arial"/>
          <w:sz w:val="28"/>
        </w:rPr>
      </w:pPr>
      <w:r>
        <w:rPr>
          <w:rFonts w:ascii="Arial" w:hAnsi="Arial" w:cs="Arial"/>
          <w:sz w:val="28"/>
        </w:rPr>
        <w:t>大写金额：人民币</w:t>
      </w:r>
      <w:r>
        <w:rPr>
          <w:rFonts w:ascii="Arial" w:hAnsi="Arial" w:cs="Arial"/>
          <w:sz w:val="28"/>
        </w:rPr>
        <w:fldChar w:fldCharType="begin"/>
      </w:r>
      <w:r>
        <w:rPr>
          <w:rFonts w:ascii="Arial" w:hAnsi="Arial" w:cs="Arial"/>
          <w:sz w:val="28"/>
        </w:rPr>
        <w:instrText xml:space="preserve"> = 634490000 \* CHINESENUM2 </w:instrText>
      </w:r>
      <w:r>
        <w:rPr>
          <w:rFonts w:ascii="Arial" w:hAnsi="Arial" w:cs="Arial"/>
          <w:sz w:val="28"/>
        </w:rPr>
        <w:fldChar w:fldCharType="separate"/>
      </w:r>
      <w:r>
        <w:rPr>
          <w:rFonts w:ascii="Arial" w:hAnsi="Arial" w:cs="Arial" w:hint="eastAsia"/>
          <w:sz w:val="28"/>
          <w:lang w:val="en-US"/>
        </w:rPr>
        <w:t>贰仟肆佰叁拾捌万壹仟陆佰</w:t>
      </w:r>
      <w:r>
        <w:rPr>
          <w:rFonts w:ascii="Arial" w:hAnsi="Arial" w:cs="Arial"/>
          <w:sz w:val="28"/>
        </w:rPr>
        <w:fldChar w:fldCharType="end"/>
      </w:r>
      <w:r>
        <w:rPr>
          <w:rFonts w:ascii="Arial" w:hAnsi="Arial" w:cs="Arial"/>
          <w:sz w:val="28"/>
        </w:rPr>
        <w:t>元整</w:t>
      </w:r>
    </w:p>
    <w:p w14:paraId="1A118742" w14:textId="77777777" w:rsidR="00000000" w:rsidRDefault="00000000">
      <w:pPr>
        <w:spacing w:line="360" w:lineRule="auto"/>
        <w:ind w:firstLine="570"/>
        <w:jc w:val="both"/>
        <w:rPr>
          <w:rFonts w:ascii="Arial" w:hAnsi="Arial" w:cs="Arial"/>
          <w:sz w:val="28"/>
        </w:rPr>
      </w:pPr>
      <w:r>
        <w:rPr>
          <w:rFonts w:ascii="Arial" w:hAnsi="Arial" w:cs="Arial"/>
          <w:sz w:val="28"/>
        </w:rPr>
        <w:t>单位面积地价：</w:t>
      </w:r>
      <w:r>
        <w:rPr>
          <w:rFonts w:ascii="Arial" w:hAnsi="Arial" w:cs="Arial" w:hint="eastAsia"/>
          <w:sz w:val="28"/>
        </w:rPr>
        <w:t>1439</w:t>
      </w:r>
      <w:r>
        <w:rPr>
          <w:rFonts w:ascii="Arial" w:hAnsi="Arial" w:cs="Arial"/>
          <w:sz w:val="28"/>
        </w:rPr>
        <w:t>元</w:t>
      </w:r>
      <w:r>
        <w:rPr>
          <w:rFonts w:ascii="Arial" w:hAnsi="Arial" w:cs="Arial"/>
          <w:sz w:val="28"/>
        </w:rPr>
        <w:t>/</w:t>
      </w:r>
      <w:r>
        <w:rPr>
          <w:rFonts w:ascii="Arial" w:hAnsi="Arial" w:cs="Arial"/>
          <w:sz w:val="28"/>
        </w:rPr>
        <w:t>平方米</w:t>
      </w:r>
    </w:p>
    <w:p w14:paraId="2D7EA3CD" w14:textId="77777777" w:rsidR="00000000" w:rsidRDefault="00000000">
      <w:pPr>
        <w:spacing w:line="360" w:lineRule="auto"/>
        <w:ind w:firstLine="570"/>
        <w:jc w:val="both"/>
        <w:rPr>
          <w:rFonts w:ascii="Arial" w:hAnsi="Arial" w:cs="Arial"/>
          <w:sz w:val="28"/>
        </w:rPr>
      </w:pPr>
      <w:r>
        <w:rPr>
          <w:rFonts w:ascii="Arial" w:hAnsi="Arial" w:cs="Arial"/>
          <w:sz w:val="28"/>
        </w:rPr>
        <w:t>楼面地价：</w:t>
      </w:r>
      <w:r>
        <w:rPr>
          <w:rFonts w:ascii="Arial" w:hAnsi="Arial" w:cs="Arial" w:hint="eastAsia"/>
          <w:sz w:val="28"/>
        </w:rPr>
        <w:t>603</w:t>
      </w:r>
      <w:r>
        <w:rPr>
          <w:rFonts w:ascii="Arial" w:hAnsi="Arial" w:cs="Arial"/>
          <w:sz w:val="28"/>
        </w:rPr>
        <w:t>元</w:t>
      </w:r>
      <w:r>
        <w:rPr>
          <w:rFonts w:ascii="Arial" w:hAnsi="Arial" w:cs="Arial"/>
          <w:sz w:val="28"/>
        </w:rPr>
        <w:t>/</w:t>
      </w:r>
      <w:r>
        <w:rPr>
          <w:rFonts w:ascii="Arial" w:hAnsi="Arial" w:cs="Arial"/>
          <w:sz w:val="28"/>
        </w:rPr>
        <w:t>平方米</w:t>
      </w:r>
    </w:p>
    <w:p w14:paraId="6E5ECB7B" w14:textId="77777777" w:rsidR="00000000" w:rsidRDefault="00000000">
      <w:pPr>
        <w:spacing w:line="360" w:lineRule="auto"/>
        <w:ind w:firstLineChars="200" w:firstLine="560"/>
        <w:jc w:val="both"/>
        <w:rPr>
          <w:rFonts w:ascii="Arial" w:hAnsi="Arial" w:cs="Arial"/>
          <w:sz w:val="28"/>
        </w:rPr>
      </w:pPr>
      <w:r>
        <w:rPr>
          <w:rFonts w:ascii="Arial" w:hAnsi="Arial" w:cs="Arial"/>
          <w:sz w:val="28"/>
        </w:rPr>
        <w:t>备注：</w:t>
      </w:r>
    </w:p>
    <w:p w14:paraId="45B12FFC" w14:textId="77777777" w:rsidR="00000000" w:rsidRDefault="00000000">
      <w:pPr>
        <w:spacing w:line="360" w:lineRule="auto"/>
        <w:ind w:firstLineChars="200" w:firstLine="560"/>
        <w:jc w:val="both"/>
        <w:rPr>
          <w:rFonts w:ascii="Arial" w:hAnsi="Arial" w:cs="Arial"/>
          <w:sz w:val="28"/>
        </w:rPr>
      </w:pPr>
      <w:r>
        <w:rPr>
          <w:rFonts w:ascii="Arial" w:hAnsi="Arial" w:cs="Arial"/>
          <w:sz w:val="28"/>
        </w:rPr>
        <w:t xml:space="preserve">1. </w:t>
      </w:r>
      <w:r>
        <w:rPr>
          <w:rFonts w:ascii="Arial" w:hAnsi="Arial" w:cs="Arial"/>
          <w:sz w:val="28"/>
        </w:rPr>
        <w:t>在本次评估过程中，目前该开发项目尚未正式进行开发施工，评估专业人员尚未取得《</w:t>
      </w:r>
      <w:r>
        <w:rPr>
          <w:rFonts w:ascii="Arial" w:hAnsi="Arial" w:cs="Arial"/>
          <w:sz w:val="28"/>
        </w:rPr>
        <w:t xml:space="preserve"> “</w:t>
      </w:r>
      <w:r>
        <w:rPr>
          <w:rFonts w:ascii="Arial" w:hAnsi="Arial" w:cs="Arial"/>
          <w:sz w:val="28"/>
        </w:rPr>
        <w:t>多规合一</w:t>
      </w:r>
      <w:r>
        <w:rPr>
          <w:rFonts w:ascii="Arial" w:hAnsi="Arial" w:cs="Arial"/>
          <w:sz w:val="28"/>
        </w:rPr>
        <w:t>”</w:t>
      </w:r>
      <w:r>
        <w:rPr>
          <w:rFonts w:ascii="Arial" w:hAnsi="Arial" w:cs="Arial"/>
          <w:sz w:val="28"/>
        </w:rPr>
        <w:t>协同平台初审意见的函》、《北京市发展和改革委员会关于顺义区南法信镇</w:t>
      </w:r>
      <w:r>
        <w:rPr>
          <w:rFonts w:ascii="Arial" w:hAnsi="Arial" w:cs="Arial" w:hint="eastAsia"/>
          <w:sz w:val="28"/>
        </w:rPr>
        <w:t>百泉庄村经济组织</w:t>
      </w:r>
      <w:r>
        <w:rPr>
          <w:rFonts w:ascii="Arial" w:hAnsi="Arial" w:cs="Arial"/>
          <w:sz w:val="28"/>
        </w:rPr>
        <w:t>集体土地租赁住房项目核准的批复》等相关项目资料，本次评估过程中涉及的相关测算参数主要是依据《北京市规划和自然资源委员会关于北京市</w:t>
      </w:r>
      <w:r>
        <w:rPr>
          <w:rFonts w:ascii="Arial" w:hAnsi="Arial" w:cs="Arial" w:hint="eastAsia"/>
          <w:sz w:val="28"/>
        </w:rPr>
        <w:t>昌平区马池口镇百泉庄村集体土地租赁住房项目</w:t>
      </w:r>
      <w:r>
        <w:rPr>
          <w:rFonts w:ascii="Arial" w:hAnsi="Arial" w:cs="Arial"/>
          <w:sz w:val="28"/>
        </w:rPr>
        <w:t>控制性详细规划的批复》</w:t>
      </w:r>
      <w:r>
        <w:rPr>
          <w:rFonts w:ascii="Arial" w:hAnsi="Arial" w:cs="Arial"/>
          <w:sz w:val="28"/>
        </w:rPr>
        <w:t>[</w:t>
      </w:r>
      <w:r>
        <w:rPr>
          <w:rFonts w:ascii="Arial" w:hAnsi="Arial" w:cs="Arial"/>
          <w:sz w:val="28"/>
        </w:rPr>
        <w:t>京规自函（</w:t>
      </w:r>
      <w:r>
        <w:rPr>
          <w:rFonts w:ascii="Arial" w:hAnsi="Arial" w:cs="Arial"/>
          <w:sz w:val="28"/>
        </w:rPr>
        <w:t>2020</w:t>
      </w:r>
      <w:r>
        <w:rPr>
          <w:rFonts w:ascii="Arial" w:hAnsi="Arial" w:cs="Arial"/>
          <w:sz w:val="28"/>
        </w:rPr>
        <w:t>）</w:t>
      </w:r>
      <w:r>
        <w:rPr>
          <w:rFonts w:ascii="Arial" w:hAnsi="Arial" w:cs="Arial"/>
          <w:sz w:val="28"/>
        </w:rPr>
        <w:t>22</w:t>
      </w:r>
      <w:r>
        <w:rPr>
          <w:rFonts w:ascii="Arial" w:hAnsi="Arial" w:cs="Arial"/>
          <w:sz w:val="28"/>
        </w:rPr>
        <w:t>号</w:t>
      </w:r>
      <w:r>
        <w:rPr>
          <w:rFonts w:ascii="Arial" w:hAnsi="Arial" w:cs="Arial"/>
          <w:sz w:val="28"/>
        </w:rPr>
        <w:t>]</w:t>
      </w:r>
      <w:r>
        <w:rPr>
          <w:rFonts w:ascii="Arial" w:hAnsi="Arial" w:cs="Arial"/>
          <w:sz w:val="28"/>
        </w:rPr>
        <w:t>中的数据、委托方提供的《估价委托书》及介绍的情况测算，如上述数据发生变化，可能会对目前的评估结论产生影响。</w:t>
      </w:r>
    </w:p>
    <w:p w14:paraId="398AAB97" w14:textId="77777777" w:rsidR="00000000" w:rsidRDefault="00000000">
      <w:pPr>
        <w:spacing w:line="360" w:lineRule="auto"/>
        <w:ind w:firstLineChars="200" w:firstLine="560"/>
        <w:jc w:val="both"/>
        <w:rPr>
          <w:rFonts w:ascii="Arial" w:hAnsi="Arial" w:cs="Arial"/>
          <w:sz w:val="28"/>
        </w:rPr>
      </w:pPr>
      <w:r>
        <w:rPr>
          <w:rFonts w:ascii="Arial" w:hAnsi="Arial" w:cs="Arial"/>
          <w:sz w:val="28"/>
        </w:rPr>
        <w:lastRenderedPageBreak/>
        <w:t>2</w:t>
      </w:r>
      <w:r>
        <w:rPr>
          <w:rFonts w:ascii="Arial" w:hAnsi="Arial" w:cs="Arial"/>
          <w:sz w:val="28"/>
        </w:rPr>
        <w:t>．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17E59FEB" w14:textId="77777777" w:rsidR="00000000" w:rsidRDefault="00000000">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．本次剩余法测算过程中，项目运营收入、成本、费用等为开发项目过程中以及建成后出租经济行为产生的相关收入和成本、费用，未包含开发项目建成后运营期与物业管理相关的收入、成本、费用；</w:t>
      </w:r>
    </w:p>
    <w:p w14:paraId="5F34A89A" w14:textId="77777777" w:rsidR="00000000" w:rsidRDefault="00000000">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sz w:val="28"/>
        </w:rPr>
        <w:t>[</w:t>
      </w:r>
      <w:r>
        <w:rPr>
          <w:rFonts w:ascii="Arial" w:hAnsi="Arial" w:cs="Arial"/>
          <w:sz w:val="28"/>
        </w:rPr>
        <w:t>京规自发</w:t>
      </w:r>
      <w:r>
        <w:rPr>
          <w:rFonts w:ascii="Arial" w:hAnsi="Arial" w:cs="Arial"/>
          <w:sz w:val="28"/>
        </w:rPr>
        <w:t>[2018]64</w:t>
      </w:r>
      <w:r>
        <w:rPr>
          <w:rFonts w:ascii="Arial" w:hAnsi="Arial" w:cs="Arial"/>
          <w:sz w:val="28"/>
        </w:rPr>
        <w:t>号</w:t>
      </w:r>
      <w:r>
        <w:rPr>
          <w:rFonts w:ascii="Arial" w:hAnsi="Arial" w:cs="Arial"/>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年。根据委托方提供的相关资料及对开发建设项目建设安排，联营期限</w:t>
      </w:r>
      <w:r>
        <w:rPr>
          <w:rFonts w:ascii="Arial" w:hAnsi="Arial" w:cs="Arial"/>
          <w:sz w:val="28"/>
        </w:rPr>
        <w:t>50</w:t>
      </w:r>
      <w:r>
        <w:rPr>
          <w:rFonts w:ascii="Arial" w:hAnsi="Arial" w:cs="Arial"/>
          <w:sz w:val="28"/>
        </w:rPr>
        <w:t>年自项目公司成立开始计算。根据相关规定，该开发项目只能采取出租的形式获得项目收入，介于收益期过长，本次评估考虑折现；合作期限</w:t>
      </w:r>
      <w:r>
        <w:rPr>
          <w:rFonts w:ascii="Arial" w:hAnsi="Arial" w:cs="Arial"/>
          <w:sz w:val="28"/>
        </w:rPr>
        <w:t>50</w:t>
      </w:r>
      <w:r>
        <w:rPr>
          <w:rFonts w:ascii="Arial" w:hAnsi="Arial" w:cs="Arial"/>
          <w:sz w:val="28"/>
        </w:rPr>
        <w:t>年结束后的后续处理模式，由于目前针对退出时相关政策行文件尚未正式出台，故届时将按照有关规定执行。综上所述，本次评估只考虑</w:t>
      </w:r>
      <w:r>
        <w:rPr>
          <w:rFonts w:ascii="Arial" w:hAnsi="Arial" w:cs="Arial"/>
          <w:sz w:val="28"/>
        </w:rPr>
        <w:t>50</w:t>
      </w:r>
      <w:r>
        <w:rPr>
          <w:rFonts w:ascii="Arial" w:hAnsi="Arial" w:cs="Arial"/>
          <w:sz w:val="28"/>
        </w:rPr>
        <w:t>年合作期限内的收益。</w:t>
      </w:r>
    </w:p>
    <w:p w14:paraId="0234F890" w14:textId="77777777" w:rsidR="00000000" w:rsidRDefault="00000000">
      <w:pPr>
        <w:spacing w:line="360" w:lineRule="auto"/>
        <w:ind w:firstLineChars="200" w:firstLine="560"/>
        <w:jc w:val="both"/>
        <w:rPr>
          <w:rFonts w:ascii="Arial" w:hAnsi="Arial" w:cs="Arial"/>
          <w:sz w:val="28"/>
        </w:rPr>
      </w:pPr>
    </w:p>
    <w:p w14:paraId="45304CE8" w14:textId="77777777" w:rsidR="00000000" w:rsidRDefault="00000000">
      <w:pPr>
        <w:spacing w:line="360" w:lineRule="auto"/>
        <w:ind w:firstLineChars="200" w:firstLine="560"/>
        <w:jc w:val="both"/>
        <w:rPr>
          <w:rFonts w:ascii="Arial" w:hAnsi="Arial" w:cs="Arial"/>
          <w:sz w:val="28"/>
        </w:rPr>
        <w:sectPr w:rsidR="00000000">
          <w:footerReference w:type="first" r:id="rId53"/>
          <w:pgSz w:w="11907" w:h="16840"/>
          <w:pgMar w:top="1843" w:right="1304" w:bottom="1134" w:left="1304" w:header="1134" w:footer="907" w:gutter="0"/>
          <w:cols w:space="720"/>
          <w:titlePg/>
          <w:docGrid w:linePitch="326"/>
        </w:sectPr>
      </w:pPr>
    </w:p>
    <w:p w14:paraId="69033AA5" w14:textId="77777777" w:rsidR="00000000" w:rsidRDefault="00000000">
      <w:pPr>
        <w:spacing w:line="240" w:lineRule="auto"/>
        <w:outlineLvl w:val="1"/>
        <w:rPr>
          <w:rFonts w:ascii="Arial" w:hAnsi="Arial" w:cs="Arial"/>
          <w:b/>
          <w:sz w:val="28"/>
        </w:rPr>
      </w:pPr>
      <w:bookmarkStart w:id="256" w:name="_Toc2632"/>
      <w:bookmarkStart w:id="257" w:name="_Toc30535"/>
      <w:r>
        <w:rPr>
          <w:rFonts w:ascii="Arial" w:hAnsi="Arial" w:cs="Arial"/>
          <w:bCs/>
          <w:sz w:val="28"/>
        </w:rPr>
        <w:lastRenderedPageBreak/>
        <w:t>附</w:t>
      </w:r>
      <w:r>
        <w:rPr>
          <w:rFonts w:ascii="Arial" w:hAnsi="Arial" w:cs="Arial"/>
          <w:b/>
          <w:sz w:val="28"/>
        </w:rPr>
        <w:t xml:space="preserve">                                           </w:t>
      </w:r>
      <w:r>
        <w:rPr>
          <w:rFonts w:ascii="Arial" w:hAnsi="Arial" w:cs="Arial"/>
          <w:b/>
          <w:sz w:val="28"/>
        </w:rPr>
        <w:t>咨询结果一览表</w:t>
      </w:r>
      <w:bookmarkEnd w:id="256"/>
      <w:bookmarkEnd w:id="257"/>
    </w:p>
    <w:p w14:paraId="3BEDBF08" w14:textId="77777777" w:rsidR="00000000" w:rsidRDefault="00000000">
      <w:pPr>
        <w:spacing w:line="240" w:lineRule="auto"/>
        <w:rPr>
          <w:rFonts w:ascii="Arial" w:hAnsi="Arial" w:cs="Arial"/>
          <w:bCs/>
          <w:sz w:val="18"/>
        </w:rPr>
      </w:pPr>
      <w:r>
        <w:rPr>
          <w:rFonts w:ascii="Arial" w:hAnsi="Arial" w:cs="Arial"/>
          <w:bCs/>
          <w:sz w:val="18"/>
        </w:rPr>
        <w:t>估价机构：</w:t>
      </w:r>
      <w:r>
        <w:rPr>
          <w:rFonts w:ascii="Arial" w:hAnsi="Arial" w:cs="Arial"/>
          <w:sz w:val="18"/>
        </w:rPr>
        <w:t>北京康正宏基房地产评估有限公司</w:t>
      </w:r>
      <w:r>
        <w:rPr>
          <w:rFonts w:ascii="Arial" w:hAnsi="Arial" w:cs="Arial"/>
          <w:sz w:val="18"/>
        </w:rPr>
        <w:t xml:space="preserve"> </w:t>
      </w:r>
      <w:r>
        <w:rPr>
          <w:rFonts w:ascii="Arial" w:hAnsi="Arial" w:cs="Arial"/>
          <w:bCs/>
          <w:sz w:val="18"/>
        </w:rPr>
        <w:t xml:space="preserve">  </w:t>
      </w:r>
      <w:r>
        <w:rPr>
          <w:rFonts w:ascii="Arial" w:hAnsi="Arial" w:cs="Arial"/>
          <w:bCs/>
          <w:sz w:val="18"/>
        </w:rPr>
        <w:t>咨询报告编号：康正评字</w:t>
      </w:r>
      <w:r>
        <w:rPr>
          <w:rFonts w:ascii="Arial" w:hAnsi="Arial" w:cs="Arial"/>
          <w:bCs/>
          <w:sz w:val="18"/>
        </w:rPr>
        <w:t>2022-1-0152-F02TDCR6</w:t>
      </w:r>
      <w:r>
        <w:rPr>
          <w:rFonts w:ascii="Arial" w:hAnsi="Arial" w:cs="Arial"/>
          <w:bCs/>
          <w:sz w:val="18"/>
        </w:rPr>
        <w:t>号</w:t>
      </w:r>
      <w:r>
        <w:rPr>
          <w:rFonts w:ascii="Arial" w:hAnsi="Arial" w:cs="Arial"/>
          <w:bCs/>
          <w:sz w:val="18"/>
        </w:rPr>
        <w:t xml:space="preserve">   </w:t>
      </w:r>
      <w:r>
        <w:rPr>
          <w:rFonts w:ascii="Arial" w:hAnsi="Arial" w:cs="Arial"/>
          <w:bCs/>
          <w:sz w:val="18"/>
        </w:rPr>
        <w:t>咨询期日：</w:t>
      </w:r>
      <w:r>
        <w:rPr>
          <w:rFonts w:ascii="Arial" w:hAnsi="Arial" w:cs="Arial" w:hint="eastAsia"/>
          <w:bCs/>
          <w:sz w:val="18"/>
        </w:rPr>
        <w:t>2025</w:t>
      </w:r>
      <w:r>
        <w:rPr>
          <w:rFonts w:ascii="Arial" w:hAnsi="Arial" w:cs="Arial" w:hint="eastAsia"/>
          <w:bCs/>
          <w:sz w:val="18"/>
        </w:rPr>
        <w:t>年</w:t>
      </w:r>
      <w:r>
        <w:rPr>
          <w:rFonts w:ascii="Arial" w:hAnsi="Arial" w:cs="Arial" w:hint="eastAsia"/>
          <w:bCs/>
          <w:sz w:val="18"/>
        </w:rPr>
        <w:t>10</w:t>
      </w:r>
      <w:r>
        <w:rPr>
          <w:rFonts w:ascii="Arial" w:hAnsi="Arial" w:cs="Arial" w:hint="eastAsia"/>
          <w:bCs/>
          <w:sz w:val="18"/>
        </w:rPr>
        <w:t>月</w:t>
      </w:r>
      <w:r>
        <w:rPr>
          <w:rFonts w:ascii="Arial" w:hAnsi="Arial" w:cs="Arial" w:hint="eastAsia"/>
          <w:bCs/>
          <w:sz w:val="18"/>
        </w:rPr>
        <w:t>20</w:t>
      </w:r>
      <w:r>
        <w:rPr>
          <w:rFonts w:ascii="Arial" w:hAnsi="Arial" w:cs="Arial" w:hint="eastAsia"/>
          <w:bCs/>
          <w:sz w:val="18"/>
        </w:rPr>
        <w:t>日</w:t>
      </w:r>
      <w:r>
        <w:rPr>
          <w:rFonts w:ascii="Arial" w:hAnsi="Arial" w:cs="Arial"/>
          <w:bCs/>
          <w:sz w:val="18"/>
        </w:rPr>
        <w:t xml:space="preserve">   </w:t>
      </w:r>
      <w:r>
        <w:rPr>
          <w:rFonts w:ascii="Arial" w:hAnsi="Arial" w:cs="Arial"/>
          <w:bCs/>
          <w:sz w:val="18"/>
        </w:rPr>
        <w:t>咨询期日的集体建设用地使用权性质：</w:t>
      </w:r>
      <w:r>
        <w:rPr>
          <w:rFonts w:ascii="Arial" w:hAnsi="Arial" w:cs="Arial"/>
          <w:bCs/>
          <w:sz w:val="18"/>
        </w:rPr>
        <w:t xml:space="preserve"> </w:t>
      </w:r>
    </w:p>
    <w:tbl>
      <w:tblPr>
        <w:tblW w:w="15876" w:type="dxa"/>
        <w:jc w:val="center"/>
        <w:tblInd w:w="0"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000" w:firstRow="0" w:lastRow="0" w:firstColumn="0" w:lastColumn="0" w:noHBand="0" w:noVBand="0"/>
      </w:tblPr>
      <w:tblGrid>
        <w:gridCol w:w="991"/>
        <w:gridCol w:w="795"/>
        <w:gridCol w:w="1187"/>
        <w:gridCol w:w="1148"/>
        <w:gridCol w:w="1039"/>
        <w:gridCol w:w="747"/>
        <w:gridCol w:w="747"/>
        <w:gridCol w:w="576"/>
        <w:gridCol w:w="576"/>
        <w:gridCol w:w="576"/>
        <w:gridCol w:w="862"/>
        <w:gridCol w:w="862"/>
        <w:gridCol w:w="1005"/>
        <w:gridCol w:w="953"/>
        <w:gridCol w:w="953"/>
        <w:gridCol w:w="953"/>
        <w:gridCol w:w="953"/>
        <w:gridCol w:w="953"/>
      </w:tblGrid>
      <w:tr w:rsidR="00000000" w14:paraId="01D34E1E" w14:textId="77777777">
        <w:trPr>
          <w:cantSplit/>
          <w:jc w:val="center"/>
        </w:trPr>
        <w:tc>
          <w:tcPr>
            <w:tcW w:w="991" w:type="dxa"/>
            <w:vMerge w:val="restart"/>
            <w:vAlign w:val="center"/>
          </w:tcPr>
          <w:p w14:paraId="2AC66FBF" w14:textId="77777777" w:rsidR="00000000" w:rsidRDefault="00000000">
            <w:pPr>
              <w:spacing w:line="240" w:lineRule="exact"/>
              <w:rPr>
                <w:rFonts w:ascii="Arial" w:hAnsi="Arial" w:cs="Arial"/>
                <w:bCs/>
                <w:sz w:val="18"/>
                <w:szCs w:val="18"/>
              </w:rPr>
            </w:pPr>
            <w:r>
              <w:rPr>
                <w:rFonts w:ascii="Arial" w:hAnsi="Arial" w:cs="Arial"/>
                <w:bCs/>
                <w:sz w:val="18"/>
                <w:szCs w:val="18"/>
              </w:rPr>
              <w:t>咨询期日土地使用</w:t>
            </w:r>
            <w:r>
              <w:rPr>
                <w:rFonts w:ascii="Arial" w:hAnsi="Arial" w:cs="Arial" w:hint="eastAsia"/>
                <w:bCs/>
                <w:sz w:val="18"/>
                <w:szCs w:val="18"/>
              </w:rPr>
              <w:t>权人</w:t>
            </w:r>
          </w:p>
        </w:tc>
        <w:tc>
          <w:tcPr>
            <w:tcW w:w="795" w:type="dxa"/>
            <w:vMerge w:val="restart"/>
            <w:vAlign w:val="center"/>
          </w:tcPr>
          <w:p w14:paraId="19B9C410" w14:textId="77777777" w:rsidR="00000000" w:rsidRDefault="00000000">
            <w:pPr>
              <w:spacing w:line="240" w:lineRule="exact"/>
              <w:rPr>
                <w:rFonts w:ascii="Arial" w:hAnsi="Arial" w:cs="Arial"/>
                <w:bCs/>
                <w:sz w:val="18"/>
                <w:szCs w:val="18"/>
              </w:rPr>
            </w:pPr>
            <w:r>
              <w:rPr>
                <w:rFonts w:ascii="Arial" w:hAnsi="Arial" w:cs="Arial"/>
                <w:bCs/>
                <w:sz w:val="18"/>
                <w:szCs w:val="18"/>
              </w:rPr>
              <w:t>宗地编号</w:t>
            </w:r>
          </w:p>
        </w:tc>
        <w:tc>
          <w:tcPr>
            <w:tcW w:w="1187" w:type="dxa"/>
            <w:vMerge w:val="restart"/>
            <w:vAlign w:val="center"/>
          </w:tcPr>
          <w:p w14:paraId="06A34CD8" w14:textId="77777777" w:rsidR="00000000" w:rsidRDefault="00000000">
            <w:pPr>
              <w:spacing w:line="240" w:lineRule="exact"/>
              <w:rPr>
                <w:rFonts w:ascii="Arial" w:hAnsi="Arial" w:cs="Arial"/>
                <w:bCs/>
                <w:sz w:val="18"/>
                <w:szCs w:val="18"/>
              </w:rPr>
            </w:pPr>
            <w:r>
              <w:rPr>
                <w:rFonts w:ascii="Arial" w:hAnsi="Arial" w:cs="Arial"/>
                <w:bCs/>
                <w:sz w:val="18"/>
                <w:szCs w:val="18"/>
              </w:rPr>
              <w:t>宗地名称</w:t>
            </w:r>
          </w:p>
        </w:tc>
        <w:tc>
          <w:tcPr>
            <w:tcW w:w="1148" w:type="dxa"/>
            <w:vMerge w:val="restart"/>
            <w:vAlign w:val="center"/>
          </w:tcPr>
          <w:p w14:paraId="41C7A255" w14:textId="77777777" w:rsidR="00000000" w:rsidRDefault="00000000">
            <w:pPr>
              <w:spacing w:line="240" w:lineRule="exact"/>
              <w:rPr>
                <w:rFonts w:ascii="Arial" w:hAnsi="Arial" w:cs="Arial"/>
                <w:bCs/>
                <w:sz w:val="18"/>
                <w:szCs w:val="18"/>
              </w:rPr>
            </w:pPr>
            <w:r>
              <w:rPr>
                <w:rFonts w:ascii="Arial" w:hAnsi="Arial" w:cs="Arial"/>
                <w:bCs/>
                <w:sz w:val="18"/>
                <w:szCs w:val="18"/>
              </w:rPr>
              <w:t>土地使用证编号</w:t>
            </w:r>
          </w:p>
        </w:tc>
        <w:tc>
          <w:tcPr>
            <w:tcW w:w="2533" w:type="dxa"/>
            <w:gridSpan w:val="3"/>
            <w:vAlign w:val="center"/>
          </w:tcPr>
          <w:p w14:paraId="22AB62A2" w14:textId="77777777" w:rsidR="00000000" w:rsidRDefault="00000000">
            <w:pPr>
              <w:spacing w:line="240" w:lineRule="exact"/>
              <w:ind w:rightChars="-45" w:right="-108"/>
              <w:rPr>
                <w:rFonts w:ascii="Arial" w:hAnsi="Arial" w:cs="Arial"/>
                <w:bCs/>
                <w:sz w:val="18"/>
                <w:szCs w:val="18"/>
              </w:rPr>
            </w:pPr>
            <w:r>
              <w:rPr>
                <w:rFonts w:ascii="Arial" w:hAnsi="Arial" w:cs="Arial"/>
                <w:bCs/>
                <w:sz w:val="18"/>
                <w:szCs w:val="18"/>
              </w:rPr>
              <w:t>咨询期日的用途</w:t>
            </w:r>
          </w:p>
        </w:tc>
        <w:tc>
          <w:tcPr>
            <w:tcW w:w="1728" w:type="dxa"/>
            <w:gridSpan w:val="3"/>
            <w:vAlign w:val="center"/>
          </w:tcPr>
          <w:p w14:paraId="23F3ACD5" w14:textId="77777777" w:rsidR="00000000" w:rsidRDefault="00000000">
            <w:pPr>
              <w:spacing w:line="240" w:lineRule="exact"/>
              <w:rPr>
                <w:rFonts w:ascii="Arial" w:hAnsi="Arial" w:cs="Arial"/>
                <w:bCs/>
                <w:sz w:val="18"/>
                <w:szCs w:val="18"/>
              </w:rPr>
            </w:pPr>
            <w:r>
              <w:rPr>
                <w:rFonts w:ascii="Arial" w:hAnsi="Arial" w:cs="Arial"/>
                <w:bCs/>
                <w:sz w:val="18"/>
                <w:szCs w:val="18"/>
              </w:rPr>
              <w:t>容积率</w:t>
            </w:r>
          </w:p>
        </w:tc>
        <w:tc>
          <w:tcPr>
            <w:tcW w:w="862" w:type="dxa"/>
            <w:vMerge w:val="restart"/>
            <w:vAlign w:val="center"/>
          </w:tcPr>
          <w:p w14:paraId="563A21E6" w14:textId="77777777" w:rsidR="00000000" w:rsidRDefault="00000000">
            <w:pPr>
              <w:spacing w:line="240" w:lineRule="exact"/>
              <w:rPr>
                <w:rFonts w:ascii="Arial" w:hAnsi="Arial" w:cs="Arial"/>
                <w:bCs/>
                <w:sz w:val="18"/>
                <w:szCs w:val="18"/>
              </w:rPr>
            </w:pPr>
            <w:r>
              <w:rPr>
                <w:rFonts w:ascii="Arial" w:hAnsi="Arial" w:cs="Arial"/>
                <w:bCs/>
                <w:sz w:val="18"/>
                <w:szCs w:val="18"/>
              </w:rPr>
              <w:t>咨询期日的实际土地开发程度</w:t>
            </w:r>
          </w:p>
        </w:tc>
        <w:tc>
          <w:tcPr>
            <w:tcW w:w="862" w:type="dxa"/>
            <w:vMerge w:val="restart"/>
            <w:vAlign w:val="center"/>
          </w:tcPr>
          <w:p w14:paraId="0F334914" w14:textId="77777777" w:rsidR="00000000" w:rsidRDefault="00000000">
            <w:pPr>
              <w:spacing w:line="240" w:lineRule="exact"/>
              <w:rPr>
                <w:rFonts w:ascii="Arial" w:hAnsi="Arial" w:cs="Arial"/>
                <w:bCs/>
                <w:sz w:val="18"/>
                <w:szCs w:val="18"/>
              </w:rPr>
            </w:pPr>
            <w:r>
              <w:rPr>
                <w:rFonts w:ascii="Arial" w:hAnsi="Arial" w:cs="Arial"/>
                <w:bCs/>
                <w:sz w:val="18"/>
                <w:szCs w:val="18"/>
              </w:rPr>
              <w:t>估价设定的土地开发程度</w:t>
            </w:r>
          </w:p>
        </w:tc>
        <w:tc>
          <w:tcPr>
            <w:tcW w:w="1005" w:type="dxa"/>
            <w:vMerge w:val="restart"/>
            <w:vAlign w:val="center"/>
          </w:tcPr>
          <w:p w14:paraId="3D87338C" w14:textId="77777777" w:rsidR="00000000" w:rsidRDefault="00000000">
            <w:pPr>
              <w:spacing w:line="240" w:lineRule="exact"/>
              <w:rPr>
                <w:rFonts w:ascii="Arial" w:hAnsi="Arial" w:cs="Arial"/>
                <w:bCs/>
                <w:sz w:val="18"/>
                <w:szCs w:val="18"/>
              </w:rPr>
            </w:pPr>
            <w:r>
              <w:rPr>
                <w:rFonts w:ascii="Arial" w:hAnsi="Arial" w:cs="Arial"/>
                <w:bCs/>
                <w:sz w:val="18"/>
                <w:szCs w:val="18"/>
              </w:rPr>
              <w:t>土地使用年限</w:t>
            </w:r>
            <w:r>
              <w:rPr>
                <w:rFonts w:ascii="Arial" w:hAnsi="Arial" w:cs="Arial"/>
                <w:bCs/>
                <w:sz w:val="18"/>
                <w:szCs w:val="18"/>
              </w:rPr>
              <w:t>/</w:t>
            </w:r>
            <w:r>
              <w:rPr>
                <w:rFonts w:ascii="Arial" w:hAnsi="Arial" w:cs="Arial"/>
                <w:bCs/>
                <w:sz w:val="18"/>
                <w:szCs w:val="18"/>
              </w:rPr>
              <w:t>年</w:t>
            </w:r>
          </w:p>
        </w:tc>
        <w:tc>
          <w:tcPr>
            <w:tcW w:w="953" w:type="dxa"/>
            <w:vMerge w:val="restart"/>
            <w:vAlign w:val="center"/>
          </w:tcPr>
          <w:p w14:paraId="06D14CF1" w14:textId="77777777" w:rsidR="00000000" w:rsidRDefault="00000000">
            <w:pPr>
              <w:spacing w:line="240" w:lineRule="exact"/>
              <w:rPr>
                <w:rFonts w:ascii="Arial" w:hAnsi="Arial" w:cs="Arial"/>
                <w:bCs/>
                <w:sz w:val="18"/>
                <w:szCs w:val="18"/>
              </w:rPr>
            </w:pPr>
            <w:r>
              <w:rPr>
                <w:rFonts w:ascii="Arial" w:hAnsi="Arial" w:cs="Arial"/>
                <w:bCs/>
                <w:sz w:val="18"/>
                <w:szCs w:val="18"/>
              </w:rPr>
              <w:t>土地面积</w:t>
            </w:r>
            <w:r>
              <w:rPr>
                <w:rFonts w:ascii="Arial" w:hAnsi="Arial" w:cs="Arial"/>
                <w:bCs/>
                <w:sz w:val="18"/>
                <w:szCs w:val="18"/>
              </w:rPr>
              <w:t>/</w:t>
            </w:r>
            <w:r>
              <w:rPr>
                <w:rFonts w:ascii="Arial" w:hAnsi="Arial" w:cs="Arial"/>
                <w:bCs/>
                <w:sz w:val="18"/>
                <w:szCs w:val="18"/>
              </w:rPr>
              <w:t>㎡</w:t>
            </w:r>
          </w:p>
        </w:tc>
        <w:tc>
          <w:tcPr>
            <w:tcW w:w="953" w:type="dxa"/>
            <w:vMerge w:val="restart"/>
            <w:vAlign w:val="center"/>
          </w:tcPr>
          <w:p w14:paraId="26816D2E" w14:textId="77777777" w:rsidR="00000000" w:rsidRDefault="00000000">
            <w:pPr>
              <w:spacing w:line="240" w:lineRule="exact"/>
              <w:rPr>
                <w:rFonts w:ascii="Arial" w:hAnsi="Arial" w:cs="Arial"/>
                <w:bCs/>
                <w:sz w:val="18"/>
                <w:szCs w:val="18"/>
              </w:rPr>
            </w:pPr>
            <w:r>
              <w:rPr>
                <w:rFonts w:ascii="Arial" w:hAnsi="Arial" w:cs="Arial"/>
                <w:bCs/>
                <w:sz w:val="18"/>
                <w:szCs w:val="18"/>
              </w:rPr>
              <w:t>规划建筑面积</w:t>
            </w:r>
            <w:r>
              <w:rPr>
                <w:rFonts w:ascii="Arial" w:hAnsi="Arial" w:cs="Arial"/>
                <w:bCs/>
                <w:sz w:val="18"/>
                <w:szCs w:val="18"/>
              </w:rPr>
              <w:t>/</w:t>
            </w:r>
            <w:r>
              <w:rPr>
                <w:rFonts w:ascii="Arial" w:hAnsi="Arial" w:cs="Arial"/>
                <w:bCs/>
                <w:sz w:val="18"/>
                <w:szCs w:val="18"/>
              </w:rPr>
              <w:t>㎡</w:t>
            </w:r>
          </w:p>
        </w:tc>
        <w:tc>
          <w:tcPr>
            <w:tcW w:w="953" w:type="dxa"/>
            <w:vMerge w:val="restart"/>
            <w:vAlign w:val="center"/>
          </w:tcPr>
          <w:p w14:paraId="4E4636F5" w14:textId="77777777" w:rsidR="00000000" w:rsidRDefault="00000000">
            <w:pPr>
              <w:spacing w:line="240" w:lineRule="exact"/>
              <w:rPr>
                <w:rFonts w:ascii="Arial" w:hAnsi="Arial" w:cs="Arial"/>
                <w:bCs/>
                <w:sz w:val="18"/>
                <w:szCs w:val="18"/>
              </w:rPr>
            </w:pPr>
            <w:r>
              <w:rPr>
                <w:rFonts w:ascii="Arial" w:hAnsi="Arial" w:cs="Arial"/>
                <w:bCs/>
                <w:sz w:val="18"/>
                <w:szCs w:val="18"/>
              </w:rPr>
              <w:t>单位面积地价</w:t>
            </w:r>
            <w:r>
              <w:rPr>
                <w:rFonts w:ascii="Arial" w:hAnsi="Arial" w:cs="Arial"/>
                <w:bCs/>
                <w:sz w:val="18"/>
                <w:szCs w:val="18"/>
              </w:rPr>
              <w:t>/</w:t>
            </w:r>
          </w:p>
          <w:p w14:paraId="76B72626" w14:textId="77777777" w:rsidR="00000000" w:rsidRDefault="00000000">
            <w:pPr>
              <w:spacing w:line="240" w:lineRule="exact"/>
              <w:rPr>
                <w:rFonts w:ascii="Arial" w:hAnsi="Arial" w:cs="Arial"/>
                <w:bCs/>
                <w:sz w:val="18"/>
                <w:szCs w:val="18"/>
              </w:rPr>
            </w:pPr>
            <w:r>
              <w:rPr>
                <w:rFonts w:ascii="Arial" w:hAnsi="Arial" w:cs="Arial"/>
                <w:bCs/>
                <w:sz w:val="18"/>
                <w:szCs w:val="18"/>
              </w:rPr>
              <w:t>元</w:t>
            </w:r>
            <w:r>
              <w:rPr>
                <w:rFonts w:ascii="Arial" w:hAnsi="Arial" w:cs="Arial"/>
                <w:bCs/>
                <w:sz w:val="18"/>
                <w:szCs w:val="18"/>
              </w:rPr>
              <w:t>/</w:t>
            </w:r>
            <w:r>
              <w:rPr>
                <w:rFonts w:ascii="Arial" w:hAnsi="Arial" w:cs="Arial"/>
                <w:bCs/>
                <w:sz w:val="18"/>
                <w:szCs w:val="18"/>
              </w:rPr>
              <w:t>㎡</w:t>
            </w:r>
          </w:p>
        </w:tc>
        <w:tc>
          <w:tcPr>
            <w:tcW w:w="953" w:type="dxa"/>
            <w:vMerge w:val="restart"/>
            <w:vAlign w:val="center"/>
          </w:tcPr>
          <w:p w14:paraId="6B3F7524" w14:textId="77777777" w:rsidR="00000000" w:rsidRDefault="00000000">
            <w:pPr>
              <w:spacing w:line="240" w:lineRule="exact"/>
              <w:rPr>
                <w:rFonts w:ascii="Arial" w:hAnsi="Arial" w:cs="Arial"/>
                <w:bCs/>
                <w:sz w:val="18"/>
                <w:szCs w:val="18"/>
              </w:rPr>
            </w:pPr>
            <w:r>
              <w:rPr>
                <w:rFonts w:ascii="Arial" w:hAnsi="Arial" w:cs="Arial"/>
                <w:bCs/>
                <w:sz w:val="18"/>
                <w:szCs w:val="18"/>
              </w:rPr>
              <w:t>楼面地价</w:t>
            </w:r>
            <w:r>
              <w:rPr>
                <w:rFonts w:ascii="Arial" w:hAnsi="Arial" w:cs="Arial"/>
                <w:bCs/>
                <w:sz w:val="18"/>
                <w:szCs w:val="18"/>
              </w:rPr>
              <w:t>/</w:t>
            </w:r>
            <w:r>
              <w:rPr>
                <w:rFonts w:ascii="Arial" w:hAnsi="Arial" w:cs="Arial"/>
                <w:bCs/>
                <w:sz w:val="18"/>
                <w:szCs w:val="18"/>
              </w:rPr>
              <w:t>元</w:t>
            </w:r>
            <w:r>
              <w:rPr>
                <w:rFonts w:ascii="Arial" w:hAnsi="Arial" w:cs="Arial"/>
                <w:bCs/>
                <w:sz w:val="18"/>
                <w:szCs w:val="18"/>
              </w:rPr>
              <w:t>/</w:t>
            </w:r>
            <w:r>
              <w:rPr>
                <w:rFonts w:ascii="Arial" w:hAnsi="Arial" w:cs="Arial"/>
                <w:bCs/>
                <w:sz w:val="18"/>
                <w:szCs w:val="18"/>
              </w:rPr>
              <w:t>㎡</w:t>
            </w:r>
          </w:p>
        </w:tc>
        <w:tc>
          <w:tcPr>
            <w:tcW w:w="953" w:type="dxa"/>
            <w:vMerge w:val="restart"/>
            <w:vAlign w:val="center"/>
          </w:tcPr>
          <w:p w14:paraId="7C7DD14C" w14:textId="77777777" w:rsidR="00000000" w:rsidRDefault="00000000">
            <w:pPr>
              <w:spacing w:line="240" w:lineRule="exact"/>
              <w:rPr>
                <w:rFonts w:ascii="Arial" w:hAnsi="Arial" w:cs="Arial"/>
                <w:bCs/>
                <w:sz w:val="18"/>
                <w:szCs w:val="18"/>
              </w:rPr>
            </w:pPr>
            <w:r>
              <w:rPr>
                <w:rFonts w:ascii="Arial" w:hAnsi="Arial" w:cs="Arial"/>
                <w:bCs/>
                <w:sz w:val="18"/>
                <w:szCs w:val="18"/>
              </w:rPr>
              <w:t>总地价</w:t>
            </w:r>
            <w:r>
              <w:rPr>
                <w:rFonts w:ascii="Arial" w:hAnsi="Arial" w:cs="Arial"/>
                <w:bCs/>
                <w:sz w:val="18"/>
                <w:szCs w:val="18"/>
              </w:rPr>
              <w:t>/</w:t>
            </w:r>
            <w:r>
              <w:rPr>
                <w:rFonts w:ascii="Arial" w:hAnsi="Arial" w:cs="Arial"/>
                <w:bCs/>
                <w:sz w:val="18"/>
                <w:szCs w:val="18"/>
              </w:rPr>
              <w:t>万元</w:t>
            </w:r>
          </w:p>
        </w:tc>
      </w:tr>
      <w:tr w:rsidR="00000000" w14:paraId="3885FE4D" w14:textId="77777777">
        <w:trPr>
          <w:cantSplit/>
          <w:jc w:val="center"/>
        </w:trPr>
        <w:tc>
          <w:tcPr>
            <w:tcW w:w="991" w:type="dxa"/>
            <w:vMerge/>
            <w:vAlign w:val="center"/>
          </w:tcPr>
          <w:p w14:paraId="226891F8" w14:textId="77777777" w:rsidR="00000000" w:rsidRDefault="00000000">
            <w:pPr>
              <w:spacing w:line="240" w:lineRule="exact"/>
              <w:rPr>
                <w:rFonts w:ascii="Arial" w:hAnsi="Arial" w:cs="Arial"/>
                <w:bCs/>
                <w:sz w:val="18"/>
                <w:szCs w:val="18"/>
              </w:rPr>
            </w:pPr>
          </w:p>
        </w:tc>
        <w:tc>
          <w:tcPr>
            <w:tcW w:w="795" w:type="dxa"/>
            <w:vMerge/>
          </w:tcPr>
          <w:p w14:paraId="20B48BFF" w14:textId="77777777" w:rsidR="00000000" w:rsidRDefault="00000000">
            <w:pPr>
              <w:spacing w:line="240" w:lineRule="exact"/>
              <w:rPr>
                <w:rFonts w:ascii="Arial" w:hAnsi="Arial" w:cs="Arial"/>
                <w:bCs/>
                <w:sz w:val="18"/>
                <w:szCs w:val="18"/>
              </w:rPr>
            </w:pPr>
          </w:p>
        </w:tc>
        <w:tc>
          <w:tcPr>
            <w:tcW w:w="1187" w:type="dxa"/>
            <w:vMerge/>
            <w:vAlign w:val="center"/>
          </w:tcPr>
          <w:p w14:paraId="496B8942" w14:textId="77777777" w:rsidR="00000000" w:rsidRDefault="00000000">
            <w:pPr>
              <w:spacing w:line="240" w:lineRule="exact"/>
              <w:rPr>
                <w:rFonts w:ascii="Arial" w:hAnsi="Arial" w:cs="Arial"/>
                <w:bCs/>
                <w:sz w:val="18"/>
                <w:szCs w:val="18"/>
              </w:rPr>
            </w:pPr>
          </w:p>
        </w:tc>
        <w:tc>
          <w:tcPr>
            <w:tcW w:w="1148" w:type="dxa"/>
            <w:vMerge/>
            <w:vAlign w:val="center"/>
          </w:tcPr>
          <w:p w14:paraId="3D7D77BA" w14:textId="77777777" w:rsidR="00000000" w:rsidRDefault="00000000">
            <w:pPr>
              <w:spacing w:line="240" w:lineRule="exact"/>
              <w:rPr>
                <w:rFonts w:ascii="Arial" w:hAnsi="Arial" w:cs="Arial"/>
                <w:bCs/>
                <w:sz w:val="18"/>
                <w:szCs w:val="18"/>
              </w:rPr>
            </w:pPr>
          </w:p>
        </w:tc>
        <w:tc>
          <w:tcPr>
            <w:tcW w:w="1039" w:type="dxa"/>
            <w:vAlign w:val="center"/>
          </w:tcPr>
          <w:p w14:paraId="1166F0BE" w14:textId="77777777" w:rsidR="00000000" w:rsidRDefault="00000000">
            <w:pPr>
              <w:spacing w:line="240" w:lineRule="exact"/>
              <w:rPr>
                <w:rFonts w:ascii="Arial" w:hAnsi="Arial" w:cs="Arial"/>
                <w:bCs/>
                <w:sz w:val="18"/>
                <w:szCs w:val="18"/>
              </w:rPr>
            </w:pPr>
            <w:r>
              <w:rPr>
                <w:rFonts w:ascii="Arial" w:hAnsi="Arial" w:cs="Arial"/>
                <w:bCs/>
                <w:sz w:val="18"/>
                <w:szCs w:val="18"/>
              </w:rPr>
              <w:t>证载</w:t>
            </w:r>
          </w:p>
        </w:tc>
        <w:tc>
          <w:tcPr>
            <w:tcW w:w="747" w:type="dxa"/>
            <w:vAlign w:val="center"/>
          </w:tcPr>
          <w:p w14:paraId="352E5828" w14:textId="77777777" w:rsidR="00000000" w:rsidRDefault="00000000">
            <w:pPr>
              <w:spacing w:line="240" w:lineRule="exact"/>
              <w:rPr>
                <w:rFonts w:ascii="Arial" w:hAnsi="Arial" w:cs="Arial"/>
                <w:bCs/>
                <w:sz w:val="18"/>
                <w:szCs w:val="18"/>
              </w:rPr>
            </w:pPr>
            <w:r>
              <w:rPr>
                <w:rFonts w:ascii="Arial" w:hAnsi="Arial" w:cs="Arial"/>
                <w:bCs/>
                <w:sz w:val="18"/>
                <w:szCs w:val="18"/>
              </w:rPr>
              <w:t>实际</w:t>
            </w:r>
          </w:p>
        </w:tc>
        <w:tc>
          <w:tcPr>
            <w:tcW w:w="747" w:type="dxa"/>
            <w:vAlign w:val="center"/>
          </w:tcPr>
          <w:p w14:paraId="4DF8B3AC" w14:textId="77777777" w:rsidR="00000000" w:rsidRDefault="00000000">
            <w:pPr>
              <w:spacing w:line="240" w:lineRule="exact"/>
              <w:ind w:rightChars="-45" w:right="-108"/>
              <w:rPr>
                <w:rFonts w:ascii="Arial" w:hAnsi="Arial" w:cs="Arial"/>
                <w:bCs/>
                <w:sz w:val="18"/>
                <w:szCs w:val="18"/>
              </w:rPr>
            </w:pPr>
            <w:r>
              <w:rPr>
                <w:rFonts w:ascii="Arial" w:hAnsi="Arial" w:cs="Arial"/>
                <w:bCs/>
                <w:sz w:val="18"/>
                <w:szCs w:val="18"/>
              </w:rPr>
              <w:t>设定</w:t>
            </w:r>
          </w:p>
        </w:tc>
        <w:tc>
          <w:tcPr>
            <w:tcW w:w="576" w:type="dxa"/>
            <w:vAlign w:val="center"/>
          </w:tcPr>
          <w:p w14:paraId="5911AFB7" w14:textId="77777777" w:rsidR="00000000" w:rsidRDefault="00000000">
            <w:pPr>
              <w:spacing w:line="240" w:lineRule="exact"/>
              <w:rPr>
                <w:rFonts w:ascii="Arial" w:hAnsi="Arial" w:cs="Arial"/>
                <w:bCs/>
                <w:sz w:val="18"/>
                <w:szCs w:val="18"/>
              </w:rPr>
            </w:pPr>
            <w:r>
              <w:rPr>
                <w:rFonts w:ascii="Arial" w:hAnsi="Arial" w:cs="Arial"/>
                <w:bCs/>
                <w:sz w:val="18"/>
                <w:szCs w:val="18"/>
              </w:rPr>
              <w:t>规划</w:t>
            </w:r>
          </w:p>
        </w:tc>
        <w:tc>
          <w:tcPr>
            <w:tcW w:w="576" w:type="dxa"/>
            <w:vAlign w:val="center"/>
          </w:tcPr>
          <w:p w14:paraId="168EDE58" w14:textId="77777777" w:rsidR="00000000" w:rsidRDefault="00000000">
            <w:pPr>
              <w:spacing w:line="240" w:lineRule="exact"/>
              <w:rPr>
                <w:rFonts w:ascii="Arial" w:hAnsi="Arial" w:cs="Arial"/>
                <w:bCs/>
                <w:sz w:val="18"/>
                <w:szCs w:val="18"/>
              </w:rPr>
            </w:pPr>
            <w:r>
              <w:rPr>
                <w:rFonts w:ascii="Arial" w:hAnsi="Arial" w:cs="Arial"/>
                <w:bCs/>
                <w:sz w:val="18"/>
                <w:szCs w:val="18"/>
              </w:rPr>
              <w:t>实际</w:t>
            </w:r>
          </w:p>
        </w:tc>
        <w:tc>
          <w:tcPr>
            <w:tcW w:w="576" w:type="dxa"/>
            <w:vAlign w:val="center"/>
          </w:tcPr>
          <w:p w14:paraId="01F487CD" w14:textId="77777777" w:rsidR="00000000" w:rsidRDefault="00000000">
            <w:pPr>
              <w:spacing w:line="240" w:lineRule="exact"/>
              <w:rPr>
                <w:rFonts w:ascii="Arial" w:hAnsi="Arial" w:cs="Arial"/>
                <w:bCs/>
                <w:sz w:val="18"/>
                <w:szCs w:val="18"/>
              </w:rPr>
            </w:pPr>
            <w:r>
              <w:rPr>
                <w:rFonts w:ascii="Arial" w:hAnsi="Arial" w:cs="Arial"/>
                <w:bCs/>
                <w:sz w:val="18"/>
                <w:szCs w:val="18"/>
              </w:rPr>
              <w:t>设定</w:t>
            </w:r>
          </w:p>
        </w:tc>
        <w:tc>
          <w:tcPr>
            <w:tcW w:w="862" w:type="dxa"/>
            <w:vMerge/>
            <w:vAlign w:val="center"/>
          </w:tcPr>
          <w:p w14:paraId="1D0A6EEF" w14:textId="77777777" w:rsidR="00000000" w:rsidRDefault="00000000">
            <w:pPr>
              <w:spacing w:line="240" w:lineRule="exact"/>
              <w:rPr>
                <w:rFonts w:ascii="Arial" w:hAnsi="Arial" w:cs="Arial"/>
                <w:bCs/>
                <w:sz w:val="18"/>
                <w:szCs w:val="18"/>
              </w:rPr>
            </w:pPr>
          </w:p>
        </w:tc>
        <w:tc>
          <w:tcPr>
            <w:tcW w:w="862" w:type="dxa"/>
            <w:vMerge/>
            <w:vAlign w:val="center"/>
          </w:tcPr>
          <w:p w14:paraId="344E87CA" w14:textId="77777777" w:rsidR="00000000" w:rsidRDefault="00000000">
            <w:pPr>
              <w:spacing w:line="240" w:lineRule="exact"/>
              <w:rPr>
                <w:rFonts w:ascii="Arial" w:hAnsi="Arial" w:cs="Arial"/>
                <w:bCs/>
                <w:sz w:val="18"/>
                <w:szCs w:val="18"/>
              </w:rPr>
            </w:pPr>
          </w:p>
        </w:tc>
        <w:tc>
          <w:tcPr>
            <w:tcW w:w="1005" w:type="dxa"/>
            <w:vMerge/>
            <w:vAlign w:val="center"/>
          </w:tcPr>
          <w:p w14:paraId="43BC2D5E" w14:textId="77777777" w:rsidR="00000000" w:rsidRDefault="00000000">
            <w:pPr>
              <w:spacing w:line="240" w:lineRule="exact"/>
              <w:rPr>
                <w:rFonts w:ascii="Arial" w:hAnsi="Arial" w:cs="Arial"/>
                <w:bCs/>
                <w:sz w:val="18"/>
                <w:szCs w:val="18"/>
              </w:rPr>
            </w:pPr>
          </w:p>
        </w:tc>
        <w:tc>
          <w:tcPr>
            <w:tcW w:w="953" w:type="dxa"/>
            <w:vMerge/>
            <w:vAlign w:val="center"/>
          </w:tcPr>
          <w:p w14:paraId="252558F3" w14:textId="77777777" w:rsidR="00000000" w:rsidRDefault="00000000">
            <w:pPr>
              <w:spacing w:line="240" w:lineRule="exact"/>
              <w:rPr>
                <w:rFonts w:ascii="Arial" w:hAnsi="Arial" w:cs="Arial"/>
                <w:bCs/>
                <w:sz w:val="18"/>
                <w:szCs w:val="18"/>
              </w:rPr>
            </w:pPr>
          </w:p>
        </w:tc>
        <w:tc>
          <w:tcPr>
            <w:tcW w:w="953" w:type="dxa"/>
            <w:vMerge/>
            <w:vAlign w:val="center"/>
          </w:tcPr>
          <w:p w14:paraId="24D2280A" w14:textId="77777777" w:rsidR="00000000" w:rsidRDefault="00000000">
            <w:pPr>
              <w:spacing w:line="240" w:lineRule="exact"/>
              <w:rPr>
                <w:rFonts w:ascii="Arial" w:hAnsi="Arial" w:cs="Arial"/>
                <w:bCs/>
                <w:sz w:val="18"/>
                <w:szCs w:val="18"/>
              </w:rPr>
            </w:pPr>
          </w:p>
        </w:tc>
        <w:tc>
          <w:tcPr>
            <w:tcW w:w="953" w:type="dxa"/>
            <w:vMerge/>
            <w:vAlign w:val="center"/>
          </w:tcPr>
          <w:p w14:paraId="2D56BF3B" w14:textId="77777777" w:rsidR="00000000" w:rsidRDefault="00000000">
            <w:pPr>
              <w:spacing w:line="240" w:lineRule="exact"/>
              <w:rPr>
                <w:rFonts w:ascii="Arial" w:hAnsi="Arial" w:cs="Arial"/>
                <w:bCs/>
                <w:sz w:val="18"/>
                <w:szCs w:val="18"/>
              </w:rPr>
            </w:pPr>
          </w:p>
        </w:tc>
        <w:tc>
          <w:tcPr>
            <w:tcW w:w="953" w:type="dxa"/>
            <w:vMerge/>
            <w:vAlign w:val="center"/>
          </w:tcPr>
          <w:p w14:paraId="73F30BBA" w14:textId="77777777" w:rsidR="00000000" w:rsidRDefault="00000000">
            <w:pPr>
              <w:spacing w:line="240" w:lineRule="exact"/>
              <w:rPr>
                <w:rFonts w:ascii="Arial" w:hAnsi="Arial" w:cs="Arial"/>
                <w:bCs/>
                <w:sz w:val="18"/>
                <w:szCs w:val="18"/>
              </w:rPr>
            </w:pPr>
          </w:p>
        </w:tc>
        <w:tc>
          <w:tcPr>
            <w:tcW w:w="953" w:type="dxa"/>
            <w:vMerge/>
            <w:vAlign w:val="center"/>
          </w:tcPr>
          <w:p w14:paraId="4E15E1D8" w14:textId="77777777" w:rsidR="00000000" w:rsidRDefault="00000000">
            <w:pPr>
              <w:spacing w:line="240" w:lineRule="exact"/>
              <w:rPr>
                <w:rFonts w:ascii="Arial" w:hAnsi="Arial" w:cs="Arial"/>
                <w:bCs/>
                <w:sz w:val="18"/>
                <w:szCs w:val="18"/>
              </w:rPr>
            </w:pPr>
          </w:p>
        </w:tc>
      </w:tr>
      <w:tr w:rsidR="00000000" w14:paraId="7F0CBB92" w14:textId="77777777">
        <w:trPr>
          <w:cantSplit/>
          <w:jc w:val="center"/>
        </w:trPr>
        <w:tc>
          <w:tcPr>
            <w:tcW w:w="991" w:type="dxa"/>
            <w:vAlign w:val="center"/>
          </w:tcPr>
          <w:p w14:paraId="077999DB" w14:textId="77777777" w:rsidR="00000000" w:rsidRDefault="00000000">
            <w:pPr>
              <w:spacing w:line="240" w:lineRule="exact"/>
              <w:rPr>
                <w:rFonts w:ascii="Arial" w:hAnsi="Arial" w:cs="Arial"/>
                <w:bCs/>
                <w:sz w:val="18"/>
                <w:szCs w:val="18"/>
              </w:rPr>
            </w:pPr>
            <w:r>
              <w:rPr>
                <w:rFonts w:ascii="Arial" w:hAnsi="Arial" w:cs="Arial" w:hint="eastAsia"/>
                <w:bCs/>
                <w:sz w:val="18"/>
                <w:szCs w:val="18"/>
              </w:rPr>
              <w:t>百泉庄村经济组织</w:t>
            </w:r>
          </w:p>
        </w:tc>
        <w:tc>
          <w:tcPr>
            <w:tcW w:w="795" w:type="dxa"/>
            <w:vAlign w:val="center"/>
          </w:tcPr>
          <w:p w14:paraId="5F101DC7" w14:textId="77777777" w:rsidR="00000000" w:rsidRDefault="00000000">
            <w:pPr>
              <w:spacing w:line="240" w:lineRule="exact"/>
              <w:rPr>
                <w:rFonts w:ascii="Arial" w:hAnsi="Arial" w:cs="Arial"/>
                <w:bCs/>
                <w:sz w:val="18"/>
                <w:szCs w:val="18"/>
              </w:rPr>
            </w:pPr>
            <w:r>
              <w:rPr>
                <w:rFonts w:ascii="Arial" w:hAnsi="Arial" w:cs="Arial" w:hint="eastAsia"/>
                <w:bCs/>
                <w:sz w:val="18"/>
                <w:szCs w:val="18"/>
              </w:rPr>
              <w:t>——</w:t>
            </w:r>
          </w:p>
        </w:tc>
        <w:tc>
          <w:tcPr>
            <w:tcW w:w="1187" w:type="dxa"/>
            <w:vAlign w:val="center"/>
          </w:tcPr>
          <w:p w14:paraId="0853567B" w14:textId="77777777" w:rsidR="00000000" w:rsidRDefault="00000000">
            <w:pPr>
              <w:spacing w:line="240" w:lineRule="exact"/>
              <w:rPr>
                <w:rFonts w:ascii="Arial" w:hAnsi="Arial" w:cs="Arial"/>
                <w:bCs/>
                <w:sz w:val="18"/>
                <w:szCs w:val="18"/>
              </w:rPr>
            </w:pPr>
            <w:r>
              <w:rPr>
                <w:rFonts w:ascii="Arial" w:hAnsi="Arial" w:cs="Arial"/>
                <w:bCs/>
                <w:sz w:val="18"/>
                <w:szCs w:val="18"/>
              </w:rPr>
              <w:t>北京市</w:t>
            </w:r>
            <w:r>
              <w:rPr>
                <w:rFonts w:ascii="Arial" w:hAnsi="Arial" w:cs="Arial" w:hint="eastAsia"/>
                <w:bCs/>
                <w:sz w:val="18"/>
                <w:szCs w:val="18"/>
              </w:rPr>
              <w:t>昌平区马池口镇百泉庄村集体土地租赁住房项目集体经营性建设用地使用权</w:t>
            </w:r>
          </w:p>
        </w:tc>
        <w:tc>
          <w:tcPr>
            <w:tcW w:w="1148" w:type="dxa"/>
            <w:vAlign w:val="center"/>
          </w:tcPr>
          <w:p w14:paraId="0029517A" w14:textId="77777777" w:rsidR="00000000" w:rsidRDefault="00000000">
            <w:pPr>
              <w:spacing w:line="240" w:lineRule="exact"/>
              <w:rPr>
                <w:rFonts w:ascii="Arial" w:hAnsi="Arial" w:cs="Arial"/>
                <w:bCs/>
                <w:sz w:val="18"/>
                <w:szCs w:val="18"/>
              </w:rPr>
            </w:pPr>
            <w:r>
              <w:rPr>
                <w:rFonts w:ascii="Arial" w:hAnsi="Arial" w:cs="Arial" w:hint="eastAsia"/>
                <w:bCs/>
                <w:sz w:val="18"/>
                <w:szCs w:val="18"/>
              </w:rPr>
              <w:t>——</w:t>
            </w:r>
          </w:p>
        </w:tc>
        <w:tc>
          <w:tcPr>
            <w:tcW w:w="1039" w:type="dxa"/>
            <w:vAlign w:val="center"/>
          </w:tcPr>
          <w:p w14:paraId="4C276FEA" w14:textId="77777777" w:rsidR="00000000" w:rsidRDefault="00000000">
            <w:pPr>
              <w:spacing w:line="240" w:lineRule="exact"/>
              <w:rPr>
                <w:rFonts w:ascii="Arial" w:hAnsi="Arial" w:cs="Arial"/>
                <w:bCs/>
                <w:sz w:val="18"/>
                <w:szCs w:val="18"/>
              </w:rPr>
            </w:pPr>
            <w:r>
              <w:rPr>
                <w:rFonts w:ascii="Arial" w:hAnsi="Arial" w:cs="Arial" w:hint="eastAsia"/>
                <w:bCs/>
                <w:sz w:val="18"/>
                <w:szCs w:val="18"/>
              </w:rPr>
              <w:t>——</w:t>
            </w:r>
          </w:p>
        </w:tc>
        <w:tc>
          <w:tcPr>
            <w:tcW w:w="747" w:type="dxa"/>
            <w:vAlign w:val="center"/>
          </w:tcPr>
          <w:p w14:paraId="1FFD3F80" w14:textId="77777777" w:rsidR="00000000" w:rsidRDefault="00000000">
            <w:pPr>
              <w:spacing w:line="240" w:lineRule="exact"/>
              <w:rPr>
                <w:rFonts w:ascii="Arial" w:hAnsi="Arial" w:cs="Arial" w:hint="eastAsia"/>
                <w:bCs/>
                <w:sz w:val="18"/>
                <w:szCs w:val="18"/>
              </w:rPr>
            </w:pPr>
            <w:r>
              <w:rPr>
                <w:rFonts w:ascii="Arial" w:hAnsi="Arial" w:cs="Arial" w:hint="eastAsia"/>
                <w:bCs/>
                <w:sz w:val="18"/>
                <w:szCs w:val="18"/>
              </w:rPr>
              <w:t>——</w:t>
            </w:r>
          </w:p>
        </w:tc>
        <w:tc>
          <w:tcPr>
            <w:tcW w:w="747" w:type="dxa"/>
            <w:vAlign w:val="center"/>
          </w:tcPr>
          <w:p w14:paraId="5179CB0B" w14:textId="77777777" w:rsidR="00000000" w:rsidRDefault="00000000">
            <w:pPr>
              <w:spacing w:line="240" w:lineRule="exact"/>
              <w:rPr>
                <w:rFonts w:ascii="Arial" w:hAnsi="Arial" w:cs="Arial"/>
                <w:bCs/>
                <w:sz w:val="18"/>
                <w:szCs w:val="18"/>
              </w:rPr>
            </w:pPr>
            <w:r>
              <w:rPr>
                <w:rFonts w:ascii="Arial" w:hAnsi="Arial" w:cs="Arial" w:hint="eastAsia"/>
                <w:bCs/>
                <w:sz w:val="18"/>
                <w:szCs w:val="18"/>
              </w:rPr>
              <w:t>集租房</w:t>
            </w:r>
          </w:p>
        </w:tc>
        <w:tc>
          <w:tcPr>
            <w:tcW w:w="576" w:type="dxa"/>
            <w:vAlign w:val="center"/>
          </w:tcPr>
          <w:p w14:paraId="486F5204" w14:textId="77777777" w:rsidR="00000000" w:rsidRDefault="00000000">
            <w:pPr>
              <w:spacing w:line="240" w:lineRule="exact"/>
              <w:rPr>
                <w:rFonts w:ascii="Arial" w:hAnsi="Arial" w:cs="Arial"/>
                <w:bCs/>
                <w:sz w:val="18"/>
                <w:szCs w:val="18"/>
              </w:rPr>
            </w:pPr>
            <w:r>
              <w:rPr>
                <w:rFonts w:ascii="Arial" w:hAnsi="Arial" w:cs="Arial"/>
                <w:bCs/>
                <w:sz w:val="18"/>
                <w:szCs w:val="18"/>
              </w:rPr>
              <w:t>1.8</w:t>
            </w:r>
          </w:p>
        </w:tc>
        <w:tc>
          <w:tcPr>
            <w:tcW w:w="576" w:type="dxa"/>
            <w:vAlign w:val="center"/>
          </w:tcPr>
          <w:p w14:paraId="71AA484E" w14:textId="77777777" w:rsidR="00000000" w:rsidRDefault="00000000">
            <w:pPr>
              <w:spacing w:line="240" w:lineRule="exact"/>
              <w:rPr>
                <w:rFonts w:ascii="Arial" w:hAnsi="Arial" w:cs="Arial"/>
                <w:bCs/>
                <w:sz w:val="18"/>
                <w:szCs w:val="18"/>
              </w:rPr>
            </w:pPr>
            <w:r>
              <w:rPr>
                <w:rFonts w:ascii="Arial" w:hAnsi="Arial" w:cs="Arial" w:hint="eastAsia"/>
                <w:bCs/>
                <w:sz w:val="18"/>
                <w:szCs w:val="18"/>
              </w:rPr>
              <w:t>——</w:t>
            </w:r>
          </w:p>
        </w:tc>
        <w:tc>
          <w:tcPr>
            <w:tcW w:w="576" w:type="dxa"/>
            <w:vAlign w:val="center"/>
          </w:tcPr>
          <w:p w14:paraId="2CA4C4E9" w14:textId="77777777" w:rsidR="00000000" w:rsidRDefault="00000000">
            <w:pPr>
              <w:spacing w:line="240" w:lineRule="exact"/>
              <w:rPr>
                <w:rFonts w:ascii="Arial" w:hAnsi="Arial" w:cs="Arial"/>
                <w:bCs/>
                <w:sz w:val="18"/>
                <w:szCs w:val="18"/>
              </w:rPr>
            </w:pPr>
            <w:r>
              <w:rPr>
                <w:rFonts w:ascii="Arial" w:hAnsi="Arial" w:cs="Arial"/>
                <w:bCs/>
                <w:sz w:val="18"/>
                <w:szCs w:val="18"/>
              </w:rPr>
              <w:t>1.8</w:t>
            </w:r>
          </w:p>
        </w:tc>
        <w:tc>
          <w:tcPr>
            <w:tcW w:w="862" w:type="dxa"/>
            <w:vAlign w:val="center"/>
          </w:tcPr>
          <w:p w14:paraId="4822D9C3" w14:textId="77777777" w:rsidR="00000000" w:rsidRDefault="00000000">
            <w:pPr>
              <w:spacing w:line="240" w:lineRule="exact"/>
              <w:rPr>
                <w:rFonts w:ascii="Arial" w:hAnsi="Arial" w:cs="Arial"/>
                <w:bCs/>
                <w:sz w:val="18"/>
                <w:szCs w:val="18"/>
              </w:rPr>
            </w:pPr>
            <w:r>
              <w:rPr>
                <w:rFonts w:ascii="Arial" w:hAnsi="Arial" w:cs="Arial"/>
                <w:bCs/>
                <w:sz w:val="18"/>
                <w:szCs w:val="18"/>
              </w:rPr>
              <w:t>三通</w:t>
            </w:r>
            <w:r>
              <w:rPr>
                <w:rFonts w:ascii="Arial" w:hAnsi="Arial" w:cs="Arial" w:hint="eastAsia"/>
                <w:bCs/>
                <w:sz w:val="18"/>
                <w:szCs w:val="18"/>
              </w:rPr>
              <w:t>、宗地红线内场地未平整，宗地内有需要移除的树木</w:t>
            </w:r>
            <w:r>
              <w:rPr>
                <w:rFonts w:ascii="Arial" w:hAnsi="Arial" w:cs="Arial"/>
                <w:bCs/>
                <w:sz w:val="18"/>
                <w:szCs w:val="18"/>
              </w:rPr>
              <w:t>一平</w:t>
            </w:r>
          </w:p>
        </w:tc>
        <w:tc>
          <w:tcPr>
            <w:tcW w:w="862" w:type="dxa"/>
            <w:vAlign w:val="center"/>
          </w:tcPr>
          <w:p w14:paraId="7C08F3BD" w14:textId="77777777" w:rsidR="00000000" w:rsidRDefault="00000000">
            <w:pPr>
              <w:spacing w:line="240" w:lineRule="exact"/>
              <w:rPr>
                <w:rFonts w:ascii="Arial" w:hAnsi="Arial" w:cs="Arial"/>
                <w:bCs/>
                <w:sz w:val="18"/>
                <w:szCs w:val="18"/>
              </w:rPr>
            </w:pPr>
            <w:r>
              <w:rPr>
                <w:rFonts w:ascii="Arial" w:hAnsi="Arial" w:cs="Arial"/>
                <w:bCs/>
                <w:sz w:val="18"/>
                <w:szCs w:val="18"/>
              </w:rPr>
              <w:t>三通一平</w:t>
            </w:r>
          </w:p>
        </w:tc>
        <w:tc>
          <w:tcPr>
            <w:tcW w:w="1005" w:type="dxa"/>
            <w:vAlign w:val="center"/>
          </w:tcPr>
          <w:p w14:paraId="7E7B9B0F" w14:textId="77777777" w:rsidR="00000000" w:rsidRDefault="00000000">
            <w:pPr>
              <w:spacing w:line="240" w:lineRule="exact"/>
              <w:rPr>
                <w:rFonts w:ascii="Arial" w:hAnsi="Arial" w:cs="Arial"/>
                <w:bCs/>
                <w:sz w:val="18"/>
                <w:szCs w:val="18"/>
              </w:rPr>
            </w:pPr>
            <w:r>
              <w:rPr>
                <w:rFonts w:ascii="Arial" w:hAnsi="Arial" w:cs="Arial"/>
                <w:bCs/>
                <w:sz w:val="18"/>
                <w:szCs w:val="18"/>
              </w:rPr>
              <w:t>50</w:t>
            </w:r>
          </w:p>
        </w:tc>
        <w:tc>
          <w:tcPr>
            <w:tcW w:w="953" w:type="dxa"/>
            <w:vAlign w:val="center"/>
          </w:tcPr>
          <w:p w14:paraId="66F882F6" w14:textId="77777777" w:rsidR="00000000" w:rsidRDefault="00000000">
            <w:pPr>
              <w:spacing w:line="240" w:lineRule="exact"/>
              <w:rPr>
                <w:rFonts w:ascii="Arial" w:hAnsi="Arial" w:cs="Arial"/>
                <w:bCs/>
                <w:sz w:val="18"/>
                <w:szCs w:val="18"/>
              </w:rPr>
            </w:pPr>
            <w:r>
              <w:rPr>
                <w:rFonts w:ascii="Arial" w:hAnsi="Arial" w:cs="Arial" w:hint="eastAsia"/>
                <w:bCs/>
                <w:sz w:val="18"/>
                <w:szCs w:val="18"/>
              </w:rPr>
              <w:t>18132</w:t>
            </w:r>
          </w:p>
        </w:tc>
        <w:tc>
          <w:tcPr>
            <w:tcW w:w="953" w:type="dxa"/>
            <w:vAlign w:val="center"/>
          </w:tcPr>
          <w:p w14:paraId="66C50296" w14:textId="77777777" w:rsidR="00000000" w:rsidRDefault="00000000">
            <w:pPr>
              <w:spacing w:line="240" w:lineRule="exact"/>
              <w:rPr>
                <w:rFonts w:ascii="Arial" w:hAnsi="Arial" w:cs="Arial"/>
                <w:bCs/>
                <w:sz w:val="18"/>
                <w:szCs w:val="18"/>
              </w:rPr>
            </w:pPr>
            <w:r>
              <w:rPr>
                <w:rFonts w:ascii="Arial" w:hAnsi="Arial" w:cs="Arial" w:hint="eastAsia"/>
                <w:bCs/>
                <w:sz w:val="18"/>
                <w:szCs w:val="18"/>
              </w:rPr>
              <w:t>43300</w:t>
            </w:r>
          </w:p>
        </w:tc>
        <w:tc>
          <w:tcPr>
            <w:tcW w:w="953" w:type="dxa"/>
            <w:vAlign w:val="center"/>
          </w:tcPr>
          <w:p w14:paraId="2F0131EC" w14:textId="77777777" w:rsidR="00000000" w:rsidRDefault="00000000">
            <w:pPr>
              <w:spacing w:line="240" w:lineRule="exact"/>
              <w:rPr>
                <w:rFonts w:ascii="Arial" w:hAnsi="Arial" w:cs="Arial"/>
                <w:bCs/>
                <w:sz w:val="18"/>
                <w:szCs w:val="18"/>
              </w:rPr>
            </w:pPr>
            <w:r>
              <w:rPr>
                <w:rFonts w:ascii="Arial" w:hAnsi="Arial" w:cs="Arial" w:hint="eastAsia"/>
                <w:bCs/>
                <w:sz w:val="18"/>
                <w:szCs w:val="18"/>
              </w:rPr>
              <w:t>1439</w:t>
            </w:r>
          </w:p>
        </w:tc>
        <w:tc>
          <w:tcPr>
            <w:tcW w:w="953" w:type="dxa"/>
            <w:vAlign w:val="center"/>
          </w:tcPr>
          <w:p w14:paraId="5BE5071F" w14:textId="77777777" w:rsidR="00000000" w:rsidRDefault="00000000">
            <w:pPr>
              <w:spacing w:line="240" w:lineRule="exact"/>
              <w:rPr>
                <w:rFonts w:ascii="Arial" w:hAnsi="Arial" w:cs="Arial" w:hint="eastAsia"/>
                <w:bCs/>
                <w:sz w:val="18"/>
                <w:szCs w:val="18"/>
              </w:rPr>
            </w:pPr>
            <w:r>
              <w:rPr>
                <w:rFonts w:ascii="Arial" w:hAnsi="Arial" w:cs="Arial" w:hint="eastAsia"/>
                <w:bCs/>
                <w:sz w:val="18"/>
                <w:szCs w:val="18"/>
              </w:rPr>
              <w:t>603</w:t>
            </w:r>
          </w:p>
        </w:tc>
        <w:tc>
          <w:tcPr>
            <w:tcW w:w="953" w:type="dxa"/>
            <w:vAlign w:val="center"/>
          </w:tcPr>
          <w:p w14:paraId="7C4F08AC" w14:textId="77777777" w:rsidR="00000000" w:rsidRDefault="00000000">
            <w:pPr>
              <w:spacing w:line="240" w:lineRule="exact"/>
              <w:rPr>
                <w:rFonts w:ascii="Arial" w:hAnsi="Arial" w:cs="Arial" w:hint="eastAsia"/>
                <w:bCs/>
                <w:sz w:val="18"/>
                <w:szCs w:val="18"/>
              </w:rPr>
            </w:pPr>
            <w:r>
              <w:rPr>
                <w:rFonts w:ascii="Arial" w:hAnsi="Arial" w:cs="Arial" w:hint="eastAsia"/>
                <w:bCs/>
                <w:sz w:val="18"/>
                <w:szCs w:val="18"/>
              </w:rPr>
              <w:t>2438.16</w:t>
            </w:r>
          </w:p>
        </w:tc>
      </w:tr>
      <w:tr w:rsidR="00000000" w14:paraId="1A8551AD" w14:textId="77777777">
        <w:trPr>
          <w:cantSplit/>
          <w:jc w:val="center"/>
        </w:trPr>
        <w:tc>
          <w:tcPr>
            <w:tcW w:w="14923" w:type="dxa"/>
            <w:gridSpan w:val="17"/>
            <w:tcBorders>
              <w:left w:val="nil"/>
              <w:bottom w:val="nil"/>
              <w:right w:val="nil"/>
            </w:tcBorders>
            <w:vAlign w:val="center"/>
          </w:tcPr>
          <w:p w14:paraId="2684D171" w14:textId="77777777" w:rsidR="00000000" w:rsidRDefault="00000000">
            <w:pPr>
              <w:spacing w:line="240" w:lineRule="exact"/>
              <w:rPr>
                <w:rFonts w:ascii="Arial" w:hAnsi="Arial" w:cs="Arial"/>
                <w:b/>
                <w:bCs/>
                <w:sz w:val="18"/>
                <w:szCs w:val="18"/>
              </w:rPr>
            </w:pPr>
            <w:r>
              <w:rPr>
                <w:rFonts w:ascii="Arial" w:hAnsi="Arial" w:cs="Arial"/>
                <w:sz w:val="18"/>
                <w:szCs w:val="18"/>
              </w:rPr>
              <w:t>币种：人民币</w:t>
            </w:r>
          </w:p>
        </w:tc>
        <w:tc>
          <w:tcPr>
            <w:tcW w:w="953" w:type="dxa"/>
            <w:tcBorders>
              <w:left w:val="nil"/>
              <w:bottom w:val="nil"/>
              <w:right w:val="nil"/>
            </w:tcBorders>
            <w:vAlign w:val="center"/>
          </w:tcPr>
          <w:p w14:paraId="5063AA33" w14:textId="77777777" w:rsidR="00000000" w:rsidRDefault="00000000">
            <w:pPr>
              <w:spacing w:line="240" w:lineRule="exact"/>
              <w:rPr>
                <w:rFonts w:ascii="Arial" w:hAnsi="Arial" w:cs="Arial"/>
                <w:b/>
                <w:bCs/>
                <w:sz w:val="18"/>
                <w:szCs w:val="18"/>
                <w:u w:val="single"/>
              </w:rPr>
            </w:pPr>
          </w:p>
        </w:tc>
      </w:tr>
    </w:tbl>
    <w:p w14:paraId="079B29F3" w14:textId="77777777" w:rsidR="00000000" w:rsidRDefault="00000000">
      <w:pPr>
        <w:spacing w:line="360" w:lineRule="auto"/>
        <w:ind w:firstLineChars="200" w:firstLine="560"/>
        <w:jc w:val="both"/>
        <w:rPr>
          <w:rFonts w:ascii="Arial" w:hAnsi="Arial" w:cs="Arial"/>
          <w:sz w:val="28"/>
        </w:rPr>
        <w:sectPr w:rsidR="00000000">
          <w:headerReference w:type="first" r:id="rId54"/>
          <w:pgSz w:w="16840" w:h="11907" w:orient="landscape"/>
          <w:pgMar w:top="2041" w:right="1134" w:bottom="1134" w:left="1134" w:header="1304" w:footer="1020" w:gutter="0"/>
          <w:cols w:space="720"/>
          <w:titlePg/>
          <w:docGrid w:linePitch="326"/>
        </w:sectPr>
      </w:pPr>
    </w:p>
    <w:p w14:paraId="66A5096B" w14:textId="77777777" w:rsidR="00000000" w:rsidRDefault="00000000">
      <w:pPr>
        <w:spacing w:line="360" w:lineRule="auto"/>
        <w:outlineLvl w:val="1"/>
        <w:rPr>
          <w:rFonts w:ascii="Arial" w:hAnsi="Arial" w:cs="Arial"/>
          <w:b/>
          <w:sz w:val="28"/>
        </w:rPr>
      </w:pPr>
      <w:bookmarkStart w:id="258" w:name="_Toc97732880"/>
      <w:bookmarkStart w:id="259" w:name="_Toc469066160"/>
      <w:bookmarkStart w:id="260" w:name="_Toc16834"/>
      <w:bookmarkStart w:id="261" w:name="_Toc12607"/>
      <w:bookmarkStart w:id="262" w:name="_Toc97732762"/>
      <w:r>
        <w:rPr>
          <w:rFonts w:ascii="Arial" w:hAnsi="Arial" w:cs="Arial"/>
          <w:b/>
          <w:sz w:val="28"/>
        </w:rPr>
        <w:lastRenderedPageBreak/>
        <w:t>十、需要特殊说明的事项</w:t>
      </w:r>
      <w:bookmarkEnd w:id="254"/>
      <w:bookmarkEnd w:id="255"/>
      <w:bookmarkEnd w:id="258"/>
      <w:bookmarkEnd w:id="259"/>
      <w:bookmarkEnd w:id="260"/>
      <w:bookmarkEnd w:id="261"/>
      <w:bookmarkEnd w:id="262"/>
    </w:p>
    <w:p w14:paraId="64674C46" w14:textId="77777777" w:rsidR="00000000" w:rsidRDefault="00000000">
      <w:pPr>
        <w:snapToGrid w:val="0"/>
        <w:spacing w:line="360" w:lineRule="auto"/>
        <w:jc w:val="both"/>
        <w:textAlignment w:val="bottom"/>
        <w:rPr>
          <w:rFonts w:ascii="Arial" w:hAnsi="Arial" w:cs="Arial"/>
          <w:sz w:val="28"/>
        </w:rPr>
      </w:pPr>
      <w:r>
        <w:rPr>
          <w:rFonts w:ascii="Arial" w:hAnsi="Arial" w:cs="Arial"/>
          <w:sz w:val="28"/>
        </w:rPr>
        <w:t>（一）咨询的前提条件和假设条件</w:t>
      </w:r>
    </w:p>
    <w:p w14:paraId="69E603AD" w14:textId="77777777" w:rsidR="00000000" w:rsidRDefault="00000000">
      <w:pPr>
        <w:snapToGrid w:val="0"/>
        <w:spacing w:line="360" w:lineRule="auto"/>
        <w:ind w:firstLine="555"/>
        <w:jc w:val="both"/>
        <w:textAlignment w:val="bottom"/>
        <w:rPr>
          <w:rFonts w:ascii="Arial" w:hAnsi="Arial" w:cs="Arial"/>
          <w:sz w:val="28"/>
        </w:rPr>
      </w:pPr>
      <w:bookmarkStart w:id="263" w:name="_Toc469066161"/>
      <w:bookmarkStart w:id="264" w:name="_Toc416783581"/>
      <w:bookmarkStart w:id="265" w:name="_Toc416783677"/>
      <w:r>
        <w:rPr>
          <w:rFonts w:ascii="Arial" w:hAnsi="Arial" w:cs="Arial"/>
          <w:sz w:val="28"/>
        </w:rPr>
        <w:t>1.</w:t>
      </w:r>
      <w:r>
        <w:rPr>
          <w:rFonts w:ascii="Arial" w:hAnsi="Arial" w:cs="Arial"/>
          <w:sz w:val="28"/>
        </w:rPr>
        <w:t>咨询对象作为</w:t>
      </w:r>
      <w:r>
        <w:rPr>
          <w:rFonts w:ascii="Arial" w:hAnsi="Arial" w:cs="Arial" w:hint="eastAsia"/>
          <w:sz w:val="28"/>
        </w:rPr>
        <w:t>公寓</w:t>
      </w:r>
      <w:r>
        <w:rPr>
          <w:rFonts w:ascii="Arial" w:hAnsi="Arial" w:cs="Arial"/>
          <w:sz w:val="28"/>
        </w:rPr>
        <w:t>、商业</w:t>
      </w:r>
      <w:r>
        <w:rPr>
          <w:rFonts w:ascii="Arial" w:hAnsi="Arial" w:cs="Arial" w:hint="eastAsia"/>
          <w:sz w:val="28"/>
        </w:rPr>
        <w:t>、地下车库用途</w:t>
      </w:r>
      <w:r>
        <w:rPr>
          <w:rFonts w:ascii="Arial" w:hAnsi="Arial" w:cs="Arial"/>
          <w:sz w:val="28"/>
        </w:rPr>
        <w:t>为最有效利用方式。</w:t>
      </w:r>
    </w:p>
    <w:p w14:paraId="3827F36B" w14:textId="77777777" w:rsidR="00000000" w:rsidRDefault="00000000">
      <w:pPr>
        <w:snapToGrid w:val="0"/>
        <w:spacing w:line="360" w:lineRule="auto"/>
        <w:ind w:firstLine="555"/>
        <w:jc w:val="both"/>
        <w:textAlignment w:val="bottom"/>
        <w:rPr>
          <w:rFonts w:ascii="Arial" w:hAnsi="Arial" w:cs="Arial"/>
          <w:sz w:val="28"/>
        </w:rPr>
      </w:pPr>
      <w:r>
        <w:rPr>
          <w:rFonts w:ascii="Arial" w:hAnsi="Arial" w:cs="Arial"/>
          <w:sz w:val="28"/>
        </w:rPr>
        <w:t>2.</w:t>
      </w:r>
      <w:r>
        <w:rPr>
          <w:rFonts w:ascii="Arial" w:hAnsi="Arial" w:cs="Arial"/>
          <w:sz w:val="28"/>
        </w:rPr>
        <w:t>委托方提供的资料属实，没有保留及隐瞒。</w:t>
      </w:r>
    </w:p>
    <w:p w14:paraId="6FB2151A" w14:textId="77777777" w:rsidR="00000000" w:rsidRDefault="00000000">
      <w:pPr>
        <w:snapToGrid w:val="0"/>
        <w:spacing w:line="360" w:lineRule="auto"/>
        <w:jc w:val="both"/>
        <w:textAlignment w:val="bottom"/>
        <w:rPr>
          <w:rFonts w:ascii="Arial" w:hAnsi="Arial" w:cs="Arial"/>
          <w:sz w:val="28"/>
        </w:rPr>
      </w:pPr>
      <w:r>
        <w:rPr>
          <w:rFonts w:ascii="Arial" w:hAnsi="Arial" w:cs="Arial"/>
          <w:sz w:val="28"/>
        </w:rPr>
        <w:t xml:space="preserve">    3.</w:t>
      </w:r>
      <w:r>
        <w:rPr>
          <w:rFonts w:ascii="Arial" w:hAnsi="Arial" w:cs="Arial"/>
          <w:sz w:val="28"/>
        </w:rPr>
        <w:t>在咨询期日的房地产市场为公开、平等、自愿的交易市场。</w:t>
      </w:r>
    </w:p>
    <w:p w14:paraId="1DE0805B" w14:textId="77777777" w:rsidR="00000000" w:rsidRDefault="00000000">
      <w:pPr>
        <w:snapToGrid w:val="0"/>
        <w:spacing w:line="360" w:lineRule="auto"/>
        <w:jc w:val="both"/>
        <w:textAlignment w:val="bottom"/>
        <w:rPr>
          <w:rFonts w:ascii="Arial" w:hAnsi="Arial" w:cs="Arial"/>
          <w:sz w:val="28"/>
        </w:rPr>
      </w:pPr>
      <w:r>
        <w:rPr>
          <w:rFonts w:ascii="Arial" w:hAnsi="Arial" w:cs="Arial"/>
          <w:sz w:val="28"/>
        </w:rPr>
        <w:t xml:space="preserve">    4.</w:t>
      </w:r>
      <w:r>
        <w:rPr>
          <w:rFonts w:ascii="Arial" w:hAnsi="Arial" w:cs="Arial"/>
          <w:sz w:val="28"/>
        </w:rPr>
        <w:t>任何有关咨询对象的运作方式、程序符合国家、地方的有关法律、法规。</w:t>
      </w:r>
    </w:p>
    <w:p w14:paraId="48A8EAEA" w14:textId="77777777" w:rsidR="00000000" w:rsidRDefault="00000000">
      <w:pPr>
        <w:spacing w:line="360" w:lineRule="auto"/>
        <w:ind w:right="17" w:firstLineChars="200" w:firstLine="560"/>
        <w:jc w:val="both"/>
        <w:rPr>
          <w:rFonts w:ascii="Arial" w:hAnsi="Arial" w:cs="Arial"/>
          <w:sz w:val="28"/>
        </w:rPr>
      </w:pPr>
      <w:r>
        <w:rPr>
          <w:rFonts w:ascii="Arial" w:hAnsi="Arial" w:cs="Arial"/>
          <w:sz w:val="28"/>
        </w:rPr>
        <w:t>5.</w:t>
      </w:r>
      <w:r>
        <w:rPr>
          <w:rFonts w:ascii="Arial" w:hAnsi="Arial" w:cs="Arial"/>
          <w:sz w:val="28"/>
        </w:rPr>
        <w:t>委托方合法取得咨询对象集体建设用地使用权，并支付全部相关税费。</w:t>
      </w:r>
    </w:p>
    <w:p w14:paraId="1348F445" w14:textId="77777777" w:rsidR="00000000" w:rsidRDefault="00000000">
      <w:pPr>
        <w:spacing w:line="360" w:lineRule="auto"/>
        <w:ind w:firstLineChars="200" w:firstLine="560"/>
        <w:jc w:val="both"/>
        <w:rPr>
          <w:rFonts w:ascii="Arial" w:hAnsi="Arial" w:cs="Arial"/>
          <w:i/>
          <w:sz w:val="28"/>
        </w:rPr>
      </w:pPr>
      <w:r>
        <w:rPr>
          <w:rFonts w:ascii="Arial" w:hAnsi="Arial" w:cs="Arial" w:hint="eastAsia"/>
          <w:sz w:val="28"/>
        </w:rPr>
        <w:t>6</w:t>
      </w:r>
      <w:r>
        <w:rPr>
          <w:rFonts w:ascii="Arial" w:hAnsi="Arial" w:cs="Arial"/>
          <w:sz w:val="28"/>
        </w:rPr>
        <w:t>.</w:t>
      </w:r>
      <w:r>
        <w:rPr>
          <w:rFonts w:ascii="Arial" w:hAnsi="Arial" w:cs="Arial"/>
          <w:sz w:val="28"/>
        </w:rPr>
        <w:t>根据委托方介绍及评估专业人员实地查勘，本次评估咨询对象实际土地开发程度为红线外市政基础设施为</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、宗地红线内场地未平整，宗地内有需要移除的树木。依据委托方介绍，该宗地以</w:t>
      </w:r>
      <w:r>
        <w:rPr>
          <w:rFonts w:ascii="Arial" w:hAnsi="Arial" w:cs="Arial"/>
          <w:sz w:val="28"/>
        </w:rPr>
        <w:t>“</w:t>
      </w:r>
      <w:r>
        <w:rPr>
          <w:rFonts w:ascii="Arial" w:hAnsi="Arial" w:cs="Arial"/>
          <w:sz w:val="28"/>
        </w:rPr>
        <w:t>三通一平</w:t>
      </w:r>
      <w:r>
        <w:rPr>
          <w:rFonts w:ascii="Arial" w:hAnsi="Arial" w:cs="Arial"/>
          <w:sz w:val="28"/>
        </w:rPr>
        <w:t>”</w:t>
      </w:r>
      <w:r>
        <w:rPr>
          <w:rFonts w:ascii="Arial" w:hAnsi="Arial" w:cs="Arial"/>
          <w:sz w:val="28"/>
        </w:rPr>
        <w:t>的形式作价入股，因此本次评估设定土地开发程度为红线外市政基础设施达</w:t>
      </w:r>
      <w:r>
        <w:rPr>
          <w:rFonts w:ascii="Arial" w:hAnsi="Arial" w:cs="Arial"/>
          <w:sz w:val="28"/>
        </w:rPr>
        <w:t>“</w:t>
      </w:r>
      <w:r>
        <w:rPr>
          <w:rFonts w:ascii="Arial" w:hAnsi="Arial" w:cs="Arial"/>
          <w:sz w:val="28"/>
        </w:rPr>
        <w:t>三通</w:t>
      </w:r>
      <w:r>
        <w:rPr>
          <w:rFonts w:ascii="Arial" w:hAnsi="Arial" w:cs="Arial"/>
          <w:sz w:val="28"/>
        </w:rPr>
        <w:t>”</w:t>
      </w:r>
      <w:r>
        <w:rPr>
          <w:rFonts w:ascii="Arial" w:hAnsi="Arial" w:cs="Arial"/>
          <w:sz w:val="28"/>
        </w:rPr>
        <w:t>、宗地红线内场地平整。</w:t>
      </w:r>
      <w:r>
        <w:rPr>
          <w:rFonts w:ascii="Arial" w:hAnsi="Arial" w:cs="Arial"/>
          <w:spacing w:val="-12"/>
          <w:sz w:val="28"/>
        </w:rPr>
        <w:t>咨询结果</w:t>
      </w:r>
      <w:r>
        <w:rPr>
          <w:rFonts w:ascii="Arial" w:hAnsi="Arial" w:cs="Arial"/>
          <w:sz w:val="28"/>
        </w:rPr>
        <w:t>未扣除树木移除的费用。</w:t>
      </w:r>
    </w:p>
    <w:p w14:paraId="70CFA5B3"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7</w:t>
      </w:r>
      <w:r>
        <w:rPr>
          <w:rFonts w:ascii="Arial" w:hAnsi="Arial" w:cs="Arial"/>
          <w:sz w:val="28"/>
        </w:rPr>
        <w:t>.</w:t>
      </w:r>
      <w:r>
        <w:rPr>
          <w:rFonts w:ascii="Arial" w:hAnsi="Arial" w:cs="Arial"/>
          <w:sz w:val="28"/>
        </w:rPr>
        <w:t>本次评估咨询对象的规划利用条件以《</w:t>
      </w:r>
      <w:r>
        <w:rPr>
          <w:rFonts w:ascii="Arial" w:hAnsi="Arial" w:cs="Arial" w:hint="eastAsia"/>
          <w:sz w:val="28"/>
        </w:rPr>
        <w:t>估价委托书</w:t>
      </w:r>
      <w:r>
        <w:rPr>
          <w:rFonts w:ascii="Arial" w:hAnsi="Arial" w:cs="Arial"/>
          <w:sz w:val="28"/>
        </w:rPr>
        <w:t>》上载明的为依据。</w:t>
      </w:r>
    </w:p>
    <w:p w14:paraId="6914AB6D"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8</w:t>
      </w:r>
      <w:r>
        <w:rPr>
          <w:rFonts w:ascii="Arial" w:hAnsi="Arial" w:cs="Arial"/>
          <w:sz w:val="28"/>
        </w:rPr>
        <w:t>.</w:t>
      </w:r>
      <w:r>
        <w:rPr>
          <w:rFonts w:ascii="Arial" w:hAnsi="Arial" w:cs="Arial"/>
          <w:sz w:val="28"/>
        </w:rPr>
        <w:t>评估专业人员根据委托方所提供的资料（复印件），未发现有抵押、租赁的登记信息，本次评估设定咨询对象不存在抵押、租赁等他项权利。</w:t>
      </w:r>
    </w:p>
    <w:p w14:paraId="590167E9" w14:textId="77777777" w:rsidR="00000000" w:rsidRDefault="00000000">
      <w:pPr>
        <w:snapToGrid w:val="0"/>
        <w:spacing w:line="360" w:lineRule="auto"/>
        <w:ind w:firstLine="585"/>
        <w:jc w:val="both"/>
        <w:textAlignment w:val="bottom"/>
        <w:rPr>
          <w:rFonts w:ascii="Arial" w:hAnsi="Arial" w:cs="Arial"/>
          <w:sz w:val="28"/>
        </w:rPr>
      </w:pPr>
      <w:r>
        <w:rPr>
          <w:rFonts w:ascii="Arial" w:hAnsi="Arial" w:cs="Arial" w:hint="eastAsia"/>
          <w:sz w:val="28"/>
        </w:rPr>
        <w:t>9</w:t>
      </w:r>
      <w:r>
        <w:rPr>
          <w:rFonts w:ascii="Arial" w:hAnsi="Arial" w:cs="Arial"/>
          <w:sz w:val="28"/>
        </w:rPr>
        <w:t>.</w:t>
      </w:r>
      <w:r>
        <w:rPr>
          <w:rFonts w:ascii="Arial" w:hAnsi="Arial" w:cs="Arial"/>
          <w:sz w:val="28"/>
        </w:rPr>
        <w:t>本次咨询结果以咨询对象能够按照合理工期按时完成各项工程进度，直至通过竣工验收，能够在合理期限内正常投入使用，并最终在《集体土地所有权证》上登记建筑物信息为前提条件，未考虑咨询对象因其他原因无法顺利开工、完工而产生的重大影响，在此提请报告使用者注意。</w:t>
      </w:r>
    </w:p>
    <w:p w14:paraId="25FC4464" w14:textId="77777777" w:rsidR="00000000" w:rsidRDefault="00000000">
      <w:pPr>
        <w:snapToGrid w:val="0"/>
        <w:spacing w:line="360" w:lineRule="auto"/>
        <w:jc w:val="both"/>
        <w:textAlignment w:val="bottom"/>
        <w:rPr>
          <w:rFonts w:ascii="Arial" w:hAnsi="Arial" w:cs="Arial"/>
          <w:sz w:val="28"/>
        </w:rPr>
      </w:pPr>
      <w:r>
        <w:rPr>
          <w:rFonts w:ascii="Arial" w:hAnsi="Arial" w:cs="Arial"/>
          <w:sz w:val="28"/>
        </w:rPr>
        <w:t>（二）咨询结果和咨询报告的使用</w:t>
      </w:r>
    </w:p>
    <w:p w14:paraId="59D875A3" w14:textId="77777777" w:rsidR="00000000" w:rsidRDefault="00000000">
      <w:pPr>
        <w:snapToGrid w:val="0"/>
        <w:spacing w:line="360" w:lineRule="auto"/>
        <w:ind w:firstLine="585"/>
        <w:jc w:val="both"/>
        <w:textAlignment w:val="auto"/>
        <w:rPr>
          <w:rFonts w:ascii="Arial" w:hAnsi="Arial" w:cs="Arial"/>
          <w:sz w:val="28"/>
        </w:rPr>
      </w:pPr>
      <w:r>
        <w:rPr>
          <w:rFonts w:ascii="Arial" w:hAnsi="Arial" w:cs="Arial"/>
          <w:sz w:val="28"/>
        </w:rPr>
        <w:t>1.</w:t>
      </w:r>
      <w:r>
        <w:rPr>
          <w:rFonts w:ascii="Arial" w:hAnsi="Arial" w:cs="Arial"/>
          <w:sz w:val="28"/>
        </w:rPr>
        <w:t>本咨询报告的依据为国务院、国土资源部、住建部、北京市人民政府及有关部门颁布的有关法律、法规、政策文件、委托方提供的资料、受托估</w:t>
      </w:r>
      <w:r>
        <w:rPr>
          <w:rFonts w:ascii="Arial" w:hAnsi="Arial" w:cs="Arial"/>
          <w:sz w:val="28"/>
        </w:rPr>
        <w:lastRenderedPageBreak/>
        <w:t>价方掌握的有关资料以及评估专业人员实地勘察所获取的资料。</w:t>
      </w:r>
    </w:p>
    <w:p w14:paraId="6025C8BA" w14:textId="77777777" w:rsidR="00000000" w:rsidRDefault="00000000">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委托方</w:t>
      </w:r>
      <w:r>
        <w:rPr>
          <w:rFonts w:ascii="Arial" w:hAnsi="Arial" w:cs="Arial"/>
          <w:kern w:val="2"/>
          <w:sz w:val="28"/>
        </w:rPr>
        <w:t>应对其提供的权属证明以及其他资料的真实性、完整性和合法性负责。如因资料失实或资料提供人有所隐匿而导致咨询结果失真，估价机构不承担相应的责任。</w:t>
      </w:r>
    </w:p>
    <w:p w14:paraId="24927199" w14:textId="77777777" w:rsidR="00000000" w:rsidRDefault="00000000">
      <w:pPr>
        <w:snapToGrid w:val="0"/>
        <w:spacing w:line="360" w:lineRule="auto"/>
        <w:ind w:firstLine="585"/>
        <w:jc w:val="both"/>
        <w:textAlignment w:val="auto"/>
        <w:rPr>
          <w:rFonts w:ascii="Arial" w:hAnsi="Arial" w:cs="Arial"/>
          <w:sz w:val="28"/>
        </w:rPr>
      </w:pPr>
      <w:r>
        <w:rPr>
          <w:rFonts w:ascii="Arial" w:hAnsi="Arial" w:cs="Arial"/>
          <w:sz w:val="28"/>
        </w:rPr>
        <w:t>3.</w:t>
      </w:r>
      <w:r>
        <w:rPr>
          <w:rFonts w:ascii="Arial" w:hAnsi="Arial" w:cs="Arial"/>
          <w:sz w:val="28"/>
        </w:rPr>
        <w:t>本报告咨询结果为咨询期日下的正常市场价格，随着时间的推移，该价格需要做相应的调整直至重新评估。</w:t>
      </w:r>
    </w:p>
    <w:p w14:paraId="211CAEE2" w14:textId="77777777" w:rsidR="00000000" w:rsidRDefault="00000000">
      <w:pPr>
        <w:snapToGrid w:val="0"/>
        <w:spacing w:line="360" w:lineRule="auto"/>
        <w:ind w:firstLine="585"/>
        <w:jc w:val="both"/>
        <w:textAlignment w:val="auto"/>
        <w:rPr>
          <w:rFonts w:ascii="Arial" w:hAnsi="Arial" w:cs="Arial"/>
          <w:sz w:val="28"/>
        </w:rPr>
      </w:pPr>
      <w:r>
        <w:rPr>
          <w:rFonts w:ascii="Arial" w:hAnsi="Arial" w:cs="Arial"/>
          <w:sz w:val="28"/>
        </w:rPr>
        <w:t>4.</w:t>
      </w:r>
      <w:r>
        <w:rPr>
          <w:rFonts w:ascii="Arial" w:hAnsi="Arial" w:cs="Arial"/>
          <w:sz w:val="28"/>
        </w:rPr>
        <w:t>本咨询报告在估价机构盖章和土地估价师签字的条件下有效。</w:t>
      </w:r>
    </w:p>
    <w:p w14:paraId="646DE5B2" w14:textId="77777777" w:rsidR="00000000" w:rsidRDefault="00000000">
      <w:pPr>
        <w:snapToGrid w:val="0"/>
        <w:spacing w:line="360" w:lineRule="auto"/>
        <w:ind w:firstLine="585"/>
        <w:jc w:val="both"/>
        <w:textAlignment w:val="auto"/>
        <w:rPr>
          <w:rFonts w:ascii="Arial" w:hAnsi="Arial" w:cs="Arial"/>
          <w:sz w:val="28"/>
        </w:rPr>
      </w:pPr>
      <w:r>
        <w:rPr>
          <w:rFonts w:ascii="Arial" w:hAnsi="Arial" w:cs="Arial"/>
          <w:sz w:val="28"/>
        </w:rPr>
        <w:t>5.</w:t>
      </w:r>
      <w:r>
        <w:rPr>
          <w:rFonts w:ascii="Arial" w:hAnsi="Arial" w:cs="Arial"/>
          <w:sz w:val="28"/>
        </w:rPr>
        <w:t>本次评估咨询报告分为</w:t>
      </w:r>
      <w:r>
        <w:rPr>
          <w:rFonts w:ascii="Arial" w:hAnsi="Arial" w:cs="Arial"/>
          <w:sz w:val="28"/>
        </w:rPr>
        <w:t>“</w:t>
      </w:r>
      <w:r>
        <w:rPr>
          <w:rFonts w:ascii="Arial" w:hAnsi="Arial" w:cs="Arial"/>
          <w:sz w:val="28"/>
        </w:rPr>
        <w:t>土地咨询报告</w:t>
      </w:r>
      <w:r>
        <w:rPr>
          <w:rFonts w:ascii="Arial" w:hAnsi="Arial" w:cs="Arial"/>
          <w:sz w:val="28"/>
        </w:rPr>
        <w:t>”</w:t>
      </w:r>
      <w:r>
        <w:rPr>
          <w:rFonts w:ascii="Arial" w:hAnsi="Arial" w:cs="Arial"/>
          <w:sz w:val="28"/>
        </w:rPr>
        <w:t>和</w:t>
      </w:r>
      <w:r>
        <w:rPr>
          <w:rFonts w:ascii="Arial" w:hAnsi="Arial" w:cs="Arial"/>
          <w:sz w:val="28"/>
        </w:rPr>
        <w:t>“</w:t>
      </w:r>
      <w:r>
        <w:rPr>
          <w:rFonts w:ascii="Arial" w:hAnsi="Arial" w:cs="Arial"/>
          <w:sz w:val="28"/>
        </w:rPr>
        <w:t>土地咨询技术报告</w:t>
      </w:r>
      <w:r>
        <w:rPr>
          <w:rFonts w:ascii="Arial" w:hAnsi="Arial" w:cs="Arial"/>
          <w:sz w:val="28"/>
        </w:rPr>
        <w:t>”</w:t>
      </w:r>
      <w:r>
        <w:rPr>
          <w:rFonts w:ascii="Arial" w:hAnsi="Arial" w:cs="Arial"/>
          <w:sz w:val="28"/>
        </w:rPr>
        <w:t>两部分，</w:t>
      </w:r>
      <w:r>
        <w:rPr>
          <w:rFonts w:ascii="Arial" w:hAnsi="Arial" w:cs="Arial"/>
          <w:sz w:val="28"/>
        </w:rPr>
        <w:t>“</w:t>
      </w:r>
      <w:r>
        <w:rPr>
          <w:rFonts w:ascii="Arial" w:hAnsi="Arial" w:cs="Arial"/>
          <w:sz w:val="28"/>
        </w:rPr>
        <w:t>土地咨询报告</w:t>
      </w:r>
      <w:r>
        <w:rPr>
          <w:rFonts w:ascii="Arial" w:hAnsi="Arial" w:cs="Arial"/>
          <w:sz w:val="28"/>
        </w:rPr>
        <w:t>”</w:t>
      </w:r>
      <w:r>
        <w:rPr>
          <w:rFonts w:ascii="Arial" w:hAnsi="Arial" w:cs="Arial"/>
          <w:sz w:val="28"/>
        </w:rPr>
        <w:t>供委托方使用，</w:t>
      </w:r>
      <w:r>
        <w:rPr>
          <w:rFonts w:ascii="Arial" w:hAnsi="Arial" w:cs="Arial"/>
          <w:sz w:val="28"/>
        </w:rPr>
        <w:t>“</w:t>
      </w:r>
      <w:r>
        <w:rPr>
          <w:rFonts w:ascii="Arial" w:hAnsi="Arial" w:cs="Arial"/>
          <w:sz w:val="28"/>
        </w:rPr>
        <w:t>土地咨询技术报告</w:t>
      </w:r>
      <w:r>
        <w:rPr>
          <w:rFonts w:ascii="Arial" w:hAnsi="Arial" w:cs="Arial"/>
          <w:sz w:val="28"/>
        </w:rPr>
        <w:t>”</w:t>
      </w:r>
      <w:r>
        <w:rPr>
          <w:rFonts w:ascii="Arial" w:hAnsi="Arial" w:cs="Arial"/>
          <w:sz w:val="28"/>
        </w:rPr>
        <w:t>仅供估价机构存档和作为咨询结果提交房屋土地管理部门确认或备案时的附件。</w:t>
      </w:r>
    </w:p>
    <w:p w14:paraId="6711D672" w14:textId="77777777" w:rsidR="00000000" w:rsidRDefault="00000000">
      <w:pPr>
        <w:snapToGrid w:val="0"/>
        <w:spacing w:line="360" w:lineRule="auto"/>
        <w:ind w:firstLine="570"/>
        <w:jc w:val="both"/>
        <w:rPr>
          <w:rFonts w:ascii="Arial" w:hAnsi="Arial" w:cs="Arial"/>
          <w:sz w:val="28"/>
        </w:rPr>
      </w:pPr>
      <w:r>
        <w:rPr>
          <w:rFonts w:ascii="Arial" w:hAnsi="Arial" w:cs="Arial"/>
          <w:sz w:val="28"/>
        </w:rPr>
        <w:t>6.</w:t>
      </w:r>
      <w:r>
        <w:rPr>
          <w:rFonts w:ascii="Arial" w:hAnsi="Arial" w:cs="Arial"/>
          <w:sz w:val="28"/>
        </w:rPr>
        <w:t>本咨询报告只能由咨询报告载明的报告使用者使用，且只能用于本报告载明的唯一咨询目的和用途。</w:t>
      </w:r>
    </w:p>
    <w:p w14:paraId="325CCC20" w14:textId="77777777" w:rsidR="00000000" w:rsidRDefault="00000000">
      <w:pPr>
        <w:snapToGrid w:val="0"/>
        <w:spacing w:line="360" w:lineRule="auto"/>
        <w:ind w:firstLine="570"/>
        <w:jc w:val="both"/>
        <w:rPr>
          <w:rFonts w:ascii="Arial" w:hAnsi="Arial" w:cs="Arial"/>
          <w:sz w:val="28"/>
        </w:rPr>
      </w:pPr>
      <w:r>
        <w:rPr>
          <w:rFonts w:ascii="Arial" w:hAnsi="Arial" w:cs="Arial"/>
          <w:sz w:val="28"/>
        </w:rPr>
        <w:t>7.</w:t>
      </w:r>
      <w:r>
        <w:rPr>
          <w:rFonts w:ascii="Arial" w:hAnsi="Arial" w:cs="Arial"/>
          <w:sz w:val="28"/>
        </w:rPr>
        <w:t>委托方或者本咨询报告使用人应按照法律规定和咨询报告载明的使用范围使用本咨询报告。委托方或者咨询报告使用人违反前述规定使用本咨询报告的，估价机构和评估专业人员不承担责任。</w:t>
      </w:r>
    </w:p>
    <w:p w14:paraId="2D0FB301" w14:textId="77777777" w:rsidR="00000000" w:rsidRDefault="00000000">
      <w:pPr>
        <w:snapToGrid w:val="0"/>
        <w:spacing w:line="360" w:lineRule="auto"/>
        <w:ind w:firstLine="570"/>
        <w:jc w:val="both"/>
        <w:rPr>
          <w:rFonts w:ascii="Arial" w:hAnsi="Arial" w:cs="Arial"/>
          <w:sz w:val="28"/>
        </w:rPr>
      </w:pPr>
      <w:r>
        <w:rPr>
          <w:rFonts w:ascii="Arial" w:hAnsi="Arial" w:cs="Arial"/>
          <w:sz w:val="28"/>
        </w:rPr>
        <w:t>8.</w:t>
      </w:r>
      <w:r>
        <w:rPr>
          <w:rFonts w:ascii="Arial" w:hAnsi="Arial" w:cs="Arial"/>
          <w:sz w:val="28"/>
        </w:rPr>
        <w:t>除委托方、估价委托合同中约定的其他咨询报告使用人和法律、行政法规规定的咨询报告使用人之外，其他任何机构和个人不能成为咨询报告的使用人。</w:t>
      </w:r>
    </w:p>
    <w:p w14:paraId="4E52FCDD" w14:textId="77777777" w:rsidR="00000000" w:rsidRDefault="00000000">
      <w:pPr>
        <w:snapToGrid w:val="0"/>
        <w:spacing w:line="360" w:lineRule="auto"/>
        <w:ind w:firstLine="570"/>
        <w:jc w:val="both"/>
        <w:rPr>
          <w:rFonts w:ascii="Arial" w:hAnsi="Arial" w:cs="Arial"/>
          <w:sz w:val="28"/>
        </w:rPr>
      </w:pPr>
      <w:r>
        <w:rPr>
          <w:rFonts w:ascii="Arial" w:hAnsi="Arial" w:cs="Arial"/>
          <w:sz w:val="28"/>
        </w:rPr>
        <w:t>9.</w:t>
      </w:r>
      <w:r>
        <w:rPr>
          <w:rFonts w:ascii="Arial" w:hAnsi="Arial" w:cs="Arial"/>
          <w:sz w:val="28"/>
        </w:rPr>
        <w:t>咨询报告使用人应当正确理解估价结论。估价结论不等同于咨询对象可实现价格，估价结论不应当被认为是对咨询对象可实现价格的保证。</w:t>
      </w:r>
    </w:p>
    <w:p w14:paraId="60BB7968" w14:textId="77777777" w:rsidR="00000000" w:rsidRDefault="00000000">
      <w:pPr>
        <w:snapToGrid w:val="0"/>
        <w:spacing w:line="360" w:lineRule="auto"/>
        <w:ind w:firstLine="570"/>
        <w:jc w:val="both"/>
        <w:rPr>
          <w:rFonts w:ascii="Arial" w:hAnsi="Arial" w:cs="Arial"/>
          <w:sz w:val="28"/>
        </w:rPr>
      </w:pPr>
      <w:r>
        <w:rPr>
          <w:rFonts w:ascii="Arial" w:hAnsi="Arial" w:cs="Arial"/>
          <w:sz w:val="28"/>
        </w:rPr>
        <w:t>10.</w:t>
      </w:r>
      <w:r>
        <w:rPr>
          <w:rFonts w:ascii="Arial" w:hAnsi="Arial" w:cs="Arial"/>
          <w:sz w:val="28"/>
        </w:rPr>
        <w:t>本报告所确定的土地价格仅供了解咨询对象作价入股价格参考，若违反特定用途使用本土地评估报告和咨询结果，由此引出的一切法律责任由使用者自负。</w:t>
      </w:r>
    </w:p>
    <w:p w14:paraId="132D83CB" w14:textId="77777777" w:rsidR="00000000" w:rsidRDefault="00000000">
      <w:pPr>
        <w:snapToGrid w:val="0"/>
        <w:spacing w:line="360" w:lineRule="auto"/>
        <w:ind w:firstLine="570"/>
        <w:jc w:val="both"/>
        <w:rPr>
          <w:rFonts w:ascii="Arial" w:hAnsi="Arial" w:cs="Arial"/>
          <w:sz w:val="28"/>
        </w:rPr>
      </w:pPr>
      <w:commentRangeStart w:id="266"/>
      <w:r>
        <w:rPr>
          <w:rFonts w:ascii="Arial" w:hAnsi="Arial" w:cs="Arial"/>
          <w:sz w:val="28"/>
        </w:rPr>
        <w:t>12</w:t>
      </w:r>
      <w:commentRangeEnd w:id="266"/>
      <w:r w:rsidR="00ED67E4">
        <w:rPr>
          <w:rStyle w:val="afe"/>
        </w:rPr>
        <w:commentReference w:id="266"/>
      </w:r>
      <w:r>
        <w:rPr>
          <w:rFonts w:ascii="Arial" w:hAnsi="Arial" w:cs="Arial"/>
          <w:sz w:val="28"/>
        </w:rPr>
        <w:t>.</w:t>
      </w:r>
      <w:r>
        <w:rPr>
          <w:rFonts w:ascii="Arial" w:hAnsi="Arial" w:cs="Arial"/>
          <w:sz w:val="28"/>
        </w:rPr>
        <w:t>报告有效期限为报告出具之日起壹年内有效。</w:t>
      </w:r>
    </w:p>
    <w:p w14:paraId="5425C3A2" w14:textId="77777777" w:rsidR="00000000" w:rsidRDefault="00000000">
      <w:pPr>
        <w:snapToGrid w:val="0"/>
        <w:spacing w:line="360" w:lineRule="auto"/>
        <w:ind w:firstLine="570"/>
        <w:jc w:val="both"/>
        <w:rPr>
          <w:rFonts w:ascii="Arial" w:hAnsi="Arial" w:cs="Arial"/>
          <w:sz w:val="28"/>
        </w:rPr>
      </w:pPr>
      <w:r>
        <w:rPr>
          <w:rFonts w:ascii="Arial" w:hAnsi="Arial" w:cs="Arial"/>
          <w:kern w:val="2"/>
          <w:sz w:val="28"/>
        </w:rPr>
        <w:t>13</w:t>
      </w:r>
      <w:r>
        <w:rPr>
          <w:rFonts w:ascii="Arial" w:hAnsi="Arial" w:cs="Arial"/>
          <w:sz w:val="28"/>
        </w:rPr>
        <w:t>.</w:t>
      </w:r>
      <w:r>
        <w:rPr>
          <w:rFonts w:ascii="Arial" w:hAnsi="Arial" w:cs="Arial"/>
          <w:sz w:val="28"/>
        </w:rPr>
        <w:t>本次土地咨询报告的使用权归</w:t>
      </w:r>
      <w:r>
        <w:rPr>
          <w:rFonts w:ascii="Arial" w:hAnsi="Arial" w:cs="Arial" w:hint="eastAsia"/>
          <w:sz w:val="28"/>
        </w:rPr>
        <w:t>北京保障房中心有限公司</w:t>
      </w:r>
      <w:r>
        <w:rPr>
          <w:rFonts w:ascii="Arial" w:hAnsi="Arial" w:cs="Arial"/>
          <w:sz w:val="28"/>
        </w:rPr>
        <w:t>，土地咨询</w:t>
      </w:r>
      <w:r>
        <w:rPr>
          <w:rFonts w:ascii="Arial" w:hAnsi="Arial" w:cs="Arial"/>
          <w:sz w:val="28"/>
        </w:rPr>
        <w:lastRenderedPageBreak/>
        <w:t>报告由北京康正宏基房地产评估有限公司负责解释。</w:t>
      </w:r>
    </w:p>
    <w:p w14:paraId="47CF033B" w14:textId="77777777" w:rsidR="00000000" w:rsidRDefault="00000000">
      <w:pPr>
        <w:snapToGrid w:val="0"/>
        <w:spacing w:line="360" w:lineRule="auto"/>
        <w:jc w:val="both"/>
        <w:textAlignment w:val="bottom"/>
        <w:rPr>
          <w:rFonts w:ascii="Arial" w:hAnsi="Arial" w:cs="Arial"/>
          <w:sz w:val="28"/>
        </w:rPr>
      </w:pPr>
      <w:r>
        <w:rPr>
          <w:rFonts w:ascii="Arial" w:hAnsi="Arial" w:cs="Arial"/>
          <w:sz w:val="28"/>
        </w:rPr>
        <w:t>（三）需要特殊说明的事项</w:t>
      </w:r>
    </w:p>
    <w:p w14:paraId="6BBBBF0E"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1.</w:t>
      </w:r>
      <w:r>
        <w:rPr>
          <w:rFonts w:ascii="Arial" w:hAnsi="Arial" w:cs="Arial"/>
          <w:sz w:val="28"/>
        </w:rPr>
        <w:t>资料来源说明</w:t>
      </w:r>
    </w:p>
    <w:p w14:paraId="1C9D6703"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1</w:t>
      </w:r>
      <w:r>
        <w:rPr>
          <w:rFonts w:ascii="Arial" w:hAnsi="Arial" w:cs="Arial"/>
          <w:sz w:val="28"/>
        </w:rPr>
        <w:t>）咨询对象的土地、房屋权属资料、土地利用状况、评估项目相关资料由委托方提供。</w:t>
      </w:r>
    </w:p>
    <w:p w14:paraId="5D85995B"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2</w:t>
      </w:r>
      <w:r>
        <w:rPr>
          <w:rFonts w:ascii="Arial" w:hAnsi="Arial" w:cs="Arial"/>
          <w:sz w:val="28"/>
        </w:rPr>
        <w:t>）土地区位条件、地产市场交易资料、土地利用现状照片等相关资料由评估专业人员实地调查取得。</w:t>
      </w:r>
    </w:p>
    <w:p w14:paraId="69592BE5"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3</w:t>
      </w:r>
      <w:r>
        <w:rPr>
          <w:rFonts w:ascii="Arial" w:hAnsi="Arial" w:cs="Arial"/>
          <w:sz w:val="28"/>
        </w:rPr>
        <w:t>）区域经济发展状况、统计数据、城市规划资料、基准地价资料等由评估专业人员通过政府相关部门获取。</w:t>
      </w:r>
    </w:p>
    <w:p w14:paraId="1CF5E95A"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4</w:t>
      </w:r>
      <w:r>
        <w:rPr>
          <w:rFonts w:ascii="Arial" w:hAnsi="Arial" w:cs="Arial"/>
          <w:sz w:val="28"/>
        </w:rPr>
        <w:t>）估价中的相关参数资料由评估专业人员通过政府部门相关文件规定、公开媒体等多种途径获取。</w:t>
      </w:r>
    </w:p>
    <w:p w14:paraId="2105F086"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5</w:t>
      </w:r>
      <w:r>
        <w:rPr>
          <w:rFonts w:ascii="Arial" w:hAnsi="Arial" w:cs="Arial"/>
          <w:sz w:val="28"/>
        </w:rPr>
        <w:t>）评估专业人员结合执业经验，对上述相关评估资料的真实性、合法性、有效性、适用性进行了尽职核实、专业判断。委托方对所提供资料的真实性负责，估价机构对所收集资料的真实性、准确性负责。</w:t>
      </w:r>
    </w:p>
    <w:p w14:paraId="7BE8FB73"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2.</w:t>
      </w:r>
      <w:r>
        <w:rPr>
          <w:rFonts w:ascii="Arial" w:hAnsi="Arial" w:cs="Arial"/>
          <w:sz w:val="28"/>
        </w:rPr>
        <w:t>有关参数确定及使用说明</w:t>
      </w:r>
    </w:p>
    <w:p w14:paraId="34036284"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1</w:t>
      </w:r>
      <w:r>
        <w:rPr>
          <w:rFonts w:ascii="Arial" w:hAnsi="Arial" w:cs="Arial"/>
          <w:sz w:val="28"/>
        </w:rPr>
        <w:t>）本次评估咨询对象准确建筑面积应以委托方最终取得的《集体土地所有权证》为准。如本次咨询报告采用的建筑面积与最终取得的《集体土地所有权证》上所登记的咨询对象建筑面积不一致，咨询结果将进行相应调整。</w:t>
      </w:r>
    </w:p>
    <w:p w14:paraId="00E71FA0" w14:textId="77777777" w:rsidR="00000000" w:rsidRDefault="00000000">
      <w:pPr>
        <w:snapToGrid w:val="0"/>
        <w:spacing w:line="360" w:lineRule="auto"/>
        <w:ind w:firstLineChars="200" w:firstLine="560"/>
        <w:jc w:val="both"/>
        <w:textAlignment w:val="bottom"/>
        <w:rPr>
          <w:rFonts w:ascii="Arial" w:hAnsi="Arial" w:cs="Arial"/>
          <w:sz w:val="28"/>
        </w:rPr>
      </w:pPr>
      <w:r>
        <w:rPr>
          <w:rFonts w:ascii="Arial" w:hAnsi="Arial" w:cs="Arial"/>
          <w:sz w:val="28"/>
        </w:rPr>
        <w:t>（</w:t>
      </w:r>
      <w:r>
        <w:rPr>
          <w:rFonts w:ascii="Arial" w:hAnsi="Arial" w:cs="Arial"/>
          <w:sz w:val="28"/>
        </w:rPr>
        <w:t>2</w:t>
      </w:r>
      <w:r>
        <w:rPr>
          <w:rFonts w:ascii="Arial"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bookmarkEnd w:id="263"/>
      <w:bookmarkEnd w:id="264"/>
      <w:bookmarkEnd w:id="265"/>
    </w:p>
    <w:p w14:paraId="3DB4DD0C" w14:textId="77777777" w:rsidR="00000000" w:rsidRDefault="00000000">
      <w:pPr>
        <w:snapToGrid w:val="0"/>
        <w:spacing w:line="360" w:lineRule="auto"/>
        <w:ind w:firstLineChars="200" w:firstLine="560"/>
        <w:jc w:val="both"/>
        <w:textAlignment w:val="bottom"/>
        <w:rPr>
          <w:rFonts w:ascii="Arial" w:hAnsi="Arial" w:cs="Arial"/>
          <w:sz w:val="28"/>
        </w:rPr>
      </w:pPr>
    </w:p>
    <w:p w14:paraId="5E90D75F" w14:textId="77777777" w:rsidR="00000000" w:rsidRDefault="00000000">
      <w:pPr>
        <w:spacing w:line="360" w:lineRule="auto"/>
        <w:outlineLvl w:val="1"/>
        <w:rPr>
          <w:rFonts w:ascii="Arial" w:hAnsi="Arial" w:cs="Arial" w:hint="eastAsia"/>
          <w:b/>
          <w:sz w:val="28"/>
        </w:rPr>
      </w:pPr>
      <w:bookmarkStart w:id="267" w:name="_Toc1215"/>
      <w:bookmarkStart w:id="268" w:name="_Toc469066163"/>
      <w:bookmarkStart w:id="269" w:name="_Toc10317"/>
      <w:bookmarkStart w:id="270" w:name="_Toc97732882"/>
      <w:bookmarkStart w:id="271" w:name="_Toc416783583"/>
      <w:bookmarkStart w:id="272" w:name="_Toc416783679"/>
      <w:bookmarkStart w:id="273" w:name="_Toc97732764"/>
      <w:r>
        <w:rPr>
          <w:rFonts w:ascii="Arial" w:hAnsi="Arial" w:cs="Arial"/>
          <w:b/>
          <w:sz w:val="28"/>
        </w:rPr>
        <w:t>十</w:t>
      </w:r>
      <w:r>
        <w:rPr>
          <w:rFonts w:ascii="Arial" w:hAnsi="Arial" w:cs="Arial" w:hint="eastAsia"/>
          <w:b/>
          <w:sz w:val="28"/>
        </w:rPr>
        <w:t>一</w:t>
      </w:r>
      <w:r>
        <w:rPr>
          <w:rFonts w:ascii="Arial" w:hAnsi="Arial" w:cs="Arial"/>
          <w:b/>
          <w:sz w:val="28"/>
        </w:rPr>
        <w:t>、土地估价机构</w:t>
      </w:r>
      <w:bookmarkEnd w:id="267"/>
      <w:bookmarkEnd w:id="268"/>
      <w:bookmarkEnd w:id="269"/>
      <w:bookmarkEnd w:id="270"/>
      <w:bookmarkEnd w:id="271"/>
      <w:bookmarkEnd w:id="272"/>
      <w:bookmarkEnd w:id="273"/>
    </w:p>
    <w:tbl>
      <w:tblPr>
        <w:tblW w:w="0" w:type="auto"/>
        <w:jc w:val="right"/>
        <w:tblInd w:w="0" w:type="dxa"/>
        <w:tblLayout w:type="fixed"/>
        <w:tblCellMar>
          <w:top w:w="28" w:type="dxa"/>
          <w:left w:w="85" w:type="dxa"/>
          <w:bottom w:w="28" w:type="dxa"/>
          <w:right w:w="85" w:type="dxa"/>
        </w:tblCellMar>
        <w:tblLook w:val="0000" w:firstRow="0" w:lastRow="0" w:firstColumn="0" w:lastColumn="0" w:noHBand="0" w:noVBand="0"/>
      </w:tblPr>
      <w:tblGrid>
        <w:gridCol w:w="4445"/>
      </w:tblGrid>
      <w:tr w:rsidR="00000000" w14:paraId="128645E7" w14:textId="77777777">
        <w:trPr>
          <w:jc w:val="right"/>
        </w:trPr>
        <w:tc>
          <w:tcPr>
            <w:tcW w:w="4445" w:type="dxa"/>
          </w:tcPr>
          <w:p w14:paraId="75A33DC9" w14:textId="77777777" w:rsidR="00000000" w:rsidRDefault="00000000">
            <w:pPr>
              <w:spacing w:line="360" w:lineRule="auto"/>
              <w:rPr>
                <w:rFonts w:ascii="Arial" w:hAnsi="Arial" w:cs="Arial"/>
                <w:sz w:val="28"/>
                <w:szCs w:val="21"/>
              </w:rPr>
            </w:pPr>
            <w:r>
              <w:rPr>
                <w:rFonts w:ascii="Arial" w:hAnsi="Arial" w:cs="Arial"/>
                <w:sz w:val="28"/>
              </w:rPr>
              <w:t xml:space="preserve">                              </w:t>
            </w:r>
            <w:r>
              <w:rPr>
                <w:rFonts w:ascii="Arial" w:hAnsi="Arial" w:cs="Arial"/>
                <w:sz w:val="28"/>
                <w:szCs w:val="21"/>
              </w:rPr>
              <w:lastRenderedPageBreak/>
              <w:t>北京康正宏基房地产评估有限公司</w:t>
            </w:r>
          </w:p>
        </w:tc>
      </w:tr>
      <w:tr w:rsidR="00000000" w14:paraId="29958405" w14:textId="77777777">
        <w:trPr>
          <w:trHeight w:val="1431"/>
          <w:jc w:val="right"/>
        </w:trPr>
        <w:tc>
          <w:tcPr>
            <w:tcW w:w="4445" w:type="dxa"/>
          </w:tcPr>
          <w:p w14:paraId="44346863" w14:textId="77777777" w:rsidR="00000000" w:rsidRDefault="00000000">
            <w:pPr>
              <w:spacing w:line="480" w:lineRule="auto"/>
              <w:rPr>
                <w:rFonts w:ascii="Arial" w:hAnsi="Arial" w:cs="Arial"/>
                <w:sz w:val="28"/>
                <w:szCs w:val="21"/>
              </w:rPr>
            </w:pPr>
            <w:commentRangeStart w:id="274"/>
            <w:r>
              <w:rPr>
                <w:rFonts w:ascii="Arial" w:hAnsi="Arial" w:cs="Arial"/>
                <w:sz w:val="28"/>
                <w:szCs w:val="21"/>
              </w:rPr>
              <w:lastRenderedPageBreak/>
              <w:t>法定代表人：</w:t>
            </w:r>
            <w:commentRangeEnd w:id="274"/>
            <w:r w:rsidR="00A523B7">
              <w:rPr>
                <w:rStyle w:val="afe"/>
              </w:rPr>
              <w:commentReference w:id="274"/>
            </w:r>
          </w:p>
        </w:tc>
      </w:tr>
      <w:tr w:rsidR="00000000" w14:paraId="752A1FCB" w14:textId="77777777">
        <w:trPr>
          <w:cantSplit/>
          <w:jc w:val="right"/>
        </w:trPr>
        <w:tc>
          <w:tcPr>
            <w:tcW w:w="4445" w:type="dxa"/>
          </w:tcPr>
          <w:p w14:paraId="67F6766D" w14:textId="77777777" w:rsidR="00000000" w:rsidRDefault="00000000">
            <w:pPr>
              <w:spacing w:line="240" w:lineRule="auto"/>
              <w:jc w:val="right"/>
              <w:rPr>
                <w:rFonts w:ascii="Arial" w:hAnsi="Arial" w:cs="Arial"/>
                <w:sz w:val="28"/>
                <w:szCs w:val="21"/>
              </w:rPr>
            </w:pPr>
            <w:r>
              <w:rPr>
                <w:rFonts w:ascii="Arial" w:hAnsi="Arial" w:cs="Arial"/>
                <w:sz w:val="28"/>
                <w:szCs w:val="21"/>
              </w:rPr>
              <w:t>二</w:t>
            </w:r>
            <w:r>
              <w:rPr>
                <w:rFonts w:ascii="Arial" w:hAnsi="Arial" w:cs="Arial" w:hint="eastAsia"/>
                <w:sz w:val="28"/>
                <w:szCs w:val="21"/>
              </w:rPr>
              <w:t>〇</w:t>
            </w:r>
            <w:r>
              <w:rPr>
                <w:rFonts w:ascii="Arial" w:hAnsi="Arial" w:cs="Arial"/>
                <w:sz w:val="28"/>
                <w:szCs w:val="21"/>
              </w:rPr>
              <w:t>二</w:t>
            </w:r>
            <w:r>
              <w:rPr>
                <w:rFonts w:ascii="Arial" w:hAnsi="Arial" w:cs="Arial" w:hint="eastAsia"/>
                <w:sz w:val="28"/>
                <w:szCs w:val="21"/>
              </w:rPr>
              <w:t>五</w:t>
            </w:r>
            <w:r>
              <w:rPr>
                <w:rFonts w:ascii="Arial" w:hAnsi="Arial" w:cs="Arial"/>
                <w:sz w:val="28"/>
                <w:szCs w:val="21"/>
              </w:rPr>
              <w:t>年</w:t>
            </w:r>
            <w:r>
              <w:rPr>
                <w:rFonts w:ascii="Arial" w:hAnsi="Arial" w:cs="Arial" w:hint="eastAsia"/>
                <w:sz w:val="28"/>
                <w:szCs w:val="21"/>
              </w:rPr>
              <w:t>十</w:t>
            </w:r>
            <w:r>
              <w:rPr>
                <w:rFonts w:ascii="Arial" w:hAnsi="Arial" w:cs="Arial"/>
                <w:sz w:val="28"/>
              </w:rPr>
              <w:t>月十</w:t>
            </w:r>
            <w:r>
              <w:rPr>
                <w:rFonts w:ascii="Arial" w:hAnsi="Arial" w:cs="Arial" w:hint="eastAsia"/>
                <w:sz w:val="28"/>
              </w:rPr>
              <w:t>九</w:t>
            </w:r>
            <w:r>
              <w:rPr>
                <w:rFonts w:ascii="Arial" w:hAnsi="Arial" w:cs="Arial"/>
                <w:sz w:val="28"/>
              </w:rPr>
              <w:t>日</w:t>
            </w:r>
          </w:p>
        </w:tc>
      </w:tr>
    </w:tbl>
    <w:p w14:paraId="6C1293AC" w14:textId="77777777" w:rsidR="00000000" w:rsidRDefault="00000000">
      <w:pPr>
        <w:spacing w:line="360" w:lineRule="auto"/>
        <w:ind w:firstLineChars="1600" w:firstLine="4480"/>
        <w:jc w:val="right"/>
        <w:rPr>
          <w:rFonts w:ascii="Arial" w:hAnsi="Arial" w:cs="Arial"/>
          <w:sz w:val="28"/>
        </w:rPr>
      </w:pPr>
    </w:p>
    <w:p w14:paraId="1FB8211A" w14:textId="77777777" w:rsidR="00000000" w:rsidRDefault="00000000">
      <w:pPr>
        <w:spacing w:line="360" w:lineRule="auto"/>
        <w:jc w:val="center"/>
        <w:outlineLvl w:val="0"/>
        <w:rPr>
          <w:rFonts w:ascii="Arial" w:hAnsi="Arial" w:cs="Arial"/>
          <w:b/>
          <w:sz w:val="32"/>
        </w:rPr>
      </w:pPr>
      <w:r>
        <w:rPr>
          <w:rFonts w:ascii="Arial" w:hAnsi="Arial" w:cs="Arial"/>
          <w:sz w:val="28"/>
        </w:rPr>
        <w:br w:type="page"/>
      </w:r>
      <w:bookmarkStart w:id="275" w:name="_Toc416783586"/>
      <w:bookmarkStart w:id="276" w:name="_Toc416783682"/>
      <w:bookmarkStart w:id="277" w:name="_Toc97732765"/>
      <w:bookmarkStart w:id="278" w:name="_Toc97732883"/>
      <w:bookmarkStart w:id="279" w:name="_Toc9658"/>
      <w:bookmarkStart w:id="280" w:name="_Toc29473"/>
      <w:bookmarkStart w:id="281" w:name="_Toc469066164"/>
      <w:r>
        <w:rPr>
          <w:rFonts w:ascii="Arial" w:hAnsi="Arial" w:cs="Arial"/>
          <w:b/>
          <w:sz w:val="32"/>
        </w:rPr>
        <w:lastRenderedPageBreak/>
        <w:t>第二部分</w:t>
      </w:r>
      <w:r>
        <w:rPr>
          <w:rFonts w:ascii="Arial" w:hAnsi="Arial" w:cs="Arial"/>
          <w:b/>
          <w:sz w:val="32"/>
        </w:rPr>
        <w:t xml:space="preserve">  </w:t>
      </w:r>
      <w:r>
        <w:rPr>
          <w:rFonts w:ascii="Arial" w:hAnsi="Arial" w:cs="Arial"/>
          <w:b/>
          <w:sz w:val="32"/>
        </w:rPr>
        <w:t>咨询对象描述及土地价格影响因素分析</w:t>
      </w:r>
      <w:bookmarkEnd w:id="275"/>
      <w:bookmarkEnd w:id="276"/>
      <w:bookmarkEnd w:id="277"/>
      <w:bookmarkEnd w:id="278"/>
      <w:bookmarkEnd w:id="279"/>
      <w:bookmarkEnd w:id="280"/>
      <w:bookmarkEnd w:id="281"/>
    </w:p>
    <w:p w14:paraId="75DAA068" w14:textId="77777777" w:rsidR="00000000" w:rsidRDefault="00000000">
      <w:pPr>
        <w:spacing w:line="360" w:lineRule="auto"/>
        <w:rPr>
          <w:rFonts w:ascii="Arial" w:hAnsi="Arial" w:cs="Arial"/>
          <w:b/>
          <w:sz w:val="28"/>
        </w:rPr>
      </w:pPr>
    </w:p>
    <w:p w14:paraId="5F48BE4D" w14:textId="77777777" w:rsidR="00000000" w:rsidRDefault="00000000">
      <w:pPr>
        <w:spacing w:line="360" w:lineRule="auto"/>
        <w:outlineLvl w:val="1"/>
        <w:rPr>
          <w:rFonts w:ascii="Arial" w:hAnsi="Arial" w:cs="Arial"/>
          <w:b/>
          <w:sz w:val="28"/>
        </w:rPr>
      </w:pPr>
      <w:bookmarkStart w:id="282" w:name="_Toc97732766"/>
      <w:bookmarkStart w:id="283" w:name="_Toc97732884"/>
      <w:bookmarkStart w:id="284" w:name="_Toc28261"/>
      <w:bookmarkStart w:id="285" w:name="_Toc469066165"/>
      <w:bookmarkStart w:id="286" w:name="_Toc416783683"/>
      <w:bookmarkStart w:id="287" w:name="_Toc16635"/>
      <w:bookmarkStart w:id="288" w:name="_Toc416783587"/>
      <w:r>
        <w:rPr>
          <w:rFonts w:ascii="Arial" w:hAnsi="Arial" w:cs="Arial"/>
          <w:b/>
          <w:sz w:val="28"/>
        </w:rPr>
        <w:t>一、咨询对象描述</w:t>
      </w:r>
      <w:bookmarkEnd w:id="282"/>
      <w:bookmarkEnd w:id="283"/>
      <w:bookmarkEnd w:id="284"/>
      <w:bookmarkEnd w:id="285"/>
      <w:bookmarkEnd w:id="286"/>
      <w:bookmarkEnd w:id="287"/>
      <w:bookmarkEnd w:id="288"/>
    </w:p>
    <w:p w14:paraId="04B96804" w14:textId="77777777" w:rsidR="00000000" w:rsidRDefault="00000000">
      <w:pPr>
        <w:spacing w:line="360" w:lineRule="auto"/>
        <w:jc w:val="both"/>
        <w:rPr>
          <w:rFonts w:ascii="Arial" w:hAnsi="Arial" w:cs="Arial"/>
          <w:sz w:val="28"/>
        </w:rPr>
      </w:pPr>
      <w:r>
        <w:rPr>
          <w:rFonts w:ascii="Arial" w:hAnsi="Arial" w:cs="Arial"/>
          <w:sz w:val="28"/>
        </w:rPr>
        <w:t>（一）土地登记状况</w:t>
      </w:r>
    </w:p>
    <w:p w14:paraId="57D82556" w14:textId="77777777" w:rsidR="00000000" w:rsidRDefault="00000000">
      <w:pPr>
        <w:spacing w:line="360" w:lineRule="auto"/>
        <w:ind w:firstLineChars="200" w:firstLine="560"/>
        <w:jc w:val="both"/>
        <w:rPr>
          <w:rFonts w:ascii="Arial" w:hAnsi="Arial" w:cs="Arial"/>
          <w:sz w:val="28"/>
        </w:rPr>
      </w:pPr>
      <w:r>
        <w:rPr>
          <w:rFonts w:ascii="Arial" w:hAnsi="Arial" w:cs="Arial"/>
          <w:bCs/>
          <w:sz w:val="28"/>
        </w:rPr>
        <w:t>土地来源：咨询对象为</w:t>
      </w:r>
      <w:r>
        <w:rPr>
          <w:rFonts w:ascii="Arial" w:hAnsi="Arial" w:cs="Arial"/>
          <w:sz w:val="28"/>
        </w:rPr>
        <w:t>北京市</w:t>
      </w:r>
      <w:r>
        <w:rPr>
          <w:rFonts w:ascii="Arial" w:hAnsi="Arial" w:cs="Arial" w:hint="eastAsia"/>
          <w:sz w:val="28"/>
        </w:rPr>
        <w:t>昌平区马池口镇百泉庄村集体土地租赁住房项目</w:t>
      </w:r>
      <w:r>
        <w:rPr>
          <w:rFonts w:ascii="Arial" w:hAnsi="Arial" w:cs="Arial"/>
          <w:sz w:val="28"/>
        </w:rPr>
        <w:t>用地</w:t>
      </w:r>
      <w:r>
        <w:rPr>
          <w:rFonts w:ascii="Arial" w:hAnsi="Arial" w:cs="Arial"/>
          <w:bCs/>
          <w:sz w:val="28"/>
        </w:rPr>
        <w:t>，</w:t>
      </w:r>
      <w:r>
        <w:rPr>
          <w:rFonts w:ascii="Arial" w:hAnsi="Arial" w:cs="Arial" w:hint="eastAsia"/>
          <w:bCs/>
          <w:sz w:val="28"/>
        </w:rPr>
        <w:t>根据委托方介绍，</w:t>
      </w:r>
      <w:r>
        <w:rPr>
          <w:rFonts w:ascii="Arial" w:hAnsi="Arial" w:cs="Arial" w:hint="eastAsia"/>
          <w:sz w:val="28"/>
        </w:rPr>
        <w:t>百泉庄村经济组织</w:t>
      </w:r>
      <w:r>
        <w:rPr>
          <w:rFonts w:ascii="Arial" w:hAnsi="Arial" w:cs="Arial"/>
          <w:sz w:val="28"/>
        </w:rPr>
        <w:t>为</w:t>
      </w:r>
      <w:r>
        <w:rPr>
          <w:rFonts w:ascii="Arial" w:hAnsi="Arial" w:cs="Arial"/>
          <w:bCs/>
          <w:sz w:val="28"/>
        </w:rPr>
        <w:t>咨询对象集体建设用地使用权人</w:t>
      </w:r>
      <w:r>
        <w:rPr>
          <w:rFonts w:ascii="Arial" w:hAnsi="Arial" w:cs="Arial"/>
          <w:sz w:val="28"/>
        </w:rPr>
        <w:t>。</w:t>
      </w:r>
    </w:p>
    <w:p w14:paraId="1A1D43D0" w14:textId="77777777" w:rsidR="00000000" w:rsidRDefault="00000000">
      <w:pPr>
        <w:spacing w:line="360" w:lineRule="auto"/>
        <w:ind w:firstLineChars="200" w:firstLine="560"/>
        <w:jc w:val="both"/>
        <w:rPr>
          <w:rFonts w:ascii="Arial" w:hAnsi="Arial" w:cs="Arial"/>
          <w:sz w:val="28"/>
        </w:rPr>
      </w:pPr>
      <w:r>
        <w:rPr>
          <w:rFonts w:ascii="Arial" w:hAnsi="Arial" w:cs="Arial"/>
          <w:sz w:val="28"/>
        </w:rPr>
        <w:t>土地面积：</w:t>
      </w:r>
      <w:r>
        <w:rPr>
          <w:rFonts w:ascii="Arial" w:hAnsi="Arial" w:cs="Arial" w:hint="eastAsia"/>
          <w:sz w:val="28"/>
        </w:rPr>
        <w:t>18132</w:t>
      </w:r>
      <w:r>
        <w:rPr>
          <w:rFonts w:ascii="Arial" w:hAnsi="Arial" w:cs="Arial"/>
          <w:sz w:val="28"/>
        </w:rPr>
        <w:t>平方米</w:t>
      </w:r>
    </w:p>
    <w:p w14:paraId="6FBF47CB" w14:textId="77777777" w:rsidR="00000000" w:rsidRDefault="00000000">
      <w:pPr>
        <w:spacing w:line="360" w:lineRule="auto"/>
        <w:ind w:firstLineChars="200" w:firstLine="560"/>
        <w:jc w:val="both"/>
        <w:rPr>
          <w:rFonts w:ascii="Arial" w:hAnsi="Arial" w:cs="Arial" w:hint="eastAsia"/>
          <w:sz w:val="28"/>
        </w:rPr>
      </w:pPr>
      <w:r>
        <w:rPr>
          <w:rFonts w:ascii="Arial" w:hAnsi="Arial" w:cs="Arial"/>
          <w:sz w:val="28"/>
        </w:rPr>
        <w:t>咨询对象现状四至：</w:t>
      </w:r>
      <w:r>
        <w:rPr>
          <w:rFonts w:ascii="Arial" w:hAnsi="Arial" w:cs="Arial" w:hint="eastAsia"/>
          <w:sz w:val="28"/>
        </w:rPr>
        <w:t>东至水屯路，北至规划城市</w:t>
      </w:r>
      <w:commentRangeStart w:id="289"/>
      <w:r>
        <w:rPr>
          <w:rFonts w:ascii="Arial" w:hAnsi="Arial" w:cs="Arial" w:hint="eastAsia"/>
          <w:sz w:val="28"/>
        </w:rPr>
        <w:t>之路</w:t>
      </w:r>
      <w:commentRangeEnd w:id="289"/>
      <w:r w:rsidR="00ED67E4">
        <w:rPr>
          <w:rStyle w:val="afe"/>
        </w:rPr>
        <w:commentReference w:id="289"/>
      </w:r>
      <w:r>
        <w:rPr>
          <w:rFonts w:ascii="Arial" w:hAnsi="Arial" w:cs="Arial" w:hint="eastAsia"/>
          <w:sz w:val="28"/>
        </w:rPr>
        <w:t>，西至规划城市</w:t>
      </w:r>
      <w:commentRangeStart w:id="290"/>
      <w:r>
        <w:rPr>
          <w:rFonts w:ascii="Arial" w:hAnsi="Arial" w:cs="Arial" w:hint="eastAsia"/>
          <w:sz w:val="28"/>
        </w:rPr>
        <w:t>之路</w:t>
      </w:r>
      <w:commentRangeEnd w:id="290"/>
      <w:r w:rsidR="00ED67E4">
        <w:rPr>
          <w:rStyle w:val="afe"/>
        </w:rPr>
        <w:commentReference w:id="290"/>
      </w:r>
      <w:r>
        <w:rPr>
          <w:rFonts w:ascii="Arial" w:hAnsi="Arial" w:cs="Arial" w:hint="eastAsia"/>
          <w:sz w:val="28"/>
        </w:rPr>
        <w:t>，南至规划工业园区。</w:t>
      </w:r>
    </w:p>
    <w:p w14:paraId="183230A8" w14:textId="77777777" w:rsidR="00000000" w:rsidRDefault="00000000">
      <w:pPr>
        <w:spacing w:line="360" w:lineRule="auto"/>
        <w:jc w:val="both"/>
        <w:rPr>
          <w:rFonts w:ascii="Arial" w:hAnsi="Arial" w:cs="Arial"/>
          <w:sz w:val="28"/>
        </w:rPr>
      </w:pPr>
      <w:r>
        <w:rPr>
          <w:rFonts w:ascii="Arial" w:hAnsi="Arial" w:cs="Arial"/>
          <w:sz w:val="28"/>
        </w:rPr>
        <w:t>（二）土地权利状况</w:t>
      </w:r>
    </w:p>
    <w:p w14:paraId="588164E3" w14:textId="77777777" w:rsidR="00000000" w:rsidRDefault="00000000">
      <w:pPr>
        <w:spacing w:line="360" w:lineRule="auto"/>
        <w:ind w:firstLineChars="200" w:firstLine="560"/>
        <w:jc w:val="both"/>
        <w:rPr>
          <w:rFonts w:ascii="Arial" w:hAnsi="Arial" w:cs="Arial"/>
          <w:sz w:val="28"/>
        </w:rPr>
      </w:pPr>
      <w:r>
        <w:rPr>
          <w:rFonts w:ascii="Arial" w:hAnsi="Arial" w:cs="Arial"/>
          <w:sz w:val="28"/>
        </w:rPr>
        <w:t>咨询对象为集体土地，土地使用权人为</w:t>
      </w:r>
      <w:r>
        <w:rPr>
          <w:rFonts w:ascii="Arial" w:hAnsi="Arial" w:cs="Arial" w:hint="eastAsia"/>
          <w:sz w:val="28"/>
        </w:rPr>
        <w:t>百泉庄村经济组织</w:t>
      </w:r>
      <w:r>
        <w:rPr>
          <w:rFonts w:ascii="Arial" w:hAnsi="Arial" w:cs="Arial"/>
          <w:sz w:val="28"/>
        </w:rPr>
        <w:t>，</w:t>
      </w:r>
      <w:r>
        <w:rPr>
          <w:rFonts w:ascii="Arial" w:hAnsi="Arial" w:cs="Arial" w:hint="eastAsia"/>
          <w:sz w:val="28"/>
        </w:rPr>
        <w:t>根据委托方介绍，截至报告出具日，</w:t>
      </w:r>
      <w:r>
        <w:rPr>
          <w:rFonts w:ascii="Arial" w:hAnsi="Arial" w:cs="Arial"/>
          <w:sz w:val="28"/>
        </w:rPr>
        <w:t>咨询对象</w:t>
      </w:r>
      <w:r>
        <w:rPr>
          <w:rFonts w:ascii="Arial" w:hAnsi="Arial" w:cs="Arial" w:hint="eastAsia"/>
          <w:sz w:val="28"/>
        </w:rPr>
        <w:t>尚未</w:t>
      </w:r>
      <w:r>
        <w:rPr>
          <w:rFonts w:ascii="Arial" w:hAnsi="Arial" w:cs="Arial"/>
          <w:sz w:val="28"/>
        </w:rPr>
        <w:t>取得《集体土地所有权证》。</w:t>
      </w:r>
    </w:p>
    <w:p w14:paraId="770839B8" w14:textId="77777777" w:rsidR="00000000" w:rsidRDefault="00000000">
      <w:pPr>
        <w:spacing w:line="360" w:lineRule="auto"/>
        <w:ind w:firstLineChars="200" w:firstLine="560"/>
        <w:jc w:val="both"/>
        <w:rPr>
          <w:rFonts w:ascii="Arial" w:hAnsi="Arial" w:cs="Arial"/>
          <w:sz w:val="28"/>
        </w:rPr>
      </w:pPr>
      <w:r>
        <w:rPr>
          <w:rFonts w:ascii="Arial" w:hAnsi="Arial" w:cs="Arial"/>
          <w:sz w:val="28"/>
        </w:rPr>
        <w:t>评估专业人员根据委托方所提供的资料，未发现有抵押、租赁的登记信息，本次评估设定咨询对象不存在抵押、租赁等他项权利。</w:t>
      </w:r>
    </w:p>
    <w:p w14:paraId="119B3F35" w14:textId="77777777" w:rsidR="00000000" w:rsidRDefault="00000000">
      <w:pPr>
        <w:spacing w:line="360" w:lineRule="auto"/>
        <w:jc w:val="both"/>
        <w:rPr>
          <w:rFonts w:ascii="Arial" w:hAnsi="Arial" w:cs="Arial"/>
          <w:sz w:val="28"/>
        </w:rPr>
      </w:pPr>
      <w:r>
        <w:rPr>
          <w:rFonts w:ascii="Arial" w:hAnsi="Arial" w:cs="Arial"/>
          <w:sz w:val="28"/>
        </w:rPr>
        <w:t>（三）土地利用状况</w:t>
      </w:r>
    </w:p>
    <w:p w14:paraId="0BD4955F" w14:textId="77777777" w:rsidR="00000000" w:rsidRDefault="00000000">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土地规划设计条件</w:t>
      </w:r>
    </w:p>
    <w:p w14:paraId="75730B1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根据委托方提供的经济技术指标，规划利用条件如下：</w:t>
      </w:r>
    </w:p>
    <w:tbl>
      <w:tblPr>
        <w:tblpPr w:leftFromText="180" w:rightFromText="180" w:vertAnchor="text" w:horzAnchor="margin" w:tblpX="1" w:tblpY="143"/>
        <w:tblW w:w="9450" w:type="dxa"/>
        <w:tblInd w:w="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000" w:firstRow="0" w:lastRow="0" w:firstColumn="0" w:lastColumn="0" w:noHBand="0" w:noVBand="0"/>
      </w:tblPr>
      <w:tblGrid>
        <w:gridCol w:w="1165"/>
        <w:gridCol w:w="1020"/>
        <w:gridCol w:w="3341"/>
        <w:gridCol w:w="1488"/>
        <w:gridCol w:w="2436"/>
      </w:tblGrid>
      <w:tr w:rsidR="00000000" w14:paraId="07DEEBFE" w14:textId="77777777">
        <w:trPr>
          <w:trHeight w:val="280"/>
        </w:trPr>
        <w:tc>
          <w:tcPr>
            <w:tcW w:w="5526" w:type="dxa"/>
            <w:gridSpan w:val="3"/>
            <w:tcBorders>
              <w:bottom w:val="single" w:sz="4" w:space="0" w:color="auto"/>
              <w:right w:val="single" w:sz="4" w:space="0" w:color="auto"/>
            </w:tcBorders>
            <w:noWrap/>
            <w:vAlign w:val="center"/>
          </w:tcPr>
          <w:p w14:paraId="597C75CC"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sz="4" w:space="0" w:color="auto"/>
              <w:right w:val="single" w:sz="4" w:space="0" w:color="auto"/>
            </w:tcBorders>
            <w:noWrap/>
            <w:vAlign w:val="center"/>
          </w:tcPr>
          <w:p w14:paraId="16BFFF3C"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sz="4" w:space="0" w:color="auto"/>
              <w:right w:val="single" w:sz="4" w:space="0" w:color="auto"/>
            </w:tcBorders>
            <w:noWrap/>
            <w:vAlign w:val="center"/>
          </w:tcPr>
          <w:p w14:paraId="5EAF5864"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数量</w:t>
            </w:r>
          </w:p>
        </w:tc>
      </w:tr>
      <w:tr w:rsidR="00000000" w14:paraId="631CC1A9"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0E1025D3"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sz="4" w:space="0" w:color="auto"/>
              <w:right w:val="single" w:sz="4" w:space="0" w:color="auto"/>
            </w:tcBorders>
            <w:noWrap/>
            <w:vAlign w:val="center"/>
          </w:tcPr>
          <w:p w14:paraId="1C87CC1F"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20AE8B25"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000000" w14:paraId="217EF901"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613E6B93"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建设用地面积</w:t>
            </w:r>
          </w:p>
        </w:tc>
        <w:tc>
          <w:tcPr>
            <w:tcW w:w="1488" w:type="dxa"/>
            <w:tcBorders>
              <w:top w:val="nil"/>
              <w:left w:val="nil"/>
              <w:bottom w:val="single" w:sz="4" w:space="0" w:color="auto"/>
              <w:right w:val="single" w:sz="4" w:space="0" w:color="auto"/>
            </w:tcBorders>
            <w:noWrap/>
            <w:vAlign w:val="center"/>
          </w:tcPr>
          <w:p w14:paraId="32B1D7EB"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6BB53353"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000000" w14:paraId="4480AF50"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1F236CF6"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总建筑面积</w:t>
            </w:r>
          </w:p>
        </w:tc>
        <w:tc>
          <w:tcPr>
            <w:tcW w:w="1488" w:type="dxa"/>
            <w:tcBorders>
              <w:top w:val="nil"/>
              <w:left w:val="nil"/>
              <w:bottom w:val="single" w:sz="4" w:space="0" w:color="auto"/>
              <w:right w:val="single" w:sz="4" w:space="0" w:color="auto"/>
            </w:tcBorders>
            <w:noWrap/>
            <w:vAlign w:val="center"/>
          </w:tcPr>
          <w:p w14:paraId="2D17EBCA"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09BD76BC"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43300</w:t>
            </w:r>
          </w:p>
        </w:tc>
      </w:tr>
      <w:tr w:rsidR="00000000" w14:paraId="01677C51" w14:textId="77777777">
        <w:trPr>
          <w:trHeight w:val="280"/>
        </w:trPr>
        <w:tc>
          <w:tcPr>
            <w:tcW w:w="1165" w:type="dxa"/>
            <w:vMerge w:val="restart"/>
            <w:tcBorders>
              <w:top w:val="nil"/>
              <w:right w:val="single" w:sz="4" w:space="0" w:color="auto"/>
            </w:tcBorders>
            <w:noWrap/>
            <w:vAlign w:val="center"/>
          </w:tcPr>
          <w:p w14:paraId="17D25F90"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sz="4" w:space="0" w:color="auto"/>
              <w:left w:val="nil"/>
              <w:bottom w:val="single" w:sz="4" w:space="0" w:color="auto"/>
              <w:right w:val="single" w:sz="4" w:space="0" w:color="auto"/>
            </w:tcBorders>
            <w:noWrap/>
            <w:vAlign w:val="center"/>
          </w:tcPr>
          <w:p w14:paraId="7CA8E66F"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sz="4" w:space="0" w:color="auto"/>
              <w:right w:val="single" w:sz="4" w:space="0" w:color="auto"/>
            </w:tcBorders>
            <w:noWrap/>
            <w:vAlign w:val="center"/>
          </w:tcPr>
          <w:p w14:paraId="769D2955"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06478935"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32638</w:t>
            </w:r>
          </w:p>
        </w:tc>
      </w:tr>
      <w:tr w:rsidR="00000000" w14:paraId="024A0152" w14:textId="77777777">
        <w:trPr>
          <w:trHeight w:val="280"/>
        </w:trPr>
        <w:tc>
          <w:tcPr>
            <w:tcW w:w="1165" w:type="dxa"/>
            <w:vMerge/>
            <w:tcBorders>
              <w:right w:val="single" w:sz="4" w:space="0" w:color="auto"/>
            </w:tcBorders>
            <w:vAlign w:val="center"/>
          </w:tcPr>
          <w:p w14:paraId="7A18DC88" w14:textId="77777777" w:rsidR="00000000" w:rsidRDefault="00000000">
            <w:pPr>
              <w:widowControl/>
              <w:spacing w:line="240" w:lineRule="auto"/>
              <w:jc w:val="center"/>
              <w:rPr>
                <w:rFonts w:ascii="Arial" w:hAnsi="Arial" w:cs="Arial"/>
                <w:color w:val="000000"/>
                <w:sz w:val="20"/>
              </w:rPr>
            </w:pPr>
          </w:p>
        </w:tc>
        <w:tc>
          <w:tcPr>
            <w:tcW w:w="1020" w:type="dxa"/>
            <w:vMerge w:val="restart"/>
            <w:tcBorders>
              <w:top w:val="nil"/>
              <w:left w:val="single" w:sz="4" w:space="0" w:color="auto"/>
              <w:bottom w:val="single" w:sz="4" w:space="0" w:color="auto"/>
              <w:right w:val="single" w:sz="4" w:space="0" w:color="auto"/>
            </w:tcBorders>
            <w:noWrap/>
            <w:vAlign w:val="center"/>
          </w:tcPr>
          <w:p w14:paraId="26D13496"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sz="4" w:space="0" w:color="auto"/>
              <w:right w:val="single" w:sz="4" w:space="0" w:color="auto"/>
            </w:tcBorders>
            <w:noWrap/>
            <w:vAlign w:val="center"/>
          </w:tcPr>
          <w:p w14:paraId="42DB2227"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公寓建筑面积</w:t>
            </w:r>
          </w:p>
        </w:tc>
        <w:tc>
          <w:tcPr>
            <w:tcW w:w="1488" w:type="dxa"/>
            <w:tcBorders>
              <w:top w:val="nil"/>
              <w:left w:val="nil"/>
              <w:bottom w:val="single" w:sz="4" w:space="0" w:color="auto"/>
              <w:right w:val="single" w:sz="4" w:space="0" w:color="auto"/>
            </w:tcBorders>
            <w:noWrap/>
            <w:vAlign w:val="center"/>
          </w:tcPr>
          <w:p w14:paraId="6BBA0CD4"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5B8B18F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31152</w:t>
            </w:r>
          </w:p>
        </w:tc>
      </w:tr>
      <w:tr w:rsidR="00000000" w14:paraId="0E76CFDE" w14:textId="77777777">
        <w:trPr>
          <w:trHeight w:val="280"/>
        </w:trPr>
        <w:tc>
          <w:tcPr>
            <w:tcW w:w="1165" w:type="dxa"/>
            <w:vMerge/>
            <w:tcBorders>
              <w:right w:val="single" w:sz="4" w:space="0" w:color="auto"/>
            </w:tcBorders>
            <w:vAlign w:val="center"/>
          </w:tcPr>
          <w:p w14:paraId="6C2159BD" w14:textId="77777777" w:rsidR="00000000" w:rsidRDefault="00000000">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14:paraId="567C9548"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0477D20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商业建筑面积</w:t>
            </w:r>
          </w:p>
        </w:tc>
        <w:tc>
          <w:tcPr>
            <w:tcW w:w="1488" w:type="dxa"/>
            <w:tcBorders>
              <w:top w:val="nil"/>
              <w:left w:val="nil"/>
              <w:bottom w:val="single" w:sz="4" w:space="0" w:color="auto"/>
              <w:right w:val="single" w:sz="4" w:space="0" w:color="auto"/>
            </w:tcBorders>
            <w:noWrap/>
            <w:vAlign w:val="center"/>
          </w:tcPr>
          <w:p w14:paraId="03C165CF"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2D6B7511"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796</w:t>
            </w:r>
          </w:p>
        </w:tc>
      </w:tr>
      <w:tr w:rsidR="00000000" w14:paraId="562AE7E8" w14:textId="77777777">
        <w:trPr>
          <w:trHeight w:val="280"/>
        </w:trPr>
        <w:tc>
          <w:tcPr>
            <w:tcW w:w="1165" w:type="dxa"/>
            <w:vMerge/>
            <w:tcBorders>
              <w:right w:val="single" w:sz="4" w:space="0" w:color="auto"/>
            </w:tcBorders>
            <w:vAlign w:val="center"/>
          </w:tcPr>
          <w:p w14:paraId="7F111E15" w14:textId="77777777" w:rsidR="00000000" w:rsidRDefault="00000000">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14:paraId="4EBC12CD"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202A1007"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地下建筑出入口</w:t>
            </w:r>
          </w:p>
        </w:tc>
        <w:tc>
          <w:tcPr>
            <w:tcW w:w="1488" w:type="dxa"/>
            <w:tcBorders>
              <w:top w:val="nil"/>
              <w:left w:val="nil"/>
              <w:bottom w:val="single" w:sz="4" w:space="0" w:color="auto"/>
              <w:right w:val="single" w:sz="4" w:space="0" w:color="auto"/>
            </w:tcBorders>
            <w:noWrap/>
            <w:vAlign w:val="center"/>
          </w:tcPr>
          <w:p w14:paraId="08B58FF3"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3860019E"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150</w:t>
            </w:r>
          </w:p>
        </w:tc>
      </w:tr>
      <w:tr w:rsidR="00000000" w14:paraId="2E1EA9C6" w14:textId="77777777">
        <w:trPr>
          <w:trHeight w:val="280"/>
        </w:trPr>
        <w:tc>
          <w:tcPr>
            <w:tcW w:w="1165" w:type="dxa"/>
            <w:vMerge/>
            <w:tcBorders>
              <w:right w:val="single" w:sz="4" w:space="0" w:color="auto"/>
            </w:tcBorders>
            <w:vAlign w:val="center"/>
          </w:tcPr>
          <w:p w14:paraId="470FA37F" w14:textId="77777777" w:rsidR="00000000" w:rsidRDefault="00000000">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14:paraId="3E000E69"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2335B2BB"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配套设施面积</w:t>
            </w:r>
          </w:p>
        </w:tc>
        <w:tc>
          <w:tcPr>
            <w:tcW w:w="1488" w:type="dxa"/>
            <w:tcBorders>
              <w:top w:val="nil"/>
              <w:left w:val="nil"/>
              <w:bottom w:val="single" w:sz="4" w:space="0" w:color="auto"/>
              <w:right w:val="single" w:sz="4" w:space="0" w:color="auto"/>
            </w:tcBorders>
            <w:noWrap/>
            <w:vAlign w:val="center"/>
          </w:tcPr>
          <w:p w14:paraId="5E166894"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1CB6DBE5"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540</w:t>
            </w:r>
          </w:p>
        </w:tc>
      </w:tr>
      <w:tr w:rsidR="00000000" w14:paraId="3B2D57B7" w14:textId="77777777">
        <w:trPr>
          <w:trHeight w:val="280"/>
        </w:trPr>
        <w:tc>
          <w:tcPr>
            <w:tcW w:w="1165" w:type="dxa"/>
            <w:vMerge/>
            <w:tcBorders>
              <w:right w:val="single" w:sz="4" w:space="0" w:color="auto"/>
            </w:tcBorders>
            <w:vAlign w:val="center"/>
          </w:tcPr>
          <w:p w14:paraId="6963D2A4" w14:textId="77777777" w:rsidR="00000000" w:rsidRDefault="00000000">
            <w:pPr>
              <w:widowControl/>
              <w:spacing w:line="240" w:lineRule="auto"/>
              <w:jc w:val="center"/>
              <w:rPr>
                <w:rFonts w:ascii="Arial" w:hAnsi="Arial" w:cs="Arial"/>
                <w:color w:val="000000"/>
                <w:sz w:val="20"/>
              </w:rPr>
            </w:pPr>
          </w:p>
        </w:tc>
        <w:tc>
          <w:tcPr>
            <w:tcW w:w="4361" w:type="dxa"/>
            <w:gridSpan w:val="2"/>
            <w:tcBorders>
              <w:top w:val="single" w:sz="4" w:space="0" w:color="auto"/>
              <w:left w:val="single" w:sz="4" w:space="0" w:color="auto"/>
              <w:bottom w:val="single" w:sz="4" w:space="0" w:color="auto"/>
              <w:right w:val="single" w:sz="4" w:space="0" w:color="auto"/>
            </w:tcBorders>
            <w:vAlign w:val="center"/>
          </w:tcPr>
          <w:p w14:paraId="3594C2E2" w14:textId="77777777" w:rsidR="00000000" w:rsidRDefault="00000000">
            <w:pPr>
              <w:widowControl/>
              <w:spacing w:line="240" w:lineRule="auto"/>
              <w:jc w:val="center"/>
              <w:rPr>
                <w:rFonts w:ascii="Arial" w:hAnsi="Arial" w:cs="Arial" w:hint="eastAsia"/>
                <w:color w:val="000000"/>
                <w:sz w:val="20"/>
              </w:rPr>
            </w:pPr>
            <w:r>
              <w:rPr>
                <w:rFonts w:ascii="Arial" w:hAnsi="Arial" w:cs="Arial"/>
                <w:color w:val="000000"/>
                <w:sz w:val="20"/>
              </w:rPr>
              <w:t>地下建筑面积</w:t>
            </w:r>
          </w:p>
        </w:tc>
        <w:tc>
          <w:tcPr>
            <w:tcW w:w="1488" w:type="dxa"/>
            <w:tcBorders>
              <w:top w:val="nil"/>
              <w:left w:val="nil"/>
              <w:bottom w:val="single" w:sz="4" w:space="0" w:color="auto"/>
              <w:right w:val="single" w:sz="4" w:space="0" w:color="auto"/>
            </w:tcBorders>
            <w:noWrap/>
            <w:vAlign w:val="center"/>
          </w:tcPr>
          <w:p w14:paraId="270521C2"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0AECD82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10662</w:t>
            </w:r>
          </w:p>
        </w:tc>
      </w:tr>
      <w:tr w:rsidR="00000000" w14:paraId="57D9A0A9" w14:textId="77777777">
        <w:trPr>
          <w:trHeight w:val="280"/>
        </w:trPr>
        <w:tc>
          <w:tcPr>
            <w:tcW w:w="1165" w:type="dxa"/>
            <w:vMerge/>
            <w:tcBorders>
              <w:right w:val="single" w:sz="4" w:space="0" w:color="auto"/>
            </w:tcBorders>
            <w:vAlign w:val="center"/>
          </w:tcPr>
          <w:p w14:paraId="558AD182" w14:textId="77777777" w:rsidR="00000000" w:rsidRDefault="00000000">
            <w:pPr>
              <w:widowControl/>
              <w:spacing w:line="240" w:lineRule="auto"/>
              <w:jc w:val="center"/>
              <w:rPr>
                <w:rFonts w:ascii="Arial" w:hAnsi="Arial" w:cs="Arial"/>
                <w:color w:val="000000"/>
                <w:sz w:val="20"/>
              </w:rPr>
            </w:pPr>
          </w:p>
        </w:tc>
        <w:tc>
          <w:tcPr>
            <w:tcW w:w="1020" w:type="dxa"/>
            <w:vMerge w:val="restart"/>
            <w:tcBorders>
              <w:top w:val="single" w:sz="4" w:space="0" w:color="auto"/>
              <w:left w:val="single" w:sz="4" w:space="0" w:color="auto"/>
              <w:bottom w:val="single" w:sz="4" w:space="0" w:color="auto"/>
              <w:right w:val="single" w:sz="4" w:space="0" w:color="auto"/>
            </w:tcBorders>
            <w:vAlign w:val="center"/>
          </w:tcPr>
          <w:p w14:paraId="499453C0"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sz="4" w:space="0" w:color="auto"/>
              <w:left w:val="nil"/>
              <w:bottom w:val="single" w:sz="4" w:space="0" w:color="auto"/>
              <w:right w:val="single" w:sz="4" w:space="0" w:color="auto"/>
            </w:tcBorders>
            <w:noWrap/>
            <w:vAlign w:val="center"/>
          </w:tcPr>
          <w:p w14:paraId="5A5DB953"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人防建筑面积</w:t>
            </w:r>
          </w:p>
        </w:tc>
        <w:tc>
          <w:tcPr>
            <w:tcW w:w="1488" w:type="dxa"/>
            <w:tcBorders>
              <w:top w:val="nil"/>
              <w:left w:val="nil"/>
              <w:bottom w:val="single" w:sz="4" w:space="0" w:color="auto"/>
              <w:right w:val="single" w:sz="4" w:space="0" w:color="auto"/>
            </w:tcBorders>
            <w:noWrap/>
            <w:vAlign w:val="center"/>
          </w:tcPr>
          <w:p w14:paraId="589B976B"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640CBDC8"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2837</w:t>
            </w:r>
          </w:p>
        </w:tc>
      </w:tr>
      <w:tr w:rsidR="00000000" w14:paraId="49969442" w14:textId="77777777">
        <w:trPr>
          <w:trHeight w:val="280"/>
        </w:trPr>
        <w:tc>
          <w:tcPr>
            <w:tcW w:w="1165" w:type="dxa"/>
            <w:vMerge/>
            <w:tcBorders>
              <w:right w:val="single" w:sz="4" w:space="0" w:color="auto"/>
            </w:tcBorders>
            <w:vAlign w:val="center"/>
          </w:tcPr>
          <w:p w14:paraId="52F548A9" w14:textId="77777777" w:rsidR="00000000" w:rsidRDefault="00000000">
            <w:pPr>
              <w:widowControl/>
              <w:spacing w:line="240" w:lineRule="auto"/>
              <w:jc w:val="center"/>
              <w:rPr>
                <w:rFonts w:ascii="Arial" w:hAnsi="Arial" w:cs="Arial"/>
                <w:color w:val="000000"/>
                <w:sz w:val="20"/>
              </w:rPr>
            </w:pPr>
          </w:p>
        </w:tc>
        <w:tc>
          <w:tcPr>
            <w:tcW w:w="1020" w:type="dxa"/>
            <w:vMerge/>
            <w:tcBorders>
              <w:top w:val="single" w:sz="4" w:space="0" w:color="auto"/>
              <w:left w:val="single" w:sz="4" w:space="0" w:color="auto"/>
              <w:right w:val="single" w:sz="4" w:space="0" w:color="auto"/>
            </w:tcBorders>
            <w:vAlign w:val="center"/>
          </w:tcPr>
          <w:p w14:paraId="26F1705C" w14:textId="77777777" w:rsidR="00000000" w:rsidRDefault="00000000">
            <w:pPr>
              <w:widowControl/>
              <w:spacing w:line="240" w:lineRule="auto"/>
              <w:jc w:val="center"/>
              <w:rPr>
                <w:rFonts w:ascii="Arial" w:hAnsi="Arial" w:cs="Arial"/>
                <w:color w:val="000000"/>
                <w:sz w:val="20"/>
              </w:rPr>
            </w:pPr>
          </w:p>
        </w:tc>
        <w:tc>
          <w:tcPr>
            <w:tcW w:w="3341" w:type="dxa"/>
            <w:tcBorders>
              <w:top w:val="single" w:sz="4" w:space="0" w:color="auto"/>
              <w:left w:val="nil"/>
              <w:bottom w:val="single" w:sz="4" w:space="0" w:color="auto"/>
              <w:right w:val="single" w:sz="4" w:space="0" w:color="auto"/>
            </w:tcBorders>
            <w:noWrap/>
            <w:vAlign w:val="center"/>
          </w:tcPr>
          <w:p w14:paraId="177041A8"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地下机动车库面积</w:t>
            </w:r>
          </w:p>
        </w:tc>
        <w:tc>
          <w:tcPr>
            <w:tcW w:w="1488" w:type="dxa"/>
            <w:tcBorders>
              <w:top w:val="nil"/>
              <w:left w:val="nil"/>
              <w:bottom w:val="single" w:sz="4" w:space="0" w:color="auto"/>
              <w:right w:val="single" w:sz="4" w:space="0" w:color="auto"/>
            </w:tcBorders>
            <w:noWrap/>
            <w:vAlign w:val="center"/>
          </w:tcPr>
          <w:p w14:paraId="48938167"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5DD82F2C"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5556</w:t>
            </w:r>
          </w:p>
        </w:tc>
      </w:tr>
      <w:tr w:rsidR="00000000" w14:paraId="57C310AB" w14:textId="77777777">
        <w:trPr>
          <w:trHeight w:val="280"/>
        </w:trPr>
        <w:tc>
          <w:tcPr>
            <w:tcW w:w="1165" w:type="dxa"/>
            <w:vMerge/>
            <w:tcBorders>
              <w:right w:val="single" w:sz="4" w:space="0" w:color="auto"/>
            </w:tcBorders>
            <w:vAlign w:val="center"/>
          </w:tcPr>
          <w:p w14:paraId="30C289AF" w14:textId="77777777" w:rsidR="00000000" w:rsidRDefault="00000000">
            <w:pPr>
              <w:widowControl/>
              <w:spacing w:line="240" w:lineRule="auto"/>
              <w:jc w:val="center"/>
              <w:rPr>
                <w:rFonts w:ascii="Arial" w:hAnsi="Arial" w:cs="Arial"/>
                <w:color w:val="000000"/>
                <w:sz w:val="20"/>
              </w:rPr>
            </w:pPr>
          </w:p>
        </w:tc>
        <w:tc>
          <w:tcPr>
            <w:tcW w:w="1020" w:type="dxa"/>
            <w:vMerge/>
            <w:tcBorders>
              <w:left w:val="single" w:sz="4" w:space="0" w:color="auto"/>
              <w:right w:val="single" w:sz="4" w:space="0" w:color="auto"/>
            </w:tcBorders>
            <w:vAlign w:val="center"/>
          </w:tcPr>
          <w:p w14:paraId="3228D305"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6334357D"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自行车</w:t>
            </w:r>
          </w:p>
        </w:tc>
        <w:tc>
          <w:tcPr>
            <w:tcW w:w="1488" w:type="dxa"/>
            <w:tcBorders>
              <w:top w:val="nil"/>
              <w:left w:val="nil"/>
              <w:bottom w:val="single" w:sz="4" w:space="0" w:color="auto"/>
              <w:right w:val="single" w:sz="4" w:space="0" w:color="auto"/>
            </w:tcBorders>
            <w:noWrap/>
            <w:vAlign w:val="center"/>
          </w:tcPr>
          <w:p w14:paraId="64F4F1F9"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23F3B713"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979</w:t>
            </w:r>
          </w:p>
        </w:tc>
      </w:tr>
      <w:tr w:rsidR="00000000" w14:paraId="769BF412" w14:textId="77777777">
        <w:trPr>
          <w:trHeight w:val="280"/>
        </w:trPr>
        <w:tc>
          <w:tcPr>
            <w:tcW w:w="1165" w:type="dxa"/>
            <w:vMerge/>
            <w:tcBorders>
              <w:right w:val="single" w:sz="4" w:space="0" w:color="auto"/>
            </w:tcBorders>
            <w:vAlign w:val="center"/>
          </w:tcPr>
          <w:p w14:paraId="716355DF" w14:textId="77777777" w:rsidR="00000000" w:rsidRDefault="00000000">
            <w:pPr>
              <w:widowControl/>
              <w:spacing w:line="240" w:lineRule="auto"/>
              <w:jc w:val="center"/>
              <w:rPr>
                <w:rFonts w:ascii="Arial" w:hAnsi="Arial" w:cs="Arial"/>
                <w:color w:val="000000"/>
                <w:sz w:val="20"/>
              </w:rPr>
            </w:pPr>
          </w:p>
        </w:tc>
        <w:tc>
          <w:tcPr>
            <w:tcW w:w="1020" w:type="dxa"/>
            <w:vMerge/>
            <w:tcBorders>
              <w:left w:val="single" w:sz="4" w:space="0" w:color="auto"/>
              <w:bottom w:val="single" w:sz="4" w:space="0" w:color="auto"/>
              <w:right w:val="single" w:sz="4" w:space="0" w:color="auto"/>
            </w:tcBorders>
            <w:vAlign w:val="center"/>
          </w:tcPr>
          <w:p w14:paraId="0AE23F7B"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24AA01B7"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设备用房</w:t>
            </w:r>
          </w:p>
        </w:tc>
        <w:tc>
          <w:tcPr>
            <w:tcW w:w="1488" w:type="dxa"/>
            <w:tcBorders>
              <w:top w:val="nil"/>
              <w:left w:val="nil"/>
              <w:bottom w:val="single" w:sz="4" w:space="0" w:color="auto"/>
              <w:right w:val="single" w:sz="4" w:space="0" w:color="auto"/>
            </w:tcBorders>
            <w:noWrap/>
            <w:vAlign w:val="center"/>
          </w:tcPr>
          <w:p w14:paraId="29108D84"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7B11D817"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12900</w:t>
            </w:r>
          </w:p>
        </w:tc>
      </w:tr>
      <w:tr w:rsidR="00000000" w14:paraId="7108389A"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57EF5158"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sz="4" w:space="0" w:color="auto"/>
              <w:right w:val="single" w:sz="4" w:space="0" w:color="auto"/>
            </w:tcBorders>
            <w:noWrap/>
            <w:vAlign w:val="center"/>
          </w:tcPr>
          <w:p w14:paraId="13109216"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sz="4" w:space="0" w:color="auto"/>
              <w:right w:val="single" w:sz="4" w:space="0" w:color="auto"/>
            </w:tcBorders>
            <w:noWrap/>
            <w:vAlign w:val="center"/>
          </w:tcPr>
          <w:p w14:paraId="7DC105CB"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1090</w:t>
            </w:r>
          </w:p>
        </w:tc>
      </w:tr>
      <w:tr w:rsidR="00000000" w14:paraId="0995C4C8"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63704F86"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机动车停车位</w:t>
            </w:r>
          </w:p>
        </w:tc>
        <w:tc>
          <w:tcPr>
            <w:tcW w:w="1488" w:type="dxa"/>
            <w:tcBorders>
              <w:top w:val="nil"/>
              <w:left w:val="nil"/>
              <w:bottom w:val="single" w:sz="4" w:space="0" w:color="auto"/>
              <w:right w:val="single" w:sz="4" w:space="0" w:color="auto"/>
            </w:tcBorders>
            <w:noWrap/>
            <w:vAlign w:val="center"/>
          </w:tcPr>
          <w:p w14:paraId="66A7B0F4"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个</w:t>
            </w:r>
          </w:p>
        </w:tc>
        <w:tc>
          <w:tcPr>
            <w:tcW w:w="2436" w:type="dxa"/>
            <w:tcBorders>
              <w:top w:val="nil"/>
              <w:left w:val="nil"/>
              <w:bottom w:val="single" w:sz="4" w:space="0" w:color="auto"/>
              <w:right w:val="single" w:sz="4" w:space="0" w:color="auto"/>
            </w:tcBorders>
            <w:noWrap/>
            <w:vAlign w:val="center"/>
          </w:tcPr>
          <w:p w14:paraId="4A3C625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218</w:t>
            </w:r>
          </w:p>
        </w:tc>
      </w:tr>
      <w:tr w:rsidR="00000000" w14:paraId="56397E0D"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51AAD4F8"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sz="4" w:space="0" w:color="auto"/>
              <w:right w:val="single" w:sz="4" w:space="0" w:color="auto"/>
            </w:tcBorders>
            <w:noWrap/>
            <w:vAlign w:val="center"/>
          </w:tcPr>
          <w:p w14:paraId="21B8FD4C"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50D9FFDC"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1.8</w:t>
            </w:r>
          </w:p>
        </w:tc>
      </w:tr>
      <w:tr w:rsidR="00000000" w14:paraId="1B024887"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76A59E79"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sz="4" w:space="0" w:color="auto"/>
              <w:right w:val="single" w:sz="4" w:space="0" w:color="auto"/>
            </w:tcBorders>
            <w:noWrap/>
            <w:vAlign w:val="center"/>
          </w:tcPr>
          <w:p w14:paraId="4ABD7B6C"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6234B4A0"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29.93</w:t>
            </w:r>
            <w:r>
              <w:rPr>
                <w:rFonts w:ascii="Arial" w:hAnsi="Arial" w:cs="Arial"/>
                <w:color w:val="000000"/>
                <w:sz w:val="20"/>
              </w:rPr>
              <w:t>%</w:t>
            </w:r>
          </w:p>
        </w:tc>
      </w:tr>
      <w:tr w:rsidR="00000000" w14:paraId="6CE24CF9"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41A513D2"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sz="4" w:space="0" w:color="auto"/>
              <w:right w:val="single" w:sz="4" w:space="0" w:color="auto"/>
            </w:tcBorders>
            <w:noWrap/>
            <w:vAlign w:val="center"/>
          </w:tcPr>
          <w:p w14:paraId="74F642A4"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2667883D"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30.0</w:t>
            </w:r>
            <w:r>
              <w:rPr>
                <w:rFonts w:ascii="Arial" w:hAnsi="Arial" w:cs="Arial" w:hint="eastAsia"/>
                <w:color w:val="000000"/>
                <w:sz w:val="20"/>
              </w:rPr>
              <w:t>0%</w:t>
            </w:r>
          </w:p>
        </w:tc>
      </w:tr>
    </w:tbl>
    <w:p w14:paraId="40AFCADE" w14:textId="77777777" w:rsidR="00000000" w:rsidRDefault="00000000">
      <w:pPr>
        <w:spacing w:beforeLines="100" w:before="240" w:line="360" w:lineRule="auto"/>
        <w:ind w:firstLineChars="200" w:firstLine="552"/>
        <w:jc w:val="both"/>
        <w:rPr>
          <w:rFonts w:ascii="Arial" w:hAnsi="Arial" w:cs="Arial"/>
          <w:sz w:val="28"/>
        </w:rPr>
      </w:pPr>
      <w:r>
        <w:rPr>
          <w:rFonts w:ascii="Arial"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Pr>
          <w:rFonts w:ascii="Arial" w:hAnsi="Arial" w:cs="Arial"/>
          <w:sz w:val="28"/>
        </w:rPr>
        <w:t>。</w:t>
      </w:r>
    </w:p>
    <w:p w14:paraId="33067B65" w14:textId="77777777" w:rsidR="00000000" w:rsidRDefault="00000000">
      <w:pPr>
        <w:spacing w:line="360" w:lineRule="auto"/>
        <w:ind w:firstLineChars="200" w:firstLine="512"/>
        <w:jc w:val="both"/>
        <w:rPr>
          <w:rFonts w:ascii="Arial" w:hAnsi="Arial" w:cs="Arial"/>
          <w:spacing w:val="-12"/>
          <w:sz w:val="28"/>
        </w:rPr>
      </w:pPr>
      <w:r>
        <w:rPr>
          <w:rFonts w:ascii="Arial" w:hAnsi="Arial" w:cs="Arial"/>
          <w:spacing w:val="-12"/>
          <w:sz w:val="28"/>
        </w:rPr>
        <w:t>2.</w:t>
      </w:r>
      <w:r>
        <w:rPr>
          <w:rFonts w:ascii="Arial" w:hAnsi="Arial" w:cs="Arial"/>
          <w:spacing w:val="-12"/>
          <w:sz w:val="28"/>
        </w:rPr>
        <w:t>土地利用现状</w:t>
      </w:r>
    </w:p>
    <w:p w14:paraId="1AB895E1" w14:textId="77777777" w:rsidR="00000000" w:rsidRDefault="00000000">
      <w:pPr>
        <w:spacing w:line="360" w:lineRule="auto"/>
        <w:ind w:firstLineChars="200" w:firstLine="512"/>
        <w:jc w:val="both"/>
        <w:rPr>
          <w:rFonts w:ascii="Arial" w:hAnsi="Arial" w:cs="Arial"/>
          <w:sz w:val="28"/>
        </w:rPr>
      </w:pPr>
      <w:r>
        <w:rPr>
          <w:rFonts w:ascii="Arial" w:hAnsi="Arial" w:cs="Arial"/>
          <w:spacing w:val="-12"/>
          <w:sz w:val="28"/>
        </w:rPr>
        <w:t>根据评估专业人员实地查勘，截至咨询期日，咨询对象宗地红线外达</w:t>
      </w:r>
      <w:r>
        <w:rPr>
          <w:rFonts w:ascii="Arial" w:hAnsi="Arial" w:cs="Arial"/>
          <w:spacing w:val="-12"/>
          <w:sz w:val="28"/>
        </w:rPr>
        <w:t>“</w:t>
      </w:r>
      <w:r>
        <w:rPr>
          <w:rFonts w:ascii="Arial" w:hAnsi="Arial" w:cs="Arial"/>
          <w:spacing w:val="-12"/>
          <w:sz w:val="28"/>
        </w:rPr>
        <w:t>三通</w:t>
      </w:r>
      <w:r>
        <w:rPr>
          <w:rFonts w:ascii="Arial" w:hAnsi="Arial" w:cs="Arial"/>
          <w:spacing w:val="-12"/>
          <w:sz w:val="28"/>
        </w:rPr>
        <w:t>”</w:t>
      </w:r>
      <w:r>
        <w:rPr>
          <w:rFonts w:ascii="Arial" w:hAnsi="Arial" w:cs="Arial"/>
          <w:spacing w:val="-12"/>
          <w:sz w:val="28"/>
        </w:rPr>
        <w:t>，红线内场地尚未平整，</w:t>
      </w:r>
      <w:r>
        <w:rPr>
          <w:rFonts w:ascii="Arial" w:hAnsi="Arial" w:cs="Arial"/>
          <w:sz w:val="28"/>
        </w:rPr>
        <w:t>宗地红线内有需要移除的树木</w:t>
      </w:r>
      <w:r>
        <w:rPr>
          <w:rFonts w:ascii="Arial" w:hAnsi="Arial" w:cs="Arial"/>
          <w:spacing w:val="-12"/>
          <w:sz w:val="28"/>
        </w:rPr>
        <w:t>。本次评估咨询结果</w:t>
      </w:r>
      <w:r>
        <w:rPr>
          <w:rFonts w:ascii="Arial" w:hAnsi="Arial" w:cs="Arial"/>
          <w:sz w:val="28"/>
        </w:rPr>
        <w:t>未扣除树木移除的费用。</w:t>
      </w:r>
    </w:p>
    <w:p w14:paraId="365A9774" w14:textId="77777777" w:rsidR="00000000" w:rsidRDefault="00000000">
      <w:pPr>
        <w:spacing w:line="360" w:lineRule="auto"/>
        <w:rPr>
          <w:rFonts w:ascii="Arial" w:hAnsi="Arial" w:cs="Arial"/>
          <w:b/>
          <w:sz w:val="28"/>
        </w:rPr>
      </w:pPr>
    </w:p>
    <w:p w14:paraId="4C711841" w14:textId="77777777" w:rsidR="00000000" w:rsidRDefault="00000000">
      <w:pPr>
        <w:spacing w:line="360" w:lineRule="auto"/>
        <w:outlineLvl w:val="1"/>
        <w:rPr>
          <w:rFonts w:ascii="Arial" w:hAnsi="Arial" w:cs="Arial"/>
          <w:b/>
          <w:sz w:val="28"/>
        </w:rPr>
      </w:pPr>
      <w:bookmarkStart w:id="291" w:name="_Toc14556"/>
      <w:bookmarkStart w:id="292" w:name="_Toc469066166"/>
      <w:bookmarkStart w:id="293" w:name="_Toc416783690"/>
      <w:bookmarkStart w:id="294" w:name="_Toc416783594"/>
      <w:bookmarkStart w:id="295" w:name="_Toc97732767"/>
      <w:bookmarkStart w:id="296" w:name="_Toc2555"/>
      <w:bookmarkStart w:id="297" w:name="_Toc97732885"/>
      <w:r>
        <w:rPr>
          <w:rFonts w:ascii="Arial" w:hAnsi="Arial" w:cs="Arial"/>
          <w:b/>
          <w:sz w:val="28"/>
        </w:rPr>
        <w:t>二、地价影响因素分析</w:t>
      </w:r>
      <w:bookmarkEnd w:id="291"/>
      <w:bookmarkEnd w:id="292"/>
      <w:bookmarkEnd w:id="293"/>
      <w:bookmarkEnd w:id="294"/>
      <w:bookmarkEnd w:id="295"/>
      <w:bookmarkEnd w:id="296"/>
      <w:bookmarkEnd w:id="297"/>
    </w:p>
    <w:p w14:paraId="29BC4AA9" w14:textId="77777777" w:rsidR="00000000" w:rsidRDefault="00000000">
      <w:pPr>
        <w:spacing w:line="360" w:lineRule="auto"/>
        <w:jc w:val="both"/>
        <w:rPr>
          <w:rFonts w:ascii="宋体" w:hAnsi="宋体" w:cs="宋体" w:hint="eastAsia"/>
          <w:sz w:val="28"/>
          <w:szCs w:val="28"/>
        </w:rPr>
      </w:pPr>
      <w:r>
        <w:rPr>
          <w:rFonts w:ascii="宋体" w:hAnsi="宋体" w:cs="宋体" w:hint="eastAsia"/>
          <w:sz w:val="28"/>
          <w:szCs w:val="28"/>
        </w:rPr>
        <w:t>（一） 一般因素</w:t>
      </w:r>
    </w:p>
    <w:p w14:paraId="3788EF1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1.</w:t>
      </w:r>
      <w:r>
        <w:rPr>
          <w:rFonts w:ascii="Arial" w:hAnsi="Arial" w:cs="Arial" w:hint="eastAsia"/>
          <w:sz w:val="28"/>
        </w:rPr>
        <w:t>城市资源状况</w:t>
      </w:r>
    </w:p>
    <w:p w14:paraId="1B4919F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地理位置：北京，简称“京”，是中华人民共和国的首都，是全国的政治中心、文化中心，是世界著名古都和现代化国际城市。北京位于北纬</w:t>
      </w:r>
      <w:r>
        <w:rPr>
          <w:rFonts w:ascii="Arial" w:hAnsi="Arial" w:cs="Arial" w:hint="eastAsia"/>
          <w:sz w:val="28"/>
        </w:rPr>
        <w:t>39</w:t>
      </w:r>
      <w:r>
        <w:rPr>
          <w:rFonts w:ascii="Arial" w:hAnsi="Arial" w:cs="Arial" w:hint="eastAsia"/>
          <w:sz w:val="28"/>
        </w:rPr>
        <w:t>度</w:t>
      </w:r>
      <w:r>
        <w:rPr>
          <w:rFonts w:ascii="Arial" w:hAnsi="Arial" w:cs="Arial" w:hint="eastAsia"/>
          <w:sz w:val="28"/>
        </w:rPr>
        <w:t>56</w:t>
      </w:r>
      <w:r>
        <w:rPr>
          <w:rFonts w:ascii="Arial" w:hAnsi="Arial" w:cs="Arial" w:hint="eastAsia"/>
          <w:sz w:val="28"/>
        </w:rPr>
        <w:t>分、东经</w:t>
      </w:r>
      <w:r>
        <w:rPr>
          <w:rFonts w:ascii="Arial" w:hAnsi="Arial" w:cs="Arial" w:hint="eastAsia"/>
          <w:sz w:val="28"/>
        </w:rPr>
        <w:t>116</w:t>
      </w:r>
      <w:r>
        <w:rPr>
          <w:rFonts w:ascii="Arial" w:hAnsi="Arial" w:cs="Arial" w:hint="eastAsia"/>
          <w:sz w:val="28"/>
        </w:rPr>
        <w:t>度</w:t>
      </w:r>
      <w:r>
        <w:rPr>
          <w:rFonts w:ascii="Arial" w:hAnsi="Arial" w:cs="Arial" w:hint="eastAsia"/>
          <w:sz w:val="28"/>
        </w:rPr>
        <w:t>20</w:t>
      </w:r>
      <w:r>
        <w:rPr>
          <w:rFonts w:ascii="Arial" w:hAnsi="Arial" w:cs="Arial" w:hint="eastAsia"/>
          <w:sz w:val="28"/>
        </w:rPr>
        <w:t>分，地处华北大平原的北部，东面与天津市毗连，其余均与河北省相邻。</w:t>
      </w:r>
    </w:p>
    <w:p w14:paraId="5E755BE3"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城市人口：截至</w:t>
      </w:r>
      <w:r>
        <w:rPr>
          <w:rFonts w:ascii="Arial" w:hAnsi="Arial" w:cs="Arial" w:hint="eastAsia"/>
          <w:sz w:val="28"/>
        </w:rPr>
        <w:t>2024</w:t>
      </w:r>
      <w:r>
        <w:rPr>
          <w:rFonts w:ascii="Arial" w:hAnsi="Arial" w:cs="Arial" w:hint="eastAsia"/>
          <w:sz w:val="28"/>
        </w:rPr>
        <w:t>年年末，北京市常住人口为</w:t>
      </w:r>
      <w:r>
        <w:rPr>
          <w:rFonts w:ascii="Arial" w:hAnsi="Arial" w:cs="Arial" w:hint="eastAsia"/>
          <w:sz w:val="28"/>
        </w:rPr>
        <w:t>2183.2</w:t>
      </w:r>
      <w:r>
        <w:rPr>
          <w:rFonts w:ascii="Arial" w:hAnsi="Arial" w:cs="Arial" w:hint="eastAsia"/>
          <w:sz w:val="28"/>
        </w:rPr>
        <w:t>万人，从年龄构成看，</w:t>
      </w:r>
      <w:r>
        <w:rPr>
          <w:rFonts w:ascii="Arial" w:hAnsi="Arial" w:cs="Arial" w:hint="eastAsia"/>
          <w:sz w:val="28"/>
        </w:rPr>
        <w:t>0-14</w:t>
      </w:r>
      <w:r>
        <w:rPr>
          <w:rFonts w:ascii="Arial" w:hAnsi="Arial" w:cs="Arial" w:hint="eastAsia"/>
          <w:sz w:val="28"/>
        </w:rPr>
        <w:t>岁常住人口</w:t>
      </w:r>
      <w:r>
        <w:rPr>
          <w:rFonts w:ascii="Arial" w:hAnsi="Arial" w:cs="Arial" w:hint="eastAsia"/>
          <w:sz w:val="28"/>
        </w:rPr>
        <w:t>261.2</w:t>
      </w:r>
      <w:r>
        <w:rPr>
          <w:rFonts w:ascii="Arial" w:hAnsi="Arial" w:cs="Arial" w:hint="eastAsia"/>
          <w:sz w:val="28"/>
        </w:rPr>
        <w:t>万人，占全市常住人口的比重为</w:t>
      </w:r>
      <w:r>
        <w:rPr>
          <w:rFonts w:ascii="Arial" w:hAnsi="Arial" w:cs="Arial" w:hint="eastAsia"/>
          <w:sz w:val="28"/>
        </w:rPr>
        <w:t>12.0%</w:t>
      </w:r>
      <w:r>
        <w:rPr>
          <w:rFonts w:ascii="Arial" w:hAnsi="Arial" w:cs="Arial" w:hint="eastAsia"/>
          <w:sz w:val="28"/>
        </w:rPr>
        <w:t>；</w:t>
      </w:r>
      <w:r>
        <w:rPr>
          <w:rFonts w:ascii="Arial" w:hAnsi="Arial" w:cs="Arial" w:hint="eastAsia"/>
          <w:sz w:val="28"/>
        </w:rPr>
        <w:t>15-59</w:t>
      </w:r>
      <w:r>
        <w:rPr>
          <w:rFonts w:ascii="Arial" w:hAnsi="Arial" w:cs="Arial" w:hint="eastAsia"/>
          <w:sz w:val="28"/>
        </w:rPr>
        <w:t>岁常住人口</w:t>
      </w:r>
      <w:r>
        <w:rPr>
          <w:rFonts w:ascii="Arial" w:hAnsi="Arial" w:cs="Arial" w:hint="eastAsia"/>
          <w:sz w:val="28"/>
        </w:rPr>
        <w:t>1408.0</w:t>
      </w:r>
      <w:r>
        <w:rPr>
          <w:rFonts w:ascii="Arial" w:hAnsi="Arial" w:cs="Arial" w:hint="eastAsia"/>
          <w:sz w:val="28"/>
        </w:rPr>
        <w:t>万人，占</w:t>
      </w:r>
      <w:r>
        <w:rPr>
          <w:rFonts w:ascii="Arial" w:hAnsi="Arial" w:cs="Arial" w:hint="eastAsia"/>
          <w:sz w:val="28"/>
        </w:rPr>
        <w:t>64.5%</w:t>
      </w:r>
      <w:r>
        <w:rPr>
          <w:rFonts w:ascii="Arial" w:hAnsi="Arial" w:cs="Arial" w:hint="eastAsia"/>
          <w:sz w:val="28"/>
        </w:rPr>
        <w:t>；</w:t>
      </w:r>
      <w:r>
        <w:rPr>
          <w:rFonts w:ascii="Arial" w:hAnsi="Arial" w:cs="Arial" w:hint="eastAsia"/>
          <w:sz w:val="28"/>
        </w:rPr>
        <w:t>60</w:t>
      </w:r>
      <w:r>
        <w:rPr>
          <w:rFonts w:ascii="Arial" w:hAnsi="Arial" w:cs="Arial" w:hint="eastAsia"/>
          <w:sz w:val="28"/>
        </w:rPr>
        <w:t>岁及以上常住人口</w:t>
      </w:r>
      <w:r>
        <w:rPr>
          <w:rFonts w:ascii="Arial" w:hAnsi="Arial" w:cs="Arial" w:hint="eastAsia"/>
          <w:sz w:val="28"/>
        </w:rPr>
        <w:t>514.0</w:t>
      </w:r>
      <w:r>
        <w:rPr>
          <w:rFonts w:ascii="Arial" w:hAnsi="Arial" w:cs="Arial" w:hint="eastAsia"/>
          <w:sz w:val="28"/>
        </w:rPr>
        <w:t>万人，占</w:t>
      </w:r>
      <w:r>
        <w:rPr>
          <w:rFonts w:ascii="Arial" w:hAnsi="Arial" w:cs="Arial" w:hint="eastAsia"/>
          <w:sz w:val="28"/>
        </w:rPr>
        <w:t>23.5%</w:t>
      </w:r>
      <w:r>
        <w:rPr>
          <w:rFonts w:ascii="Arial" w:hAnsi="Arial" w:cs="Arial" w:hint="eastAsia"/>
          <w:sz w:val="28"/>
        </w:rPr>
        <w:t>。</w:t>
      </w:r>
    </w:p>
    <w:p w14:paraId="575300C9"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2020-2024</w:t>
      </w:r>
      <w:r>
        <w:rPr>
          <w:rFonts w:ascii="Arial" w:hAnsi="Arial" w:cs="Arial" w:hint="eastAsia"/>
          <w:sz w:val="28"/>
        </w:rPr>
        <w:t>年常住人口增量及增长速度</w:t>
      </w:r>
    </w:p>
    <w:p w14:paraId="2651F963" w14:textId="131941AE"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lastRenderedPageBreak/>
        <w:drawing>
          <wp:inline distT="0" distB="0" distL="0" distR="0" wp14:anchorId="1B08E1E4" wp14:editId="34614823">
            <wp:extent cx="5906770" cy="2172335"/>
            <wp:effectExtent l="0" t="0" r="0" b="0"/>
            <wp:docPr id="28" name="图片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1D900B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城市面积：北京市下辖</w:t>
      </w:r>
      <w:r>
        <w:rPr>
          <w:rFonts w:ascii="Arial" w:hAnsi="Arial" w:cs="Arial" w:hint="eastAsia"/>
          <w:sz w:val="28"/>
        </w:rPr>
        <w:t>16</w:t>
      </w:r>
      <w:r>
        <w:rPr>
          <w:rFonts w:ascii="Arial" w:hAnsi="Arial" w:cs="Arial" w:hint="eastAsia"/>
          <w:sz w:val="28"/>
        </w:rPr>
        <w:t>个区（即东城、西城、海淀、朝阳、丰台、顺义、昌平、通州、门头沟、石景山、房山、大兴、怀柔、平谷、密云、延庆），行政辖区总面积为</w:t>
      </w:r>
      <w:r>
        <w:rPr>
          <w:rFonts w:ascii="Arial" w:hAnsi="Arial" w:cs="Arial" w:hint="eastAsia"/>
          <w:sz w:val="28"/>
        </w:rPr>
        <w:t>16410</w:t>
      </w:r>
      <w:r>
        <w:rPr>
          <w:rFonts w:ascii="Arial" w:hAnsi="Arial" w:cs="Arial" w:hint="eastAsia"/>
          <w:sz w:val="28"/>
        </w:rPr>
        <w:t>平方公里。</w:t>
      </w:r>
    </w:p>
    <w:p w14:paraId="6CFC42D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城市自然条件：北京气候属暖温带半湿润半干旱季风气候，夏季高温多雨，冬季寒冷干燥，春、秋短促。全年无霜期</w:t>
      </w:r>
      <w:r>
        <w:rPr>
          <w:rFonts w:ascii="Arial" w:hAnsi="Arial" w:cs="Arial" w:hint="eastAsia"/>
          <w:sz w:val="28"/>
        </w:rPr>
        <w:t>180</w:t>
      </w:r>
      <w:r>
        <w:rPr>
          <w:rFonts w:ascii="Arial" w:hAnsi="Arial" w:cs="Arial" w:hint="eastAsia"/>
          <w:sz w:val="28"/>
        </w:rPr>
        <w:t>～</w:t>
      </w:r>
      <w:r>
        <w:rPr>
          <w:rFonts w:ascii="Arial" w:hAnsi="Arial" w:cs="Arial" w:hint="eastAsia"/>
          <w:sz w:val="28"/>
        </w:rPr>
        <w:t>200</w:t>
      </w:r>
      <w:r>
        <w:rPr>
          <w:rFonts w:ascii="Arial" w:hAnsi="Arial" w:cs="Arial" w:hint="eastAsia"/>
          <w:sz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Pr>
          <w:rFonts w:ascii="Arial" w:hAnsi="Arial" w:cs="Arial" w:hint="eastAsia"/>
          <w:sz w:val="28"/>
        </w:rPr>
        <w:t>85</w:t>
      </w:r>
      <w:r>
        <w:rPr>
          <w:rFonts w:ascii="Arial" w:hAnsi="Arial" w:cs="Arial" w:hint="eastAsia"/>
          <w:sz w:val="28"/>
        </w:rPr>
        <w:t>座，其中大型水库有密云水库、官厅水库、怀柔水库、海子水库。北京市地下水多年平均补给量约为</w:t>
      </w:r>
      <w:r>
        <w:rPr>
          <w:rFonts w:ascii="Arial" w:hAnsi="Arial" w:cs="Arial" w:hint="eastAsia"/>
          <w:sz w:val="28"/>
        </w:rPr>
        <w:t>29.21</w:t>
      </w:r>
      <w:r>
        <w:rPr>
          <w:rFonts w:ascii="Arial" w:hAnsi="Arial" w:cs="Arial" w:hint="eastAsia"/>
          <w:sz w:val="28"/>
        </w:rPr>
        <w:t>亿立方米，平均年可开采量约</w:t>
      </w:r>
      <w:r>
        <w:rPr>
          <w:rFonts w:ascii="Arial" w:hAnsi="Arial" w:cs="Arial" w:hint="eastAsia"/>
          <w:sz w:val="28"/>
        </w:rPr>
        <w:t>24~25</w:t>
      </w:r>
      <w:r>
        <w:rPr>
          <w:rFonts w:ascii="Arial" w:hAnsi="Arial" w:cs="Arial" w:hint="eastAsia"/>
          <w:sz w:val="28"/>
        </w:rPr>
        <w:t>亿立方米。一次性天然水资源年平均总量为</w:t>
      </w:r>
      <w:r>
        <w:rPr>
          <w:rFonts w:ascii="Arial" w:hAnsi="Arial" w:cs="Arial" w:hint="eastAsia"/>
          <w:sz w:val="28"/>
        </w:rPr>
        <w:t>55.21</w:t>
      </w:r>
      <w:r>
        <w:rPr>
          <w:rFonts w:ascii="Arial" w:hAnsi="Arial" w:cs="Arial" w:hint="eastAsia"/>
          <w:sz w:val="28"/>
        </w:rPr>
        <w:t>亿立方米。</w:t>
      </w:r>
    </w:p>
    <w:p w14:paraId="249D2952"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土地利用状况：</w:t>
      </w:r>
      <w:r>
        <w:rPr>
          <w:rFonts w:ascii="Arial" w:hAnsi="Arial" w:cs="Arial" w:hint="eastAsia"/>
          <w:sz w:val="28"/>
        </w:rPr>
        <w:t>2021</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5</w:t>
      </w:r>
      <w:r>
        <w:rPr>
          <w:rFonts w:ascii="Arial" w:hAnsi="Arial" w:cs="Arial" w:hint="eastAsia"/>
          <w:sz w:val="28"/>
        </w:rPr>
        <w:t>日，北京市发布第三次全国国土调查主要数据公报。数据显示，北京市现有耕地</w:t>
      </w:r>
      <w:r>
        <w:rPr>
          <w:rFonts w:ascii="Arial" w:hAnsi="Arial" w:cs="Arial" w:hint="eastAsia"/>
          <w:sz w:val="28"/>
        </w:rPr>
        <w:t>93547.9</w:t>
      </w:r>
      <w:r>
        <w:rPr>
          <w:rFonts w:ascii="Arial" w:hAnsi="Arial" w:cs="Arial" w:hint="eastAsia"/>
          <w:sz w:val="28"/>
        </w:rPr>
        <w:t>公顷（</w:t>
      </w:r>
      <w:r>
        <w:rPr>
          <w:rFonts w:ascii="Arial" w:hAnsi="Arial" w:cs="Arial" w:hint="eastAsia"/>
          <w:sz w:val="28"/>
        </w:rPr>
        <w:t>1403218.5</w:t>
      </w:r>
      <w:r>
        <w:rPr>
          <w:rFonts w:ascii="Arial" w:hAnsi="Arial" w:cs="Arial" w:hint="eastAsia"/>
          <w:sz w:val="28"/>
        </w:rPr>
        <w:t>亩）、园地</w:t>
      </w:r>
      <w:r>
        <w:rPr>
          <w:rFonts w:ascii="Arial" w:hAnsi="Arial" w:cs="Arial" w:hint="eastAsia"/>
          <w:sz w:val="28"/>
        </w:rPr>
        <w:t>126274.55</w:t>
      </w:r>
      <w:r>
        <w:rPr>
          <w:rFonts w:ascii="Arial" w:hAnsi="Arial" w:cs="Arial" w:hint="eastAsia"/>
          <w:sz w:val="28"/>
        </w:rPr>
        <w:t>公顷（</w:t>
      </w:r>
      <w:r>
        <w:rPr>
          <w:rFonts w:ascii="Arial" w:hAnsi="Arial" w:cs="Arial" w:hint="eastAsia"/>
          <w:sz w:val="28"/>
        </w:rPr>
        <w:t>1894118.25</w:t>
      </w:r>
      <w:r>
        <w:rPr>
          <w:rFonts w:ascii="Arial" w:hAnsi="Arial" w:cs="Arial" w:hint="eastAsia"/>
          <w:sz w:val="28"/>
        </w:rPr>
        <w:t>亩）、林地</w:t>
      </w:r>
      <w:r>
        <w:rPr>
          <w:rFonts w:ascii="Arial" w:hAnsi="Arial" w:cs="Arial" w:hint="eastAsia"/>
          <w:sz w:val="28"/>
        </w:rPr>
        <w:t>967628.62</w:t>
      </w:r>
      <w:r>
        <w:rPr>
          <w:rFonts w:ascii="Arial" w:hAnsi="Arial" w:cs="Arial" w:hint="eastAsia"/>
          <w:sz w:val="28"/>
        </w:rPr>
        <w:t>公顷（</w:t>
      </w:r>
      <w:r>
        <w:rPr>
          <w:rFonts w:ascii="Arial" w:hAnsi="Arial" w:cs="Arial" w:hint="eastAsia"/>
          <w:sz w:val="28"/>
        </w:rPr>
        <w:t>14514429.3</w:t>
      </w:r>
      <w:r>
        <w:rPr>
          <w:rFonts w:ascii="Arial" w:hAnsi="Arial" w:cs="Arial" w:hint="eastAsia"/>
          <w:sz w:val="28"/>
        </w:rPr>
        <w:t>亩）、草地</w:t>
      </w:r>
      <w:r>
        <w:rPr>
          <w:rFonts w:ascii="Arial" w:hAnsi="Arial" w:cs="Arial" w:hint="eastAsia"/>
          <w:sz w:val="28"/>
        </w:rPr>
        <w:t>14460.44</w:t>
      </w:r>
      <w:r>
        <w:rPr>
          <w:rFonts w:ascii="Arial" w:hAnsi="Arial" w:cs="Arial" w:hint="eastAsia"/>
          <w:sz w:val="28"/>
        </w:rPr>
        <w:t>公顷（</w:t>
      </w:r>
      <w:r>
        <w:rPr>
          <w:rFonts w:ascii="Arial" w:hAnsi="Arial" w:cs="Arial" w:hint="eastAsia"/>
          <w:sz w:val="28"/>
        </w:rPr>
        <w:t>216906.6</w:t>
      </w:r>
      <w:r>
        <w:rPr>
          <w:rFonts w:ascii="Arial" w:hAnsi="Arial" w:cs="Arial" w:hint="eastAsia"/>
          <w:sz w:val="28"/>
        </w:rPr>
        <w:t>亩）、湿地</w:t>
      </w:r>
      <w:r>
        <w:rPr>
          <w:rFonts w:ascii="Arial" w:hAnsi="Arial" w:cs="Arial" w:hint="eastAsia"/>
          <w:sz w:val="28"/>
        </w:rPr>
        <w:t>3107.98</w:t>
      </w:r>
      <w:r>
        <w:rPr>
          <w:rFonts w:ascii="Arial" w:hAnsi="Arial" w:cs="Arial" w:hint="eastAsia"/>
          <w:sz w:val="28"/>
        </w:rPr>
        <w:t>公顷（</w:t>
      </w:r>
      <w:r>
        <w:rPr>
          <w:rFonts w:ascii="Arial" w:hAnsi="Arial" w:cs="Arial" w:hint="eastAsia"/>
          <w:sz w:val="28"/>
        </w:rPr>
        <w:t>46619.7</w:t>
      </w:r>
      <w:r>
        <w:rPr>
          <w:rFonts w:ascii="Arial" w:hAnsi="Arial" w:cs="Arial" w:hint="eastAsia"/>
          <w:sz w:val="28"/>
        </w:rPr>
        <w:t>亩）、城镇村及工矿用地</w:t>
      </w:r>
      <w:r>
        <w:rPr>
          <w:rFonts w:ascii="Arial" w:hAnsi="Arial" w:cs="Arial" w:hint="eastAsia"/>
          <w:sz w:val="28"/>
        </w:rPr>
        <w:t>313643.87</w:t>
      </w:r>
      <w:r>
        <w:rPr>
          <w:rFonts w:ascii="Arial" w:hAnsi="Arial" w:cs="Arial" w:hint="eastAsia"/>
          <w:sz w:val="28"/>
        </w:rPr>
        <w:t>公顷（</w:t>
      </w:r>
      <w:r>
        <w:rPr>
          <w:rFonts w:ascii="Arial" w:hAnsi="Arial" w:cs="Arial" w:hint="eastAsia"/>
          <w:sz w:val="28"/>
        </w:rPr>
        <w:t>4704658.05</w:t>
      </w:r>
      <w:r>
        <w:rPr>
          <w:rFonts w:ascii="Arial" w:hAnsi="Arial" w:cs="Arial" w:hint="eastAsia"/>
          <w:sz w:val="28"/>
        </w:rPr>
        <w:t>亩）、交通运输用地</w:t>
      </w:r>
      <w:r>
        <w:rPr>
          <w:rFonts w:ascii="Arial" w:hAnsi="Arial" w:cs="Arial" w:hint="eastAsia"/>
          <w:sz w:val="28"/>
        </w:rPr>
        <w:t>49281.38</w:t>
      </w:r>
      <w:r>
        <w:rPr>
          <w:rFonts w:ascii="Arial" w:hAnsi="Arial" w:cs="Arial" w:hint="eastAsia"/>
          <w:sz w:val="28"/>
        </w:rPr>
        <w:t>公顷（</w:t>
      </w:r>
      <w:r>
        <w:rPr>
          <w:rFonts w:ascii="Arial" w:hAnsi="Arial" w:cs="Arial" w:hint="eastAsia"/>
          <w:sz w:val="28"/>
        </w:rPr>
        <w:t>739220.7</w:t>
      </w:r>
      <w:r>
        <w:rPr>
          <w:rFonts w:ascii="Arial" w:hAnsi="Arial" w:cs="Arial" w:hint="eastAsia"/>
          <w:sz w:val="28"/>
        </w:rPr>
        <w:t>亩）、水域及水利设施用地</w:t>
      </w:r>
      <w:r>
        <w:rPr>
          <w:rFonts w:ascii="Arial" w:hAnsi="Arial" w:cs="Arial" w:hint="eastAsia"/>
          <w:sz w:val="28"/>
        </w:rPr>
        <w:lastRenderedPageBreak/>
        <w:t>61704</w:t>
      </w:r>
      <w:r>
        <w:rPr>
          <w:rFonts w:ascii="Arial" w:hAnsi="Arial" w:cs="Arial" w:hint="eastAsia"/>
          <w:sz w:val="28"/>
        </w:rPr>
        <w:t>公顷（</w:t>
      </w:r>
      <w:r>
        <w:rPr>
          <w:rFonts w:ascii="Arial" w:hAnsi="Arial" w:cs="Arial" w:hint="eastAsia"/>
          <w:sz w:val="28"/>
        </w:rPr>
        <w:t>925560</w:t>
      </w:r>
      <w:r>
        <w:rPr>
          <w:rFonts w:ascii="Arial" w:hAnsi="Arial" w:cs="Arial" w:hint="eastAsia"/>
          <w:sz w:val="28"/>
        </w:rPr>
        <w:t>亩），其余为其他土地。三调数据显示，北京市以林、园、水、草、湿地和公园绿地为主的生态用地逐年增加，城乡建设用地明显减少，初步实现减量目标。</w:t>
      </w:r>
    </w:p>
    <w:p w14:paraId="3C46E1F7" w14:textId="121D7A28"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3ECEB860" wp14:editId="076A3FC7">
            <wp:extent cx="5887085" cy="3335655"/>
            <wp:effectExtent l="0" t="0" r="0" b="0"/>
            <wp:docPr id="29" name="图片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6579CE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w:t>
      </w:r>
      <w:r>
        <w:rPr>
          <w:rFonts w:ascii="Arial" w:hAnsi="Arial" w:cs="Arial" w:hint="eastAsia"/>
          <w:sz w:val="28"/>
        </w:rPr>
        <w:t>不动产制度与不动产市场状况</w:t>
      </w:r>
    </w:p>
    <w:p w14:paraId="6A2AC0B3"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土地使用制度及土地管理政策：</w:t>
      </w:r>
    </w:p>
    <w:p w14:paraId="052F861F"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我国当前实行土地招拍挂制度。土地招拍挂制度是国家土地资源出让、买卖的招标、拍卖、挂牌制度的简称，具体是指国家在土地出让或者买卖程序中的“招标”“拍卖”“挂牌”交易的政策或规定。</w:t>
      </w:r>
      <w:r>
        <w:rPr>
          <w:rFonts w:ascii="Arial" w:hAnsi="Arial" w:cs="Arial" w:hint="eastAsia"/>
          <w:sz w:val="28"/>
        </w:rPr>
        <w:t>2004</w:t>
      </w:r>
      <w:r>
        <w:rPr>
          <w:rFonts w:ascii="Arial" w:hAnsi="Arial" w:cs="Arial" w:hint="eastAsia"/>
          <w:sz w:val="28"/>
        </w:rPr>
        <w:t>年，国土资源部颁布第</w:t>
      </w:r>
      <w:r>
        <w:rPr>
          <w:rFonts w:ascii="Arial" w:hAnsi="Arial" w:cs="Arial" w:hint="eastAsia"/>
          <w:sz w:val="28"/>
        </w:rPr>
        <w:t>71</w:t>
      </w:r>
      <w:r>
        <w:rPr>
          <w:rFonts w:ascii="Arial" w:hAnsi="Arial" w:cs="Arial" w:hint="eastAsia"/>
          <w:sz w:val="28"/>
        </w:rPr>
        <w:t>令，《关于继续开展经营性土地使用权招标拍卖挂牌出让情况执法监察工作的通知》，规定</w:t>
      </w:r>
      <w:r>
        <w:rPr>
          <w:rFonts w:ascii="Arial" w:hAnsi="Arial" w:cs="Arial" w:hint="eastAsia"/>
          <w:sz w:val="28"/>
        </w:rPr>
        <w:t>2004</w:t>
      </w:r>
      <w:r>
        <w:rPr>
          <w:rFonts w:ascii="Arial" w:hAnsi="Arial" w:cs="Arial" w:hint="eastAsia"/>
          <w:sz w:val="28"/>
        </w:rPr>
        <w:t>年</w:t>
      </w:r>
      <w:r>
        <w:rPr>
          <w:rFonts w:ascii="Arial" w:hAnsi="Arial" w:cs="Arial" w:hint="eastAsia"/>
          <w:sz w:val="28"/>
        </w:rPr>
        <w:t>8</w:t>
      </w:r>
      <w:r>
        <w:rPr>
          <w:rFonts w:ascii="Arial" w:hAnsi="Arial" w:cs="Arial" w:hint="eastAsia"/>
          <w:sz w:val="28"/>
        </w:rPr>
        <w:t>月</w:t>
      </w:r>
      <w:r>
        <w:rPr>
          <w:rFonts w:ascii="Arial" w:hAnsi="Arial" w:cs="Arial" w:hint="eastAsia"/>
          <w:sz w:val="28"/>
        </w:rPr>
        <w:t>31</w:t>
      </w:r>
      <w:r>
        <w:rPr>
          <w:rFonts w:ascii="Arial" w:hAnsi="Arial" w:cs="Arial" w:hint="eastAsia"/>
          <w:sz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0B3906B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按照“十三五”时期的规划，北京市目前已基本建立全域国土空间开发保护新格局，提升绿色生态空间本底规模质量，深化耕地保护空间与政策保</w:t>
      </w:r>
      <w:r>
        <w:rPr>
          <w:rFonts w:ascii="Arial" w:hAnsi="Arial" w:cs="Arial" w:hint="eastAsia"/>
          <w:sz w:val="28"/>
        </w:rPr>
        <w:lastRenderedPageBreak/>
        <w:t>障，减量发展迈出实质性步伐。“十三五”确定的土地资源保护利用任务目标基本完成，土地资源治理体系逐步完善，保障和支撑了城市发展方式实现历史性变革。</w:t>
      </w:r>
    </w:p>
    <w:p w14:paraId="25C4525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1</w:t>
      </w:r>
      <w:r>
        <w:rPr>
          <w:rFonts w:ascii="Arial" w:hAnsi="Arial" w:cs="Arial" w:hint="eastAsia"/>
          <w:sz w:val="28"/>
        </w:rPr>
        <w:t>）在国土空间规划中统筹划定落实永久基本农田、生态保护红线、城镇开发边界三条控制线（以下简称三条控制线），确定国土空间开发保护刚性管控边界。统筹全域全类型国土空间用途管制，划定覆盖全域的</w:t>
      </w:r>
      <w:r>
        <w:rPr>
          <w:rFonts w:ascii="Arial" w:hAnsi="Arial" w:cs="Arial" w:hint="eastAsia"/>
          <w:sz w:val="28"/>
        </w:rPr>
        <w:t>11</w:t>
      </w:r>
      <w:r>
        <w:rPr>
          <w:rFonts w:ascii="Arial" w:hAnsi="Arial" w:cs="Arial" w:hint="eastAsia"/>
          <w:sz w:val="28"/>
        </w:rPr>
        <w:t>类国土空间规划分区。</w:t>
      </w:r>
    </w:p>
    <w:p w14:paraId="7797604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2</w:t>
      </w:r>
      <w:r>
        <w:rPr>
          <w:rFonts w:ascii="Arial" w:hAnsi="Arial" w:cs="Arial" w:hint="eastAsia"/>
          <w:sz w:val="28"/>
        </w:rPr>
        <w:t>）严守耕地规模底线，划定耕地保护空间。</w:t>
      </w:r>
    </w:p>
    <w:p w14:paraId="0555054C"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29B8DA00"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3</w:t>
      </w:r>
      <w:r>
        <w:rPr>
          <w:rFonts w:ascii="Arial" w:hAnsi="Arial" w:cs="Arial" w:hint="eastAsia"/>
          <w:sz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Pr>
          <w:rFonts w:ascii="Arial" w:hAnsi="Arial" w:cs="Arial" w:hint="eastAsia"/>
          <w:sz w:val="28"/>
        </w:rPr>
        <w:t>51%</w:t>
      </w:r>
      <w:r>
        <w:rPr>
          <w:rFonts w:ascii="Arial" w:hAnsi="Arial" w:cs="Arial" w:hint="eastAsia"/>
          <w:sz w:val="28"/>
        </w:rPr>
        <w:t>提升至“十三五”时期的</w:t>
      </w:r>
      <w:r>
        <w:rPr>
          <w:rFonts w:ascii="Arial" w:hAnsi="Arial" w:cs="Arial" w:hint="eastAsia"/>
          <w:sz w:val="28"/>
        </w:rPr>
        <w:t>55%</w:t>
      </w:r>
      <w:r>
        <w:rPr>
          <w:rFonts w:ascii="Arial" w:hAnsi="Arial" w:cs="Arial" w:hint="eastAsia"/>
          <w:sz w:val="28"/>
        </w:rPr>
        <w:t>以上</w:t>
      </w:r>
      <w:r>
        <w:rPr>
          <w:rFonts w:ascii="Arial" w:hAnsi="Arial" w:cs="Arial" w:hint="eastAsia"/>
          <w:sz w:val="28"/>
        </w:rPr>
        <w:t>.</w:t>
      </w:r>
    </w:p>
    <w:p w14:paraId="338FFDF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4</w:t>
      </w:r>
      <w:r>
        <w:rPr>
          <w:rFonts w:ascii="Arial" w:hAnsi="Arial" w:cs="Arial" w:hint="eastAsia"/>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两图合一”规划编制技</w:t>
      </w:r>
      <w:r>
        <w:rPr>
          <w:rFonts w:ascii="Arial" w:hAnsi="Arial" w:cs="Arial" w:hint="eastAsia"/>
          <w:sz w:val="28"/>
        </w:rPr>
        <w:lastRenderedPageBreak/>
        <w:t>术指南》《北京市国土空间规划分区和用途管制规则》等一系列政策文件，初步建立首都“三级三类”国土空间规划体系，不断完善首都国土空间治理体系，着力提高国土空间治理能力现代化水平。</w:t>
      </w:r>
    </w:p>
    <w:p w14:paraId="360F40B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逐步建立自然资源管理制度。制定《北京市自然资源资产产权制度改革方案》，统筹推进自然资源统一调查监测评价，建立全市统一的国土空间基础信息平台，结合分区规划编制，形成全市国土空间规划“一张底图”。建立北京市国有自然资源报告工作制度，自然资源统一调查、监测、确权、配置、评价、监督的管理制度逐步建立。</w:t>
      </w:r>
    </w:p>
    <w:p w14:paraId="02320DE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加强推进农村土地管理改革。制定《关于进一步加强农村集体土地管理加快建立健全“村地区管”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554C7949"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71D5D6F6"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2022</w:t>
      </w:r>
      <w:r>
        <w:rPr>
          <w:rFonts w:ascii="Arial" w:hAnsi="Arial" w:cs="Arial" w:hint="eastAsia"/>
          <w:sz w:val="28"/>
        </w:rPr>
        <w:t>年北京市人民政府关于印发《北京市“十四五”时期土地资源保护利用规划》的通知，要求全市继续统筹土地资源保护和利用工作，强化科学布局、整体保护、系统修复、高效利用、综合治理。</w:t>
      </w:r>
    </w:p>
    <w:p w14:paraId="33A48C5C"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 xml:space="preserve"> </w:t>
      </w:r>
      <w:r>
        <w:rPr>
          <w:rFonts w:ascii="Arial" w:hAnsi="Arial" w:cs="Arial" w:hint="eastAsia"/>
          <w:sz w:val="28"/>
        </w:rPr>
        <w:t>住房制度与不动产管理政策：</w:t>
      </w:r>
    </w:p>
    <w:p w14:paraId="4AA97BF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根据</w:t>
      </w:r>
      <w:r>
        <w:rPr>
          <w:rFonts w:ascii="Arial" w:hAnsi="Arial" w:cs="Arial" w:hint="eastAsia"/>
          <w:sz w:val="28"/>
        </w:rPr>
        <w:t>2022</w:t>
      </w:r>
      <w:r>
        <w:rPr>
          <w:rFonts w:ascii="Arial" w:hAnsi="Arial" w:cs="Arial" w:hint="eastAsia"/>
          <w:sz w:val="28"/>
        </w:rPr>
        <w:t>年发布的《北京市“十四五”时期住房保障规划》（以下简称“《保障规划》”），北京市目前执行多主体供给、多渠道保障、租购并举的住房制度。《保障规划》要求，按照“以政府为主提供基本保障，以市</w:t>
      </w:r>
      <w:r>
        <w:rPr>
          <w:rFonts w:ascii="Arial" w:hAnsi="Arial" w:cs="Arial" w:hint="eastAsia"/>
          <w:sz w:val="28"/>
        </w:rPr>
        <w:lastRenderedPageBreak/>
        <w:t>场为主满足多层次需求”的总方向，进一步完善以公租房、保障性租赁住房、共有产权住房和安置房为主体的首都住房保障体系。</w:t>
      </w:r>
    </w:p>
    <w:p w14:paraId="630584B3"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2023</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26</w:t>
      </w:r>
      <w:r>
        <w:rPr>
          <w:rFonts w:ascii="Arial" w:hAnsi="Arial" w:cs="Arial" w:hint="eastAsia"/>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65C0BC4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21</w:t>
      </w:r>
      <w:r>
        <w:rPr>
          <w:rFonts w:ascii="Arial" w:hAnsi="Arial" w:cs="Arial" w:hint="eastAsia"/>
          <w:sz w:val="28"/>
        </w:rPr>
        <w:t>日，住房城乡建设部发布《关于做好住房发展规划和年度计划编制工作的通知》。该文件指出，住房发展规划和年度计划是建立“人、房、地、钱”要素联动机制的重要抓手。各地要充分认识做好住房发展规划和年度计划的编制实施工作的重要性，科学编制规划，认真组织实施，根据人口变化确定住房需求，根据住房需求科学安排土地供应、引导配置金融资源，实现以人定房、以房定地、以房定钱，促进房地产市场供需平衡、结构合理，防止市场大起大落。</w:t>
      </w:r>
    </w:p>
    <w:p w14:paraId="2E0446F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17</w:t>
      </w:r>
      <w:r>
        <w:rPr>
          <w:rFonts w:ascii="Arial" w:hAnsi="Arial" w:cs="Arial" w:hint="eastAsia"/>
          <w:sz w:val="28"/>
        </w:rPr>
        <w:t>日，北京市规划和自然资源委员会和北京市发展和改革委员会联合发布《北京市</w:t>
      </w:r>
      <w:r>
        <w:rPr>
          <w:rFonts w:ascii="Arial" w:hAnsi="Arial" w:cs="Arial" w:hint="eastAsia"/>
          <w:sz w:val="28"/>
        </w:rPr>
        <w:t>2025</w:t>
      </w:r>
      <w:r>
        <w:rPr>
          <w:rFonts w:ascii="Arial" w:hAnsi="Arial" w:cs="Arial" w:hint="eastAsia"/>
          <w:sz w:val="28"/>
        </w:rPr>
        <w:t>年度建设用地供应计划》，明确了北京市</w:t>
      </w:r>
      <w:r>
        <w:rPr>
          <w:rFonts w:ascii="Arial" w:hAnsi="Arial" w:cs="Arial" w:hint="eastAsia"/>
          <w:sz w:val="28"/>
        </w:rPr>
        <w:t>2025</w:t>
      </w:r>
      <w:r>
        <w:rPr>
          <w:rFonts w:ascii="Arial" w:hAnsi="Arial" w:cs="Arial" w:hint="eastAsia"/>
          <w:sz w:val="28"/>
        </w:rPr>
        <w:t>年度建设用地供应的总量、空间布局、结构和供应导向，旨在推动首都经济高质量发展和城市空间优化。</w:t>
      </w:r>
      <w:r>
        <w:rPr>
          <w:rFonts w:ascii="Arial" w:hAnsi="Arial" w:cs="Arial" w:hint="eastAsia"/>
          <w:sz w:val="28"/>
        </w:rPr>
        <w:t>2025</w:t>
      </w:r>
      <w:r>
        <w:rPr>
          <w:rFonts w:ascii="Arial" w:hAnsi="Arial" w:cs="Arial" w:hint="eastAsia"/>
          <w:sz w:val="28"/>
        </w:rPr>
        <w:t>年计划安排建设用地供应总量</w:t>
      </w:r>
      <w:r>
        <w:rPr>
          <w:rFonts w:ascii="Arial" w:hAnsi="Arial" w:cs="Arial" w:hint="eastAsia"/>
          <w:sz w:val="28"/>
        </w:rPr>
        <w:t>3165</w:t>
      </w:r>
      <w:r>
        <w:rPr>
          <w:rFonts w:ascii="Arial" w:hAnsi="Arial" w:cs="Arial" w:hint="eastAsia"/>
          <w:sz w:val="28"/>
        </w:rPr>
        <w:t>至</w:t>
      </w:r>
      <w:r>
        <w:rPr>
          <w:rFonts w:ascii="Arial" w:hAnsi="Arial" w:cs="Arial" w:hint="eastAsia"/>
          <w:sz w:val="28"/>
        </w:rPr>
        <w:t>3665</w:t>
      </w:r>
      <w:r>
        <w:rPr>
          <w:rFonts w:ascii="Arial" w:hAnsi="Arial" w:cs="Arial" w:hint="eastAsia"/>
          <w:sz w:val="28"/>
        </w:rPr>
        <w:t>公顷，较往年基本持平。供地计划保持各地类总量稳定、优化各类要素空间结构布局，保障优势地区高质量发展。空间布局上，持续强化“一核一主一副、两轴多点一区”圈层协同的城市空间结构，统筹考虑各圈层差异化发展用地需求，土地供应向重点功能区、产业园区、轨道交通站点周边等重点区域倾斜，提升土地资源配置效率最优化和效益最大化。中心城</w:t>
      </w:r>
      <w:r>
        <w:rPr>
          <w:rFonts w:ascii="Arial" w:hAnsi="Arial" w:cs="Arial" w:hint="eastAsia"/>
          <w:sz w:val="28"/>
        </w:rPr>
        <w:lastRenderedPageBreak/>
        <w:t>区（含核心区）土地供应规模约占全市总量的</w:t>
      </w:r>
      <w:r>
        <w:rPr>
          <w:rFonts w:ascii="Arial" w:hAnsi="Arial" w:cs="Arial" w:hint="eastAsia"/>
          <w:sz w:val="28"/>
        </w:rPr>
        <w:t>25%</w:t>
      </w:r>
      <w:r>
        <w:rPr>
          <w:rFonts w:ascii="Arial" w:hAnsi="Arial" w:cs="Arial" w:hint="eastAsia"/>
          <w:sz w:val="28"/>
        </w:rPr>
        <w:t>，与去年持平，重点推进中央政务功能保障、老城保护、宜居城市建设。平原新城地区（含城市副中心）土地供应规模约占全市总量的</w:t>
      </w:r>
      <w:r>
        <w:rPr>
          <w:rFonts w:ascii="Arial" w:hAnsi="Arial" w:cs="Arial" w:hint="eastAsia"/>
          <w:sz w:val="28"/>
        </w:rPr>
        <w:t>60%</w:t>
      </w:r>
      <w:r>
        <w:rPr>
          <w:rFonts w:ascii="Arial" w:hAnsi="Arial" w:cs="Arial" w:hint="eastAsia"/>
          <w:sz w:val="28"/>
        </w:rPr>
        <w:t>，重点完善城市功能，推动京津冀协同发展用地结构。用地结构上，住宅用地安排</w:t>
      </w:r>
      <w:r>
        <w:rPr>
          <w:rFonts w:ascii="Arial" w:hAnsi="Arial" w:cs="Arial" w:hint="eastAsia"/>
          <w:sz w:val="28"/>
        </w:rPr>
        <w:t>955-1015</w:t>
      </w:r>
      <w:r>
        <w:rPr>
          <w:rFonts w:ascii="Arial" w:hAnsi="Arial" w:cs="Arial" w:hint="eastAsia"/>
          <w:sz w:val="28"/>
        </w:rPr>
        <w:t>公顷；产业用地安排</w:t>
      </w:r>
      <w:r>
        <w:rPr>
          <w:rFonts w:ascii="Arial" w:hAnsi="Arial" w:cs="Arial" w:hint="eastAsia"/>
          <w:sz w:val="28"/>
        </w:rPr>
        <w:t>470-510</w:t>
      </w:r>
      <w:r>
        <w:rPr>
          <w:rFonts w:ascii="Arial" w:hAnsi="Arial" w:cs="Arial" w:hint="eastAsia"/>
          <w:sz w:val="28"/>
        </w:rPr>
        <w:t>公顷，其中研发用地</w:t>
      </w:r>
      <w:r>
        <w:rPr>
          <w:rFonts w:ascii="Arial" w:hAnsi="Arial" w:cs="Arial" w:hint="eastAsia"/>
          <w:sz w:val="28"/>
        </w:rPr>
        <w:t>80</w:t>
      </w:r>
      <w:r>
        <w:rPr>
          <w:rFonts w:ascii="Arial" w:hAnsi="Arial" w:cs="Arial" w:hint="eastAsia"/>
          <w:sz w:val="28"/>
        </w:rPr>
        <w:t>公顷、工业用地</w:t>
      </w:r>
      <w:r>
        <w:rPr>
          <w:rFonts w:ascii="Arial" w:hAnsi="Arial" w:cs="Arial" w:hint="eastAsia"/>
          <w:sz w:val="28"/>
        </w:rPr>
        <w:t>230</w:t>
      </w:r>
      <w:r>
        <w:rPr>
          <w:rFonts w:ascii="Arial" w:hAnsi="Arial" w:cs="Arial" w:hint="eastAsia"/>
          <w:sz w:val="28"/>
        </w:rPr>
        <w:t>公顷、仓储用地</w:t>
      </w:r>
      <w:r>
        <w:rPr>
          <w:rFonts w:ascii="Arial" w:hAnsi="Arial" w:cs="Arial" w:hint="eastAsia"/>
          <w:sz w:val="28"/>
        </w:rPr>
        <w:t>50</w:t>
      </w:r>
      <w:r>
        <w:rPr>
          <w:rFonts w:ascii="Arial" w:hAnsi="Arial" w:cs="Arial" w:hint="eastAsia"/>
          <w:sz w:val="28"/>
        </w:rPr>
        <w:t>公顷、商服用地</w:t>
      </w:r>
      <w:r>
        <w:rPr>
          <w:rFonts w:ascii="Arial" w:hAnsi="Arial" w:cs="Arial" w:hint="eastAsia"/>
          <w:sz w:val="28"/>
        </w:rPr>
        <w:t>50-70</w:t>
      </w:r>
      <w:r>
        <w:rPr>
          <w:rFonts w:ascii="Arial" w:hAnsi="Arial" w:cs="Arial" w:hint="eastAsia"/>
          <w:sz w:val="28"/>
        </w:rPr>
        <w:t>公顷、乡村产业用地</w:t>
      </w:r>
      <w:r>
        <w:rPr>
          <w:rFonts w:ascii="Arial" w:hAnsi="Arial" w:cs="Arial" w:hint="eastAsia"/>
          <w:sz w:val="28"/>
        </w:rPr>
        <w:t>60-80</w:t>
      </w:r>
      <w:r>
        <w:rPr>
          <w:rFonts w:ascii="Arial" w:hAnsi="Arial" w:cs="Arial" w:hint="eastAsia"/>
          <w:sz w:val="28"/>
        </w:rPr>
        <w:t>公顷。供应导向上，坚持稳中求进、以进促稳，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p>
    <w:p w14:paraId="75242529"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不动产市场状况</w:t>
      </w:r>
    </w:p>
    <w:p w14:paraId="06B27A2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1</w:t>
      </w:r>
      <w:r>
        <w:rPr>
          <w:rFonts w:ascii="Arial" w:hAnsi="Arial" w:cs="Arial" w:hint="eastAsia"/>
          <w:sz w:val="28"/>
        </w:rPr>
        <w:t>）土地市场</w:t>
      </w:r>
    </w:p>
    <w:p w14:paraId="0804DF2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1</w:t>
      </w:r>
      <w:r>
        <w:rPr>
          <w:rFonts w:ascii="Arial" w:hAnsi="Arial" w:cs="Arial" w:hint="eastAsia"/>
          <w:sz w:val="28"/>
        </w:rPr>
        <w:t>）土地供求分析</w:t>
      </w:r>
    </w:p>
    <w:p w14:paraId="3DF1520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年上半年北京商品住宅用地共推出</w:t>
      </w:r>
      <w:r>
        <w:rPr>
          <w:rFonts w:ascii="Arial" w:hAnsi="Arial" w:cs="Arial" w:hint="eastAsia"/>
          <w:sz w:val="28"/>
        </w:rPr>
        <w:t>17</w:t>
      </w:r>
      <w:r>
        <w:rPr>
          <w:rFonts w:ascii="Arial" w:hAnsi="Arial" w:cs="Arial" w:hint="eastAsia"/>
          <w:sz w:val="28"/>
        </w:rPr>
        <w:t>宗，累计供应规划建面</w:t>
      </w:r>
      <w:r>
        <w:rPr>
          <w:rFonts w:ascii="Arial" w:hAnsi="Arial" w:cs="Arial" w:hint="eastAsia"/>
          <w:sz w:val="28"/>
        </w:rPr>
        <w:t>169.70</w:t>
      </w:r>
      <w:r>
        <w:rPr>
          <w:rFonts w:ascii="Arial" w:hAnsi="Arial" w:cs="Arial" w:hint="eastAsia"/>
          <w:sz w:val="28"/>
        </w:rPr>
        <w:t>万平方米，同比减少</w:t>
      </w:r>
      <w:r>
        <w:rPr>
          <w:rFonts w:ascii="Arial" w:hAnsi="Arial" w:cs="Arial" w:hint="eastAsia"/>
          <w:sz w:val="28"/>
        </w:rPr>
        <w:t>28.2%</w:t>
      </w:r>
      <w:r>
        <w:rPr>
          <w:rFonts w:ascii="Arial" w:hAnsi="Arial" w:cs="Arial" w:hint="eastAsia"/>
          <w:sz w:val="28"/>
        </w:rPr>
        <w:t>；</w:t>
      </w:r>
      <w:r>
        <w:rPr>
          <w:rFonts w:ascii="Arial" w:hAnsi="Arial" w:cs="Arial" w:hint="eastAsia"/>
          <w:sz w:val="28"/>
        </w:rPr>
        <w:t>2025</w:t>
      </w:r>
      <w:r>
        <w:rPr>
          <w:rFonts w:ascii="Arial" w:hAnsi="Arial" w:cs="Arial" w:hint="eastAsia"/>
          <w:sz w:val="28"/>
        </w:rPr>
        <w:t>年上半年北京商品住宅用地累计成交</w:t>
      </w:r>
      <w:r>
        <w:rPr>
          <w:rFonts w:ascii="Arial" w:hAnsi="Arial" w:cs="Arial" w:hint="eastAsia"/>
          <w:sz w:val="28"/>
        </w:rPr>
        <w:t>22</w:t>
      </w:r>
      <w:r>
        <w:rPr>
          <w:rFonts w:ascii="Arial" w:hAnsi="Arial" w:cs="Arial" w:hint="eastAsia"/>
          <w:sz w:val="28"/>
        </w:rPr>
        <w:t>宗，分布在海淀、通州、朝阳、丰台、石景山、大兴、昌平、顺义、怀柔等</w:t>
      </w:r>
      <w:r>
        <w:rPr>
          <w:rFonts w:ascii="Arial" w:hAnsi="Arial" w:cs="Arial" w:hint="eastAsia"/>
          <w:sz w:val="28"/>
        </w:rPr>
        <w:t>9</w:t>
      </w:r>
      <w:r>
        <w:rPr>
          <w:rFonts w:ascii="Arial" w:hAnsi="Arial" w:cs="Arial" w:hint="eastAsia"/>
          <w:sz w:val="28"/>
        </w:rPr>
        <w:t>个区，成交规划建面</w:t>
      </w:r>
      <w:r>
        <w:rPr>
          <w:rFonts w:ascii="Arial" w:hAnsi="Arial" w:cs="Arial" w:hint="eastAsia"/>
          <w:sz w:val="28"/>
        </w:rPr>
        <w:t>234.42</w:t>
      </w:r>
      <w:r>
        <w:rPr>
          <w:rFonts w:ascii="Arial" w:hAnsi="Arial" w:cs="Arial" w:hint="eastAsia"/>
          <w:sz w:val="28"/>
        </w:rPr>
        <w:t>万平方米，同比下降</w:t>
      </w:r>
      <w:r>
        <w:rPr>
          <w:rFonts w:ascii="Arial" w:hAnsi="Arial" w:cs="Arial" w:hint="eastAsia"/>
          <w:sz w:val="28"/>
        </w:rPr>
        <w:t>1.2%</w:t>
      </w:r>
      <w:r>
        <w:rPr>
          <w:rFonts w:ascii="Arial" w:hAnsi="Arial" w:cs="Arial" w:hint="eastAsia"/>
          <w:sz w:val="28"/>
        </w:rPr>
        <w:t>；得益于海淀、通州热点地块的成交，土地成交价款合计</w:t>
      </w:r>
      <w:r>
        <w:rPr>
          <w:rFonts w:ascii="Arial" w:hAnsi="Arial" w:cs="Arial" w:hint="eastAsia"/>
          <w:sz w:val="28"/>
        </w:rPr>
        <w:t>1005.56</w:t>
      </w:r>
      <w:r>
        <w:rPr>
          <w:rFonts w:ascii="Arial" w:hAnsi="Arial" w:cs="Arial" w:hint="eastAsia"/>
          <w:sz w:val="28"/>
        </w:rPr>
        <w:t>亿元，同比增长</w:t>
      </w:r>
      <w:r>
        <w:rPr>
          <w:rFonts w:ascii="Arial" w:hAnsi="Arial" w:cs="Arial" w:hint="eastAsia"/>
          <w:sz w:val="28"/>
        </w:rPr>
        <w:t>37.3%</w:t>
      </w:r>
      <w:r>
        <w:rPr>
          <w:rFonts w:ascii="Arial" w:hAnsi="Arial" w:cs="Arial" w:hint="eastAsia"/>
          <w:sz w:val="28"/>
        </w:rPr>
        <w:t>，创</w:t>
      </w:r>
      <w:r>
        <w:rPr>
          <w:rFonts w:ascii="Arial" w:hAnsi="Arial" w:cs="Arial" w:hint="eastAsia"/>
          <w:sz w:val="28"/>
        </w:rPr>
        <w:t>2022</w:t>
      </w:r>
      <w:r>
        <w:rPr>
          <w:rFonts w:ascii="Arial" w:hAnsi="Arial" w:cs="Arial" w:hint="eastAsia"/>
          <w:sz w:val="28"/>
        </w:rPr>
        <w:t>年以来同期新高。</w:t>
      </w:r>
    </w:p>
    <w:p w14:paraId="6DE4AA3C" w14:textId="50065B43"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lastRenderedPageBreak/>
        <w:drawing>
          <wp:inline distT="0" distB="0" distL="0" distR="0" wp14:anchorId="1B841ED5" wp14:editId="10ACCB77">
            <wp:extent cx="5179695" cy="2572385"/>
            <wp:effectExtent l="0" t="0" r="0" b="0"/>
            <wp:docPr id="30" name="图片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863BBE0"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w:t>
      </w:r>
      <w:r>
        <w:rPr>
          <w:rFonts w:ascii="Arial" w:hAnsi="Arial" w:cs="Arial" w:hint="eastAsia"/>
          <w:sz w:val="28"/>
        </w:rPr>
        <w:t>）土地成交情况</w:t>
      </w:r>
    </w:p>
    <w:p w14:paraId="252B78C9"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年上半年，北京市商品住宅用地中心城区海淀、朝阳、丰台、石景山累计成交</w:t>
      </w:r>
      <w:r>
        <w:rPr>
          <w:rFonts w:ascii="Arial" w:hAnsi="Arial" w:cs="Arial" w:hint="eastAsia"/>
          <w:sz w:val="28"/>
        </w:rPr>
        <w:t>12</w:t>
      </w:r>
      <w:r>
        <w:rPr>
          <w:rFonts w:ascii="Arial" w:hAnsi="Arial" w:cs="Arial" w:hint="eastAsia"/>
          <w:sz w:val="28"/>
        </w:rPr>
        <w:t>宗宅地，累计成交规划建面</w:t>
      </w:r>
      <w:r>
        <w:rPr>
          <w:rFonts w:ascii="Arial" w:hAnsi="Arial" w:cs="Arial" w:hint="eastAsia"/>
          <w:sz w:val="28"/>
        </w:rPr>
        <w:t>128.38</w:t>
      </w:r>
      <w:r>
        <w:rPr>
          <w:rFonts w:ascii="Arial" w:hAnsi="Arial" w:cs="Arial" w:hint="eastAsia"/>
          <w:sz w:val="28"/>
        </w:rPr>
        <w:t>万平方米，占比</w:t>
      </w:r>
      <w:r>
        <w:rPr>
          <w:rFonts w:ascii="Arial" w:hAnsi="Arial" w:cs="Arial" w:hint="eastAsia"/>
          <w:sz w:val="28"/>
        </w:rPr>
        <w:t>55%</w:t>
      </w:r>
      <w:r>
        <w:rPr>
          <w:rFonts w:ascii="Arial" w:hAnsi="Arial" w:cs="Arial" w:hint="eastAsia"/>
          <w:sz w:val="28"/>
        </w:rPr>
        <w:t>，较上年同期增长</w:t>
      </w:r>
      <w:r>
        <w:rPr>
          <w:rFonts w:ascii="Arial" w:hAnsi="Arial" w:cs="Arial" w:hint="eastAsia"/>
          <w:sz w:val="28"/>
        </w:rPr>
        <w:t>9</w:t>
      </w:r>
      <w:r>
        <w:rPr>
          <w:rFonts w:ascii="Arial" w:hAnsi="Arial" w:cs="Arial" w:hint="eastAsia"/>
          <w:sz w:val="28"/>
        </w:rPr>
        <w:t>个百分点。近郊区主要集中在通州、大兴、顺义和昌平，累计成交</w:t>
      </w:r>
      <w:r>
        <w:rPr>
          <w:rFonts w:ascii="Arial" w:hAnsi="Arial" w:cs="Arial" w:hint="eastAsia"/>
          <w:sz w:val="28"/>
        </w:rPr>
        <w:t>9</w:t>
      </w:r>
      <w:r>
        <w:rPr>
          <w:rFonts w:ascii="Arial" w:hAnsi="Arial" w:cs="Arial" w:hint="eastAsia"/>
          <w:sz w:val="28"/>
        </w:rPr>
        <w:t>宗宅地，共</w:t>
      </w:r>
      <w:r>
        <w:rPr>
          <w:rFonts w:ascii="Arial" w:hAnsi="Arial" w:cs="Arial" w:hint="eastAsia"/>
          <w:sz w:val="28"/>
        </w:rPr>
        <w:t>103.88</w:t>
      </w:r>
      <w:r>
        <w:rPr>
          <w:rFonts w:ascii="Arial" w:hAnsi="Arial" w:cs="Arial" w:hint="eastAsia"/>
          <w:sz w:val="28"/>
        </w:rPr>
        <w:t>万平方米，占比为</w:t>
      </w:r>
      <w:r>
        <w:rPr>
          <w:rFonts w:ascii="Arial" w:hAnsi="Arial" w:cs="Arial" w:hint="eastAsia"/>
          <w:sz w:val="28"/>
        </w:rPr>
        <w:t>44%</w:t>
      </w:r>
      <w:r>
        <w:rPr>
          <w:rFonts w:ascii="Arial" w:hAnsi="Arial" w:cs="Arial" w:hint="eastAsia"/>
          <w:sz w:val="28"/>
        </w:rPr>
        <w:t>，较去年同期下降</w:t>
      </w:r>
      <w:r>
        <w:rPr>
          <w:rFonts w:ascii="Arial" w:hAnsi="Arial" w:cs="Arial" w:hint="eastAsia"/>
          <w:sz w:val="28"/>
        </w:rPr>
        <w:t>3</w:t>
      </w:r>
      <w:r>
        <w:rPr>
          <w:rFonts w:ascii="Arial" w:hAnsi="Arial" w:cs="Arial" w:hint="eastAsia"/>
          <w:sz w:val="28"/>
        </w:rPr>
        <w:t>个百分点；远郊区宅地成交</w:t>
      </w:r>
      <w:r>
        <w:rPr>
          <w:rFonts w:ascii="Arial" w:hAnsi="Arial" w:cs="Arial" w:hint="eastAsia"/>
          <w:sz w:val="28"/>
        </w:rPr>
        <w:t>1</w:t>
      </w:r>
      <w:r>
        <w:rPr>
          <w:rFonts w:ascii="Arial" w:hAnsi="Arial" w:cs="Arial" w:hint="eastAsia"/>
          <w:sz w:val="28"/>
        </w:rPr>
        <w:t>宗，位于怀柔区，成交规划建面</w:t>
      </w:r>
      <w:r>
        <w:rPr>
          <w:rFonts w:ascii="Arial" w:hAnsi="Arial" w:cs="Arial" w:hint="eastAsia"/>
          <w:sz w:val="28"/>
        </w:rPr>
        <w:t>2.17</w:t>
      </w:r>
      <w:r>
        <w:rPr>
          <w:rFonts w:ascii="Arial" w:hAnsi="Arial" w:cs="Arial" w:hint="eastAsia"/>
          <w:sz w:val="28"/>
        </w:rPr>
        <w:t>万平方米。</w:t>
      </w:r>
    </w:p>
    <w:p w14:paraId="0FC58CF7" w14:textId="0231D343"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369F90B2" wp14:editId="3DB920F3">
            <wp:extent cx="5909310" cy="2970530"/>
            <wp:effectExtent l="0" t="0" r="0" b="0"/>
            <wp:docPr id="3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9310" cy="2970530"/>
                    </a:xfrm>
                    <a:prstGeom prst="rect">
                      <a:avLst/>
                    </a:prstGeom>
                    <a:noFill/>
                    <a:ln>
                      <a:noFill/>
                    </a:ln>
                  </pic:spPr>
                </pic:pic>
              </a:graphicData>
            </a:graphic>
          </wp:inline>
        </w:drawing>
      </w:r>
    </w:p>
    <w:p w14:paraId="28BDA052"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从不同区域来看，中心城区成交规模同比增长</w:t>
      </w:r>
      <w:r>
        <w:rPr>
          <w:rFonts w:ascii="Arial" w:hAnsi="Arial" w:cs="Arial" w:hint="eastAsia"/>
          <w:sz w:val="28"/>
        </w:rPr>
        <w:t>17%</w:t>
      </w:r>
      <w:r>
        <w:rPr>
          <w:rFonts w:ascii="Arial" w:hAnsi="Arial" w:cs="Arial" w:hint="eastAsia"/>
          <w:sz w:val="28"/>
        </w:rPr>
        <w:t>，其中海淀、朝阳、石景山成交规模均同比增长，丰台下降</w:t>
      </w:r>
      <w:r>
        <w:rPr>
          <w:rFonts w:ascii="Arial" w:hAnsi="Arial" w:cs="Arial" w:hint="eastAsia"/>
          <w:sz w:val="28"/>
        </w:rPr>
        <w:t>44%</w:t>
      </w:r>
      <w:r>
        <w:rPr>
          <w:rFonts w:ascii="Arial" w:hAnsi="Arial" w:cs="Arial" w:hint="eastAsia"/>
          <w:sz w:val="28"/>
        </w:rPr>
        <w:t>；近郊区成交规模同比下</w:t>
      </w:r>
      <w:r>
        <w:rPr>
          <w:rFonts w:ascii="Arial" w:hAnsi="Arial" w:cs="Arial" w:hint="eastAsia"/>
          <w:sz w:val="28"/>
        </w:rPr>
        <w:lastRenderedPageBreak/>
        <w:t>降</w:t>
      </w:r>
      <w:r>
        <w:rPr>
          <w:rFonts w:ascii="Arial" w:hAnsi="Arial" w:cs="Arial" w:hint="eastAsia"/>
          <w:sz w:val="28"/>
        </w:rPr>
        <w:t>7.7%</w:t>
      </w:r>
      <w:r>
        <w:rPr>
          <w:rFonts w:ascii="Arial" w:hAnsi="Arial" w:cs="Arial" w:hint="eastAsia"/>
          <w:sz w:val="28"/>
        </w:rPr>
        <w:t>，其中顺义区同比增长</w:t>
      </w:r>
      <w:r>
        <w:rPr>
          <w:rFonts w:ascii="Arial" w:hAnsi="Arial" w:cs="Arial" w:hint="eastAsia"/>
          <w:sz w:val="28"/>
        </w:rPr>
        <w:t>45.5%</w:t>
      </w:r>
      <w:r>
        <w:rPr>
          <w:rFonts w:ascii="Arial" w:hAnsi="Arial" w:cs="Arial" w:hint="eastAsia"/>
          <w:sz w:val="28"/>
        </w:rPr>
        <w:t>，大兴、昌平均同比下降，而房山、门头沟无宅地成交；远郊区成交规模同比下降</w:t>
      </w:r>
      <w:r>
        <w:rPr>
          <w:rFonts w:ascii="Arial" w:hAnsi="Arial" w:cs="Arial" w:hint="eastAsia"/>
          <w:sz w:val="28"/>
        </w:rPr>
        <w:t>85.4%</w:t>
      </w:r>
      <w:r>
        <w:rPr>
          <w:rFonts w:ascii="Arial" w:hAnsi="Arial" w:cs="Arial" w:hint="eastAsia"/>
          <w:sz w:val="28"/>
        </w:rPr>
        <w:t>。</w:t>
      </w:r>
    </w:p>
    <w:p w14:paraId="0DBC334C" w14:textId="497E3BE8"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227EC2CD" wp14:editId="1E87596C">
            <wp:extent cx="4392295" cy="3974465"/>
            <wp:effectExtent l="0" t="0" r="0" b="0"/>
            <wp:docPr id="3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2295" cy="3974465"/>
                    </a:xfrm>
                    <a:prstGeom prst="rect">
                      <a:avLst/>
                    </a:prstGeom>
                    <a:noFill/>
                    <a:ln>
                      <a:noFill/>
                    </a:ln>
                  </pic:spPr>
                </pic:pic>
              </a:graphicData>
            </a:graphic>
          </wp:inline>
        </w:drawing>
      </w:r>
    </w:p>
    <w:p w14:paraId="0808A55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3</w:t>
      </w:r>
      <w:r>
        <w:rPr>
          <w:rFonts w:ascii="Arial" w:hAnsi="Arial" w:cs="Arial" w:hint="eastAsia"/>
          <w:sz w:val="28"/>
        </w:rPr>
        <w:t>）土地成交价格</w:t>
      </w:r>
    </w:p>
    <w:p w14:paraId="4EBC571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年上半年，在海淀朱房村、树村核心热点地块带动下，北京宅地整体成交楼面均价</w:t>
      </w:r>
      <w:r>
        <w:rPr>
          <w:rFonts w:ascii="Arial" w:hAnsi="Arial" w:cs="Arial" w:hint="eastAsia"/>
          <w:sz w:val="28"/>
        </w:rPr>
        <w:t>42895</w:t>
      </w:r>
      <w:r>
        <w:rPr>
          <w:rFonts w:ascii="Arial" w:hAnsi="Arial" w:cs="Arial" w:hint="eastAsia"/>
          <w:sz w:val="28"/>
        </w:rPr>
        <w:t>元</w:t>
      </w:r>
      <w:r>
        <w:rPr>
          <w:rFonts w:ascii="Arial" w:hAnsi="Arial" w:cs="Arial" w:hint="eastAsia"/>
          <w:sz w:val="28"/>
        </w:rPr>
        <w:t>/</w:t>
      </w:r>
      <w:r>
        <w:rPr>
          <w:rFonts w:ascii="Arial" w:hAnsi="Arial" w:cs="Arial" w:hint="eastAsia"/>
          <w:sz w:val="28"/>
        </w:rPr>
        <w:t>平方米，同比增长</w:t>
      </w:r>
      <w:r>
        <w:rPr>
          <w:rFonts w:ascii="Arial" w:hAnsi="Arial" w:cs="Arial" w:hint="eastAsia"/>
          <w:sz w:val="28"/>
        </w:rPr>
        <w:t>39%</w:t>
      </w:r>
      <w:r>
        <w:rPr>
          <w:rFonts w:ascii="Arial" w:hAnsi="Arial" w:cs="Arial" w:hint="eastAsia"/>
          <w:sz w:val="28"/>
        </w:rPr>
        <w:t>。溢价率方面，受海淀树村、朱房以及通州梨园高溢价地块的带动下，北京上半年宅地成交溢价率</w:t>
      </w:r>
      <w:r>
        <w:rPr>
          <w:rFonts w:ascii="Arial" w:hAnsi="Arial" w:cs="Arial" w:hint="eastAsia"/>
          <w:sz w:val="28"/>
        </w:rPr>
        <w:t>7.17%</w:t>
      </w:r>
      <w:r>
        <w:rPr>
          <w:rFonts w:ascii="Arial" w:hAnsi="Arial" w:cs="Arial" w:hint="eastAsia"/>
          <w:sz w:val="28"/>
        </w:rPr>
        <w:t>，同比提升</w:t>
      </w:r>
      <w:r>
        <w:rPr>
          <w:rFonts w:ascii="Arial" w:hAnsi="Arial" w:cs="Arial" w:hint="eastAsia"/>
          <w:sz w:val="28"/>
        </w:rPr>
        <w:t>3.3</w:t>
      </w:r>
      <w:r>
        <w:rPr>
          <w:rFonts w:ascii="Arial" w:hAnsi="Arial" w:cs="Arial" w:hint="eastAsia"/>
          <w:sz w:val="28"/>
        </w:rPr>
        <w:t>个百分点。但整体来看市场热度依然分化明显，成交的</w:t>
      </w:r>
      <w:r>
        <w:rPr>
          <w:rFonts w:ascii="Arial" w:hAnsi="Arial" w:cs="Arial" w:hint="eastAsia"/>
          <w:sz w:val="28"/>
        </w:rPr>
        <w:t>22</w:t>
      </w:r>
      <w:r>
        <w:rPr>
          <w:rFonts w:ascii="Arial" w:hAnsi="Arial" w:cs="Arial" w:hint="eastAsia"/>
          <w:sz w:val="28"/>
        </w:rPr>
        <w:t>宗地块中，</w:t>
      </w:r>
      <w:r>
        <w:rPr>
          <w:rFonts w:ascii="Arial" w:hAnsi="Arial" w:cs="Arial" w:hint="eastAsia"/>
          <w:sz w:val="28"/>
        </w:rPr>
        <w:t>9</w:t>
      </w:r>
      <w:r>
        <w:rPr>
          <w:rFonts w:ascii="Arial" w:hAnsi="Arial" w:cs="Arial" w:hint="eastAsia"/>
          <w:sz w:val="28"/>
        </w:rPr>
        <w:t>宗地块溢价成交，海淀树村、朱房、半壁店，朝阳三间房，通州梨园及八里桥地块竞争激烈，海淀宝山地块低溢价成交，其余</w:t>
      </w:r>
      <w:r>
        <w:rPr>
          <w:rFonts w:ascii="Arial" w:hAnsi="Arial" w:cs="Arial" w:hint="eastAsia"/>
          <w:sz w:val="28"/>
        </w:rPr>
        <w:t>13</w:t>
      </w:r>
      <w:r>
        <w:rPr>
          <w:rFonts w:ascii="Arial" w:hAnsi="Arial" w:cs="Arial" w:hint="eastAsia"/>
          <w:sz w:val="28"/>
        </w:rPr>
        <w:t>宗地块以底价成交。</w:t>
      </w:r>
    </w:p>
    <w:p w14:paraId="2A67098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图：</w:t>
      </w:r>
      <w:r>
        <w:rPr>
          <w:rFonts w:ascii="Arial" w:hAnsi="Arial" w:cs="Arial" w:hint="eastAsia"/>
          <w:sz w:val="28"/>
        </w:rPr>
        <w:t>2023</w:t>
      </w:r>
      <w:r>
        <w:rPr>
          <w:rFonts w:ascii="Arial" w:hAnsi="Arial" w:cs="Arial" w:hint="eastAsia"/>
          <w:sz w:val="28"/>
        </w:rPr>
        <w:t>年</w:t>
      </w:r>
      <w:r>
        <w:rPr>
          <w:rFonts w:ascii="Arial" w:hAnsi="Arial" w:cs="Arial" w:hint="eastAsia"/>
          <w:sz w:val="28"/>
        </w:rPr>
        <w:t>Q3</w:t>
      </w:r>
      <w:r>
        <w:rPr>
          <w:rFonts w:ascii="Arial" w:hAnsi="Arial" w:cs="Arial" w:hint="eastAsia"/>
          <w:sz w:val="28"/>
        </w:rPr>
        <w:t>至今北京市区涉宅用地楼面价和溢价率季度走势</w:t>
      </w:r>
    </w:p>
    <w:p w14:paraId="4DE5E5B3" w14:textId="4B4B54EF"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lastRenderedPageBreak/>
        <w:drawing>
          <wp:inline distT="0" distB="0" distL="0" distR="0" wp14:anchorId="7403E68C" wp14:editId="468083C1">
            <wp:extent cx="5906770" cy="2714625"/>
            <wp:effectExtent l="0" t="0" r="0" b="0"/>
            <wp:docPr id="33" name="图片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7A9D37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4</w:t>
      </w:r>
      <w:r>
        <w:rPr>
          <w:rFonts w:ascii="Arial" w:hAnsi="Arial" w:cs="Arial" w:hint="eastAsia"/>
          <w:sz w:val="28"/>
        </w:rPr>
        <w:t>）供应计划</w:t>
      </w:r>
    </w:p>
    <w:p w14:paraId="1921D14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17</w:t>
      </w:r>
      <w:r>
        <w:rPr>
          <w:rFonts w:ascii="Arial" w:hAnsi="Arial" w:cs="Arial" w:hint="eastAsia"/>
          <w:sz w:val="28"/>
        </w:rPr>
        <w:t>日，北京市规划和自然资源委员会、北京市发展和改革委员会联合发布《北京市</w:t>
      </w:r>
      <w:r>
        <w:rPr>
          <w:rFonts w:ascii="Arial" w:hAnsi="Arial" w:cs="Arial" w:hint="eastAsia"/>
          <w:sz w:val="28"/>
        </w:rPr>
        <w:t>2025</w:t>
      </w:r>
      <w:r>
        <w:rPr>
          <w:rFonts w:ascii="Arial" w:hAnsi="Arial" w:cs="Arial" w:hint="eastAsia"/>
          <w:sz w:val="28"/>
        </w:rPr>
        <w:t>年度建设用地供应计划》，</w:t>
      </w:r>
      <w:r>
        <w:rPr>
          <w:rFonts w:ascii="Arial" w:hAnsi="Arial" w:cs="Arial" w:hint="eastAsia"/>
          <w:sz w:val="28"/>
        </w:rPr>
        <w:t>2025</w:t>
      </w:r>
      <w:r>
        <w:rPr>
          <w:rFonts w:ascii="Arial" w:hAnsi="Arial" w:cs="Arial" w:hint="eastAsia"/>
          <w:sz w:val="28"/>
        </w:rPr>
        <w:t>年计划安排建设用地供应总量</w:t>
      </w:r>
      <w:r>
        <w:rPr>
          <w:rFonts w:ascii="Arial" w:hAnsi="Arial" w:cs="Arial" w:hint="eastAsia"/>
          <w:sz w:val="28"/>
        </w:rPr>
        <w:t>3165</w:t>
      </w:r>
      <w:r>
        <w:rPr>
          <w:rFonts w:ascii="Arial" w:hAnsi="Arial" w:cs="Arial" w:hint="eastAsia"/>
          <w:sz w:val="28"/>
        </w:rPr>
        <w:t>至</w:t>
      </w:r>
      <w:r>
        <w:rPr>
          <w:rFonts w:ascii="Arial" w:hAnsi="Arial" w:cs="Arial" w:hint="eastAsia"/>
          <w:sz w:val="28"/>
        </w:rPr>
        <w:t>3665</w:t>
      </w:r>
      <w:r>
        <w:rPr>
          <w:rFonts w:ascii="Arial" w:hAnsi="Arial" w:cs="Arial" w:hint="eastAsia"/>
          <w:sz w:val="28"/>
        </w:rPr>
        <w:t>公顷，较往年基本持平。住宅用地安排</w:t>
      </w:r>
      <w:r>
        <w:rPr>
          <w:rFonts w:ascii="Arial" w:hAnsi="Arial" w:cs="Arial" w:hint="eastAsia"/>
          <w:sz w:val="28"/>
        </w:rPr>
        <w:t>955-1015</w:t>
      </w:r>
      <w:r>
        <w:rPr>
          <w:rFonts w:ascii="Arial" w:hAnsi="Arial" w:cs="Arial" w:hint="eastAsia"/>
          <w:sz w:val="28"/>
        </w:rPr>
        <w:t>公顷，较去年略降。本次供地计划保持各地类总量稳定、优化各类要素空间结构布局，保障优势地区高质量发展，稳定预期、激发活力，推动首都经济持续回升向好。</w:t>
      </w:r>
    </w:p>
    <w:p w14:paraId="41672760"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25</w:t>
      </w:r>
      <w:r>
        <w:rPr>
          <w:rFonts w:ascii="Arial" w:hAnsi="Arial" w:cs="Arial" w:hint="eastAsia"/>
          <w:sz w:val="28"/>
        </w:rPr>
        <w:t>日北京市举办“</w:t>
      </w:r>
      <w:r>
        <w:rPr>
          <w:rFonts w:ascii="Arial" w:hAnsi="Arial" w:cs="Arial" w:hint="eastAsia"/>
          <w:sz w:val="28"/>
        </w:rPr>
        <w:t>2025</w:t>
      </w:r>
      <w:r>
        <w:rPr>
          <w:rFonts w:ascii="Arial" w:hAnsi="Arial" w:cs="Arial" w:hint="eastAsia"/>
          <w:sz w:val="28"/>
        </w:rPr>
        <w:t>年北京商品住宅用地推介会”，会上北京对外推介了</w:t>
      </w:r>
      <w:r>
        <w:rPr>
          <w:rFonts w:ascii="Arial" w:hAnsi="Arial" w:cs="Arial" w:hint="eastAsia"/>
          <w:sz w:val="28"/>
        </w:rPr>
        <w:t>69</w:t>
      </w:r>
      <w:r>
        <w:rPr>
          <w:rFonts w:ascii="Arial" w:hAnsi="Arial" w:cs="Arial" w:hint="eastAsia"/>
          <w:sz w:val="28"/>
        </w:rPr>
        <w:t>宗优质地块、建设用地面积</w:t>
      </w:r>
      <w:r>
        <w:rPr>
          <w:rFonts w:ascii="Arial" w:hAnsi="Arial" w:cs="Arial" w:hint="eastAsia"/>
          <w:sz w:val="28"/>
        </w:rPr>
        <w:t>427</w:t>
      </w:r>
      <w:r>
        <w:rPr>
          <w:rFonts w:ascii="Arial" w:hAnsi="Arial" w:cs="Arial" w:hint="eastAsia"/>
          <w:sz w:val="28"/>
        </w:rPr>
        <w:t>公顷、建筑规模</w:t>
      </w:r>
      <w:r>
        <w:rPr>
          <w:rFonts w:ascii="Arial" w:hAnsi="Arial" w:cs="Arial" w:hint="eastAsia"/>
          <w:sz w:val="28"/>
        </w:rPr>
        <w:t>828</w:t>
      </w:r>
      <w:r>
        <w:rPr>
          <w:rFonts w:ascii="Arial" w:hAnsi="Arial" w:cs="Arial" w:hint="eastAsia"/>
          <w:sz w:val="28"/>
        </w:rPr>
        <w:t>万㎡。</w:t>
      </w:r>
      <w:r>
        <w:rPr>
          <w:rFonts w:ascii="Arial" w:hAnsi="Arial" w:cs="Arial" w:hint="eastAsia"/>
          <w:sz w:val="28"/>
        </w:rPr>
        <w:t>69</w:t>
      </w:r>
      <w:r>
        <w:rPr>
          <w:rFonts w:ascii="Arial" w:hAnsi="Arial" w:cs="Arial" w:hint="eastAsia"/>
          <w:sz w:val="28"/>
        </w:rPr>
        <w:t>宗地块中，中心城区占其中</w:t>
      </w:r>
      <w:r>
        <w:rPr>
          <w:rFonts w:ascii="Arial" w:hAnsi="Arial" w:cs="Arial" w:hint="eastAsia"/>
          <w:sz w:val="28"/>
        </w:rPr>
        <w:t>25</w:t>
      </w:r>
      <w:r>
        <w:rPr>
          <w:rFonts w:ascii="Arial" w:hAnsi="Arial" w:cs="Arial" w:hint="eastAsia"/>
          <w:sz w:val="28"/>
        </w:rPr>
        <w:t>宗住宅用地，分别为海淀区</w:t>
      </w:r>
      <w:r>
        <w:rPr>
          <w:rFonts w:ascii="Arial" w:hAnsi="Arial" w:cs="Arial" w:hint="eastAsia"/>
          <w:sz w:val="28"/>
        </w:rPr>
        <w:t>4</w:t>
      </w:r>
      <w:r>
        <w:rPr>
          <w:rFonts w:ascii="Arial" w:hAnsi="Arial" w:cs="Arial" w:hint="eastAsia"/>
          <w:sz w:val="28"/>
        </w:rPr>
        <w:t>宗、朝阳区</w:t>
      </w:r>
      <w:r>
        <w:rPr>
          <w:rFonts w:ascii="Arial" w:hAnsi="Arial" w:cs="Arial" w:hint="eastAsia"/>
          <w:sz w:val="28"/>
        </w:rPr>
        <w:t>6</w:t>
      </w:r>
      <w:r>
        <w:rPr>
          <w:rFonts w:ascii="Arial" w:hAnsi="Arial" w:cs="Arial" w:hint="eastAsia"/>
          <w:sz w:val="28"/>
        </w:rPr>
        <w:t>宗、丰台区</w:t>
      </w:r>
      <w:r>
        <w:rPr>
          <w:rFonts w:ascii="Arial" w:hAnsi="Arial" w:cs="Arial" w:hint="eastAsia"/>
          <w:sz w:val="28"/>
        </w:rPr>
        <w:t>9</w:t>
      </w:r>
      <w:r>
        <w:rPr>
          <w:rFonts w:ascii="Arial" w:hAnsi="Arial" w:cs="Arial" w:hint="eastAsia"/>
          <w:sz w:val="28"/>
        </w:rPr>
        <w:t>宗、石景山区</w:t>
      </w:r>
      <w:r>
        <w:rPr>
          <w:rFonts w:ascii="Arial" w:hAnsi="Arial" w:cs="Arial" w:hint="eastAsia"/>
          <w:sz w:val="28"/>
        </w:rPr>
        <w:t>6</w:t>
      </w:r>
      <w:r>
        <w:rPr>
          <w:rFonts w:ascii="Arial" w:hAnsi="Arial" w:cs="Arial" w:hint="eastAsia"/>
          <w:sz w:val="28"/>
        </w:rPr>
        <w:t>宗。</w:t>
      </w:r>
    </w:p>
    <w:p w14:paraId="2D5E74C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2</w:t>
      </w:r>
      <w:r>
        <w:rPr>
          <w:rFonts w:ascii="Arial" w:hAnsi="Arial" w:cs="Arial" w:hint="eastAsia"/>
          <w:sz w:val="28"/>
        </w:rPr>
        <w:t>）商品房住宅市场</w:t>
      </w:r>
    </w:p>
    <w:p w14:paraId="1BB1D2A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1</w:t>
      </w:r>
      <w:r>
        <w:rPr>
          <w:rFonts w:ascii="Arial" w:hAnsi="Arial" w:cs="Arial" w:hint="eastAsia"/>
          <w:sz w:val="28"/>
        </w:rPr>
        <w:t>）商品住宅供给状况</w:t>
      </w:r>
    </w:p>
    <w:p w14:paraId="0FEB0F89"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年上半年，北京商品住宅（不含保障性住房）累计供应</w:t>
      </w:r>
      <w:r>
        <w:rPr>
          <w:rFonts w:ascii="Arial" w:hAnsi="Arial" w:cs="Arial" w:hint="eastAsia"/>
          <w:sz w:val="28"/>
        </w:rPr>
        <w:t>251.35</w:t>
      </w:r>
      <w:r>
        <w:rPr>
          <w:rFonts w:ascii="Arial" w:hAnsi="Arial" w:cs="Arial" w:hint="eastAsia"/>
          <w:sz w:val="28"/>
        </w:rPr>
        <w:t>万平方米，同比增长</w:t>
      </w:r>
      <w:r>
        <w:rPr>
          <w:rFonts w:ascii="Arial" w:hAnsi="Arial" w:cs="Arial" w:hint="eastAsia"/>
          <w:sz w:val="28"/>
        </w:rPr>
        <w:t>26%</w:t>
      </w:r>
      <w:r>
        <w:rPr>
          <w:rFonts w:ascii="Arial" w:hAnsi="Arial" w:cs="Arial" w:hint="eastAsia"/>
          <w:sz w:val="28"/>
        </w:rPr>
        <w:t>。中海丽金府、保利建工·嘉华天珺、懋源云纪、颐海澐颂、和樾望雲、建发·海晏、中海萬吉玖序等中高端项目积极入市，带动北京楼市供应量上行。具体来看，</w:t>
      </w:r>
      <w:r>
        <w:rPr>
          <w:rFonts w:ascii="Arial" w:hAnsi="Arial" w:cs="Arial" w:hint="eastAsia"/>
          <w:sz w:val="28"/>
        </w:rPr>
        <w:t>1</w:t>
      </w:r>
      <w:r>
        <w:rPr>
          <w:rFonts w:ascii="Arial" w:hAnsi="Arial" w:cs="Arial" w:hint="eastAsia"/>
          <w:sz w:val="28"/>
        </w:rPr>
        <w:t>月新增供应规模约</w:t>
      </w:r>
      <w:r>
        <w:rPr>
          <w:rFonts w:ascii="Arial" w:hAnsi="Arial" w:cs="Arial" w:hint="eastAsia"/>
          <w:sz w:val="28"/>
        </w:rPr>
        <w:t>24</w:t>
      </w:r>
      <w:r>
        <w:rPr>
          <w:rFonts w:ascii="Arial" w:hAnsi="Arial" w:cs="Arial" w:hint="eastAsia"/>
          <w:sz w:val="28"/>
        </w:rPr>
        <w:t>万平方米，</w:t>
      </w:r>
      <w:r>
        <w:rPr>
          <w:rFonts w:ascii="Arial" w:hAnsi="Arial" w:cs="Arial" w:hint="eastAsia"/>
          <w:sz w:val="28"/>
        </w:rPr>
        <w:lastRenderedPageBreak/>
        <w:t>环比增加近八成；</w:t>
      </w:r>
      <w:r>
        <w:rPr>
          <w:rFonts w:ascii="Arial" w:hAnsi="Arial" w:cs="Arial" w:hint="eastAsia"/>
          <w:sz w:val="28"/>
        </w:rPr>
        <w:t>2</w:t>
      </w:r>
      <w:r>
        <w:rPr>
          <w:rFonts w:ascii="Arial" w:hAnsi="Arial" w:cs="Arial" w:hint="eastAsia"/>
          <w:sz w:val="28"/>
        </w:rPr>
        <w:t>月受春节假期影响，新增供应规模不足</w:t>
      </w:r>
      <w:r>
        <w:rPr>
          <w:rFonts w:ascii="Arial" w:hAnsi="Arial" w:cs="Arial" w:hint="eastAsia"/>
          <w:sz w:val="28"/>
        </w:rPr>
        <w:t>5</w:t>
      </w:r>
      <w:r>
        <w:rPr>
          <w:rFonts w:ascii="Arial" w:hAnsi="Arial" w:cs="Arial" w:hint="eastAsia"/>
          <w:sz w:val="28"/>
        </w:rPr>
        <w:t>万平方米；</w:t>
      </w:r>
      <w:r>
        <w:rPr>
          <w:rFonts w:ascii="Arial" w:hAnsi="Arial" w:cs="Arial" w:hint="eastAsia"/>
          <w:sz w:val="28"/>
        </w:rPr>
        <w:t>3</w:t>
      </w:r>
      <w:r>
        <w:rPr>
          <w:rFonts w:ascii="Arial" w:hAnsi="Arial" w:cs="Arial" w:hint="eastAsia"/>
          <w:sz w:val="28"/>
        </w:rPr>
        <w:t>月，随着市场的逐步恢复，房企供应节奏有所加快，在和樾望雲、颐海澐颂、和樾玉鸣等高端改善项目积极入市带动下，新房供应量环比涨幅达</w:t>
      </w:r>
      <w:r>
        <w:rPr>
          <w:rFonts w:ascii="Arial" w:hAnsi="Arial" w:cs="Arial" w:hint="eastAsia"/>
          <w:sz w:val="28"/>
        </w:rPr>
        <w:t>1718%</w:t>
      </w:r>
      <w:r>
        <w:rPr>
          <w:rFonts w:ascii="Arial" w:hAnsi="Arial" w:cs="Arial" w:hint="eastAsia"/>
          <w:sz w:val="28"/>
        </w:rPr>
        <w:t>，但整体供应规模仍不及去年同期；</w:t>
      </w:r>
      <w:r>
        <w:rPr>
          <w:rFonts w:ascii="Arial" w:hAnsi="Arial" w:cs="Arial" w:hint="eastAsia"/>
          <w:sz w:val="28"/>
        </w:rPr>
        <w:t>4</w:t>
      </w:r>
      <w:r>
        <w:rPr>
          <w:rFonts w:ascii="Arial" w:hAnsi="Arial" w:cs="Arial" w:hint="eastAsia"/>
          <w:sz w:val="28"/>
        </w:rPr>
        <w:t>月新增供应</w:t>
      </w:r>
      <w:r>
        <w:rPr>
          <w:rFonts w:ascii="Arial" w:hAnsi="Arial" w:cs="Arial" w:hint="eastAsia"/>
          <w:sz w:val="28"/>
        </w:rPr>
        <w:t>60.19</w:t>
      </w:r>
      <w:r>
        <w:rPr>
          <w:rFonts w:ascii="Arial" w:hAnsi="Arial" w:cs="Arial" w:hint="eastAsia"/>
          <w:sz w:val="28"/>
        </w:rPr>
        <w:t>万平方米，连续两月供应量超</w:t>
      </w:r>
      <w:r>
        <w:rPr>
          <w:rFonts w:ascii="Arial" w:hAnsi="Arial" w:cs="Arial" w:hint="eastAsia"/>
          <w:sz w:val="28"/>
        </w:rPr>
        <w:t>60</w:t>
      </w:r>
      <w:r>
        <w:rPr>
          <w:rFonts w:ascii="Arial" w:hAnsi="Arial" w:cs="Arial" w:hint="eastAsia"/>
          <w:sz w:val="28"/>
        </w:rPr>
        <w:t>万平方米；</w:t>
      </w:r>
      <w:r>
        <w:rPr>
          <w:rFonts w:ascii="Arial" w:hAnsi="Arial" w:cs="Arial" w:hint="eastAsia"/>
          <w:sz w:val="28"/>
        </w:rPr>
        <w:t>5</w:t>
      </w:r>
      <w:r>
        <w:rPr>
          <w:rFonts w:ascii="Arial" w:hAnsi="Arial" w:cs="Arial" w:hint="eastAsia"/>
          <w:sz w:val="28"/>
        </w:rPr>
        <w:t>月，懋源云纪、中海丽金府、华润臻云、中海丽泽叁號院等项目入市加推，带动北京楼市新增供应量连续三个月超</w:t>
      </w:r>
      <w:r>
        <w:rPr>
          <w:rFonts w:ascii="Arial" w:hAnsi="Arial" w:cs="Arial" w:hint="eastAsia"/>
          <w:sz w:val="28"/>
        </w:rPr>
        <w:t>60</w:t>
      </w:r>
      <w:r>
        <w:rPr>
          <w:rFonts w:ascii="Arial" w:hAnsi="Arial" w:cs="Arial" w:hint="eastAsia"/>
          <w:sz w:val="28"/>
        </w:rPr>
        <w:t>万平方米；</w:t>
      </w:r>
      <w:r>
        <w:rPr>
          <w:rFonts w:ascii="Arial" w:hAnsi="Arial" w:cs="Arial" w:hint="eastAsia"/>
          <w:sz w:val="28"/>
        </w:rPr>
        <w:t>6</w:t>
      </w:r>
      <w:r>
        <w:rPr>
          <w:rFonts w:ascii="Arial" w:hAnsi="Arial" w:cs="Arial" w:hint="eastAsia"/>
          <w:sz w:val="28"/>
        </w:rPr>
        <w:t>月，房企入市节奏放缓，新增供应量</w:t>
      </w:r>
      <w:r>
        <w:rPr>
          <w:rFonts w:ascii="Arial" w:hAnsi="Arial" w:cs="Arial" w:hint="eastAsia"/>
          <w:sz w:val="28"/>
        </w:rPr>
        <w:t>38.63</w:t>
      </w:r>
      <w:r>
        <w:rPr>
          <w:rFonts w:ascii="Arial" w:hAnsi="Arial" w:cs="Arial" w:hint="eastAsia"/>
          <w:sz w:val="28"/>
        </w:rPr>
        <w:t>万平方米，环比下降</w:t>
      </w:r>
      <w:r>
        <w:rPr>
          <w:rFonts w:ascii="Arial" w:hAnsi="Arial" w:cs="Arial" w:hint="eastAsia"/>
          <w:sz w:val="28"/>
        </w:rPr>
        <w:t>40%</w:t>
      </w:r>
      <w:r>
        <w:rPr>
          <w:rFonts w:ascii="Arial" w:hAnsi="Arial" w:cs="Arial" w:hint="eastAsia"/>
          <w:sz w:val="28"/>
        </w:rPr>
        <w:t>。</w:t>
      </w:r>
    </w:p>
    <w:p w14:paraId="47BFBD75" w14:textId="0791170D"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54B06BEA" wp14:editId="2EF852E6">
            <wp:extent cx="5142865" cy="3028315"/>
            <wp:effectExtent l="0" t="0" r="0" b="0"/>
            <wp:docPr id="3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2865" cy="3028315"/>
                    </a:xfrm>
                    <a:prstGeom prst="rect">
                      <a:avLst/>
                    </a:prstGeom>
                    <a:noFill/>
                    <a:ln>
                      <a:noFill/>
                    </a:ln>
                  </pic:spPr>
                </pic:pic>
              </a:graphicData>
            </a:graphic>
          </wp:inline>
        </w:drawing>
      </w:r>
    </w:p>
    <w:p w14:paraId="21D3FE4F"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年上半年北京商品住宅（不含保障房）供应量略高于成交量，导致库存规模有所回升。截至</w:t>
      </w:r>
      <w:r>
        <w:rPr>
          <w:rFonts w:ascii="Arial" w:hAnsi="Arial" w:cs="Arial" w:hint="eastAsia"/>
          <w:sz w:val="28"/>
        </w:rPr>
        <w:t>6</w:t>
      </w:r>
      <w:r>
        <w:rPr>
          <w:rFonts w:ascii="Arial" w:hAnsi="Arial" w:cs="Arial" w:hint="eastAsia"/>
          <w:sz w:val="28"/>
        </w:rPr>
        <w:t>月底，北京商品住宅（不含保障房）库存量约为</w:t>
      </w:r>
      <w:r>
        <w:rPr>
          <w:rFonts w:ascii="Arial" w:hAnsi="Arial" w:cs="Arial" w:hint="eastAsia"/>
          <w:sz w:val="28"/>
        </w:rPr>
        <w:t>981.88</w:t>
      </w:r>
      <w:r>
        <w:rPr>
          <w:rFonts w:ascii="Arial" w:hAnsi="Arial" w:cs="Arial" w:hint="eastAsia"/>
          <w:sz w:val="28"/>
        </w:rPr>
        <w:t>万平方米，较去年同期增加</w:t>
      </w:r>
      <w:r>
        <w:rPr>
          <w:rFonts w:ascii="Arial" w:hAnsi="Arial" w:cs="Arial" w:hint="eastAsia"/>
          <w:sz w:val="28"/>
        </w:rPr>
        <w:t>5%</w:t>
      </w:r>
      <w:r>
        <w:rPr>
          <w:rFonts w:ascii="Arial" w:hAnsi="Arial" w:cs="Arial" w:hint="eastAsia"/>
          <w:sz w:val="28"/>
        </w:rPr>
        <w:t>；月度来看，</w:t>
      </w:r>
      <w:r>
        <w:rPr>
          <w:rFonts w:ascii="Arial" w:hAnsi="Arial" w:cs="Arial" w:hint="eastAsia"/>
          <w:sz w:val="28"/>
        </w:rPr>
        <w:t>3-5</w:t>
      </w:r>
      <w:r>
        <w:rPr>
          <w:rFonts w:ascii="Arial" w:hAnsi="Arial" w:cs="Arial" w:hint="eastAsia"/>
          <w:sz w:val="28"/>
        </w:rPr>
        <w:t>月北京楼市供应量持续高位，连续三个月超</w:t>
      </w:r>
      <w:r>
        <w:rPr>
          <w:rFonts w:ascii="Arial" w:hAnsi="Arial" w:cs="Arial" w:hint="eastAsia"/>
          <w:sz w:val="28"/>
        </w:rPr>
        <w:t>60</w:t>
      </w:r>
      <w:r>
        <w:rPr>
          <w:rFonts w:ascii="Arial" w:hAnsi="Arial" w:cs="Arial" w:hint="eastAsia"/>
          <w:sz w:val="28"/>
        </w:rPr>
        <w:t>万平方米，带动库存规模回升。整体来看，</w:t>
      </w:r>
      <w:r>
        <w:rPr>
          <w:rFonts w:ascii="Arial" w:hAnsi="Arial" w:cs="Arial" w:hint="eastAsia"/>
          <w:sz w:val="28"/>
        </w:rPr>
        <w:t>930</w:t>
      </w:r>
      <w:r>
        <w:rPr>
          <w:rFonts w:ascii="Arial" w:hAnsi="Arial" w:cs="Arial" w:hint="eastAsia"/>
          <w:sz w:val="28"/>
        </w:rPr>
        <w:t>新政后，北京房地产市场平均去化速度明显加快，叠加库存规模的逐步回落，出清周期呈现出明显的下滑趋势；进入</w:t>
      </w: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季度，伴随着供应量增加带动库存规模的回升，导致去化周期有所回升，截至到</w:t>
      </w:r>
      <w:r>
        <w:rPr>
          <w:rFonts w:ascii="Arial" w:hAnsi="Arial" w:cs="Arial" w:hint="eastAsia"/>
          <w:sz w:val="28"/>
        </w:rPr>
        <w:t>6</w:t>
      </w:r>
      <w:r>
        <w:rPr>
          <w:rFonts w:ascii="Arial" w:hAnsi="Arial" w:cs="Arial" w:hint="eastAsia"/>
          <w:sz w:val="28"/>
        </w:rPr>
        <w:t>月，北京楼市去化周期为</w:t>
      </w:r>
      <w:r>
        <w:rPr>
          <w:rFonts w:ascii="Arial" w:hAnsi="Arial" w:cs="Arial" w:hint="eastAsia"/>
          <w:sz w:val="28"/>
        </w:rPr>
        <w:t>22.8</w:t>
      </w:r>
      <w:r>
        <w:rPr>
          <w:rFonts w:ascii="Arial" w:hAnsi="Arial" w:cs="Arial" w:hint="eastAsia"/>
          <w:sz w:val="28"/>
        </w:rPr>
        <w:t>个月。</w:t>
      </w:r>
    </w:p>
    <w:p w14:paraId="5CCFD724" w14:textId="5991C1BE"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lastRenderedPageBreak/>
        <w:drawing>
          <wp:inline distT="0" distB="0" distL="0" distR="0" wp14:anchorId="0F28CEF2" wp14:editId="67559714">
            <wp:extent cx="5904230" cy="1887220"/>
            <wp:effectExtent l="0" t="0" r="0" b="0"/>
            <wp:docPr id="3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230" cy="1887220"/>
                    </a:xfrm>
                    <a:prstGeom prst="rect">
                      <a:avLst/>
                    </a:prstGeom>
                    <a:noFill/>
                    <a:ln>
                      <a:noFill/>
                    </a:ln>
                  </pic:spPr>
                </pic:pic>
              </a:graphicData>
            </a:graphic>
          </wp:inline>
        </w:drawing>
      </w:r>
    </w:p>
    <w:p w14:paraId="2C7D73F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w:t>
      </w:r>
      <w:r>
        <w:rPr>
          <w:rFonts w:ascii="Arial" w:hAnsi="Arial" w:cs="Arial" w:hint="eastAsia"/>
          <w:sz w:val="28"/>
        </w:rPr>
        <w:t>）商品住宅成交情况</w:t>
      </w:r>
    </w:p>
    <w:p w14:paraId="63D7B109"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A.</w:t>
      </w:r>
      <w:r>
        <w:rPr>
          <w:rFonts w:ascii="Arial" w:hAnsi="Arial" w:cs="Arial" w:hint="eastAsia"/>
          <w:sz w:val="28"/>
        </w:rPr>
        <w:t>成交量</w:t>
      </w:r>
    </w:p>
    <w:p w14:paraId="64AF9756"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年上半年北京商品住宅成交规模约为</w:t>
      </w:r>
      <w:r>
        <w:rPr>
          <w:rFonts w:ascii="Arial" w:hAnsi="Arial" w:cs="Arial" w:hint="eastAsia"/>
          <w:sz w:val="28"/>
        </w:rPr>
        <w:t>234.13</w:t>
      </w:r>
      <w:r>
        <w:rPr>
          <w:rFonts w:ascii="Arial" w:hAnsi="Arial" w:cs="Arial" w:hint="eastAsia"/>
          <w:sz w:val="28"/>
        </w:rPr>
        <w:t>万平方米，同比增加</w:t>
      </w:r>
      <w:r>
        <w:rPr>
          <w:rFonts w:ascii="Arial" w:hAnsi="Arial" w:cs="Arial" w:hint="eastAsia"/>
          <w:sz w:val="28"/>
        </w:rPr>
        <w:t>20%</w:t>
      </w:r>
      <w:r>
        <w:rPr>
          <w:rFonts w:ascii="Arial" w:hAnsi="Arial" w:cs="Arial" w:hint="eastAsia"/>
          <w:sz w:val="28"/>
        </w:rPr>
        <w:t>，成交规模低位回升。分月度来看，受房企业绩冲刺节点影响，</w:t>
      </w:r>
      <w:r>
        <w:rPr>
          <w:rFonts w:ascii="Arial" w:hAnsi="Arial" w:cs="Arial" w:hint="eastAsia"/>
          <w:sz w:val="28"/>
        </w:rPr>
        <w:t>1</w:t>
      </w:r>
      <w:r>
        <w:rPr>
          <w:rFonts w:ascii="Arial" w:hAnsi="Arial" w:cs="Arial" w:hint="eastAsia"/>
          <w:sz w:val="28"/>
        </w:rPr>
        <w:t>月市场活跃度下滑，成交规模环比下滑；</w:t>
      </w:r>
      <w:r>
        <w:rPr>
          <w:rFonts w:ascii="Arial" w:hAnsi="Arial" w:cs="Arial" w:hint="eastAsia"/>
          <w:sz w:val="28"/>
        </w:rPr>
        <w:t>2</w:t>
      </w:r>
      <w:r>
        <w:rPr>
          <w:rFonts w:ascii="Arial" w:hAnsi="Arial" w:cs="Arial" w:hint="eastAsia"/>
          <w:sz w:val="28"/>
        </w:rPr>
        <w:t>月，在春节假期、自然日较少等多重因素影响下，市场活跃度季节性下滑；春节过后，高端改善项目积极入市、宅地市场局部高热为市场注入信心，带动市场积压需求持续释放，</w:t>
      </w:r>
      <w:r>
        <w:rPr>
          <w:rFonts w:ascii="Arial" w:hAnsi="Arial" w:cs="Arial" w:hint="eastAsia"/>
          <w:sz w:val="28"/>
        </w:rPr>
        <w:t>3</w:t>
      </w:r>
      <w:r>
        <w:rPr>
          <w:rFonts w:ascii="Arial" w:hAnsi="Arial" w:cs="Arial" w:hint="eastAsia"/>
          <w:sz w:val="28"/>
        </w:rPr>
        <w:t>月北京房地产市场热度回温；随着前期需求的快速释放，</w:t>
      </w:r>
      <w:r>
        <w:rPr>
          <w:rFonts w:ascii="Arial" w:hAnsi="Arial" w:cs="Arial" w:hint="eastAsia"/>
          <w:sz w:val="28"/>
        </w:rPr>
        <w:t>4</w:t>
      </w:r>
      <w:r>
        <w:rPr>
          <w:rFonts w:ascii="Arial" w:hAnsi="Arial" w:cs="Arial" w:hint="eastAsia"/>
          <w:sz w:val="28"/>
        </w:rPr>
        <w:t>月、</w:t>
      </w:r>
      <w:r>
        <w:rPr>
          <w:rFonts w:ascii="Arial" w:hAnsi="Arial" w:cs="Arial" w:hint="eastAsia"/>
          <w:sz w:val="28"/>
        </w:rPr>
        <w:t>5</w:t>
      </w:r>
      <w:r>
        <w:rPr>
          <w:rFonts w:ascii="Arial" w:hAnsi="Arial" w:cs="Arial" w:hint="eastAsia"/>
          <w:sz w:val="28"/>
        </w:rPr>
        <w:t>月市场活跃度下滑，成交走低；</w:t>
      </w:r>
      <w:r>
        <w:rPr>
          <w:rFonts w:ascii="Arial" w:hAnsi="Arial" w:cs="Arial" w:hint="eastAsia"/>
          <w:sz w:val="28"/>
        </w:rPr>
        <w:t>6</w:t>
      </w:r>
      <w:r>
        <w:rPr>
          <w:rFonts w:ascii="Arial" w:hAnsi="Arial" w:cs="Arial" w:hint="eastAsia"/>
          <w:sz w:val="28"/>
        </w:rPr>
        <w:t>月，房企为冲刺年中业绩，加大营销力度，叠加宽松政策环境的影响，成交规模回升。政策层面，两会政府工作报告首次将“稳住楼市”写进总体要求，同时指出调减房地产市场限制性措施，为市场传递了信心；</w:t>
      </w:r>
      <w:r>
        <w:rPr>
          <w:rFonts w:ascii="Arial" w:hAnsi="Arial" w:cs="Arial" w:hint="eastAsia"/>
          <w:sz w:val="28"/>
        </w:rPr>
        <w:t>4</w:t>
      </w:r>
      <w:r>
        <w:rPr>
          <w:rFonts w:ascii="Arial" w:hAnsi="Arial" w:cs="Arial" w:hint="eastAsia"/>
          <w:sz w:val="28"/>
        </w:rPr>
        <w:t>月</w:t>
      </w:r>
      <w:r>
        <w:rPr>
          <w:rFonts w:ascii="Arial" w:hAnsi="Arial" w:cs="Arial" w:hint="eastAsia"/>
          <w:sz w:val="28"/>
        </w:rPr>
        <w:t>25</w:t>
      </w:r>
      <w:r>
        <w:rPr>
          <w:rFonts w:ascii="Arial" w:hAnsi="Arial" w:cs="Arial" w:hint="eastAsia"/>
          <w:sz w:val="28"/>
        </w:rPr>
        <w:t>日政治局会议定调之后，金融部门积极跟进落实各项举措，</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日国常会发布降准降息等一揽子金融政策，对提振房地产市场信心、稳定市场预期产生积极作用；</w:t>
      </w:r>
      <w:r>
        <w:rPr>
          <w:rFonts w:ascii="Arial" w:hAnsi="Arial" w:cs="Arial" w:hint="eastAsia"/>
          <w:sz w:val="28"/>
        </w:rPr>
        <w:t>6</w:t>
      </w:r>
      <w:r>
        <w:rPr>
          <w:rFonts w:ascii="Arial" w:hAnsi="Arial" w:cs="Arial" w:hint="eastAsia"/>
          <w:sz w:val="28"/>
        </w:rPr>
        <w:t>月</w:t>
      </w:r>
      <w:r>
        <w:rPr>
          <w:rFonts w:ascii="Arial" w:hAnsi="Arial" w:cs="Arial" w:hint="eastAsia"/>
          <w:sz w:val="28"/>
        </w:rPr>
        <w:t>13</w:t>
      </w:r>
      <w:r>
        <w:rPr>
          <w:rFonts w:ascii="Arial" w:hAnsi="Arial" w:cs="Arial" w:hint="eastAsia"/>
          <w:sz w:val="28"/>
        </w:rPr>
        <w:t>日，国常会定调更大力度推动房地产市场止跌回稳，而北京作为仍存限购等政策的城市，预计后续有望进一步优化楼市政策，逐步落实因区施策、调减楼市限制性措施等，进一步释放刚需和改善型需求积极入市，带动市场活跃度的提升。</w:t>
      </w:r>
    </w:p>
    <w:p w14:paraId="3F4D9BC1" w14:textId="14BB5158"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lastRenderedPageBreak/>
        <w:drawing>
          <wp:inline distT="0" distB="0" distL="0" distR="0" wp14:anchorId="2B97D2B6" wp14:editId="2C3F5562">
            <wp:extent cx="5909310" cy="1585595"/>
            <wp:effectExtent l="0" t="0" r="0" b="0"/>
            <wp:docPr id="3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9310" cy="1585595"/>
                    </a:xfrm>
                    <a:prstGeom prst="rect">
                      <a:avLst/>
                    </a:prstGeom>
                    <a:noFill/>
                    <a:ln>
                      <a:noFill/>
                    </a:ln>
                  </pic:spPr>
                </pic:pic>
              </a:graphicData>
            </a:graphic>
          </wp:inline>
        </w:drawing>
      </w:r>
    </w:p>
    <w:p w14:paraId="1F5D08F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B.</w:t>
      </w:r>
      <w:r>
        <w:rPr>
          <w:rFonts w:ascii="Arial" w:hAnsi="Arial" w:cs="Arial" w:hint="eastAsia"/>
          <w:sz w:val="28"/>
        </w:rPr>
        <w:t>成交价格</w:t>
      </w:r>
    </w:p>
    <w:p w14:paraId="4F2DBB0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a.</w:t>
      </w:r>
      <w:r>
        <w:rPr>
          <w:rFonts w:ascii="Arial" w:hAnsi="Arial" w:cs="Arial" w:hint="eastAsia"/>
          <w:sz w:val="28"/>
        </w:rPr>
        <w:t>成交价格</w:t>
      </w:r>
    </w:p>
    <w:p w14:paraId="286BF5F3"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受结构性因素的影响，</w:t>
      </w:r>
      <w:r>
        <w:rPr>
          <w:rFonts w:ascii="Arial" w:hAnsi="Arial" w:cs="Arial" w:hint="eastAsia"/>
          <w:sz w:val="28"/>
        </w:rPr>
        <w:t>2025</w:t>
      </w:r>
      <w:r>
        <w:rPr>
          <w:rFonts w:ascii="Arial" w:hAnsi="Arial" w:cs="Arial" w:hint="eastAsia"/>
          <w:sz w:val="28"/>
        </w:rPr>
        <w:t>年上半年北京商品住宅价格同比上涨。</w:t>
      </w:r>
      <w:r>
        <w:rPr>
          <w:rFonts w:ascii="Arial" w:hAnsi="Arial" w:cs="Arial" w:hint="eastAsia"/>
          <w:sz w:val="28"/>
        </w:rPr>
        <w:t>2025</w:t>
      </w:r>
      <w:r>
        <w:rPr>
          <w:rFonts w:ascii="Arial" w:hAnsi="Arial" w:cs="Arial" w:hint="eastAsia"/>
          <w:sz w:val="28"/>
        </w:rPr>
        <w:t>年上半年，北京商品住宅（不含保障房）平均成交价格为</w:t>
      </w:r>
      <w:r>
        <w:rPr>
          <w:rFonts w:ascii="Arial" w:hAnsi="Arial" w:cs="Arial" w:hint="eastAsia"/>
          <w:sz w:val="28"/>
        </w:rPr>
        <w:t>60708</w:t>
      </w:r>
      <w:r>
        <w:rPr>
          <w:rFonts w:ascii="Arial" w:hAnsi="Arial" w:cs="Arial" w:hint="eastAsia"/>
          <w:sz w:val="28"/>
        </w:rPr>
        <w:t>元</w:t>
      </w:r>
      <w:r>
        <w:rPr>
          <w:rFonts w:ascii="Arial" w:hAnsi="Arial" w:cs="Arial" w:hint="eastAsia"/>
          <w:sz w:val="28"/>
        </w:rPr>
        <w:t>/</w:t>
      </w:r>
      <w:r>
        <w:rPr>
          <w:rFonts w:ascii="Arial" w:hAnsi="Arial" w:cs="Arial" w:hint="eastAsia"/>
          <w:sz w:val="28"/>
        </w:rPr>
        <w:t>平方米，同比上涨</w:t>
      </w:r>
      <w:r>
        <w:rPr>
          <w:rFonts w:ascii="Arial" w:hAnsi="Arial" w:cs="Arial" w:hint="eastAsia"/>
          <w:sz w:val="28"/>
        </w:rPr>
        <w:t>0.9%</w:t>
      </w:r>
      <w:r>
        <w:rPr>
          <w:rFonts w:ascii="Arial" w:hAnsi="Arial" w:cs="Arial" w:hint="eastAsia"/>
          <w:sz w:val="28"/>
        </w:rPr>
        <w:t>。主要原因是，伴随着房地产市场的持续调整，房企拿地趋于理性谨慎。为提升房企拿地积极性，近年来中心城区（含核心区）推出了多宗优质地块，中高端改善产品入市量增加，导致北京楼市成交均价呈现出结构性上涨的趋势。季度来看，一季度北京新建商品住宅成交均价为</w:t>
      </w:r>
      <w:r>
        <w:rPr>
          <w:rFonts w:ascii="Arial" w:hAnsi="Arial" w:cs="Arial" w:hint="eastAsia"/>
          <w:sz w:val="28"/>
        </w:rPr>
        <w:t>59093</w:t>
      </w:r>
      <w:r>
        <w:rPr>
          <w:rFonts w:ascii="Arial" w:hAnsi="Arial" w:cs="Arial" w:hint="eastAsia"/>
          <w:sz w:val="28"/>
        </w:rPr>
        <w:t>元</w:t>
      </w:r>
      <w:r>
        <w:rPr>
          <w:rFonts w:ascii="Arial" w:hAnsi="Arial" w:cs="Arial" w:hint="eastAsia"/>
          <w:sz w:val="28"/>
        </w:rPr>
        <w:t>/</w:t>
      </w:r>
      <w:r>
        <w:rPr>
          <w:rFonts w:ascii="Arial" w:hAnsi="Arial" w:cs="Arial" w:hint="eastAsia"/>
          <w:sz w:val="28"/>
        </w:rPr>
        <w:t>平方米，同比上涨</w:t>
      </w:r>
      <w:r>
        <w:rPr>
          <w:rFonts w:ascii="Arial" w:hAnsi="Arial" w:cs="Arial" w:hint="eastAsia"/>
          <w:sz w:val="28"/>
        </w:rPr>
        <w:t>2.1%</w:t>
      </w:r>
      <w:r>
        <w:rPr>
          <w:rFonts w:ascii="Arial" w:hAnsi="Arial" w:cs="Arial" w:hint="eastAsia"/>
          <w:sz w:val="28"/>
        </w:rPr>
        <w:t>；二季度，楼市成交均价为</w:t>
      </w:r>
      <w:r>
        <w:rPr>
          <w:rFonts w:ascii="Arial" w:hAnsi="Arial" w:cs="Arial" w:hint="eastAsia"/>
          <w:sz w:val="28"/>
        </w:rPr>
        <w:t>62050</w:t>
      </w:r>
      <w:r>
        <w:rPr>
          <w:rFonts w:ascii="Arial" w:hAnsi="Arial" w:cs="Arial" w:hint="eastAsia"/>
          <w:sz w:val="28"/>
        </w:rPr>
        <w:t>元</w:t>
      </w:r>
      <w:r>
        <w:rPr>
          <w:rFonts w:ascii="Arial" w:hAnsi="Arial" w:cs="Arial" w:hint="eastAsia"/>
          <w:sz w:val="28"/>
        </w:rPr>
        <w:t>/</w:t>
      </w:r>
      <w:r>
        <w:rPr>
          <w:rFonts w:ascii="Arial" w:hAnsi="Arial" w:cs="Arial" w:hint="eastAsia"/>
          <w:sz w:val="28"/>
        </w:rPr>
        <w:t>平方米，与去年同期基本持平。从房价指数来看，北京楼市房价指数仍延续上涨的趋势，上半年商品住房价格指数累计上涨</w:t>
      </w:r>
      <w:r>
        <w:rPr>
          <w:rFonts w:ascii="Arial" w:hAnsi="Arial" w:cs="Arial" w:hint="eastAsia"/>
          <w:sz w:val="28"/>
        </w:rPr>
        <w:t>1.9%</w:t>
      </w:r>
      <w:r>
        <w:rPr>
          <w:rFonts w:ascii="Arial" w:hAnsi="Arial" w:cs="Arial" w:hint="eastAsia"/>
          <w:sz w:val="28"/>
        </w:rPr>
        <w:t>，涨幅较去年同期扩大</w:t>
      </w:r>
      <w:r>
        <w:rPr>
          <w:rFonts w:ascii="Arial" w:hAnsi="Arial" w:cs="Arial" w:hint="eastAsia"/>
          <w:sz w:val="28"/>
        </w:rPr>
        <w:t>0.8</w:t>
      </w:r>
      <w:r>
        <w:rPr>
          <w:rFonts w:ascii="Arial" w:hAnsi="Arial" w:cs="Arial" w:hint="eastAsia"/>
          <w:sz w:val="28"/>
        </w:rPr>
        <w:t>个百分点。</w:t>
      </w:r>
    </w:p>
    <w:p w14:paraId="50C723EC" w14:textId="56EC8CD3"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7A7B5DD1" wp14:editId="19907BDD">
            <wp:extent cx="5909310" cy="1828800"/>
            <wp:effectExtent l="0" t="0" r="0" b="0"/>
            <wp:docPr id="3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9310" cy="1828800"/>
                    </a:xfrm>
                    <a:prstGeom prst="rect">
                      <a:avLst/>
                    </a:prstGeom>
                    <a:noFill/>
                    <a:ln>
                      <a:noFill/>
                    </a:ln>
                  </pic:spPr>
                </pic:pic>
              </a:graphicData>
            </a:graphic>
          </wp:inline>
        </w:drawing>
      </w:r>
    </w:p>
    <w:p w14:paraId="02B9FAD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b.</w:t>
      </w:r>
      <w:r>
        <w:rPr>
          <w:rFonts w:ascii="Arial" w:hAnsi="Arial" w:cs="Arial" w:hint="eastAsia"/>
          <w:sz w:val="28"/>
        </w:rPr>
        <w:t>成交结构</w:t>
      </w:r>
    </w:p>
    <w:p w14:paraId="33D9B9D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w:t>
      </w:r>
      <w:r>
        <w:rPr>
          <w:rFonts w:ascii="Arial" w:hAnsi="Arial" w:cs="Arial" w:hint="eastAsia"/>
          <w:sz w:val="28"/>
        </w:rPr>
        <w:t>90-200</w:t>
      </w:r>
      <w:r>
        <w:rPr>
          <w:rFonts w:ascii="Arial" w:hAnsi="Arial" w:cs="Arial" w:hint="eastAsia"/>
          <w:sz w:val="28"/>
        </w:rPr>
        <w:t>平米面积段的刚改和改善型产品成交占比提升，成交套数占比达</w:t>
      </w:r>
      <w:r>
        <w:rPr>
          <w:rFonts w:ascii="Arial" w:hAnsi="Arial" w:cs="Arial" w:hint="eastAsia"/>
          <w:sz w:val="28"/>
        </w:rPr>
        <w:t>71.7%</w:t>
      </w:r>
      <w:r>
        <w:rPr>
          <w:rFonts w:ascii="Arial" w:hAnsi="Arial" w:cs="Arial" w:hint="eastAsia"/>
          <w:sz w:val="28"/>
        </w:rPr>
        <w:t>，占比提升</w:t>
      </w:r>
      <w:r>
        <w:rPr>
          <w:rFonts w:ascii="Arial" w:hAnsi="Arial" w:cs="Arial" w:hint="eastAsia"/>
          <w:sz w:val="28"/>
        </w:rPr>
        <w:t>4.7</w:t>
      </w:r>
      <w:r>
        <w:rPr>
          <w:rFonts w:ascii="Arial" w:hAnsi="Arial" w:cs="Arial" w:hint="eastAsia"/>
          <w:sz w:val="28"/>
        </w:rPr>
        <w:t>个百分点，中低、高面积段产品</w:t>
      </w:r>
      <w:r>
        <w:rPr>
          <w:rFonts w:ascii="Arial" w:hAnsi="Arial" w:cs="Arial" w:hint="eastAsia"/>
          <w:sz w:val="28"/>
        </w:rPr>
        <w:lastRenderedPageBreak/>
        <w:t>成交占比均下滑。成交总价段在</w:t>
      </w:r>
      <w:r>
        <w:rPr>
          <w:rFonts w:ascii="Arial" w:hAnsi="Arial" w:cs="Arial" w:hint="eastAsia"/>
          <w:sz w:val="28"/>
        </w:rPr>
        <w:t>1200</w:t>
      </w:r>
      <w:r>
        <w:rPr>
          <w:rFonts w:ascii="Arial" w:hAnsi="Arial" w:cs="Arial" w:hint="eastAsia"/>
          <w:sz w:val="28"/>
        </w:rPr>
        <w:t>万之间的中高价位段产品成交占比提升较多，较去年同期增加</w:t>
      </w:r>
      <w:r>
        <w:rPr>
          <w:rFonts w:ascii="Arial" w:hAnsi="Arial" w:cs="Arial" w:hint="eastAsia"/>
          <w:sz w:val="28"/>
        </w:rPr>
        <w:t>3.8</w:t>
      </w:r>
      <w:r>
        <w:rPr>
          <w:rFonts w:ascii="Arial" w:hAnsi="Arial" w:cs="Arial" w:hint="eastAsia"/>
          <w:sz w:val="28"/>
        </w:rPr>
        <w:t>个百分点；中高总价段产品成交占比下滑，其</w:t>
      </w:r>
      <w:r>
        <w:rPr>
          <w:rFonts w:ascii="Arial" w:hAnsi="Arial" w:cs="Arial" w:hint="eastAsia"/>
          <w:sz w:val="28"/>
        </w:rPr>
        <w:t xml:space="preserve"> </w:t>
      </w:r>
      <w:r>
        <w:rPr>
          <w:rFonts w:ascii="Arial" w:hAnsi="Arial" w:cs="Arial" w:hint="eastAsia"/>
          <w:sz w:val="28"/>
        </w:rPr>
        <w:t>中</w:t>
      </w:r>
      <w:r>
        <w:rPr>
          <w:rFonts w:ascii="Arial" w:hAnsi="Arial" w:cs="Arial" w:hint="eastAsia"/>
          <w:sz w:val="28"/>
        </w:rPr>
        <w:t>500-1000</w:t>
      </w:r>
      <w:r>
        <w:rPr>
          <w:rFonts w:ascii="Arial" w:hAnsi="Arial" w:cs="Arial" w:hint="eastAsia"/>
          <w:sz w:val="28"/>
        </w:rPr>
        <w:t>万之间中高总价段产品成交占比下滑明显，较去年同期减少</w:t>
      </w:r>
      <w:r>
        <w:rPr>
          <w:rFonts w:ascii="Arial" w:hAnsi="Arial" w:cs="Arial" w:hint="eastAsia"/>
          <w:sz w:val="28"/>
        </w:rPr>
        <w:t>5.4</w:t>
      </w:r>
      <w:r>
        <w:rPr>
          <w:rFonts w:ascii="Arial" w:hAnsi="Arial" w:cs="Arial" w:hint="eastAsia"/>
          <w:sz w:val="28"/>
        </w:rPr>
        <w:t>个百分点；另外，</w:t>
      </w:r>
      <w:r>
        <w:rPr>
          <w:rFonts w:ascii="Arial" w:hAnsi="Arial" w:cs="Arial" w:hint="eastAsia"/>
          <w:sz w:val="28"/>
        </w:rPr>
        <w:t>500-800</w:t>
      </w:r>
      <w:r>
        <w:rPr>
          <w:rFonts w:ascii="Arial" w:hAnsi="Arial" w:cs="Arial" w:hint="eastAsia"/>
          <w:sz w:val="28"/>
        </w:rPr>
        <w:t>万之间产品仍为市场主力，成交占比为</w:t>
      </w:r>
      <w:r>
        <w:rPr>
          <w:rFonts w:ascii="Arial" w:hAnsi="Arial" w:cs="Arial" w:hint="eastAsia"/>
          <w:sz w:val="28"/>
        </w:rPr>
        <w:t>29.2%</w:t>
      </w:r>
      <w:r>
        <w:rPr>
          <w:rFonts w:ascii="Arial" w:hAnsi="Arial" w:cs="Arial" w:hint="eastAsia"/>
          <w:sz w:val="28"/>
        </w:rPr>
        <w:t>。</w:t>
      </w:r>
    </w:p>
    <w:p w14:paraId="42BC3B5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年上半年，和樾望雲、颐海澐颂、和樾玉鸣、北京宸园、中海萬吉玖序、建发·海晏等高端改善项目热销，均位居全市项目销售金额榜</w:t>
      </w:r>
      <w:r>
        <w:rPr>
          <w:rFonts w:ascii="Arial" w:hAnsi="Arial" w:cs="Arial" w:hint="eastAsia"/>
          <w:sz w:val="28"/>
        </w:rPr>
        <w:t>TOP10</w:t>
      </w:r>
      <w:r>
        <w:rPr>
          <w:rFonts w:ascii="Arial" w:hAnsi="Arial" w:cs="Arial" w:hint="eastAsia"/>
          <w:sz w:val="28"/>
        </w:rPr>
        <w:t>前列，带动中高面积段和高总价产品成交占比出现明显的提升。主要原因一方面是热销项目主力户型位于</w:t>
      </w:r>
      <w:r>
        <w:rPr>
          <w:rFonts w:ascii="Arial" w:hAnsi="Arial" w:cs="Arial" w:hint="eastAsia"/>
          <w:sz w:val="28"/>
        </w:rPr>
        <w:t>120-180</w:t>
      </w:r>
      <w:r>
        <w:rPr>
          <w:rFonts w:ascii="Arial" w:hAnsi="Arial" w:cs="Arial" w:hint="eastAsia"/>
          <w:sz w:val="28"/>
        </w:rPr>
        <w:t>平之间；另一方面，入市项目区位优势较为明显，周边产业等配套资源丰富，市场需求支撑度较高，项目成交均价均超</w:t>
      </w:r>
      <w:r>
        <w:rPr>
          <w:rFonts w:ascii="Arial" w:hAnsi="Arial" w:cs="Arial" w:hint="eastAsia"/>
          <w:sz w:val="28"/>
        </w:rPr>
        <w:t>10</w:t>
      </w:r>
      <w:r>
        <w:rPr>
          <w:rFonts w:ascii="Arial" w:hAnsi="Arial" w:cs="Arial" w:hint="eastAsia"/>
          <w:sz w:val="28"/>
        </w:rPr>
        <w:t>万元</w:t>
      </w:r>
      <w:r>
        <w:rPr>
          <w:rFonts w:ascii="Arial" w:hAnsi="Arial" w:cs="Arial" w:hint="eastAsia"/>
          <w:sz w:val="28"/>
        </w:rPr>
        <w:t>/</w:t>
      </w:r>
      <w:r>
        <w:rPr>
          <w:rFonts w:ascii="Arial" w:hAnsi="Arial" w:cs="Arial" w:hint="eastAsia"/>
          <w:sz w:val="28"/>
        </w:rPr>
        <w:t>平方米。</w:t>
      </w:r>
    </w:p>
    <w:p w14:paraId="4A3E34BA" w14:textId="71CEEAC7"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69CB02A0" wp14:editId="6E4F431F">
            <wp:extent cx="5898515" cy="1849755"/>
            <wp:effectExtent l="0" t="0" r="0" b="0"/>
            <wp:docPr id="3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8515" cy="1849755"/>
                    </a:xfrm>
                    <a:prstGeom prst="rect">
                      <a:avLst/>
                    </a:prstGeom>
                    <a:noFill/>
                    <a:ln>
                      <a:noFill/>
                    </a:ln>
                  </pic:spPr>
                </pic:pic>
              </a:graphicData>
            </a:graphic>
          </wp:inline>
        </w:drawing>
      </w:r>
    </w:p>
    <w:p w14:paraId="4F79AA8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C.</w:t>
      </w:r>
      <w:r>
        <w:rPr>
          <w:rFonts w:ascii="Arial" w:hAnsi="Arial" w:cs="Arial" w:hint="eastAsia"/>
          <w:sz w:val="28"/>
        </w:rPr>
        <w:t>区域成交</w:t>
      </w:r>
    </w:p>
    <w:p w14:paraId="098FA030"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从区域成交规模来看，近郊六区仍为市场成交主力区域，成交规模占比超五成。</w:t>
      </w:r>
      <w:r>
        <w:rPr>
          <w:rFonts w:ascii="Arial" w:hAnsi="Arial" w:cs="Arial" w:hint="eastAsia"/>
          <w:sz w:val="28"/>
        </w:rPr>
        <w:t>2025</w:t>
      </w:r>
      <w:r>
        <w:rPr>
          <w:rFonts w:ascii="Arial" w:hAnsi="Arial" w:cs="Arial" w:hint="eastAsia"/>
          <w:sz w:val="28"/>
        </w:rPr>
        <w:t>年上半年近郊六区成交</w:t>
      </w:r>
      <w:r>
        <w:rPr>
          <w:rFonts w:ascii="Arial" w:hAnsi="Arial" w:cs="Arial" w:hint="eastAsia"/>
          <w:sz w:val="28"/>
        </w:rPr>
        <w:t>119.41</w:t>
      </w:r>
      <w:r>
        <w:rPr>
          <w:rFonts w:ascii="Arial" w:hAnsi="Arial" w:cs="Arial" w:hint="eastAsia"/>
          <w:sz w:val="28"/>
        </w:rPr>
        <w:t>万平，占比达</w:t>
      </w:r>
      <w:r>
        <w:rPr>
          <w:rFonts w:ascii="Arial" w:hAnsi="Arial" w:cs="Arial" w:hint="eastAsia"/>
          <w:sz w:val="28"/>
        </w:rPr>
        <w:t>51.0%</w:t>
      </w:r>
      <w:r>
        <w:rPr>
          <w:rFonts w:ascii="Arial" w:hAnsi="Arial" w:cs="Arial" w:hint="eastAsia"/>
          <w:sz w:val="28"/>
        </w:rPr>
        <w:t>；其中，昌平、顺义累计成交占全市的比重均超</w:t>
      </w:r>
      <w:r>
        <w:rPr>
          <w:rFonts w:ascii="Arial" w:hAnsi="Arial" w:cs="Arial" w:hint="eastAsia"/>
          <w:sz w:val="28"/>
        </w:rPr>
        <w:t>10%</w:t>
      </w:r>
      <w:r>
        <w:rPr>
          <w:rFonts w:ascii="Arial" w:hAnsi="Arial" w:cs="Arial" w:hint="eastAsia"/>
          <w:sz w:val="28"/>
        </w:rPr>
        <w:t>。中心城区累计成交</w:t>
      </w:r>
      <w:r>
        <w:rPr>
          <w:rFonts w:ascii="Arial" w:hAnsi="Arial" w:cs="Arial" w:hint="eastAsia"/>
          <w:sz w:val="28"/>
        </w:rPr>
        <w:t>104.02</w:t>
      </w:r>
      <w:r>
        <w:rPr>
          <w:rFonts w:ascii="Arial" w:hAnsi="Arial" w:cs="Arial" w:hint="eastAsia"/>
          <w:sz w:val="28"/>
        </w:rPr>
        <w:t>万平，成交占比为</w:t>
      </w:r>
      <w:r>
        <w:rPr>
          <w:rFonts w:ascii="Arial" w:hAnsi="Arial" w:cs="Arial" w:hint="eastAsia"/>
          <w:sz w:val="28"/>
        </w:rPr>
        <w:t>44.4%</w:t>
      </w:r>
      <w:r>
        <w:rPr>
          <w:rFonts w:ascii="Arial" w:hAnsi="Arial" w:cs="Arial" w:hint="eastAsia"/>
          <w:sz w:val="28"/>
        </w:rPr>
        <w:t>，朝阳、海淀、丰台成交规模居前列，成交规模占全市的比重均超</w:t>
      </w:r>
      <w:r>
        <w:rPr>
          <w:rFonts w:ascii="Arial" w:hAnsi="Arial" w:cs="Arial" w:hint="eastAsia"/>
          <w:sz w:val="28"/>
        </w:rPr>
        <w:t>10%</w:t>
      </w:r>
      <w:r>
        <w:rPr>
          <w:rFonts w:ascii="Arial" w:hAnsi="Arial" w:cs="Arial" w:hint="eastAsia"/>
          <w:sz w:val="28"/>
        </w:rPr>
        <w:t>。</w:t>
      </w:r>
    </w:p>
    <w:p w14:paraId="66010C2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从区域成交变化来看，中心城区成交规模明显增加、远郊区域同比下滑。其中，中心城区同比增加</w:t>
      </w:r>
      <w:r>
        <w:rPr>
          <w:rFonts w:ascii="Arial" w:hAnsi="Arial" w:cs="Arial" w:hint="eastAsia"/>
          <w:sz w:val="28"/>
        </w:rPr>
        <w:t>46%</w:t>
      </w:r>
      <w:r>
        <w:rPr>
          <w:rFonts w:ascii="Arial" w:hAnsi="Arial" w:cs="Arial" w:hint="eastAsia"/>
          <w:sz w:val="28"/>
        </w:rPr>
        <w:t>，海淀同比成倍增加，朝阳区和丰台区成交同比增幅超三成，东城区和西城区成交规模同比明显下滑，但基数较</w:t>
      </w:r>
      <w:r>
        <w:rPr>
          <w:rFonts w:ascii="Arial" w:hAnsi="Arial" w:cs="Arial" w:hint="eastAsia"/>
          <w:sz w:val="28"/>
        </w:rPr>
        <w:lastRenderedPageBreak/>
        <w:t>小；近郊区域成交同比增加</w:t>
      </w:r>
      <w:r>
        <w:rPr>
          <w:rFonts w:ascii="Arial" w:hAnsi="Arial" w:cs="Arial" w:hint="eastAsia"/>
          <w:sz w:val="28"/>
        </w:rPr>
        <w:t>7%</w:t>
      </w:r>
      <w:r>
        <w:rPr>
          <w:rFonts w:ascii="Arial" w:hAnsi="Arial" w:cs="Arial" w:hint="eastAsia"/>
          <w:sz w:val="28"/>
        </w:rPr>
        <w:t>，门头沟区同比增幅近两倍，房山区、昌平区和通州区成交同比涨幅均超</w:t>
      </w:r>
      <w:r>
        <w:rPr>
          <w:rFonts w:ascii="Arial" w:hAnsi="Arial" w:cs="Arial" w:hint="eastAsia"/>
          <w:sz w:val="28"/>
        </w:rPr>
        <w:t>10%</w:t>
      </w:r>
      <w:r>
        <w:rPr>
          <w:rFonts w:ascii="Arial" w:hAnsi="Arial" w:cs="Arial" w:hint="eastAsia"/>
          <w:sz w:val="28"/>
        </w:rPr>
        <w:t>，大兴成交同比下降</w:t>
      </w:r>
      <w:r>
        <w:rPr>
          <w:rFonts w:ascii="Arial" w:hAnsi="Arial" w:cs="Arial" w:hint="eastAsia"/>
          <w:sz w:val="28"/>
        </w:rPr>
        <w:t>24%</w:t>
      </w:r>
      <w:r>
        <w:rPr>
          <w:rFonts w:ascii="Arial" w:hAnsi="Arial" w:cs="Arial" w:hint="eastAsia"/>
          <w:sz w:val="28"/>
        </w:rPr>
        <w:t>；远郊区域成交规模同比减少</w:t>
      </w:r>
      <w:r>
        <w:rPr>
          <w:rFonts w:ascii="Arial" w:hAnsi="Arial" w:cs="Arial" w:hint="eastAsia"/>
          <w:sz w:val="28"/>
        </w:rPr>
        <w:t>15%</w:t>
      </w:r>
      <w:r>
        <w:rPr>
          <w:rFonts w:ascii="Arial" w:hAnsi="Arial" w:cs="Arial" w:hint="eastAsia"/>
          <w:sz w:val="28"/>
        </w:rPr>
        <w:t>，平谷区和延庆区成交同比领跌，同比跌幅分别为</w:t>
      </w:r>
      <w:r>
        <w:rPr>
          <w:rFonts w:ascii="Arial" w:hAnsi="Arial" w:cs="Arial" w:hint="eastAsia"/>
          <w:sz w:val="28"/>
        </w:rPr>
        <w:t>41%</w:t>
      </w:r>
      <w:r>
        <w:rPr>
          <w:rFonts w:ascii="Arial" w:hAnsi="Arial" w:cs="Arial" w:hint="eastAsia"/>
          <w:sz w:val="28"/>
        </w:rPr>
        <w:t>和</w:t>
      </w:r>
      <w:r>
        <w:rPr>
          <w:rFonts w:ascii="Arial" w:hAnsi="Arial" w:cs="Arial" w:hint="eastAsia"/>
          <w:sz w:val="28"/>
        </w:rPr>
        <w:t>25%</w:t>
      </w:r>
      <w:r>
        <w:rPr>
          <w:rFonts w:ascii="Arial" w:hAnsi="Arial" w:cs="Arial" w:hint="eastAsia"/>
          <w:sz w:val="28"/>
        </w:rPr>
        <w:t>。</w:t>
      </w:r>
    </w:p>
    <w:p w14:paraId="513D2A22" w14:textId="280B6DF6"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2C309CF4" wp14:editId="32C0C327">
            <wp:extent cx="5909310" cy="1945005"/>
            <wp:effectExtent l="0" t="0" r="0" b="0"/>
            <wp:docPr id="3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9310" cy="1945005"/>
                    </a:xfrm>
                    <a:prstGeom prst="rect">
                      <a:avLst/>
                    </a:prstGeom>
                    <a:noFill/>
                    <a:ln>
                      <a:noFill/>
                    </a:ln>
                  </pic:spPr>
                </pic:pic>
              </a:graphicData>
            </a:graphic>
          </wp:inline>
        </w:drawing>
      </w:r>
    </w:p>
    <w:p w14:paraId="328649FF"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从成交价格来看，</w:t>
      </w:r>
      <w:r>
        <w:rPr>
          <w:rFonts w:ascii="Arial" w:hAnsi="Arial" w:cs="Arial" w:hint="eastAsia"/>
          <w:sz w:val="28"/>
        </w:rPr>
        <w:t>2025</w:t>
      </w:r>
      <w:r>
        <w:rPr>
          <w:rFonts w:ascii="Arial" w:hAnsi="Arial" w:cs="Arial" w:hint="eastAsia"/>
          <w:sz w:val="28"/>
        </w:rPr>
        <w:t>年上半年中心城区商品住宅（不含保障房）成交均价最高，整体均价超</w:t>
      </w:r>
      <w:r>
        <w:rPr>
          <w:rFonts w:ascii="Arial" w:hAnsi="Arial" w:cs="Arial" w:hint="eastAsia"/>
          <w:sz w:val="28"/>
        </w:rPr>
        <w:t>10</w:t>
      </w:r>
      <w:r>
        <w:rPr>
          <w:rFonts w:ascii="Arial" w:hAnsi="Arial" w:cs="Arial" w:hint="eastAsia"/>
          <w:sz w:val="28"/>
        </w:rPr>
        <w:t>万</w:t>
      </w:r>
      <w:r>
        <w:rPr>
          <w:rFonts w:ascii="Arial" w:hAnsi="Arial" w:cs="Arial" w:hint="eastAsia"/>
          <w:sz w:val="28"/>
        </w:rPr>
        <w:t>/</w:t>
      </w:r>
      <w:r>
        <w:rPr>
          <w:rFonts w:ascii="Arial" w:hAnsi="Arial" w:cs="Arial" w:hint="eastAsia"/>
          <w:sz w:val="28"/>
        </w:rPr>
        <w:t>平方米，其中东、西城成交均价均超</w:t>
      </w:r>
      <w:r>
        <w:rPr>
          <w:rFonts w:ascii="Arial" w:hAnsi="Arial" w:cs="Arial" w:hint="eastAsia"/>
          <w:sz w:val="28"/>
        </w:rPr>
        <w:t>12</w:t>
      </w:r>
      <w:r>
        <w:rPr>
          <w:rFonts w:ascii="Arial" w:hAnsi="Arial" w:cs="Arial" w:hint="eastAsia"/>
          <w:sz w:val="28"/>
        </w:rPr>
        <w:t>万元</w:t>
      </w:r>
      <w:r>
        <w:rPr>
          <w:rFonts w:ascii="Arial" w:hAnsi="Arial" w:cs="Arial" w:hint="eastAsia"/>
          <w:sz w:val="28"/>
        </w:rPr>
        <w:t>/</w:t>
      </w:r>
      <w:r>
        <w:rPr>
          <w:rFonts w:ascii="Arial" w:hAnsi="Arial" w:cs="Arial" w:hint="eastAsia"/>
          <w:sz w:val="28"/>
        </w:rPr>
        <w:t>平方米，远郊区整体成交均价最低，整体均价不足</w:t>
      </w:r>
      <w:r>
        <w:rPr>
          <w:rFonts w:ascii="Arial" w:hAnsi="Arial" w:cs="Arial" w:hint="eastAsia"/>
          <w:sz w:val="28"/>
        </w:rPr>
        <w:t>3</w:t>
      </w:r>
      <w:r>
        <w:rPr>
          <w:rFonts w:ascii="Arial" w:hAnsi="Arial" w:cs="Arial" w:hint="eastAsia"/>
          <w:sz w:val="28"/>
        </w:rPr>
        <w:t>万</w:t>
      </w:r>
      <w:r>
        <w:rPr>
          <w:rFonts w:ascii="Arial" w:hAnsi="Arial" w:cs="Arial" w:hint="eastAsia"/>
          <w:sz w:val="28"/>
        </w:rPr>
        <w:t>/</w:t>
      </w:r>
      <w:r>
        <w:rPr>
          <w:rFonts w:ascii="Arial" w:hAnsi="Arial" w:cs="Arial" w:hint="eastAsia"/>
          <w:sz w:val="28"/>
        </w:rPr>
        <w:t>平方米，其中密云区成交均价最低，上半年成交均价仅</w:t>
      </w:r>
      <w:r>
        <w:rPr>
          <w:rFonts w:ascii="Arial" w:hAnsi="Arial" w:cs="Arial" w:hint="eastAsia"/>
          <w:sz w:val="28"/>
        </w:rPr>
        <w:t>22267</w:t>
      </w:r>
      <w:r>
        <w:rPr>
          <w:rFonts w:ascii="Arial" w:hAnsi="Arial" w:cs="Arial" w:hint="eastAsia"/>
          <w:sz w:val="28"/>
        </w:rPr>
        <w:t>元</w:t>
      </w:r>
      <w:r>
        <w:rPr>
          <w:rFonts w:ascii="Arial" w:hAnsi="Arial" w:cs="Arial" w:hint="eastAsia"/>
          <w:sz w:val="28"/>
        </w:rPr>
        <w:t>/</w:t>
      </w:r>
      <w:r>
        <w:rPr>
          <w:rFonts w:ascii="Arial" w:hAnsi="Arial" w:cs="Arial" w:hint="eastAsia"/>
          <w:sz w:val="28"/>
        </w:rPr>
        <w:t>平方米。</w:t>
      </w:r>
    </w:p>
    <w:p w14:paraId="64D187D6"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从价格变化来看，</w:t>
      </w:r>
      <w:r>
        <w:rPr>
          <w:rFonts w:ascii="Arial" w:hAnsi="Arial" w:cs="Arial" w:hint="eastAsia"/>
          <w:sz w:val="28"/>
        </w:rPr>
        <w:t>2025</w:t>
      </w:r>
      <w:r>
        <w:rPr>
          <w:rFonts w:ascii="Arial" w:hAnsi="Arial" w:cs="Arial" w:hint="eastAsia"/>
          <w:sz w:val="28"/>
        </w:rPr>
        <w:t>年上半年中心城区、近郊区、远郊区房价均有所下跌；其中，中心城区商品住宅成交均价同比下跌</w:t>
      </w:r>
      <w:r>
        <w:rPr>
          <w:rFonts w:ascii="Arial" w:hAnsi="Arial" w:cs="Arial" w:hint="eastAsia"/>
          <w:sz w:val="28"/>
        </w:rPr>
        <w:t>1%</w:t>
      </w:r>
      <w:r>
        <w:rPr>
          <w:rFonts w:ascii="Arial" w:hAnsi="Arial" w:cs="Arial" w:hint="eastAsia"/>
          <w:sz w:val="28"/>
        </w:rPr>
        <w:t>，西城区和丰台区领跌，同比跌幅分别为</w:t>
      </w:r>
      <w:r>
        <w:rPr>
          <w:rFonts w:ascii="Arial" w:hAnsi="Arial" w:cs="Arial" w:hint="eastAsia"/>
          <w:sz w:val="28"/>
        </w:rPr>
        <w:t xml:space="preserve"> 6%</w:t>
      </w:r>
      <w:r>
        <w:rPr>
          <w:rFonts w:ascii="Arial" w:hAnsi="Arial" w:cs="Arial" w:hint="eastAsia"/>
          <w:sz w:val="28"/>
        </w:rPr>
        <w:t>和</w:t>
      </w:r>
      <w:r>
        <w:rPr>
          <w:rFonts w:ascii="Arial" w:hAnsi="Arial" w:cs="Arial" w:hint="eastAsia"/>
          <w:sz w:val="28"/>
        </w:rPr>
        <w:t>4%</w:t>
      </w:r>
      <w:r>
        <w:rPr>
          <w:rFonts w:ascii="Arial" w:hAnsi="Arial" w:cs="Arial" w:hint="eastAsia"/>
          <w:sz w:val="28"/>
        </w:rPr>
        <w:t>；近郊区域成交均价同比下跌</w:t>
      </w:r>
      <w:r>
        <w:rPr>
          <w:rFonts w:ascii="Arial" w:hAnsi="Arial" w:cs="Arial" w:hint="eastAsia"/>
          <w:sz w:val="28"/>
        </w:rPr>
        <w:t>7%</w:t>
      </w:r>
      <w:r>
        <w:rPr>
          <w:rFonts w:ascii="Arial" w:hAnsi="Arial" w:cs="Arial" w:hint="eastAsia"/>
          <w:sz w:val="28"/>
        </w:rPr>
        <w:t>，大兴和顺义房价下跌明显，同比跌幅均超</w:t>
      </w:r>
      <w:r>
        <w:rPr>
          <w:rFonts w:ascii="Arial" w:hAnsi="Arial" w:cs="Arial" w:hint="eastAsia"/>
          <w:sz w:val="28"/>
        </w:rPr>
        <w:t>10%</w:t>
      </w:r>
      <w:r>
        <w:rPr>
          <w:rFonts w:ascii="Arial" w:hAnsi="Arial" w:cs="Arial" w:hint="eastAsia"/>
          <w:sz w:val="28"/>
        </w:rPr>
        <w:t>；远郊区域成交均价同比下跌</w:t>
      </w:r>
      <w:r>
        <w:rPr>
          <w:rFonts w:ascii="Arial" w:hAnsi="Arial" w:cs="Arial" w:hint="eastAsia"/>
          <w:sz w:val="28"/>
        </w:rPr>
        <w:t>8%</w:t>
      </w:r>
      <w:r>
        <w:rPr>
          <w:rFonts w:ascii="Arial" w:hAnsi="Arial" w:cs="Arial" w:hint="eastAsia"/>
          <w:sz w:val="28"/>
        </w:rPr>
        <w:t>，密云和评估同比跌幅超</w:t>
      </w:r>
      <w:r>
        <w:rPr>
          <w:rFonts w:ascii="Arial" w:hAnsi="Arial" w:cs="Arial" w:hint="eastAsia"/>
          <w:sz w:val="28"/>
        </w:rPr>
        <w:t>10 %</w:t>
      </w:r>
      <w:r>
        <w:rPr>
          <w:rFonts w:ascii="Arial" w:hAnsi="Arial" w:cs="Arial" w:hint="eastAsia"/>
          <w:sz w:val="28"/>
        </w:rPr>
        <w:t>。</w:t>
      </w:r>
    </w:p>
    <w:p w14:paraId="55551287" w14:textId="01420CDD"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6001F489" wp14:editId="70BC4222">
            <wp:extent cx="5909310" cy="2019300"/>
            <wp:effectExtent l="0" t="0" r="0" b="0"/>
            <wp:docPr id="4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9310" cy="2019300"/>
                    </a:xfrm>
                    <a:prstGeom prst="rect">
                      <a:avLst/>
                    </a:prstGeom>
                    <a:noFill/>
                    <a:ln>
                      <a:noFill/>
                    </a:ln>
                  </pic:spPr>
                </pic:pic>
              </a:graphicData>
            </a:graphic>
          </wp:inline>
        </w:drawing>
      </w:r>
    </w:p>
    <w:p w14:paraId="3BB4B390"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lastRenderedPageBreak/>
        <w:t>（</w:t>
      </w:r>
      <w:r>
        <w:rPr>
          <w:rFonts w:ascii="Arial" w:hAnsi="Arial" w:cs="Arial" w:hint="eastAsia"/>
          <w:sz w:val="28"/>
        </w:rPr>
        <w:t>3</w:t>
      </w:r>
      <w:r>
        <w:rPr>
          <w:rFonts w:ascii="Arial" w:hAnsi="Arial" w:cs="Arial" w:hint="eastAsia"/>
          <w:sz w:val="28"/>
        </w:rPr>
        <w:t>）存量房住宅市场</w:t>
      </w:r>
    </w:p>
    <w:p w14:paraId="1E59721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1</w:t>
      </w:r>
      <w:r>
        <w:rPr>
          <w:rFonts w:ascii="Arial" w:hAnsi="Arial" w:cs="Arial" w:hint="eastAsia"/>
          <w:sz w:val="28"/>
        </w:rPr>
        <w:t>）市场运行状况</w:t>
      </w:r>
    </w:p>
    <w:p w14:paraId="687A502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年上半年，北京存量房市场活跃度较高，累计成交</w:t>
      </w:r>
      <w:r>
        <w:rPr>
          <w:rFonts w:ascii="Arial" w:hAnsi="Arial" w:cs="Arial" w:hint="eastAsia"/>
          <w:sz w:val="28"/>
        </w:rPr>
        <w:t>8.86</w:t>
      </w:r>
      <w:r>
        <w:rPr>
          <w:rFonts w:ascii="Arial" w:hAnsi="Arial" w:cs="Arial" w:hint="eastAsia"/>
          <w:sz w:val="28"/>
        </w:rPr>
        <w:t>万套，同比增长</w:t>
      </w:r>
      <w:r>
        <w:rPr>
          <w:rFonts w:ascii="Arial" w:hAnsi="Arial" w:cs="Arial" w:hint="eastAsia"/>
          <w:sz w:val="28"/>
        </w:rPr>
        <w:t>18.4%</w:t>
      </w:r>
      <w:r>
        <w:rPr>
          <w:rFonts w:ascii="Arial" w:hAnsi="Arial" w:cs="Arial" w:hint="eastAsia"/>
          <w:sz w:val="28"/>
        </w:rPr>
        <w:t>，成交规模为近三年同期新高。从月度趋势来看，北京存量房市场热度先涨后降，受</w:t>
      </w:r>
      <w:r>
        <w:rPr>
          <w:rFonts w:ascii="Arial" w:hAnsi="Arial" w:cs="Arial" w:hint="eastAsia"/>
          <w:sz w:val="28"/>
        </w:rPr>
        <w:t>2024</w:t>
      </w:r>
      <w:r>
        <w:rPr>
          <w:rFonts w:ascii="Arial" w:hAnsi="Arial" w:cs="Arial" w:hint="eastAsia"/>
          <w:sz w:val="28"/>
        </w:rPr>
        <w:t>年契税新政集中网签及春节假期影响，</w:t>
      </w:r>
      <w:r>
        <w:rPr>
          <w:rFonts w:ascii="Arial" w:hAnsi="Arial" w:cs="Arial" w:hint="eastAsia"/>
          <w:sz w:val="28"/>
        </w:rPr>
        <w:t>1/2</w:t>
      </w:r>
      <w:r>
        <w:rPr>
          <w:rFonts w:ascii="Arial" w:hAnsi="Arial" w:cs="Arial" w:hint="eastAsia"/>
          <w:sz w:val="28"/>
        </w:rPr>
        <w:t>月北京存量商品住宅网签量相对较低，但月度网签量依然在</w:t>
      </w:r>
      <w:r>
        <w:rPr>
          <w:rFonts w:ascii="Arial" w:hAnsi="Arial" w:cs="Arial" w:hint="eastAsia"/>
          <w:sz w:val="28"/>
        </w:rPr>
        <w:t>1.2</w:t>
      </w:r>
      <w:r>
        <w:rPr>
          <w:rFonts w:ascii="Arial" w:hAnsi="Arial" w:cs="Arial" w:hint="eastAsia"/>
          <w:sz w:val="28"/>
        </w:rPr>
        <w:t>万套左右；在小阳春带动下，</w:t>
      </w:r>
      <w:r>
        <w:rPr>
          <w:rFonts w:ascii="Arial" w:hAnsi="Arial" w:cs="Arial" w:hint="eastAsia"/>
          <w:sz w:val="28"/>
        </w:rPr>
        <w:t>3</w:t>
      </w:r>
      <w:r>
        <w:rPr>
          <w:rFonts w:ascii="Arial" w:hAnsi="Arial" w:cs="Arial" w:hint="eastAsia"/>
          <w:sz w:val="28"/>
        </w:rPr>
        <w:t>月北京存量商品住宅冲高至</w:t>
      </w:r>
      <w:r>
        <w:rPr>
          <w:rFonts w:ascii="Arial" w:hAnsi="Arial" w:cs="Arial" w:hint="eastAsia"/>
          <w:sz w:val="28"/>
        </w:rPr>
        <w:t>1.92</w:t>
      </w:r>
      <w:r>
        <w:rPr>
          <w:rFonts w:ascii="Arial" w:hAnsi="Arial" w:cs="Arial" w:hint="eastAsia"/>
          <w:sz w:val="28"/>
        </w:rPr>
        <w:t>万套；二季度以来市场热度有所降温，</w:t>
      </w:r>
      <w:r>
        <w:rPr>
          <w:rFonts w:ascii="Arial" w:hAnsi="Arial" w:cs="Arial" w:hint="eastAsia"/>
          <w:sz w:val="28"/>
        </w:rPr>
        <w:t>4</w:t>
      </w:r>
      <w:r>
        <w:rPr>
          <w:rFonts w:ascii="Arial" w:hAnsi="Arial" w:cs="Arial" w:hint="eastAsia"/>
          <w:sz w:val="28"/>
        </w:rPr>
        <w:t>月网签量降至</w:t>
      </w:r>
      <w:r>
        <w:rPr>
          <w:rFonts w:ascii="Arial" w:hAnsi="Arial" w:cs="Arial" w:hint="eastAsia"/>
          <w:sz w:val="28"/>
        </w:rPr>
        <w:t>1.56</w:t>
      </w:r>
      <w:r>
        <w:rPr>
          <w:rFonts w:ascii="Arial" w:hAnsi="Arial" w:cs="Arial" w:hint="eastAsia"/>
          <w:sz w:val="28"/>
        </w:rPr>
        <w:t>万套，</w:t>
      </w:r>
      <w:r>
        <w:rPr>
          <w:rFonts w:ascii="Arial" w:hAnsi="Arial" w:cs="Arial" w:hint="eastAsia"/>
          <w:sz w:val="28"/>
        </w:rPr>
        <w:t>5</w:t>
      </w:r>
      <w:r>
        <w:rPr>
          <w:rFonts w:ascii="Arial" w:hAnsi="Arial" w:cs="Arial" w:hint="eastAsia"/>
          <w:sz w:val="28"/>
        </w:rPr>
        <w:t>月回落至</w:t>
      </w:r>
      <w:r>
        <w:rPr>
          <w:rFonts w:ascii="Arial" w:hAnsi="Arial" w:cs="Arial" w:hint="eastAsia"/>
          <w:sz w:val="28"/>
        </w:rPr>
        <w:t>1.5</w:t>
      </w:r>
      <w:r>
        <w:rPr>
          <w:rFonts w:ascii="Arial" w:hAnsi="Arial" w:cs="Arial" w:hint="eastAsia"/>
          <w:sz w:val="28"/>
        </w:rPr>
        <w:t>万套以下，</w:t>
      </w:r>
      <w:r>
        <w:rPr>
          <w:rFonts w:ascii="Arial" w:hAnsi="Arial" w:cs="Arial" w:hint="eastAsia"/>
          <w:sz w:val="28"/>
        </w:rPr>
        <w:t>6</w:t>
      </w:r>
      <w:r>
        <w:rPr>
          <w:rFonts w:ascii="Arial" w:hAnsi="Arial" w:cs="Arial" w:hint="eastAsia"/>
          <w:sz w:val="28"/>
        </w:rPr>
        <w:t>月小幅回升至</w:t>
      </w:r>
      <w:r>
        <w:rPr>
          <w:rFonts w:ascii="Arial" w:hAnsi="Arial" w:cs="Arial" w:hint="eastAsia"/>
          <w:sz w:val="28"/>
        </w:rPr>
        <w:t>1.51</w:t>
      </w:r>
      <w:r>
        <w:rPr>
          <w:rFonts w:ascii="Arial" w:hAnsi="Arial" w:cs="Arial" w:hint="eastAsia"/>
          <w:sz w:val="28"/>
        </w:rPr>
        <w:t>万套，整体来看，二季度成交量虽有所下降，但仍保持较高水平。</w:t>
      </w:r>
    </w:p>
    <w:p w14:paraId="37615DF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年上半年，北京存量房市场延续“以价换量”主旋律。从统计局数据来看，</w:t>
      </w:r>
      <w:r>
        <w:rPr>
          <w:rFonts w:ascii="Arial" w:hAnsi="Arial" w:cs="Arial" w:hint="eastAsia"/>
          <w:sz w:val="28"/>
        </w:rPr>
        <w:t>1/2</w:t>
      </w:r>
      <w:r>
        <w:rPr>
          <w:rFonts w:ascii="Arial" w:hAnsi="Arial" w:cs="Arial" w:hint="eastAsia"/>
          <w:sz w:val="28"/>
        </w:rPr>
        <w:t>月二手房价格指数表现平稳，</w:t>
      </w:r>
      <w:r>
        <w:rPr>
          <w:rFonts w:ascii="Arial" w:hAnsi="Arial" w:cs="Arial" w:hint="eastAsia"/>
          <w:sz w:val="28"/>
        </w:rPr>
        <w:t>3</w:t>
      </w:r>
      <w:r>
        <w:rPr>
          <w:rFonts w:ascii="Arial" w:hAnsi="Arial" w:cs="Arial" w:hint="eastAsia"/>
          <w:sz w:val="28"/>
        </w:rPr>
        <w:t>月受小阳春传以及学区需求释放，购房者信心恢复，二手房价格环指数比上涨</w:t>
      </w:r>
      <w:r>
        <w:rPr>
          <w:rFonts w:ascii="Arial" w:hAnsi="Arial" w:cs="Arial" w:hint="eastAsia"/>
          <w:sz w:val="28"/>
        </w:rPr>
        <w:t>0.5%</w:t>
      </w:r>
      <w:r>
        <w:rPr>
          <w:rFonts w:ascii="Arial" w:hAnsi="Arial" w:cs="Arial" w:hint="eastAsia"/>
          <w:sz w:val="28"/>
        </w:rPr>
        <w:t>，至此，北京存量房已连续</w:t>
      </w:r>
      <w:r>
        <w:rPr>
          <w:rFonts w:ascii="Arial" w:hAnsi="Arial" w:cs="Arial" w:hint="eastAsia"/>
          <w:sz w:val="28"/>
        </w:rPr>
        <w:t>6</w:t>
      </w:r>
      <w:r>
        <w:rPr>
          <w:rFonts w:ascii="Arial" w:hAnsi="Arial" w:cs="Arial" w:hint="eastAsia"/>
          <w:sz w:val="28"/>
        </w:rPr>
        <w:t>个月环比上涨或持平。二季度以来，受存量房挂牌增加，学区需求下滑等因素影响，北京二手房价格指数环比持续下跌。</w:t>
      </w:r>
    </w:p>
    <w:p w14:paraId="2D5F250D" w14:textId="00AC96A3"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460F18F1" wp14:editId="6334EE73">
            <wp:extent cx="5904230" cy="1601470"/>
            <wp:effectExtent l="0" t="0" r="0" b="0"/>
            <wp:docPr id="4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230" cy="1601470"/>
                    </a:xfrm>
                    <a:prstGeom prst="rect">
                      <a:avLst/>
                    </a:prstGeom>
                    <a:noFill/>
                    <a:ln>
                      <a:noFill/>
                    </a:ln>
                  </pic:spPr>
                </pic:pic>
              </a:graphicData>
            </a:graphic>
          </wp:inline>
        </w:drawing>
      </w:r>
    </w:p>
    <w:p w14:paraId="361D2669"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w:t>
      </w:r>
      <w:r>
        <w:rPr>
          <w:rFonts w:ascii="Arial" w:hAnsi="Arial" w:cs="Arial" w:hint="eastAsia"/>
          <w:sz w:val="28"/>
        </w:rPr>
        <w:t>）各区县统计</w:t>
      </w:r>
    </w:p>
    <w:p w14:paraId="175756F3"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分区域来看，</w:t>
      </w:r>
      <w:r>
        <w:rPr>
          <w:rFonts w:ascii="Arial" w:hAnsi="Arial" w:cs="Arial" w:hint="eastAsia"/>
          <w:sz w:val="28"/>
        </w:rPr>
        <w:t>2025</w:t>
      </w:r>
      <w:r>
        <w:rPr>
          <w:rFonts w:ascii="Arial" w:hAnsi="Arial" w:cs="Arial" w:hint="eastAsia"/>
          <w:sz w:val="28"/>
        </w:rPr>
        <w:t>年上半年朝阳区存量房成交规模较大，成交规模达</w:t>
      </w:r>
      <w:r>
        <w:rPr>
          <w:rFonts w:ascii="Arial" w:hAnsi="Arial" w:cs="Arial" w:hint="eastAsia"/>
          <w:sz w:val="28"/>
        </w:rPr>
        <w:t>201.77</w:t>
      </w:r>
      <w:r>
        <w:rPr>
          <w:rFonts w:ascii="Arial" w:hAnsi="Arial" w:cs="Arial" w:hint="eastAsia"/>
          <w:sz w:val="28"/>
        </w:rPr>
        <w:t>万平方米，居各区第一位；海淀区、丰台区、昌平区、大兴区成交面积均超过</w:t>
      </w:r>
      <w:r>
        <w:rPr>
          <w:rFonts w:ascii="Arial" w:hAnsi="Arial" w:cs="Arial" w:hint="eastAsia"/>
          <w:sz w:val="28"/>
        </w:rPr>
        <w:t>60</w:t>
      </w:r>
      <w:r>
        <w:rPr>
          <w:rFonts w:ascii="Arial" w:hAnsi="Arial" w:cs="Arial" w:hint="eastAsia"/>
          <w:sz w:val="28"/>
        </w:rPr>
        <w:t>万平方米，成交规模居第二梯队；另外，远郊的平谷区、延庆区、怀柔区以及近郊的门头沟区存量房市场活跃度相对较低，成交规模均</w:t>
      </w:r>
      <w:r>
        <w:rPr>
          <w:rFonts w:ascii="Arial" w:hAnsi="Arial" w:cs="Arial" w:hint="eastAsia"/>
          <w:sz w:val="28"/>
        </w:rPr>
        <w:lastRenderedPageBreak/>
        <w:t>不足</w:t>
      </w:r>
      <w:r>
        <w:rPr>
          <w:rFonts w:ascii="Arial" w:hAnsi="Arial" w:cs="Arial" w:hint="eastAsia"/>
          <w:sz w:val="28"/>
        </w:rPr>
        <w:t>20</w:t>
      </w:r>
      <w:r>
        <w:rPr>
          <w:rFonts w:ascii="Arial" w:hAnsi="Arial" w:cs="Arial" w:hint="eastAsia"/>
          <w:sz w:val="28"/>
        </w:rPr>
        <w:t>万平方米。</w:t>
      </w:r>
    </w:p>
    <w:p w14:paraId="0CAF62B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从同比变化来看，</w:t>
      </w:r>
      <w:r>
        <w:rPr>
          <w:rFonts w:ascii="Arial" w:hAnsi="Arial" w:cs="Arial" w:hint="eastAsia"/>
          <w:sz w:val="28"/>
        </w:rPr>
        <w:t>2025</w:t>
      </w:r>
      <w:r>
        <w:rPr>
          <w:rFonts w:ascii="Arial" w:hAnsi="Arial" w:cs="Arial" w:hint="eastAsia"/>
          <w:sz w:val="28"/>
        </w:rPr>
        <w:t>年上半年各区县存量房成交规模均同比上涨，其中门头沟区低基数下成交规模同比增加</w:t>
      </w:r>
      <w:r>
        <w:rPr>
          <w:rFonts w:ascii="Arial" w:hAnsi="Arial" w:cs="Arial" w:hint="eastAsia"/>
          <w:sz w:val="28"/>
        </w:rPr>
        <w:t>48%</w:t>
      </w:r>
      <w:r>
        <w:rPr>
          <w:rFonts w:ascii="Arial" w:hAnsi="Arial" w:cs="Arial" w:hint="eastAsia"/>
          <w:sz w:val="28"/>
        </w:rPr>
        <w:t>，朝阳区、东城区成交规模同比增幅超三成。成交价格方面，</w:t>
      </w:r>
      <w:r>
        <w:rPr>
          <w:rFonts w:ascii="Arial" w:hAnsi="Arial" w:cs="Arial" w:hint="eastAsia"/>
          <w:sz w:val="28"/>
        </w:rPr>
        <w:t>2025</w:t>
      </w:r>
      <w:r>
        <w:rPr>
          <w:rFonts w:ascii="Arial" w:hAnsi="Arial" w:cs="Arial" w:hint="eastAsia"/>
          <w:sz w:val="28"/>
        </w:rPr>
        <w:t>年上半年西城区成交价格最高，达</w:t>
      </w:r>
      <w:r>
        <w:rPr>
          <w:rFonts w:ascii="Arial" w:hAnsi="Arial" w:cs="Arial" w:hint="eastAsia"/>
          <w:sz w:val="28"/>
        </w:rPr>
        <w:t>115562</w:t>
      </w:r>
      <w:r>
        <w:rPr>
          <w:rFonts w:ascii="Arial" w:hAnsi="Arial" w:cs="Arial" w:hint="eastAsia"/>
          <w:sz w:val="28"/>
        </w:rPr>
        <w:t>元</w:t>
      </w:r>
      <w:r>
        <w:rPr>
          <w:rFonts w:ascii="Arial" w:hAnsi="Arial" w:cs="Arial" w:hint="eastAsia"/>
          <w:sz w:val="28"/>
        </w:rPr>
        <w:t>/</w:t>
      </w:r>
      <w:r>
        <w:rPr>
          <w:rFonts w:ascii="Arial" w:hAnsi="Arial" w:cs="Arial" w:hint="eastAsia"/>
          <w:sz w:val="28"/>
        </w:rPr>
        <w:t>平；其次为东城区，为</w:t>
      </w:r>
      <w:r>
        <w:rPr>
          <w:rFonts w:ascii="Arial" w:hAnsi="Arial" w:cs="Arial" w:hint="eastAsia"/>
          <w:sz w:val="28"/>
        </w:rPr>
        <w:t>98380</w:t>
      </w:r>
      <w:r>
        <w:rPr>
          <w:rFonts w:ascii="Arial" w:hAnsi="Arial" w:cs="Arial" w:hint="eastAsia"/>
          <w:sz w:val="28"/>
        </w:rPr>
        <w:t>元</w:t>
      </w:r>
      <w:r>
        <w:rPr>
          <w:rFonts w:ascii="Arial" w:hAnsi="Arial" w:cs="Arial" w:hint="eastAsia"/>
          <w:sz w:val="28"/>
        </w:rPr>
        <w:t>/</w:t>
      </w:r>
      <w:r>
        <w:rPr>
          <w:rFonts w:ascii="Arial" w:hAnsi="Arial" w:cs="Arial" w:hint="eastAsia"/>
          <w:sz w:val="28"/>
        </w:rPr>
        <w:t>平方米。</w:t>
      </w:r>
    </w:p>
    <w:p w14:paraId="3F6B20C2" w14:textId="37845983"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4C3CA1FA" wp14:editId="1E0B6DEA">
            <wp:extent cx="5909310" cy="2119630"/>
            <wp:effectExtent l="0" t="0" r="0" b="0"/>
            <wp:docPr id="4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9310" cy="2119630"/>
                    </a:xfrm>
                    <a:prstGeom prst="rect">
                      <a:avLst/>
                    </a:prstGeom>
                    <a:noFill/>
                    <a:ln>
                      <a:noFill/>
                    </a:ln>
                  </pic:spPr>
                </pic:pic>
              </a:graphicData>
            </a:graphic>
          </wp:inline>
        </w:drawing>
      </w:r>
    </w:p>
    <w:p w14:paraId="0BD48C3F"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整体来看，北京市存量房对新房市场的分流效应逐步增强。</w:t>
      </w:r>
      <w:r>
        <w:rPr>
          <w:rFonts w:ascii="Arial" w:hAnsi="Arial" w:cs="Arial" w:hint="eastAsia"/>
          <w:sz w:val="28"/>
        </w:rPr>
        <w:t>2021</w:t>
      </w:r>
      <w:r>
        <w:rPr>
          <w:rFonts w:ascii="Arial" w:hAnsi="Arial" w:cs="Arial" w:hint="eastAsia"/>
          <w:sz w:val="28"/>
        </w:rPr>
        <w:t>年以来，北京市存量房成交占比波动增加。</w:t>
      </w:r>
      <w:r>
        <w:rPr>
          <w:rFonts w:ascii="Arial" w:hAnsi="Arial" w:cs="Arial" w:hint="eastAsia"/>
          <w:sz w:val="28"/>
        </w:rPr>
        <w:t>2025</w:t>
      </w:r>
      <w:r>
        <w:rPr>
          <w:rFonts w:ascii="Arial" w:hAnsi="Arial" w:cs="Arial" w:hint="eastAsia"/>
          <w:sz w:val="28"/>
        </w:rPr>
        <w:t>年上半年，北京新房市场虽有海淀、朝阳等改善项目的局部高热现象，但整体市场持续承压；反观存量房，市场热度较高，二季度虽有所下滑，但上半年成交套数升至近三年新高。</w:t>
      </w:r>
      <w:r>
        <w:rPr>
          <w:rFonts w:ascii="Arial" w:hAnsi="Arial" w:cs="Arial" w:hint="eastAsia"/>
          <w:sz w:val="28"/>
        </w:rPr>
        <w:t>2025</w:t>
      </w:r>
      <w:r>
        <w:rPr>
          <w:rFonts w:ascii="Arial" w:hAnsi="Arial" w:cs="Arial" w:hint="eastAsia"/>
          <w:sz w:val="28"/>
        </w:rPr>
        <w:t>年上半年北京存量商品住宅累计成交套数占比升至</w:t>
      </w:r>
      <w:r>
        <w:rPr>
          <w:rFonts w:ascii="Arial" w:hAnsi="Arial" w:cs="Arial" w:hint="eastAsia"/>
          <w:sz w:val="28"/>
        </w:rPr>
        <w:t>80%</w:t>
      </w:r>
      <w:r>
        <w:rPr>
          <w:rFonts w:ascii="Arial" w:hAnsi="Arial" w:cs="Arial" w:hint="eastAsia"/>
          <w:sz w:val="28"/>
        </w:rPr>
        <w:t>，较上年同期提高</w:t>
      </w:r>
      <w:r>
        <w:rPr>
          <w:rFonts w:ascii="Arial" w:hAnsi="Arial" w:cs="Arial" w:hint="eastAsia"/>
          <w:sz w:val="28"/>
        </w:rPr>
        <w:t>3</w:t>
      </w:r>
      <w:r>
        <w:rPr>
          <w:rFonts w:ascii="Arial" w:hAnsi="Arial" w:cs="Arial" w:hint="eastAsia"/>
          <w:sz w:val="28"/>
        </w:rPr>
        <w:t>个百分点。</w:t>
      </w:r>
    </w:p>
    <w:p w14:paraId="7414F139" w14:textId="252A1918" w:rsidR="00000000" w:rsidRDefault="00CA265D">
      <w:pPr>
        <w:spacing w:line="360" w:lineRule="auto"/>
        <w:ind w:firstLineChars="200" w:firstLine="560"/>
        <w:jc w:val="both"/>
        <w:rPr>
          <w:rFonts w:ascii="Arial" w:hAnsi="Arial" w:cs="Arial" w:hint="eastAsia"/>
          <w:sz w:val="28"/>
        </w:rPr>
      </w:pPr>
      <w:r>
        <w:rPr>
          <w:rFonts w:ascii="Arial" w:hAnsi="Arial" w:cs="Arial" w:hint="eastAsia"/>
          <w:noProof/>
          <w:sz w:val="28"/>
        </w:rPr>
        <w:drawing>
          <wp:inline distT="0" distB="0" distL="0" distR="0" wp14:anchorId="4D1ED826" wp14:editId="3A889788">
            <wp:extent cx="5909310" cy="1939925"/>
            <wp:effectExtent l="0" t="0" r="0" b="0"/>
            <wp:docPr id="4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9310" cy="1939925"/>
                    </a:xfrm>
                    <a:prstGeom prst="rect">
                      <a:avLst/>
                    </a:prstGeom>
                    <a:noFill/>
                    <a:ln>
                      <a:noFill/>
                    </a:ln>
                  </pic:spPr>
                </pic:pic>
              </a:graphicData>
            </a:graphic>
          </wp:inline>
        </w:drawing>
      </w:r>
    </w:p>
    <w:p w14:paraId="62771B9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4</w:t>
      </w:r>
      <w:r>
        <w:rPr>
          <w:rFonts w:ascii="Arial" w:hAnsi="Arial" w:cs="Arial" w:hint="eastAsia"/>
          <w:sz w:val="28"/>
        </w:rPr>
        <w:t>）未来市场预期</w:t>
      </w:r>
    </w:p>
    <w:p w14:paraId="0E69F0FC"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北京市住宅市场正处于转型升级的关键阶段，未来将呈现“总量平稳、</w:t>
      </w:r>
      <w:r>
        <w:rPr>
          <w:rFonts w:ascii="Arial" w:hAnsi="Arial" w:cs="Arial" w:hint="eastAsia"/>
          <w:sz w:val="28"/>
        </w:rPr>
        <w:lastRenderedPageBreak/>
        <w:t>结构优化”的发展格局。从短期来看，</w:t>
      </w:r>
      <w:r>
        <w:rPr>
          <w:rFonts w:ascii="Arial" w:hAnsi="Arial" w:cs="Arial" w:hint="eastAsia"/>
          <w:sz w:val="28"/>
        </w:rPr>
        <w:t>2025</w:t>
      </w:r>
      <w:r>
        <w:rPr>
          <w:rFonts w:ascii="Arial" w:hAnsi="Arial" w:cs="Arial" w:hint="eastAsia"/>
          <w:sz w:val="28"/>
        </w:rPr>
        <w:t>年下半年市场将在政策支持与需求释放的双重作用下保持平稳运行，核心区域优质住宅凭借稀缺性和完善配套仍具较强抗跌性，而供应充足的远郊区域或将延续“以价换量”态势。值得注意的是，随着住房消费理念升级，改善型需求持续释放，品质住宅将成为市场交易主力，推动行业从“规模竞争”向“品质竞争”转变。从中长期看，市场将呈现三大特征：一是住房供应体系更趋完善，形成“高端有市场、中端有支持、低端有保障”的多层次供应格局；二是区域发展更趋分化，核心区资产保值功能凸显，产业新城价值逐步释放；三是产品形态持续升级，绿色、智能、适老化住宅将成为行业发展新方向。在此过程中，城市更新和存量盘活将成为主要空间供给方式，为市场注入新的发展动能。要实现市场平稳健康发展，需要政策保持连续性和稳定性，企业加快转型升级步伐，购房者树立理性消费观念。总体而言，北京住宅市场正在从高速增长阶段转向高质量发展阶段，虽然短期面临调整压力，但随着发展模式转型和市场机制完善，有望实现更加健康、可持续的发展，为首都城市功能优化和高质量发展提供有力支撑。</w:t>
      </w:r>
    </w:p>
    <w:p w14:paraId="114E9C76"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3.</w:t>
      </w:r>
      <w:r>
        <w:rPr>
          <w:rFonts w:ascii="Arial" w:hAnsi="Arial" w:cs="Arial" w:hint="eastAsia"/>
          <w:sz w:val="28"/>
        </w:rPr>
        <w:t>产业政策</w:t>
      </w:r>
    </w:p>
    <w:p w14:paraId="0FD5151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产业优惠政策</w:t>
      </w:r>
    </w:p>
    <w:p w14:paraId="7C96CBFF"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全国：</w:t>
      </w:r>
    </w:p>
    <w:p w14:paraId="401D022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w:t>
      </w:r>
      <w:r>
        <w:rPr>
          <w:rFonts w:ascii="Arial" w:hAnsi="Arial" w:cs="Arial" w:hint="eastAsia"/>
          <w:sz w:val="28"/>
        </w:rPr>
        <w:lastRenderedPageBreak/>
        <w:t>调减住房限购政策、取消普通住宅和非普通住宅标准。盘活存量土地和低效用地。改革房地产开发融资方式和商品房预售制度。完善房地产税收制度。”</w:t>
      </w:r>
    </w:p>
    <w:p w14:paraId="33E775A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w:t>
      </w:r>
      <w:r>
        <w:rPr>
          <w:rFonts w:ascii="Arial" w:hAnsi="Arial" w:cs="Arial" w:hint="eastAsia"/>
          <w:sz w:val="28"/>
        </w:rPr>
        <w:t>30</w:t>
      </w:r>
      <w:r>
        <w:rPr>
          <w:rFonts w:ascii="Arial" w:hAnsi="Arial" w:cs="Arial" w:hint="eastAsia"/>
          <w:sz w:val="28"/>
        </w:rPr>
        <w:t>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5199039F"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26</w:t>
      </w:r>
      <w:r>
        <w:rPr>
          <w:rFonts w:ascii="Arial" w:hAnsi="Arial" w:cs="Arial" w:hint="eastAsia"/>
          <w:sz w:val="28"/>
        </w:rPr>
        <w:t>日，中共中央政治局召开会议，分析研究当前经济形势，部署下一步经济工作。会议对房地产政策进行了重点部署，首次提出要“促进房地产市场止跌回稳”，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振市场信心。三、项目贷款：加大“白名单”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762CCBF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11</w:t>
      </w:r>
      <w:r>
        <w:rPr>
          <w:rFonts w:ascii="Arial" w:hAnsi="Arial" w:cs="Arial" w:hint="eastAsia"/>
          <w:sz w:val="28"/>
        </w:rPr>
        <w:t>日至</w:t>
      </w:r>
      <w:r>
        <w:rPr>
          <w:rFonts w:ascii="Arial" w:hAnsi="Arial" w:cs="Arial" w:hint="eastAsia"/>
          <w:sz w:val="28"/>
        </w:rPr>
        <w:t>12</w:t>
      </w:r>
      <w:r>
        <w:rPr>
          <w:rFonts w:ascii="Arial" w:hAnsi="Arial" w:cs="Arial" w:hint="eastAsia"/>
          <w:sz w:val="28"/>
        </w:rPr>
        <w:t>日，</w:t>
      </w:r>
      <w:r>
        <w:rPr>
          <w:rFonts w:ascii="Arial" w:hAnsi="Arial" w:cs="Arial" w:hint="eastAsia"/>
          <w:sz w:val="28"/>
        </w:rPr>
        <w:t>2024</w:t>
      </w:r>
      <w:r>
        <w:rPr>
          <w:rFonts w:ascii="Arial" w:hAnsi="Arial" w:cs="Arial" w:hint="eastAsia"/>
          <w:sz w:val="28"/>
        </w:rPr>
        <w:t>年中央经济工作会议举行。会议总结</w:t>
      </w:r>
      <w:r>
        <w:rPr>
          <w:rFonts w:ascii="Arial" w:hAnsi="Arial" w:cs="Arial" w:hint="eastAsia"/>
          <w:sz w:val="28"/>
        </w:rPr>
        <w:t>2024</w:t>
      </w:r>
      <w:r>
        <w:rPr>
          <w:rFonts w:ascii="Arial" w:hAnsi="Arial" w:cs="Arial" w:hint="eastAsia"/>
          <w:sz w:val="28"/>
        </w:rPr>
        <w:t>年经济工作，分析当前经济形势，部署</w:t>
      </w:r>
      <w:r>
        <w:rPr>
          <w:rFonts w:ascii="Arial" w:hAnsi="Arial" w:cs="Arial" w:hint="eastAsia"/>
          <w:sz w:val="28"/>
        </w:rPr>
        <w:t>2025</w:t>
      </w:r>
      <w:r>
        <w:rPr>
          <w:rFonts w:ascii="Arial" w:hAnsi="Arial" w:cs="Arial" w:hint="eastAsia"/>
          <w:sz w:val="28"/>
        </w:rPr>
        <w:t>年经济工作。会议提出“持续用力推动房地产市场止跌回稳，加力实施城中村和危旧房改造，充分释放刚性和改善性住房需求潜力。合理控制新增房地产用地供应，盘活存</w:t>
      </w:r>
      <w:r>
        <w:rPr>
          <w:rFonts w:ascii="Arial" w:hAnsi="Arial" w:cs="Arial" w:hint="eastAsia"/>
          <w:sz w:val="28"/>
        </w:rPr>
        <w:lastRenderedPageBreak/>
        <w:t>量用地和商办用房，推进处置存量商品房工作。推动构建房地产发展新模式，有序搭建相关基础性制度。”“统筹推进新型城镇化和乡村全面振兴，促进城乡融合发展。”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F98CCF2"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24</w:t>
      </w:r>
      <w:r>
        <w:rPr>
          <w:rFonts w:ascii="Arial" w:hAnsi="Arial" w:cs="Arial" w:hint="eastAsia"/>
          <w:sz w:val="28"/>
        </w:rPr>
        <w:t>日至</w:t>
      </w:r>
      <w:r>
        <w:rPr>
          <w:rFonts w:ascii="Arial" w:hAnsi="Arial" w:cs="Arial" w:hint="eastAsia"/>
          <w:sz w:val="28"/>
        </w:rPr>
        <w:t>25</w:t>
      </w:r>
      <w:r>
        <w:rPr>
          <w:rFonts w:ascii="Arial" w:hAnsi="Arial" w:cs="Arial" w:hint="eastAsia"/>
          <w:sz w:val="28"/>
        </w:rPr>
        <w:t>日，全国住房城乡建设工作会议在北京召开。会议系统总结</w:t>
      </w:r>
      <w:r>
        <w:rPr>
          <w:rFonts w:ascii="Arial" w:hAnsi="Arial" w:cs="Arial" w:hint="eastAsia"/>
          <w:sz w:val="28"/>
        </w:rPr>
        <w:t>2024</w:t>
      </w:r>
      <w:r>
        <w:rPr>
          <w:rFonts w:ascii="Arial" w:hAnsi="Arial" w:cs="Arial" w:hint="eastAsia"/>
          <w:sz w:val="28"/>
        </w:rPr>
        <w:t>年工作，部署进一步全面深化住房城乡建设领域改革，明确</w:t>
      </w:r>
      <w:r>
        <w:rPr>
          <w:rFonts w:ascii="Arial" w:hAnsi="Arial" w:cs="Arial" w:hint="eastAsia"/>
          <w:sz w:val="28"/>
        </w:rPr>
        <w:t>2025</w:t>
      </w:r>
      <w:r>
        <w:rPr>
          <w:rFonts w:ascii="Arial" w:hAnsi="Arial" w:cs="Arial" w:hint="eastAsia"/>
          <w:sz w:val="28"/>
        </w:rPr>
        <w:t>年重点任务，奋力推进住房城乡建设事业高质量发展。会议强调，</w:t>
      </w:r>
      <w:r>
        <w:rPr>
          <w:rFonts w:ascii="Arial" w:hAnsi="Arial" w:cs="Arial" w:hint="eastAsia"/>
          <w:sz w:val="28"/>
        </w:rPr>
        <w:t>2025</w:t>
      </w:r>
      <w:r>
        <w:rPr>
          <w:rFonts w:ascii="Arial" w:hAnsi="Arial" w:cs="Arial" w:hint="eastAsia"/>
          <w:sz w:val="28"/>
        </w:rPr>
        <w:t>年的工作要重点抓好</w:t>
      </w:r>
      <w:r>
        <w:rPr>
          <w:rFonts w:ascii="Arial" w:hAnsi="Arial" w:cs="Arial" w:hint="eastAsia"/>
          <w:sz w:val="28"/>
        </w:rPr>
        <w:t>5</w:t>
      </w:r>
      <w:r>
        <w:rPr>
          <w:rFonts w:ascii="Arial" w:hAnsi="Arial" w:cs="Arial" w:hint="eastAsia"/>
          <w:sz w:val="28"/>
        </w:rPr>
        <w:t>大板块</w:t>
      </w:r>
      <w:r>
        <w:rPr>
          <w:rFonts w:ascii="Arial" w:hAnsi="Arial" w:cs="Arial" w:hint="eastAsia"/>
          <w:sz w:val="28"/>
        </w:rPr>
        <w:t>22</w:t>
      </w:r>
      <w:r>
        <w:rPr>
          <w:rFonts w:ascii="Arial" w:hAnsi="Arial" w:cs="Arial" w:hint="eastAsia"/>
          <w:sz w:val="28"/>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新城建”为引擎打造高水平“数字住建”五个方面，大力实施城市更新。四、从全面深化建筑业改革、以更高质量的制度供给激发活力、整体提升工程建设标准、支持打造形成现代化建筑产业链和把绿色建筑培育发展成新的经济增长点五个方面，打造“中国建造”升级版。五、从提高住宅建设标准、构建支持住房品质提升的制度体系、支持房企打造好房子样板、推进老旧住宅更新改造和大力实施物业服务质量提升行动五个方面，建设安全、舒适、绿色、智慧的好房子。</w:t>
      </w:r>
    </w:p>
    <w:p w14:paraId="13FB2513"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3</w:t>
      </w:r>
      <w:r>
        <w:rPr>
          <w:rFonts w:ascii="Arial" w:hAnsi="Arial" w:cs="Arial" w:hint="eastAsia"/>
          <w:sz w:val="28"/>
        </w:rPr>
        <w:t>月</w:t>
      </w:r>
      <w:r>
        <w:rPr>
          <w:rFonts w:ascii="Arial" w:hAnsi="Arial" w:cs="Arial" w:hint="eastAsia"/>
          <w:sz w:val="28"/>
        </w:rPr>
        <w:t>5</w:t>
      </w:r>
      <w:r>
        <w:rPr>
          <w:rFonts w:ascii="Arial" w:hAnsi="Arial" w:cs="Arial" w:hint="eastAsia"/>
          <w:sz w:val="28"/>
        </w:rPr>
        <w:t>日全国两会召开。关于房地产的定调，政府工作报告延续了去年底中央经济工作会议基调，在</w:t>
      </w:r>
      <w:r>
        <w:rPr>
          <w:rFonts w:ascii="Arial" w:hAnsi="Arial" w:cs="Arial" w:hint="eastAsia"/>
          <w:sz w:val="28"/>
        </w:rPr>
        <w:t>2025</w:t>
      </w:r>
      <w:r>
        <w:rPr>
          <w:rFonts w:ascii="Arial" w:hAnsi="Arial" w:cs="Arial" w:hint="eastAsia"/>
          <w:sz w:val="28"/>
        </w:rPr>
        <w:t>年政府工作任务“有效防范化解重点领域风险</w:t>
      </w:r>
      <w:r>
        <w:rPr>
          <w:rFonts w:ascii="Arial" w:hAnsi="Arial" w:cs="Arial" w:hint="eastAsia"/>
          <w:sz w:val="28"/>
        </w:rPr>
        <w:t>,</w:t>
      </w:r>
      <w:r>
        <w:rPr>
          <w:rFonts w:ascii="Arial" w:hAnsi="Arial" w:cs="Arial" w:hint="eastAsia"/>
          <w:sz w:val="28"/>
        </w:rPr>
        <w:t>牢牢守住不发生系统性风险底线”中确立了“持续用力推</w:t>
      </w:r>
      <w:r>
        <w:rPr>
          <w:rFonts w:ascii="Arial" w:hAnsi="Arial" w:cs="Arial" w:hint="eastAsia"/>
          <w:sz w:val="28"/>
        </w:rPr>
        <w:lastRenderedPageBreak/>
        <w:t>动房地产市场止跌回稳”的政策目标，并从需求不断加力、供给持续调整、风险防范化解和行业长远发展四个方面给出了大段论述。</w:t>
      </w:r>
    </w:p>
    <w:p w14:paraId="24CA167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w:t>
      </w:r>
      <w:r>
        <w:rPr>
          <w:rFonts w:ascii="Arial" w:hAnsi="Arial" w:cs="Arial" w:hint="eastAsia"/>
          <w:sz w:val="28"/>
        </w:rPr>
        <w:t>3</w:t>
      </w:r>
      <w:r>
        <w:rPr>
          <w:rFonts w:ascii="Arial" w:hAnsi="Arial" w:cs="Arial" w:hint="eastAsia"/>
          <w:sz w:val="28"/>
        </w:rPr>
        <w:t>日，财政部办公厅、住房城乡建设部办公厅联合发布《关于开展</w:t>
      </w:r>
      <w:r>
        <w:rPr>
          <w:rFonts w:ascii="Arial" w:hAnsi="Arial" w:cs="Arial" w:hint="eastAsia"/>
          <w:sz w:val="28"/>
        </w:rPr>
        <w:t>2025</w:t>
      </w:r>
      <w:r>
        <w:rPr>
          <w:rFonts w:ascii="Arial" w:hAnsi="Arial" w:cs="Arial" w:hint="eastAsia"/>
          <w:sz w:val="28"/>
        </w:rPr>
        <w:t>年度中央财政支持实施城市更新行动的通知》。《通知》提出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s="Arial" w:hint="eastAsia"/>
          <w:sz w:val="28"/>
        </w:rPr>
        <w:t>2</w:t>
      </w:r>
      <w:r>
        <w:rPr>
          <w:rFonts w:ascii="Arial" w:hAnsi="Arial" w:cs="Arial" w:hint="eastAsia"/>
          <w:sz w:val="28"/>
        </w:rPr>
        <w:t>个方向。</w:t>
      </w:r>
    </w:p>
    <w:p w14:paraId="77CD389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w:t>
      </w:r>
      <w:r>
        <w:rPr>
          <w:rFonts w:ascii="Arial" w:hAnsi="Arial" w:cs="Arial" w:hint="eastAsia"/>
          <w:sz w:val="28"/>
        </w:rPr>
        <w:t>25</w:t>
      </w:r>
      <w:r>
        <w:rPr>
          <w:rFonts w:ascii="Arial" w:hAnsi="Arial" w:cs="Arial" w:hint="eastAsia"/>
          <w:sz w:val="28"/>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Pr>
          <w:rFonts w:ascii="Arial" w:hAnsi="Arial" w:cs="Arial" w:hint="eastAsia"/>
          <w:sz w:val="28"/>
        </w:rPr>
        <w:t xml:space="preserve"> </w:t>
      </w:r>
      <w:r>
        <w:rPr>
          <w:rFonts w:ascii="Arial" w:hAnsi="Arial" w:cs="Arial" w:hint="eastAsia"/>
          <w:sz w:val="28"/>
        </w:rPr>
        <w:t>模式，加大高品质住房供给，优化存量商品房收购政策，持续巩固房地产市场稳定态势。</w:t>
      </w:r>
    </w:p>
    <w:p w14:paraId="1700AC69"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15</w:t>
      </w:r>
      <w:r>
        <w:rPr>
          <w:rFonts w:ascii="Arial" w:hAnsi="Arial" w:cs="Arial" w:hint="eastAsia"/>
          <w:sz w:val="28"/>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0FE2EA6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13</w:t>
      </w:r>
      <w:r>
        <w:rPr>
          <w:rFonts w:ascii="Arial" w:hAnsi="Arial" w:cs="Arial" w:hint="eastAsia"/>
          <w:sz w:val="28"/>
        </w:rPr>
        <w:t>日国务院常务会议召开，其中重点部署了房地产相关政策，核心目标是“更大力度推动房地产市场止跌回稳”，并围绕构建房地产发展新模式、推进“好房子”建设、盘活存量资源等方面提出具体措施。</w:t>
      </w:r>
    </w:p>
    <w:p w14:paraId="0F480682"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北京：</w:t>
      </w:r>
    </w:p>
    <w:p w14:paraId="592E5176"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lastRenderedPageBreak/>
        <w:t>2024</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26</w:t>
      </w:r>
      <w:r>
        <w:rPr>
          <w:rFonts w:ascii="Arial" w:hAnsi="Arial" w:cs="Arial" w:hint="eastAsia"/>
          <w:sz w:val="28"/>
        </w:rPr>
        <w:t>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14:paraId="60F80A76"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7</w:t>
      </w:r>
      <w:r>
        <w:rPr>
          <w:rFonts w:ascii="Arial" w:hAnsi="Arial" w:cs="Arial" w:hint="eastAsia"/>
          <w:sz w:val="28"/>
        </w:rPr>
        <w:t>月</w:t>
      </w:r>
      <w:r>
        <w:rPr>
          <w:rFonts w:ascii="Arial" w:hAnsi="Arial" w:cs="Arial" w:hint="eastAsia"/>
          <w:sz w:val="28"/>
        </w:rPr>
        <w:t>31</w:t>
      </w:r>
      <w:r>
        <w:rPr>
          <w:rFonts w:ascii="Arial" w:hAnsi="Arial" w:cs="Arial" w:hint="eastAsia"/>
          <w:sz w:val="28"/>
        </w:rPr>
        <w:t>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w:t>
      </w:r>
      <w:r>
        <w:rPr>
          <w:rFonts w:ascii="Arial" w:hAnsi="Arial" w:cs="Arial" w:hint="eastAsia"/>
          <w:sz w:val="28"/>
        </w:rPr>
        <w:t>3</w:t>
      </w:r>
      <w:r>
        <w:rPr>
          <w:rFonts w:ascii="Arial" w:hAnsi="Arial" w:cs="Arial" w:hint="eastAsia"/>
          <w:sz w:val="28"/>
        </w:rPr>
        <w:t>个月租金的，全部租金应当按合同约定的租金支付时间、金额存入用于租金监管的账户。承租人可通过住房租赁合同备案编号等信息查询账户余额。该办法将于</w:t>
      </w:r>
      <w:r>
        <w:rPr>
          <w:rFonts w:ascii="Arial" w:hAnsi="Arial" w:cs="Arial" w:hint="eastAsia"/>
          <w:sz w:val="28"/>
        </w:rPr>
        <w:t>2024</w:t>
      </w:r>
      <w:r>
        <w:rPr>
          <w:rFonts w:ascii="Arial" w:hAnsi="Arial" w:cs="Arial" w:hint="eastAsia"/>
          <w:sz w:val="28"/>
        </w:rPr>
        <w:t>年</w:t>
      </w:r>
      <w:r>
        <w:rPr>
          <w:rFonts w:ascii="Arial" w:hAnsi="Arial" w:cs="Arial" w:hint="eastAsia"/>
          <w:sz w:val="28"/>
        </w:rPr>
        <w:t>10</w:t>
      </w:r>
      <w:r>
        <w:rPr>
          <w:rFonts w:ascii="Arial" w:hAnsi="Arial" w:cs="Arial" w:hint="eastAsia"/>
          <w:sz w:val="28"/>
        </w:rPr>
        <w:t>月</w:t>
      </w:r>
      <w:r>
        <w:rPr>
          <w:rFonts w:ascii="Arial" w:hAnsi="Arial" w:cs="Arial" w:hint="eastAsia"/>
          <w:sz w:val="28"/>
        </w:rPr>
        <w:t>1</w:t>
      </w:r>
      <w:r>
        <w:rPr>
          <w:rFonts w:ascii="Arial" w:hAnsi="Arial" w:cs="Arial" w:hint="eastAsia"/>
          <w:sz w:val="28"/>
        </w:rPr>
        <w:t>日起施行。</w:t>
      </w:r>
    </w:p>
    <w:p w14:paraId="26B62E9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30</w:t>
      </w:r>
      <w:r>
        <w:rPr>
          <w:rFonts w:ascii="Arial" w:hAnsi="Arial" w:cs="Arial" w:hint="eastAsia"/>
          <w:sz w:val="28"/>
        </w:rPr>
        <w:t>日，北京市多部门联合发布《关于进一步优化调整本市房地产相关政策的通知》，自</w:t>
      </w:r>
      <w:r>
        <w:rPr>
          <w:rFonts w:ascii="Arial" w:hAnsi="Arial" w:cs="Arial" w:hint="eastAsia"/>
          <w:sz w:val="28"/>
        </w:rPr>
        <w:t>10</w:t>
      </w:r>
      <w:r>
        <w:rPr>
          <w:rFonts w:ascii="Arial" w:hAnsi="Arial" w:cs="Arial" w:hint="eastAsia"/>
          <w:sz w:val="28"/>
        </w:rPr>
        <w:t>月</w:t>
      </w:r>
      <w:r>
        <w:rPr>
          <w:rFonts w:ascii="Arial" w:hAnsi="Arial" w:cs="Arial" w:hint="eastAsia"/>
          <w:sz w:val="28"/>
        </w:rPr>
        <w:t>1</w:t>
      </w:r>
      <w:r>
        <w:rPr>
          <w:rFonts w:ascii="Arial" w:hAnsi="Arial" w:cs="Arial" w:hint="eastAsia"/>
          <w:sz w:val="28"/>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p>
    <w:p w14:paraId="3626ACB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18</w:t>
      </w:r>
      <w:r>
        <w:rPr>
          <w:rFonts w:ascii="Arial" w:hAnsi="Arial" w:cs="Arial" w:hint="eastAsia"/>
          <w:sz w:val="28"/>
        </w:rPr>
        <w:t>日，北京市住房和城乡建设委员会、北京市财政局、</w:t>
      </w:r>
      <w:r>
        <w:rPr>
          <w:rFonts w:ascii="Arial" w:hAnsi="Arial" w:cs="Arial" w:hint="eastAsia"/>
          <w:sz w:val="28"/>
        </w:rPr>
        <w:lastRenderedPageBreak/>
        <w:t>国家税务总局北京市税务局联合发布《关于取消普通住房标准有关事项的通知》，取消了普通住房和非普通住房的划分标准。根据新政策，个人出售持有</w:t>
      </w:r>
      <w:r>
        <w:rPr>
          <w:rFonts w:ascii="Arial" w:hAnsi="Arial" w:cs="Arial" w:hint="eastAsia"/>
          <w:sz w:val="28"/>
        </w:rPr>
        <w:t>2</w:t>
      </w:r>
      <w:r>
        <w:rPr>
          <w:rFonts w:ascii="Arial" w:hAnsi="Arial" w:cs="Arial" w:hint="eastAsia"/>
          <w:sz w:val="28"/>
        </w:rPr>
        <w:t>年及以上的住房将免征增值税，而持有不足</w:t>
      </w:r>
      <w:r>
        <w:rPr>
          <w:rFonts w:ascii="Arial" w:hAnsi="Arial" w:cs="Arial" w:hint="eastAsia"/>
          <w:sz w:val="28"/>
        </w:rPr>
        <w:t>2</w:t>
      </w:r>
      <w:r>
        <w:rPr>
          <w:rFonts w:ascii="Arial" w:hAnsi="Arial" w:cs="Arial" w:hint="eastAsia"/>
          <w:sz w:val="28"/>
        </w:rPr>
        <w:t>年的住房则需按</w:t>
      </w:r>
      <w:r>
        <w:rPr>
          <w:rFonts w:ascii="Arial" w:hAnsi="Arial" w:cs="Arial" w:hint="eastAsia"/>
          <w:sz w:val="28"/>
        </w:rPr>
        <w:t>5%</w:t>
      </w:r>
      <w:r>
        <w:rPr>
          <w:rFonts w:ascii="Arial" w:hAnsi="Arial" w:cs="Arial" w:hint="eastAsia"/>
          <w:sz w:val="28"/>
        </w:rPr>
        <w:t>的税率缴纳增值税。在契税方面，北京市与全国统一，对个人购买家庭唯一住房，面积</w:t>
      </w:r>
      <w:r>
        <w:rPr>
          <w:rFonts w:ascii="Arial" w:hAnsi="Arial" w:cs="Arial" w:hint="eastAsia"/>
          <w:sz w:val="28"/>
        </w:rPr>
        <w:t>140</w:t>
      </w:r>
      <w:r>
        <w:rPr>
          <w:rFonts w:ascii="Arial" w:hAnsi="Arial" w:cs="Arial" w:hint="eastAsia"/>
          <w:sz w:val="28"/>
        </w:rPr>
        <w:t>平方米及以下的按</w:t>
      </w:r>
      <w:r>
        <w:rPr>
          <w:rFonts w:ascii="Arial" w:hAnsi="Arial" w:cs="Arial" w:hint="eastAsia"/>
          <w:sz w:val="28"/>
        </w:rPr>
        <w:t>1%</w:t>
      </w:r>
      <w:r>
        <w:rPr>
          <w:rFonts w:ascii="Arial" w:hAnsi="Arial" w:cs="Arial" w:hint="eastAsia"/>
          <w:sz w:val="28"/>
        </w:rPr>
        <w:t>税率征收契税，超过</w:t>
      </w:r>
      <w:r>
        <w:rPr>
          <w:rFonts w:ascii="Arial" w:hAnsi="Arial" w:cs="Arial" w:hint="eastAsia"/>
          <w:sz w:val="28"/>
        </w:rPr>
        <w:t>140</w:t>
      </w:r>
      <w:r>
        <w:rPr>
          <w:rFonts w:ascii="Arial" w:hAnsi="Arial" w:cs="Arial" w:hint="eastAsia"/>
          <w:sz w:val="28"/>
        </w:rPr>
        <w:t>平方米的按</w:t>
      </w:r>
      <w:r>
        <w:rPr>
          <w:rFonts w:ascii="Arial" w:hAnsi="Arial" w:cs="Arial" w:hint="eastAsia"/>
          <w:sz w:val="28"/>
        </w:rPr>
        <w:t>1.5%</w:t>
      </w:r>
      <w:r>
        <w:rPr>
          <w:rFonts w:ascii="Arial" w:hAnsi="Arial" w:cs="Arial" w:hint="eastAsia"/>
          <w:sz w:val="28"/>
        </w:rPr>
        <w:t>征收；对于家庭第二套住房，面积</w:t>
      </w:r>
      <w:r>
        <w:rPr>
          <w:rFonts w:ascii="Arial" w:hAnsi="Arial" w:cs="Arial" w:hint="eastAsia"/>
          <w:sz w:val="28"/>
        </w:rPr>
        <w:t>140</w:t>
      </w:r>
      <w:r>
        <w:rPr>
          <w:rFonts w:ascii="Arial" w:hAnsi="Arial" w:cs="Arial" w:hint="eastAsia"/>
          <w:sz w:val="28"/>
        </w:rPr>
        <w:t>平方米及以下的按</w:t>
      </w:r>
      <w:r>
        <w:rPr>
          <w:rFonts w:ascii="Arial" w:hAnsi="Arial" w:cs="Arial" w:hint="eastAsia"/>
          <w:sz w:val="28"/>
        </w:rPr>
        <w:t>1%</w:t>
      </w:r>
      <w:r>
        <w:rPr>
          <w:rFonts w:ascii="Arial" w:hAnsi="Arial" w:cs="Arial" w:hint="eastAsia"/>
          <w:sz w:val="28"/>
        </w:rPr>
        <w:t>征收，超过</w:t>
      </w:r>
      <w:r>
        <w:rPr>
          <w:rFonts w:ascii="Arial" w:hAnsi="Arial" w:cs="Arial" w:hint="eastAsia"/>
          <w:sz w:val="28"/>
        </w:rPr>
        <w:t>140</w:t>
      </w:r>
      <w:r>
        <w:rPr>
          <w:rFonts w:ascii="Arial" w:hAnsi="Arial" w:cs="Arial" w:hint="eastAsia"/>
          <w:sz w:val="28"/>
        </w:rPr>
        <w:t>平方米的按</w:t>
      </w:r>
      <w:r>
        <w:rPr>
          <w:rFonts w:ascii="Arial" w:hAnsi="Arial" w:cs="Arial" w:hint="eastAsia"/>
          <w:sz w:val="28"/>
        </w:rPr>
        <w:t>2%</w:t>
      </w:r>
      <w:r>
        <w:rPr>
          <w:rFonts w:ascii="Arial" w:hAnsi="Arial" w:cs="Arial" w:hint="eastAsia"/>
          <w:sz w:val="28"/>
        </w:rPr>
        <w:t>征收。</w:t>
      </w:r>
    </w:p>
    <w:p w14:paraId="04BC384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11</w:t>
      </w:r>
      <w:r>
        <w:rPr>
          <w:rFonts w:ascii="Arial" w:hAnsi="Arial" w:cs="Arial" w:hint="eastAsia"/>
          <w:sz w:val="28"/>
        </w:rPr>
        <w:t>月</w:t>
      </w:r>
      <w:r>
        <w:rPr>
          <w:rFonts w:ascii="Arial" w:hAnsi="Arial" w:cs="Arial" w:hint="eastAsia"/>
          <w:sz w:val="28"/>
        </w:rPr>
        <w:t>29</w:t>
      </w:r>
      <w:r>
        <w:rPr>
          <w:rFonts w:ascii="Arial" w:hAnsi="Arial" w:cs="Arial" w:hint="eastAsia"/>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Pr>
          <w:rFonts w:ascii="Arial" w:hAnsi="Arial" w:cs="Arial" w:hint="eastAsia"/>
          <w:sz w:val="28"/>
        </w:rPr>
        <w:t>,</w:t>
      </w:r>
      <w:r>
        <w:rPr>
          <w:rFonts w:ascii="Arial" w:hAnsi="Arial" w:cs="Arial" w:hint="eastAsia"/>
          <w:sz w:val="28"/>
        </w:rPr>
        <w:t>充分激发多元主体的更新意愿，推动城市更新项目落地实施。</w:t>
      </w:r>
    </w:p>
    <w:p w14:paraId="43C8C3A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2</w:t>
      </w:r>
      <w:r>
        <w:rPr>
          <w:rFonts w:ascii="Arial" w:hAnsi="Arial" w:cs="Arial" w:hint="eastAsia"/>
          <w:sz w:val="28"/>
        </w:rPr>
        <w:t>月</w:t>
      </w:r>
      <w:r>
        <w:rPr>
          <w:rFonts w:ascii="Arial" w:hAnsi="Arial" w:cs="Arial" w:hint="eastAsia"/>
          <w:sz w:val="28"/>
        </w:rPr>
        <w:t>12</w:t>
      </w:r>
      <w:r>
        <w:rPr>
          <w:rFonts w:ascii="Arial" w:hAnsi="Arial" w:cs="Arial" w:hint="eastAsia"/>
          <w:sz w:val="28"/>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Pr>
          <w:rFonts w:ascii="Arial" w:hAnsi="Arial" w:cs="Arial" w:hint="eastAsia"/>
          <w:sz w:val="28"/>
        </w:rPr>
        <w:t>10%</w:t>
      </w:r>
      <w:r>
        <w:rPr>
          <w:rFonts w:ascii="Arial" w:hAnsi="Arial" w:cs="Arial" w:hint="eastAsia"/>
          <w:sz w:val="28"/>
        </w:rPr>
        <w:t>；鼓励在</w:t>
      </w:r>
      <w:r>
        <w:rPr>
          <w:rFonts w:ascii="Arial" w:hAnsi="Arial" w:cs="Arial" w:hint="eastAsia"/>
          <w:sz w:val="28"/>
        </w:rPr>
        <w:t>140</w:t>
      </w:r>
      <w:r>
        <w:rPr>
          <w:rFonts w:ascii="Arial" w:hAnsi="Arial" w:cs="Arial" w:hint="eastAsia"/>
          <w:sz w:val="28"/>
        </w:rPr>
        <w:t>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p>
    <w:p w14:paraId="0807BEA9"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lastRenderedPageBreak/>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9</w:t>
      </w:r>
      <w:r>
        <w:rPr>
          <w:rFonts w:ascii="Arial" w:hAnsi="Arial" w:cs="Arial" w:hint="eastAsia"/>
          <w:sz w:val="28"/>
        </w:rPr>
        <w:t>日，北京市住房和城乡建设委员会发布《关于印发〈</w:t>
      </w:r>
      <w:r>
        <w:rPr>
          <w:rFonts w:ascii="Arial" w:hAnsi="Arial" w:cs="Arial" w:hint="eastAsia"/>
          <w:sz w:val="28"/>
        </w:rPr>
        <w:t>2025</w:t>
      </w:r>
      <w:r>
        <w:rPr>
          <w:rFonts w:ascii="Arial" w:hAnsi="Arial" w:cs="Arial" w:hint="eastAsia"/>
          <w:sz w:val="28"/>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2C2A01B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税收政策：</w:t>
      </w:r>
    </w:p>
    <w:p w14:paraId="62904BF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4</w:t>
      </w:r>
      <w:r>
        <w:rPr>
          <w:rFonts w:ascii="Arial" w:hAnsi="Arial" w:cs="Arial" w:hint="eastAsia"/>
          <w:sz w:val="28"/>
        </w:rPr>
        <w:t>月，国家税务总局</w:t>
      </w:r>
      <w:r>
        <w:rPr>
          <w:rFonts w:ascii="Arial" w:hAnsi="Arial" w:cs="Arial" w:hint="eastAsia"/>
          <w:sz w:val="28"/>
        </w:rPr>
        <w:t>12366</w:t>
      </w:r>
      <w:r>
        <w:rPr>
          <w:rFonts w:ascii="Arial" w:hAnsi="Arial" w:cs="Arial" w:hint="eastAsia"/>
          <w:sz w:val="28"/>
        </w:rPr>
        <w:t>纳税服务平台以热点问题答复形式回应：纳税人按照《关于降低存量首套住房贷款</w:t>
      </w:r>
      <w:r>
        <w:rPr>
          <w:rFonts w:ascii="Arial" w:hAnsi="Arial" w:cs="Arial" w:hint="eastAsia"/>
          <w:sz w:val="28"/>
        </w:rPr>
        <w:t xml:space="preserve"> </w:t>
      </w:r>
      <w:r>
        <w:rPr>
          <w:rFonts w:ascii="Arial" w:hAnsi="Arial" w:cs="Arial" w:hint="eastAsia"/>
          <w:sz w:val="28"/>
        </w:rPr>
        <w:t>利率有关事项的通知》规定“二套转首套”，其商业住房贷款部分已执行首套住房贷款利率的，符合《国务院</w:t>
      </w:r>
      <w:r>
        <w:rPr>
          <w:rFonts w:ascii="Arial" w:hAnsi="Arial" w:cs="Arial" w:hint="eastAsia"/>
          <w:sz w:val="28"/>
        </w:rPr>
        <w:t xml:space="preserve"> </w:t>
      </w:r>
      <w:r>
        <w:rPr>
          <w:rFonts w:ascii="Arial" w:hAnsi="Arial" w:cs="Arial" w:hint="eastAsia"/>
          <w:sz w:val="28"/>
        </w:rPr>
        <w:t>关于印发个人所得税专项附加扣除暂行办法的通知》</w:t>
      </w:r>
      <w:r>
        <w:rPr>
          <w:rFonts w:ascii="Arial" w:hAnsi="Arial" w:cs="Arial" w:hint="eastAsia"/>
          <w:sz w:val="28"/>
        </w:rPr>
        <w:t>(</w:t>
      </w:r>
      <w:r>
        <w:rPr>
          <w:rFonts w:ascii="Arial" w:hAnsi="Arial" w:cs="Arial" w:hint="eastAsia"/>
          <w:sz w:val="28"/>
        </w:rPr>
        <w:t>国发〔</w:t>
      </w:r>
      <w:r>
        <w:rPr>
          <w:rFonts w:ascii="Arial" w:hAnsi="Arial" w:cs="Arial" w:hint="eastAsia"/>
          <w:sz w:val="28"/>
        </w:rPr>
        <w:t>2018</w:t>
      </w:r>
      <w:r>
        <w:rPr>
          <w:rFonts w:ascii="Arial" w:hAnsi="Arial" w:cs="Arial" w:hint="eastAsia"/>
          <w:sz w:val="28"/>
        </w:rPr>
        <w:t>〕</w:t>
      </w:r>
      <w:r>
        <w:rPr>
          <w:rFonts w:ascii="Arial" w:hAnsi="Arial" w:cs="Arial" w:hint="eastAsia"/>
          <w:sz w:val="28"/>
        </w:rPr>
        <w:t>41</w:t>
      </w:r>
      <w:r>
        <w:rPr>
          <w:rFonts w:ascii="Arial" w:hAnsi="Arial" w:cs="Arial" w:hint="eastAsia"/>
          <w:sz w:val="28"/>
        </w:rPr>
        <w:t>号</w:t>
      </w:r>
      <w:r>
        <w:rPr>
          <w:rFonts w:ascii="Arial" w:hAnsi="Arial" w:cs="Arial" w:hint="eastAsia"/>
          <w:sz w:val="28"/>
        </w:rPr>
        <w:t>)</w:t>
      </w:r>
      <w:r>
        <w:rPr>
          <w:rFonts w:ascii="Arial" w:hAnsi="Arial" w:cs="Arial" w:hint="eastAsia"/>
          <w:sz w:val="28"/>
        </w:rPr>
        <w:t>有关住房贷款利息专项附加扣除的</w:t>
      </w:r>
      <w:r>
        <w:rPr>
          <w:rFonts w:ascii="Arial" w:hAnsi="Arial" w:cs="Arial" w:hint="eastAsia"/>
          <w:sz w:val="28"/>
        </w:rPr>
        <w:t xml:space="preserve"> </w:t>
      </w:r>
      <w:r>
        <w:rPr>
          <w:rFonts w:ascii="Arial" w:hAnsi="Arial" w:cs="Arial" w:hint="eastAsia"/>
          <w:sz w:val="28"/>
        </w:rPr>
        <w:t>规定且之前未享受过住房贷款利息专项附加扣除的，可以自按照首套住房贷款利率开始还款的当月起享受住房贷款利息专项附加扣除。</w:t>
      </w:r>
    </w:p>
    <w:p w14:paraId="54BEA94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 xml:space="preserve">  </w:t>
      </w:r>
      <w:r>
        <w:rPr>
          <w:rFonts w:ascii="Arial" w:hAnsi="Arial" w:cs="Arial" w:hint="eastAsia"/>
          <w:sz w:val="28"/>
        </w:rPr>
        <w:t>金融政策：</w:t>
      </w:r>
    </w:p>
    <w:p w14:paraId="317005BF"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全国：</w:t>
      </w:r>
    </w:p>
    <w:p w14:paraId="31992FC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日，中国人民银行公告，下调金融机构存款准备金率、下调再贷款利率、下调个人住房公积金贷款利率：自</w:t>
      </w:r>
      <w:r>
        <w:rPr>
          <w:rFonts w:ascii="Arial" w:hAnsi="Arial" w:cs="Arial" w:hint="eastAsia"/>
          <w:sz w:val="28"/>
        </w:rPr>
        <w:t>5</w:t>
      </w:r>
      <w:r>
        <w:rPr>
          <w:rFonts w:ascii="Arial" w:hAnsi="Arial" w:cs="Arial" w:hint="eastAsia"/>
          <w:sz w:val="28"/>
        </w:rPr>
        <w:t>月</w:t>
      </w:r>
      <w:r>
        <w:rPr>
          <w:rFonts w:ascii="Arial" w:hAnsi="Arial" w:cs="Arial" w:hint="eastAsia"/>
          <w:sz w:val="28"/>
        </w:rPr>
        <w:t>15</w:t>
      </w:r>
      <w:r>
        <w:rPr>
          <w:rFonts w:ascii="Arial" w:hAnsi="Arial" w:cs="Arial" w:hint="eastAsia"/>
          <w:sz w:val="28"/>
        </w:rPr>
        <w:t>日起，下调金融机构存款准备金率</w:t>
      </w:r>
      <w:r>
        <w:rPr>
          <w:rFonts w:ascii="Arial" w:hAnsi="Arial" w:cs="Arial" w:hint="eastAsia"/>
          <w:sz w:val="28"/>
        </w:rPr>
        <w:t>0.5</w:t>
      </w:r>
      <w:r>
        <w:rPr>
          <w:rFonts w:ascii="Arial" w:hAnsi="Arial" w:cs="Arial" w:hint="eastAsia"/>
          <w:sz w:val="28"/>
        </w:rPr>
        <w:t>个百分点；自</w:t>
      </w:r>
      <w:r>
        <w:rPr>
          <w:rFonts w:ascii="Arial" w:hAnsi="Arial" w:cs="Arial" w:hint="eastAsia"/>
          <w:sz w:val="28"/>
        </w:rPr>
        <w:t>5</w:t>
      </w:r>
      <w:r>
        <w:rPr>
          <w:rFonts w:ascii="Arial" w:hAnsi="Arial" w:cs="Arial" w:hint="eastAsia"/>
          <w:sz w:val="28"/>
        </w:rPr>
        <w:t>月</w:t>
      </w:r>
      <w:r>
        <w:rPr>
          <w:rFonts w:ascii="Arial" w:hAnsi="Arial" w:cs="Arial" w:hint="eastAsia"/>
          <w:sz w:val="28"/>
        </w:rPr>
        <w:t>7</w:t>
      </w:r>
      <w:r>
        <w:rPr>
          <w:rFonts w:ascii="Arial" w:hAnsi="Arial" w:cs="Arial" w:hint="eastAsia"/>
          <w:sz w:val="28"/>
        </w:rPr>
        <w:t>日起，下调再贷款利率</w:t>
      </w:r>
      <w:r>
        <w:rPr>
          <w:rFonts w:ascii="Arial" w:hAnsi="Arial" w:cs="Arial" w:hint="eastAsia"/>
          <w:sz w:val="28"/>
        </w:rPr>
        <w:t>0.25</w:t>
      </w:r>
      <w:r>
        <w:rPr>
          <w:rFonts w:ascii="Arial" w:hAnsi="Arial" w:cs="Arial" w:hint="eastAsia"/>
          <w:sz w:val="28"/>
        </w:rPr>
        <w:t>个百分点；自</w:t>
      </w:r>
      <w:r>
        <w:rPr>
          <w:rFonts w:ascii="Arial" w:hAnsi="Arial" w:cs="Arial" w:hint="eastAsia"/>
          <w:sz w:val="28"/>
        </w:rPr>
        <w:t>5</w:t>
      </w:r>
      <w:r>
        <w:rPr>
          <w:rFonts w:ascii="Arial" w:hAnsi="Arial" w:cs="Arial" w:hint="eastAsia"/>
          <w:sz w:val="28"/>
        </w:rPr>
        <w:t>月</w:t>
      </w:r>
      <w:r>
        <w:rPr>
          <w:rFonts w:ascii="Arial" w:hAnsi="Arial" w:cs="Arial" w:hint="eastAsia"/>
          <w:sz w:val="28"/>
        </w:rPr>
        <w:t xml:space="preserve"> 8</w:t>
      </w:r>
      <w:r>
        <w:rPr>
          <w:rFonts w:ascii="Arial" w:hAnsi="Arial" w:cs="Arial" w:hint="eastAsia"/>
          <w:sz w:val="28"/>
        </w:rPr>
        <w:t>日起，下调个人住房公积金贷款利率</w:t>
      </w:r>
      <w:r>
        <w:rPr>
          <w:rFonts w:ascii="Arial" w:hAnsi="Arial" w:cs="Arial" w:hint="eastAsia"/>
          <w:sz w:val="28"/>
        </w:rPr>
        <w:t>0.25</w:t>
      </w:r>
      <w:r>
        <w:rPr>
          <w:rFonts w:ascii="Arial" w:hAnsi="Arial" w:cs="Arial" w:hint="eastAsia"/>
          <w:sz w:val="28"/>
        </w:rPr>
        <w:t>个百分点。</w:t>
      </w:r>
    </w:p>
    <w:p w14:paraId="5CCAB26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北京：</w:t>
      </w:r>
    </w:p>
    <w:p w14:paraId="672AA302"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6</w:t>
      </w:r>
      <w:r>
        <w:rPr>
          <w:rFonts w:ascii="Arial" w:hAnsi="Arial" w:cs="Arial" w:hint="eastAsia"/>
          <w:sz w:val="28"/>
        </w:rPr>
        <w:t>月</w:t>
      </w:r>
      <w:r>
        <w:rPr>
          <w:rFonts w:ascii="Arial" w:hAnsi="Arial" w:cs="Arial" w:hint="eastAsia"/>
          <w:sz w:val="28"/>
        </w:rPr>
        <w:t>26</w:t>
      </w:r>
      <w:r>
        <w:rPr>
          <w:rFonts w:ascii="Arial" w:hAnsi="Arial" w:cs="Arial" w:hint="eastAsia"/>
          <w:sz w:val="28"/>
        </w:rPr>
        <w:t>日，北京市住房和城乡建设委员会、北京住房公积金管理中心联合发布《关于调整本市公积金个人住房贷款最低首付款比例政策的通知》和《关于住房公积金支持北京市建筑绿色发展的实施办法》两个文件。其中，《关于调整本市公积金个人住房贷款最低首付款比例政策的通知》明确自通知印发次日起，对于使用贷款购买首套商品住房的居民家庭，</w:t>
      </w:r>
      <w:r>
        <w:rPr>
          <w:rFonts w:ascii="Arial" w:hAnsi="Arial" w:cs="Arial" w:hint="eastAsia"/>
          <w:sz w:val="28"/>
        </w:rPr>
        <w:lastRenderedPageBreak/>
        <w:t>最低首付款比例调整为不低于</w:t>
      </w:r>
      <w:r>
        <w:rPr>
          <w:rFonts w:ascii="Arial" w:hAnsi="Arial" w:cs="Arial" w:hint="eastAsia"/>
          <w:sz w:val="28"/>
        </w:rPr>
        <w:t>20%</w:t>
      </w:r>
      <w:r>
        <w:rPr>
          <w:rFonts w:ascii="Arial" w:hAnsi="Arial" w:cs="Arial" w:hint="eastAsia"/>
          <w:sz w:val="28"/>
        </w:rPr>
        <w:t>。对于使用贷款购买二套商品住房的居民家庭，所购住房位于五环以内的，最低首付款比例不低于</w:t>
      </w:r>
      <w:r>
        <w:rPr>
          <w:rFonts w:ascii="Arial" w:hAnsi="Arial" w:cs="Arial" w:hint="eastAsia"/>
          <w:sz w:val="28"/>
        </w:rPr>
        <w:t>35%</w:t>
      </w:r>
      <w:r>
        <w:rPr>
          <w:rFonts w:ascii="Arial" w:hAnsi="Arial" w:cs="Arial" w:hint="eastAsia"/>
          <w:sz w:val="28"/>
        </w:rPr>
        <w:t>；所购商品住房位于五环以外的，最低首付款比例不低于</w:t>
      </w:r>
      <w:r>
        <w:rPr>
          <w:rFonts w:ascii="Arial" w:hAnsi="Arial" w:cs="Arial" w:hint="eastAsia"/>
          <w:sz w:val="28"/>
        </w:rPr>
        <w:t>30%</w:t>
      </w:r>
      <w:r>
        <w:rPr>
          <w:rFonts w:ascii="Arial" w:hAnsi="Arial" w:cs="Arial" w:hint="eastAsia"/>
          <w:sz w:val="28"/>
        </w:rPr>
        <w:t>。</w:t>
      </w:r>
    </w:p>
    <w:p w14:paraId="69BC672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30</w:t>
      </w:r>
      <w:r>
        <w:rPr>
          <w:rFonts w:ascii="Arial" w:hAnsi="Arial" w:cs="Arial" w:hint="eastAsia"/>
          <w:sz w:val="28"/>
        </w:rPr>
        <w:t>日，北京市住房和城乡建设委员会、北京市财政局、中国人民银行北京市分行、国家金融监督管理总局北京监管局、国家税务总局北京市税务局、北京住房公积金管理中心联合发布《关于进一步优化调整本市房地产相关政策的通知》。《通知》提出，加大信贷政策支持力度。一是降低存量房贷利率。引导商业银行稳妥有序将存量房贷利率降至新发放贷款利率附近，切实减轻购房人房贷利息负担。二是下调房贷首付款比例。将商业性个人住房贷款首套房贷最低首付款比例由不低于</w:t>
      </w:r>
      <w:r>
        <w:rPr>
          <w:rFonts w:ascii="Arial" w:hAnsi="Arial" w:cs="Arial" w:hint="eastAsia"/>
          <w:sz w:val="28"/>
        </w:rPr>
        <w:t>20%</w:t>
      </w:r>
      <w:r>
        <w:rPr>
          <w:rFonts w:ascii="Arial" w:hAnsi="Arial" w:cs="Arial" w:hint="eastAsia"/>
          <w:sz w:val="28"/>
        </w:rPr>
        <w:t>下调至不低于</w:t>
      </w:r>
      <w:r>
        <w:rPr>
          <w:rFonts w:ascii="Arial" w:hAnsi="Arial" w:cs="Arial" w:hint="eastAsia"/>
          <w:sz w:val="28"/>
        </w:rPr>
        <w:t>15%</w:t>
      </w:r>
      <w:r>
        <w:rPr>
          <w:rFonts w:ascii="Arial" w:hAnsi="Arial" w:cs="Arial" w:hint="eastAsia"/>
          <w:sz w:val="28"/>
        </w:rPr>
        <w:t>，二套房贷由不低于</w:t>
      </w:r>
      <w:r>
        <w:rPr>
          <w:rFonts w:ascii="Arial" w:hAnsi="Arial" w:cs="Arial" w:hint="eastAsia"/>
          <w:sz w:val="28"/>
        </w:rPr>
        <w:t>35%</w:t>
      </w:r>
      <w:r>
        <w:rPr>
          <w:rFonts w:ascii="Arial" w:hAnsi="Arial" w:cs="Arial" w:hint="eastAsia"/>
          <w:sz w:val="28"/>
        </w:rPr>
        <w:t>（购买五环内住房）、不低于</w:t>
      </w:r>
      <w:r>
        <w:rPr>
          <w:rFonts w:ascii="Arial" w:hAnsi="Arial" w:cs="Arial" w:hint="eastAsia"/>
          <w:sz w:val="28"/>
        </w:rPr>
        <w:t>30%</w:t>
      </w:r>
      <w:r>
        <w:rPr>
          <w:rFonts w:ascii="Arial" w:hAnsi="Arial" w:cs="Arial" w:hint="eastAsia"/>
          <w:sz w:val="28"/>
        </w:rPr>
        <w:t>（购买五环外住房）统一下调至不低于</w:t>
      </w:r>
      <w:r>
        <w:rPr>
          <w:rFonts w:ascii="Arial" w:hAnsi="Arial" w:cs="Arial" w:hint="eastAsia"/>
          <w:sz w:val="28"/>
        </w:rPr>
        <w:t>20%</w:t>
      </w:r>
      <w:r>
        <w:rPr>
          <w:rFonts w:ascii="Arial" w:hAnsi="Arial" w:cs="Arial" w:hint="eastAsia"/>
          <w:sz w:val="28"/>
        </w:rPr>
        <w:t>。三是更好发挥住房公积金贷款作用。京籍二孩以上家庭购房的，公积金可贷款额度上浮</w:t>
      </w:r>
      <w:r>
        <w:rPr>
          <w:rFonts w:ascii="Arial" w:hAnsi="Arial" w:cs="Arial" w:hint="eastAsia"/>
          <w:sz w:val="28"/>
        </w:rPr>
        <w:t>40</w:t>
      </w:r>
      <w:r>
        <w:rPr>
          <w:rFonts w:ascii="Arial" w:hAnsi="Arial" w:cs="Arial" w:hint="eastAsia"/>
          <w:sz w:val="28"/>
        </w:rPr>
        <w:t>万元。</w:t>
      </w:r>
    </w:p>
    <w:p w14:paraId="7BCE44C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2024</w:t>
      </w:r>
      <w:r>
        <w:rPr>
          <w:rFonts w:ascii="Arial" w:hAnsi="Arial" w:cs="Arial" w:hint="eastAsia"/>
          <w:sz w:val="28"/>
        </w:rPr>
        <w:t>年</w:t>
      </w:r>
      <w:r>
        <w:rPr>
          <w:rFonts w:ascii="Arial" w:hAnsi="Arial" w:cs="Arial" w:hint="eastAsia"/>
          <w:sz w:val="28"/>
        </w:rPr>
        <w:t>12</w:t>
      </w:r>
      <w:r>
        <w:rPr>
          <w:rFonts w:ascii="Arial" w:hAnsi="Arial" w:cs="Arial" w:hint="eastAsia"/>
          <w:sz w:val="28"/>
        </w:rPr>
        <w:t>月</w:t>
      </w:r>
      <w:r>
        <w:rPr>
          <w:rFonts w:ascii="Arial" w:hAnsi="Arial" w:cs="Arial" w:hint="eastAsia"/>
          <w:sz w:val="28"/>
        </w:rPr>
        <w:t>31</w:t>
      </w:r>
      <w:r>
        <w:rPr>
          <w:rFonts w:ascii="Arial" w:hAnsi="Arial" w:cs="Arial" w:hint="eastAsia"/>
          <w:sz w:val="28"/>
        </w:rPr>
        <w:t>日，北京住房公积金管理中心发布《关于调整住房公积金个人住房贷款借款人年龄上限的通知》，将住房公积金个人住房贷款借款期限调整到可计算到借款申请人法定退休年龄后</w:t>
      </w:r>
      <w:r>
        <w:rPr>
          <w:rFonts w:ascii="Arial" w:hAnsi="Arial" w:cs="Arial" w:hint="eastAsia"/>
          <w:sz w:val="28"/>
        </w:rPr>
        <w:t>5</w:t>
      </w:r>
      <w:r>
        <w:rPr>
          <w:rFonts w:ascii="Arial" w:hAnsi="Arial" w:cs="Arial" w:hint="eastAsia"/>
          <w:sz w:val="28"/>
        </w:rPr>
        <w:t>年，原则上最高不超过</w:t>
      </w:r>
      <w:r>
        <w:rPr>
          <w:rFonts w:ascii="Arial" w:hAnsi="Arial" w:cs="Arial" w:hint="eastAsia"/>
          <w:sz w:val="28"/>
        </w:rPr>
        <w:t>68</w:t>
      </w:r>
      <w:r>
        <w:rPr>
          <w:rFonts w:ascii="Arial" w:hAnsi="Arial" w:cs="Arial" w:hint="eastAsia"/>
          <w:sz w:val="28"/>
        </w:rPr>
        <w:t>周岁，贷款期限最长为</w:t>
      </w:r>
      <w:r>
        <w:rPr>
          <w:rFonts w:ascii="Arial" w:hAnsi="Arial" w:cs="Arial" w:hint="eastAsia"/>
          <w:sz w:val="28"/>
        </w:rPr>
        <w:t>30</w:t>
      </w:r>
      <w:r>
        <w:rPr>
          <w:rFonts w:ascii="Arial" w:hAnsi="Arial" w:cs="Arial" w:hint="eastAsia"/>
          <w:sz w:val="28"/>
        </w:rPr>
        <w:t>年。《通知》自</w:t>
      </w:r>
      <w:r>
        <w:rPr>
          <w:rFonts w:ascii="Arial" w:hAnsi="Arial" w:cs="Arial" w:hint="eastAsia"/>
          <w:sz w:val="28"/>
        </w:rPr>
        <w:t>2025</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1</w:t>
      </w:r>
      <w:r>
        <w:rPr>
          <w:rFonts w:ascii="Arial" w:hAnsi="Arial" w:cs="Arial" w:hint="eastAsia"/>
          <w:sz w:val="28"/>
        </w:rPr>
        <w:t>日起执行。</w:t>
      </w:r>
    </w:p>
    <w:p w14:paraId="333202B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8</w:t>
      </w:r>
      <w:r>
        <w:rPr>
          <w:rFonts w:ascii="Arial" w:hAnsi="Arial" w:cs="Arial" w:hint="eastAsia"/>
          <w:sz w:val="28"/>
        </w:rPr>
        <w:t>日，北京住房公积金管理中心发布《关于下调个人住房公积金贷款利率的公告》，</w:t>
      </w:r>
      <w:r>
        <w:rPr>
          <w:rFonts w:ascii="Arial" w:hAnsi="Arial" w:cs="Arial" w:hint="eastAsia"/>
          <w:sz w:val="28"/>
        </w:rPr>
        <w:t>2025</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8</w:t>
      </w:r>
      <w:r>
        <w:rPr>
          <w:rFonts w:ascii="Arial" w:hAnsi="Arial" w:cs="Arial" w:hint="eastAsia"/>
          <w:sz w:val="28"/>
        </w:rPr>
        <w:t>日（含）之后新发放的贷款，</w:t>
      </w:r>
      <w:r>
        <w:rPr>
          <w:rFonts w:ascii="Arial" w:hAnsi="Arial" w:cs="Arial" w:hint="eastAsia"/>
          <w:sz w:val="28"/>
        </w:rPr>
        <w:t>5</w:t>
      </w:r>
      <w:r>
        <w:rPr>
          <w:rFonts w:ascii="Arial" w:hAnsi="Arial" w:cs="Arial" w:hint="eastAsia"/>
          <w:sz w:val="28"/>
        </w:rPr>
        <w:t>年以下（含</w:t>
      </w:r>
      <w:r>
        <w:rPr>
          <w:rFonts w:ascii="Arial" w:hAnsi="Arial" w:cs="Arial" w:hint="eastAsia"/>
          <w:sz w:val="28"/>
        </w:rPr>
        <w:t>5</w:t>
      </w:r>
      <w:r>
        <w:rPr>
          <w:rFonts w:ascii="Arial" w:hAnsi="Arial" w:cs="Arial" w:hint="eastAsia"/>
          <w:sz w:val="28"/>
        </w:rPr>
        <w:t>年）和</w:t>
      </w:r>
      <w:r>
        <w:rPr>
          <w:rFonts w:ascii="Arial" w:hAnsi="Arial" w:cs="Arial" w:hint="eastAsia"/>
          <w:sz w:val="28"/>
        </w:rPr>
        <w:t>5</w:t>
      </w:r>
      <w:r>
        <w:rPr>
          <w:rFonts w:ascii="Arial" w:hAnsi="Arial" w:cs="Arial" w:hint="eastAsia"/>
          <w:sz w:val="28"/>
        </w:rPr>
        <w:t>年以上首套个人住房公积金贷款利率分别为</w:t>
      </w:r>
      <w:r>
        <w:rPr>
          <w:rFonts w:ascii="Arial" w:hAnsi="Arial" w:cs="Arial" w:hint="eastAsia"/>
          <w:sz w:val="28"/>
        </w:rPr>
        <w:t>2.1</w:t>
      </w:r>
      <w:r>
        <w:rPr>
          <w:rFonts w:ascii="Arial" w:hAnsi="Arial" w:cs="Arial" w:hint="eastAsia"/>
          <w:sz w:val="28"/>
        </w:rPr>
        <w:t>％和</w:t>
      </w:r>
      <w:r>
        <w:rPr>
          <w:rFonts w:ascii="Arial" w:hAnsi="Arial" w:cs="Arial" w:hint="eastAsia"/>
          <w:sz w:val="28"/>
        </w:rPr>
        <w:t>2.6</w:t>
      </w:r>
      <w:r>
        <w:rPr>
          <w:rFonts w:ascii="Arial" w:hAnsi="Arial" w:cs="Arial" w:hint="eastAsia"/>
          <w:sz w:val="28"/>
        </w:rPr>
        <w:t>％，</w:t>
      </w:r>
      <w:r>
        <w:rPr>
          <w:rFonts w:ascii="Arial" w:hAnsi="Arial" w:cs="Arial" w:hint="eastAsia"/>
          <w:sz w:val="28"/>
        </w:rPr>
        <w:t>5</w:t>
      </w:r>
      <w:r>
        <w:rPr>
          <w:rFonts w:ascii="Arial" w:hAnsi="Arial" w:cs="Arial" w:hint="eastAsia"/>
          <w:sz w:val="28"/>
        </w:rPr>
        <w:t>年以下</w:t>
      </w:r>
      <w:r>
        <w:rPr>
          <w:rFonts w:ascii="Arial" w:hAnsi="Arial" w:cs="Arial" w:hint="eastAsia"/>
          <w:sz w:val="28"/>
        </w:rPr>
        <w:t xml:space="preserve"> </w:t>
      </w:r>
      <w:r>
        <w:rPr>
          <w:rFonts w:ascii="Arial" w:hAnsi="Arial" w:cs="Arial" w:hint="eastAsia"/>
          <w:sz w:val="28"/>
        </w:rPr>
        <w:t>（含</w:t>
      </w:r>
      <w:r>
        <w:rPr>
          <w:rFonts w:ascii="Arial" w:hAnsi="Arial" w:cs="Arial" w:hint="eastAsia"/>
          <w:sz w:val="28"/>
        </w:rPr>
        <w:t>5</w:t>
      </w:r>
      <w:r>
        <w:rPr>
          <w:rFonts w:ascii="Arial" w:hAnsi="Arial" w:cs="Arial" w:hint="eastAsia"/>
          <w:sz w:val="28"/>
        </w:rPr>
        <w:t>年）和</w:t>
      </w:r>
      <w:r>
        <w:rPr>
          <w:rFonts w:ascii="Arial" w:hAnsi="Arial" w:cs="Arial" w:hint="eastAsia"/>
          <w:sz w:val="28"/>
        </w:rPr>
        <w:t>5</w:t>
      </w:r>
      <w:r>
        <w:rPr>
          <w:rFonts w:ascii="Arial" w:hAnsi="Arial" w:cs="Arial" w:hint="eastAsia"/>
          <w:sz w:val="28"/>
        </w:rPr>
        <w:t>年以上第二套个人住房公积金贷款利率分别为</w:t>
      </w:r>
      <w:r>
        <w:rPr>
          <w:rFonts w:ascii="Arial" w:hAnsi="Arial" w:cs="Arial" w:hint="eastAsia"/>
          <w:sz w:val="28"/>
        </w:rPr>
        <w:t>2.525</w:t>
      </w:r>
      <w:r>
        <w:rPr>
          <w:rFonts w:ascii="Arial" w:hAnsi="Arial" w:cs="Arial" w:hint="eastAsia"/>
          <w:sz w:val="28"/>
        </w:rPr>
        <w:t>％和</w:t>
      </w:r>
      <w:r>
        <w:rPr>
          <w:rFonts w:ascii="Arial" w:hAnsi="Arial" w:cs="Arial" w:hint="eastAsia"/>
          <w:sz w:val="28"/>
        </w:rPr>
        <w:t>3.075</w:t>
      </w:r>
      <w:r>
        <w:rPr>
          <w:rFonts w:ascii="Arial" w:hAnsi="Arial" w:cs="Arial" w:hint="eastAsia"/>
          <w:sz w:val="28"/>
        </w:rPr>
        <w:t>％。</w:t>
      </w:r>
    </w:p>
    <w:p w14:paraId="209F717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4.</w:t>
      </w:r>
      <w:r>
        <w:rPr>
          <w:rFonts w:ascii="Arial" w:hAnsi="Arial" w:cs="Arial" w:hint="eastAsia"/>
          <w:sz w:val="28"/>
        </w:rPr>
        <w:t>城市规划与发展目标</w:t>
      </w:r>
    </w:p>
    <w:p w14:paraId="1FD0982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1</w:t>
      </w:r>
      <w:r>
        <w:rPr>
          <w:rFonts w:ascii="Arial" w:hAnsi="Arial" w:cs="Arial" w:hint="eastAsia"/>
          <w:sz w:val="28"/>
        </w:rPr>
        <w:t>）《北京城市总体规划</w:t>
      </w:r>
      <w:r>
        <w:rPr>
          <w:rFonts w:ascii="Arial" w:hAnsi="Arial" w:cs="Arial" w:hint="eastAsia"/>
          <w:sz w:val="28"/>
        </w:rPr>
        <w:t>(2016</w:t>
      </w:r>
      <w:r>
        <w:rPr>
          <w:rFonts w:ascii="Arial" w:hAnsi="Arial" w:cs="Arial" w:hint="eastAsia"/>
          <w:sz w:val="28"/>
        </w:rPr>
        <w:t>年</w:t>
      </w:r>
      <w:r>
        <w:rPr>
          <w:rFonts w:ascii="Arial" w:hAnsi="Arial" w:cs="Arial" w:hint="eastAsia"/>
          <w:sz w:val="28"/>
        </w:rPr>
        <w:t>-2035</w:t>
      </w:r>
      <w:r>
        <w:rPr>
          <w:rFonts w:ascii="Arial" w:hAnsi="Arial" w:cs="Arial" w:hint="eastAsia"/>
          <w:sz w:val="28"/>
        </w:rPr>
        <w:t>年</w:t>
      </w:r>
      <w:r>
        <w:rPr>
          <w:rFonts w:ascii="Arial" w:hAnsi="Arial" w:cs="Arial" w:hint="eastAsia"/>
          <w:sz w:val="28"/>
        </w:rPr>
        <w:t>)</w:t>
      </w:r>
      <w:r>
        <w:rPr>
          <w:rFonts w:ascii="Arial" w:hAnsi="Arial" w:cs="Arial" w:hint="eastAsia"/>
          <w:sz w:val="28"/>
        </w:rPr>
        <w:t>》于</w:t>
      </w:r>
      <w:r>
        <w:rPr>
          <w:rFonts w:ascii="Arial" w:hAnsi="Arial" w:cs="Arial" w:hint="eastAsia"/>
          <w:sz w:val="28"/>
        </w:rPr>
        <w:t>2017</w:t>
      </w:r>
      <w:r>
        <w:rPr>
          <w:rFonts w:ascii="Arial" w:hAnsi="Arial" w:cs="Arial" w:hint="eastAsia"/>
          <w:sz w:val="28"/>
        </w:rPr>
        <w:t>年</w:t>
      </w:r>
      <w:r>
        <w:rPr>
          <w:rFonts w:ascii="Arial" w:hAnsi="Arial" w:cs="Arial" w:hint="eastAsia"/>
          <w:sz w:val="28"/>
        </w:rPr>
        <w:t>9</w:t>
      </w:r>
      <w:r>
        <w:rPr>
          <w:rFonts w:ascii="Arial" w:hAnsi="Arial" w:cs="Arial" w:hint="eastAsia"/>
          <w:sz w:val="28"/>
        </w:rPr>
        <w:t>月</w:t>
      </w:r>
      <w:r>
        <w:rPr>
          <w:rFonts w:ascii="Arial" w:hAnsi="Arial" w:cs="Arial" w:hint="eastAsia"/>
          <w:sz w:val="28"/>
        </w:rPr>
        <w:t>29</w:t>
      </w:r>
      <w:r>
        <w:rPr>
          <w:rFonts w:ascii="Arial" w:hAnsi="Arial" w:cs="Arial" w:hint="eastAsia"/>
          <w:sz w:val="28"/>
        </w:rPr>
        <w:t>日正式发布。新版总体规划以资源环境为硬约束，确定了人口总量上限、生态控</w:t>
      </w:r>
      <w:r>
        <w:rPr>
          <w:rFonts w:ascii="Arial" w:hAnsi="Arial" w:cs="Arial" w:hint="eastAsia"/>
          <w:sz w:val="28"/>
        </w:rPr>
        <w:lastRenderedPageBreak/>
        <w:t>制线、城市开发边界“三条红线”。通过疏解非首都功能，实现人随功能走、人随产业走。北京市常住人口规模</w:t>
      </w:r>
      <w:r>
        <w:rPr>
          <w:rFonts w:ascii="Arial" w:hAnsi="Arial" w:cs="Arial" w:hint="eastAsia"/>
          <w:sz w:val="28"/>
        </w:rPr>
        <w:t>2020</w:t>
      </w:r>
      <w:r>
        <w:rPr>
          <w:rFonts w:ascii="Arial" w:hAnsi="Arial" w:cs="Arial" w:hint="eastAsia"/>
          <w:sz w:val="28"/>
        </w:rPr>
        <w:t>年控制在</w:t>
      </w:r>
      <w:r>
        <w:rPr>
          <w:rFonts w:ascii="Arial" w:hAnsi="Arial" w:cs="Arial" w:hint="eastAsia"/>
          <w:sz w:val="28"/>
        </w:rPr>
        <w:t>2300</w:t>
      </w:r>
      <w:r>
        <w:rPr>
          <w:rFonts w:ascii="Arial" w:hAnsi="Arial" w:cs="Arial" w:hint="eastAsia"/>
          <w:sz w:val="28"/>
        </w:rPr>
        <w:t>万人以内，</w:t>
      </w:r>
      <w:r>
        <w:rPr>
          <w:rFonts w:ascii="Arial" w:hAnsi="Arial" w:cs="Arial" w:hint="eastAsia"/>
          <w:sz w:val="28"/>
        </w:rPr>
        <w:t>2020</w:t>
      </w:r>
      <w:r>
        <w:rPr>
          <w:rFonts w:ascii="Arial" w:hAnsi="Arial" w:cs="Arial" w:hint="eastAsia"/>
          <w:sz w:val="28"/>
        </w:rPr>
        <w:t>年以后长期稳定在这一水平。到</w:t>
      </w:r>
      <w:r>
        <w:rPr>
          <w:rFonts w:ascii="Arial" w:hAnsi="Arial" w:cs="Arial" w:hint="eastAsia"/>
          <w:sz w:val="28"/>
        </w:rPr>
        <w:t>2035</w:t>
      </w:r>
      <w:r>
        <w:rPr>
          <w:rFonts w:ascii="Arial" w:hAnsi="Arial" w:cs="Arial" w:hint="eastAsia"/>
          <w:sz w:val="28"/>
        </w:rPr>
        <w:t>年，北京市生态控制区面积占市域面积的比例要提高到</w:t>
      </w:r>
      <w:r>
        <w:rPr>
          <w:rFonts w:ascii="Arial" w:hAnsi="Arial" w:cs="Arial" w:hint="eastAsia"/>
          <w:sz w:val="28"/>
        </w:rPr>
        <w:t>75%</w:t>
      </w:r>
      <w:r>
        <w:rPr>
          <w:rFonts w:ascii="Arial" w:hAnsi="Arial" w:cs="Arial" w:hint="eastAsia"/>
          <w:sz w:val="28"/>
        </w:rPr>
        <w:t>。到</w:t>
      </w:r>
      <w:r>
        <w:rPr>
          <w:rFonts w:ascii="Arial" w:hAnsi="Arial" w:cs="Arial" w:hint="eastAsia"/>
          <w:sz w:val="28"/>
        </w:rPr>
        <w:t>2020</w:t>
      </w:r>
      <w:r>
        <w:rPr>
          <w:rFonts w:ascii="Arial" w:hAnsi="Arial" w:cs="Arial" w:hint="eastAsia"/>
          <w:sz w:val="28"/>
        </w:rPr>
        <w:t>年，北京市城乡建设用地规模将由</w:t>
      </w:r>
      <w:r>
        <w:rPr>
          <w:rFonts w:ascii="Arial" w:hAnsi="Arial" w:cs="Arial" w:hint="eastAsia"/>
          <w:sz w:val="28"/>
        </w:rPr>
        <w:t>2015</w:t>
      </w:r>
      <w:r>
        <w:rPr>
          <w:rFonts w:ascii="Arial" w:hAnsi="Arial" w:cs="Arial" w:hint="eastAsia"/>
          <w:sz w:val="28"/>
        </w:rPr>
        <w:t>年的</w:t>
      </w:r>
      <w:r>
        <w:rPr>
          <w:rFonts w:ascii="Arial" w:hAnsi="Arial" w:cs="Arial" w:hint="eastAsia"/>
          <w:sz w:val="28"/>
        </w:rPr>
        <w:t>2921</w:t>
      </w:r>
      <w:r>
        <w:rPr>
          <w:rFonts w:ascii="Arial" w:hAnsi="Arial" w:cs="Arial" w:hint="eastAsia"/>
          <w:sz w:val="28"/>
        </w:rPr>
        <w:t>平方公里减到</w:t>
      </w:r>
      <w:r>
        <w:rPr>
          <w:rFonts w:ascii="Arial" w:hAnsi="Arial" w:cs="Arial" w:hint="eastAsia"/>
          <w:sz w:val="28"/>
        </w:rPr>
        <w:t>2860</w:t>
      </w:r>
      <w:r>
        <w:rPr>
          <w:rFonts w:ascii="Arial" w:hAnsi="Arial" w:cs="Arial" w:hint="eastAsia"/>
          <w:sz w:val="28"/>
        </w:rPr>
        <w:t>平方公里。深入推进京津冀协同发展。发挥北京的辐射带动作用，打造以首都为核心的世界级城市群。全方位对接支持河北雄安新区规划建设。与河北共同筹办好</w:t>
      </w:r>
      <w:r>
        <w:rPr>
          <w:rFonts w:ascii="Arial" w:hAnsi="Arial" w:cs="Arial" w:hint="eastAsia"/>
          <w:sz w:val="28"/>
        </w:rPr>
        <w:t>2022</w:t>
      </w:r>
      <w:r>
        <w:rPr>
          <w:rFonts w:ascii="Arial" w:hAnsi="Arial" w:cs="Arial" w:hint="eastAsia"/>
          <w:sz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14:paraId="206AEE29"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2</w:t>
      </w:r>
      <w:r>
        <w:rPr>
          <w:rFonts w:ascii="Arial" w:hAnsi="Arial" w:cs="Arial" w:hint="eastAsia"/>
          <w:sz w:val="28"/>
        </w:rPr>
        <w:t>）</w:t>
      </w:r>
      <w:r>
        <w:rPr>
          <w:rFonts w:ascii="Arial" w:hAnsi="Arial" w:cs="Arial" w:hint="eastAsia"/>
          <w:sz w:val="28"/>
        </w:rPr>
        <w:t>2021</w:t>
      </w:r>
      <w:r>
        <w:rPr>
          <w:rFonts w:ascii="Arial" w:hAnsi="Arial" w:cs="Arial" w:hint="eastAsia"/>
          <w:sz w:val="28"/>
        </w:rPr>
        <w:t>年</w:t>
      </w:r>
      <w:r>
        <w:rPr>
          <w:rFonts w:ascii="Arial" w:hAnsi="Arial" w:cs="Arial" w:hint="eastAsia"/>
          <w:sz w:val="28"/>
        </w:rPr>
        <w:t>1</w:t>
      </w:r>
      <w:r>
        <w:rPr>
          <w:rFonts w:ascii="Arial" w:hAnsi="Arial" w:cs="Arial" w:hint="eastAsia"/>
          <w:sz w:val="28"/>
        </w:rPr>
        <w:t>月</w:t>
      </w:r>
      <w:r>
        <w:rPr>
          <w:rFonts w:ascii="Arial" w:hAnsi="Arial" w:cs="Arial" w:hint="eastAsia"/>
          <w:sz w:val="28"/>
        </w:rPr>
        <w:t>27</w:t>
      </w:r>
      <w:r>
        <w:rPr>
          <w:rFonts w:ascii="Arial" w:hAnsi="Arial" w:cs="Arial" w:hint="eastAsia"/>
          <w:sz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413F5F6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《纲要》提出，建设高品质宜居城市，优化城市空间功能布局，加快推</w:t>
      </w:r>
      <w:r>
        <w:rPr>
          <w:rFonts w:ascii="Arial" w:hAnsi="Arial" w:cs="Arial" w:hint="eastAsia"/>
          <w:sz w:val="28"/>
        </w:rPr>
        <w:lastRenderedPageBreak/>
        <w:t>进城市更新。大力推进老旧小区改造，促进存量产业空间活力复兴。研究推进区域整体转型开发、节余土地分割转让等机制，鼓励市场主体利用老旧厂房发展科技研发、商务服务、文化创意等产业。</w:t>
      </w:r>
    </w:p>
    <w:p w14:paraId="373AE6D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完善多层次住房保障体系，加大住房有效供给，优化房地产市场管理和服务。坚持“房住不炒”，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hAnsi="Arial" w:cs="Arial" w:hint="eastAsia"/>
          <w:sz w:val="28"/>
        </w:rPr>
        <w:t>5000</w:t>
      </w:r>
      <w:r>
        <w:rPr>
          <w:rFonts w:ascii="Arial" w:hAnsi="Arial" w:cs="Arial" w:hint="eastAsia"/>
          <w:sz w:val="28"/>
        </w:rPr>
        <w:t>公顷、供应各类住房</w:t>
      </w:r>
      <w:r>
        <w:rPr>
          <w:rFonts w:ascii="Arial" w:hAnsi="Arial" w:cs="Arial" w:hint="eastAsia"/>
          <w:sz w:val="28"/>
        </w:rPr>
        <w:t>100</w:t>
      </w:r>
      <w:r>
        <w:rPr>
          <w:rFonts w:ascii="Arial" w:hAnsi="Arial" w:cs="Arial" w:hint="eastAsia"/>
          <w:sz w:val="28"/>
        </w:rPr>
        <w:t>万套左右，基本实现总体供需平衡。加大多层次保障性租赁住房供给，针对中低收入家庭自住需求，大力筹集建设各类租赁型住房，提高公共租赁住房备案家庭保障率，新增供应套数占比不低于</w:t>
      </w:r>
      <w:r>
        <w:rPr>
          <w:rFonts w:ascii="Arial" w:hAnsi="Arial" w:cs="Arial" w:hint="eastAsia"/>
          <w:sz w:val="28"/>
        </w:rPr>
        <w:t>40%</w:t>
      </w:r>
      <w:r>
        <w:rPr>
          <w:rFonts w:ascii="Arial" w:hAnsi="Arial" w:cs="Arial" w:hint="eastAsia"/>
          <w:sz w:val="28"/>
        </w:rPr>
        <w:t>。新增集体土地租赁住房等政策性租赁住房供地占比不低于供应总量的</w:t>
      </w:r>
      <w:r>
        <w:rPr>
          <w:rFonts w:ascii="Arial" w:hAnsi="Arial" w:cs="Arial" w:hint="eastAsia"/>
          <w:sz w:val="28"/>
        </w:rPr>
        <w:t>15%</w:t>
      </w:r>
      <w:r>
        <w:rPr>
          <w:rFonts w:ascii="Arial" w:hAnsi="Arial" w:cs="Arial" w:hint="eastAsia"/>
          <w:sz w:val="28"/>
        </w:rPr>
        <w:t>，鼓励存量低效商业、办公、厂房等建筑改造为租赁型职工集体宿舍或公寓。加快高层次人才公租房和国际人才公寓建设。确保住房交易市场平稳有序，规范发展住房租赁市场，保持调控政策连续性稳定性，坚决遏制投机炒房，按照“全市统筹、因区施策”原则，逐步完善各区域调控长效机制，合理设定调控目标，全面落实稳地价、稳房价、稳预期。</w:t>
      </w:r>
    </w:p>
    <w:p w14:paraId="69B61DA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3</w:t>
      </w:r>
      <w:r>
        <w:rPr>
          <w:rFonts w:ascii="Arial" w:hAnsi="Arial" w:cs="Arial" w:hint="eastAsia"/>
          <w:sz w:val="28"/>
        </w:rPr>
        <w:t>）</w:t>
      </w:r>
      <w:r>
        <w:rPr>
          <w:rFonts w:ascii="Arial" w:hAnsi="Arial" w:cs="Arial" w:hint="eastAsia"/>
          <w:sz w:val="28"/>
        </w:rPr>
        <w:t>2022</w:t>
      </w:r>
      <w:r>
        <w:rPr>
          <w:rFonts w:ascii="Arial" w:hAnsi="Arial" w:cs="Arial" w:hint="eastAsia"/>
          <w:sz w:val="28"/>
        </w:rPr>
        <w:t>年</w:t>
      </w:r>
      <w:r>
        <w:rPr>
          <w:rFonts w:ascii="Arial" w:hAnsi="Arial" w:cs="Arial" w:hint="eastAsia"/>
          <w:sz w:val="28"/>
        </w:rPr>
        <w:t>5</w:t>
      </w:r>
      <w:r>
        <w:rPr>
          <w:rFonts w:ascii="Arial" w:hAnsi="Arial" w:cs="Arial" w:hint="eastAsia"/>
          <w:sz w:val="28"/>
        </w:rPr>
        <w:t>月</w:t>
      </w:r>
      <w:r>
        <w:rPr>
          <w:rFonts w:ascii="Arial" w:hAnsi="Arial" w:cs="Arial" w:hint="eastAsia"/>
          <w:sz w:val="28"/>
        </w:rPr>
        <w:t>18</w:t>
      </w:r>
      <w:r>
        <w:rPr>
          <w:rFonts w:ascii="Arial" w:hAnsi="Arial" w:cs="Arial" w:hint="eastAsia"/>
          <w:sz w:val="28"/>
        </w:rPr>
        <w:t>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w:t>
      </w:r>
      <w:r>
        <w:rPr>
          <w:rFonts w:ascii="Arial" w:hAnsi="Arial" w:cs="Arial" w:hint="eastAsia"/>
          <w:sz w:val="28"/>
        </w:rPr>
        <w:t>178</w:t>
      </w:r>
      <w:r>
        <w:rPr>
          <w:rFonts w:ascii="Arial" w:hAnsi="Arial" w:cs="Arial" w:hint="eastAsia"/>
          <w:sz w:val="28"/>
        </w:rPr>
        <w:t>个城市更新重点街区，到</w:t>
      </w:r>
      <w:r>
        <w:rPr>
          <w:rFonts w:ascii="Arial" w:hAnsi="Arial" w:cs="Arial" w:hint="eastAsia"/>
          <w:sz w:val="28"/>
        </w:rPr>
        <w:t>2025</w:t>
      </w:r>
      <w:r>
        <w:rPr>
          <w:rFonts w:ascii="Arial" w:hAnsi="Arial" w:cs="Arial" w:hint="eastAsia"/>
          <w:sz w:val="28"/>
        </w:rPr>
        <w:t>年，将完成全市</w:t>
      </w:r>
      <w:r>
        <w:rPr>
          <w:rFonts w:ascii="Arial" w:hAnsi="Arial" w:cs="Arial" w:hint="eastAsia"/>
          <w:sz w:val="28"/>
        </w:rPr>
        <w:t>2000</w:t>
      </w:r>
      <w:r>
        <w:rPr>
          <w:rFonts w:ascii="Arial" w:hAnsi="Arial" w:cs="Arial" w:hint="eastAsia"/>
          <w:sz w:val="28"/>
        </w:rPr>
        <w:t>年底前建成需改造的</w:t>
      </w:r>
      <w:r>
        <w:rPr>
          <w:rFonts w:ascii="Arial" w:hAnsi="Arial" w:cs="Arial" w:hint="eastAsia"/>
          <w:sz w:val="28"/>
        </w:rPr>
        <w:t>1.6</w:t>
      </w:r>
      <w:r>
        <w:rPr>
          <w:rFonts w:ascii="Arial" w:hAnsi="Arial" w:cs="Arial" w:hint="eastAsia"/>
          <w:sz w:val="28"/>
        </w:rPr>
        <w:t>亿平方米老旧小区改造任务。</w:t>
      </w:r>
    </w:p>
    <w:p w14:paraId="0A9C197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lastRenderedPageBreak/>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218A7C0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5.</w:t>
      </w:r>
      <w:r>
        <w:rPr>
          <w:rFonts w:ascii="Arial" w:hAnsi="Arial" w:cs="Arial" w:hint="eastAsia"/>
          <w:sz w:val="28"/>
        </w:rPr>
        <w:t>城市经济发展运行状况</w:t>
      </w:r>
    </w:p>
    <w:p w14:paraId="58C49AB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根据北京市统计局地区生产总值统一核算结果，</w:t>
      </w:r>
      <w:r>
        <w:rPr>
          <w:rFonts w:ascii="Arial" w:hAnsi="Arial" w:cs="Arial" w:hint="eastAsia"/>
          <w:sz w:val="28"/>
        </w:rPr>
        <w:t>2025</w:t>
      </w:r>
      <w:r>
        <w:rPr>
          <w:rFonts w:ascii="Arial" w:hAnsi="Arial" w:cs="Arial" w:hint="eastAsia"/>
          <w:sz w:val="28"/>
        </w:rPr>
        <w:t>年上半年，北京市实现地区生产总值</w:t>
      </w:r>
      <w:r>
        <w:rPr>
          <w:rFonts w:ascii="Arial" w:hAnsi="Arial" w:cs="Arial" w:hint="eastAsia"/>
          <w:sz w:val="28"/>
        </w:rPr>
        <w:t>25029.2</w:t>
      </w:r>
      <w:r>
        <w:rPr>
          <w:rFonts w:ascii="Arial" w:hAnsi="Arial" w:cs="Arial" w:hint="eastAsia"/>
          <w:sz w:val="28"/>
        </w:rPr>
        <w:t>亿元，按不变价格计算，同比增长</w:t>
      </w:r>
      <w:r>
        <w:rPr>
          <w:rFonts w:ascii="Arial" w:hAnsi="Arial" w:cs="Arial" w:hint="eastAsia"/>
          <w:sz w:val="28"/>
        </w:rPr>
        <w:t>5.5%</w:t>
      </w:r>
      <w:r>
        <w:rPr>
          <w:rFonts w:ascii="Arial" w:hAnsi="Arial" w:cs="Arial" w:hint="eastAsia"/>
          <w:sz w:val="28"/>
        </w:rPr>
        <w:t>。分产业看，第一产业实现增加值</w:t>
      </w:r>
      <w:r>
        <w:rPr>
          <w:rFonts w:ascii="Arial" w:hAnsi="Arial" w:cs="Arial" w:hint="eastAsia"/>
          <w:sz w:val="28"/>
        </w:rPr>
        <w:t>45.7</w:t>
      </w:r>
      <w:r>
        <w:rPr>
          <w:rFonts w:ascii="Arial" w:hAnsi="Arial" w:cs="Arial" w:hint="eastAsia"/>
          <w:sz w:val="28"/>
        </w:rPr>
        <w:t>亿元，增长</w:t>
      </w:r>
      <w:r>
        <w:rPr>
          <w:rFonts w:ascii="Arial" w:hAnsi="Arial" w:cs="Arial" w:hint="eastAsia"/>
          <w:sz w:val="28"/>
        </w:rPr>
        <w:t>1.5%</w:t>
      </w:r>
      <w:r>
        <w:rPr>
          <w:rFonts w:ascii="Arial" w:hAnsi="Arial" w:cs="Arial" w:hint="eastAsia"/>
          <w:sz w:val="28"/>
        </w:rPr>
        <w:t>；第二产业实现增加值</w:t>
      </w:r>
      <w:r>
        <w:rPr>
          <w:rFonts w:ascii="Arial" w:hAnsi="Arial" w:cs="Arial" w:hint="eastAsia"/>
          <w:sz w:val="28"/>
        </w:rPr>
        <w:t>3356.1</w:t>
      </w:r>
      <w:r>
        <w:rPr>
          <w:rFonts w:ascii="Arial" w:hAnsi="Arial" w:cs="Arial" w:hint="eastAsia"/>
          <w:sz w:val="28"/>
        </w:rPr>
        <w:t>亿元，增长</w:t>
      </w:r>
      <w:r>
        <w:rPr>
          <w:rFonts w:ascii="Arial" w:hAnsi="Arial" w:cs="Arial" w:hint="eastAsia"/>
          <w:sz w:val="28"/>
        </w:rPr>
        <w:t>4.7%</w:t>
      </w:r>
      <w:r>
        <w:rPr>
          <w:rFonts w:ascii="Arial" w:hAnsi="Arial" w:cs="Arial" w:hint="eastAsia"/>
          <w:sz w:val="28"/>
        </w:rPr>
        <w:t>；第三产业实现增加值</w:t>
      </w:r>
      <w:r>
        <w:rPr>
          <w:rFonts w:ascii="Arial" w:hAnsi="Arial" w:cs="Arial" w:hint="eastAsia"/>
          <w:sz w:val="28"/>
        </w:rPr>
        <w:t>21627.5</w:t>
      </w:r>
      <w:r>
        <w:rPr>
          <w:rFonts w:ascii="Arial" w:hAnsi="Arial" w:cs="Arial" w:hint="eastAsia"/>
          <w:sz w:val="28"/>
        </w:rPr>
        <w:t>亿元，增长</w:t>
      </w:r>
      <w:r>
        <w:rPr>
          <w:rFonts w:ascii="Arial" w:hAnsi="Arial" w:cs="Arial" w:hint="eastAsia"/>
          <w:sz w:val="28"/>
        </w:rPr>
        <w:t>5.6%</w:t>
      </w:r>
      <w:r>
        <w:rPr>
          <w:rFonts w:ascii="Arial" w:hAnsi="Arial" w:cs="Arial" w:hint="eastAsia"/>
          <w:sz w:val="28"/>
        </w:rPr>
        <w:t>。</w:t>
      </w:r>
    </w:p>
    <w:p w14:paraId="0970429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1</w:t>
      </w:r>
      <w:r>
        <w:rPr>
          <w:rFonts w:ascii="Arial" w:hAnsi="Arial" w:cs="Arial" w:hint="eastAsia"/>
          <w:sz w:val="28"/>
        </w:rPr>
        <w:t>）农业生产保持增长，乡村旅游升温向好</w:t>
      </w:r>
    </w:p>
    <w:p w14:paraId="32B741BF"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年上半年，北京市实现农林牧渔业总产值</w:t>
      </w:r>
      <w:r>
        <w:rPr>
          <w:rFonts w:ascii="Arial" w:hAnsi="Arial" w:cs="Arial" w:hint="eastAsia"/>
          <w:sz w:val="28"/>
        </w:rPr>
        <w:t>97.9</w:t>
      </w:r>
      <w:r>
        <w:rPr>
          <w:rFonts w:ascii="Arial" w:hAnsi="Arial" w:cs="Arial" w:hint="eastAsia"/>
          <w:sz w:val="28"/>
        </w:rPr>
        <w:t>亿元，按可比价格计算，同比增长</w:t>
      </w:r>
      <w:r>
        <w:rPr>
          <w:rFonts w:ascii="Arial" w:hAnsi="Arial" w:cs="Arial" w:hint="eastAsia"/>
          <w:sz w:val="28"/>
        </w:rPr>
        <w:t>2.2%</w:t>
      </w:r>
      <w:r>
        <w:rPr>
          <w:rFonts w:ascii="Arial" w:hAnsi="Arial" w:cs="Arial" w:hint="eastAsia"/>
          <w:sz w:val="28"/>
        </w:rPr>
        <w:t>。其中，实现农业（种植业）产值</w:t>
      </w:r>
      <w:r>
        <w:rPr>
          <w:rFonts w:ascii="Arial" w:hAnsi="Arial" w:cs="Arial" w:hint="eastAsia"/>
          <w:sz w:val="28"/>
        </w:rPr>
        <w:t>47</w:t>
      </w:r>
      <w:r>
        <w:rPr>
          <w:rFonts w:ascii="Arial" w:hAnsi="Arial" w:cs="Arial" w:hint="eastAsia"/>
          <w:sz w:val="28"/>
        </w:rPr>
        <w:t>亿元，增长</w:t>
      </w:r>
      <w:r>
        <w:rPr>
          <w:rFonts w:ascii="Arial" w:hAnsi="Arial" w:cs="Arial" w:hint="eastAsia"/>
          <w:sz w:val="28"/>
        </w:rPr>
        <w:t>3.9%</w:t>
      </w:r>
      <w:r>
        <w:rPr>
          <w:rFonts w:ascii="Arial" w:hAnsi="Arial" w:cs="Arial" w:hint="eastAsia"/>
          <w:sz w:val="28"/>
        </w:rPr>
        <w:t>，蔬菜（含食用菌）播种面积和产量分别增长</w:t>
      </w:r>
      <w:r>
        <w:rPr>
          <w:rFonts w:ascii="Arial" w:hAnsi="Arial" w:cs="Arial" w:hint="eastAsia"/>
          <w:sz w:val="28"/>
        </w:rPr>
        <w:t>4.3%</w:t>
      </w:r>
      <w:r>
        <w:rPr>
          <w:rFonts w:ascii="Arial" w:hAnsi="Arial" w:cs="Arial" w:hint="eastAsia"/>
          <w:sz w:val="28"/>
        </w:rPr>
        <w:t>和</w:t>
      </w:r>
      <w:r>
        <w:rPr>
          <w:rFonts w:ascii="Arial" w:hAnsi="Arial" w:cs="Arial" w:hint="eastAsia"/>
          <w:sz w:val="28"/>
        </w:rPr>
        <w:t>7.4%</w:t>
      </w:r>
      <w:r>
        <w:rPr>
          <w:rFonts w:ascii="Arial" w:hAnsi="Arial" w:cs="Arial" w:hint="eastAsia"/>
          <w:sz w:val="28"/>
        </w:rPr>
        <w:t>，夏粮播种面积持续扩大；实现林业产值</w:t>
      </w:r>
      <w:r>
        <w:rPr>
          <w:rFonts w:ascii="Arial" w:hAnsi="Arial" w:cs="Arial" w:hint="eastAsia"/>
          <w:sz w:val="28"/>
        </w:rPr>
        <w:t>23.6</w:t>
      </w:r>
      <w:r>
        <w:rPr>
          <w:rFonts w:ascii="Arial" w:hAnsi="Arial" w:cs="Arial" w:hint="eastAsia"/>
          <w:sz w:val="28"/>
        </w:rPr>
        <w:t>亿元，下降</w:t>
      </w:r>
      <w:r>
        <w:rPr>
          <w:rFonts w:ascii="Arial" w:hAnsi="Arial" w:cs="Arial" w:hint="eastAsia"/>
          <w:sz w:val="28"/>
        </w:rPr>
        <w:t>12.4%</w:t>
      </w:r>
      <w:r>
        <w:rPr>
          <w:rFonts w:ascii="Arial" w:hAnsi="Arial" w:cs="Arial" w:hint="eastAsia"/>
          <w:sz w:val="28"/>
        </w:rPr>
        <w:t>；实现牧业产值</w:t>
      </w:r>
      <w:r>
        <w:rPr>
          <w:rFonts w:ascii="Arial" w:hAnsi="Arial" w:cs="Arial" w:hint="eastAsia"/>
          <w:sz w:val="28"/>
        </w:rPr>
        <w:t>20.9</w:t>
      </w:r>
      <w:r>
        <w:rPr>
          <w:rFonts w:ascii="Arial" w:hAnsi="Arial" w:cs="Arial" w:hint="eastAsia"/>
          <w:sz w:val="28"/>
        </w:rPr>
        <w:t>亿元，增长</w:t>
      </w:r>
      <w:r>
        <w:rPr>
          <w:rFonts w:ascii="Arial" w:hAnsi="Arial" w:cs="Arial" w:hint="eastAsia"/>
          <w:sz w:val="28"/>
        </w:rPr>
        <w:t>11.8%</w:t>
      </w:r>
      <w:r>
        <w:rPr>
          <w:rFonts w:ascii="Arial" w:hAnsi="Arial" w:cs="Arial" w:hint="eastAsia"/>
          <w:sz w:val="28"/>
        </w:rPr>
        <w:t>，生猪、牛、禽出栏量分别增长</w:t>
      </w:r>
      <w:r>
        <w:rPr>
          <w:rFonts w:ascii="Arial" w:hAnsi="Arial" w:cs="Arial" w:hint="eastAsia"/>
          <w:sz w:val="28"/>
        </w:rPr>
        <w:t>22.4%</w:t>
      </w:r>
      <w:r>
        <w:rPr>
          <w:rFonts w:ascii="Arial" w:hAnsi="Arial" w:cs="Arial" w:hint="eastAsia"/>
          <w:sz w:val="28"/>
        </w:rPr>
        <w:t>、</w:t>
      </w:r>
      <w:r>
        <w:rPr>
          <w:rFonts w:ascii="Arial" w:hAnsi="Arial" w:cs="Arial" w:hint="eastAsia"/>
          <w:sz w:val="28"/>
        </w:rPr>
        <w:t>32.3%</w:t>
      </w:r>
      <w:r>
        <w:rPr>
          <w:rFonts w:ascii="Arial" w:hAnsi="Arial" w:cs="Arial" w:hint="eastAsia"/>
          <w:sz w:val="28"/>
        </w:rPr>
        <w:t>和</w:t>
      </w:r>
      <w:r>
        <w:rPr>
          <w:rFonts w:ascii="Arial" w:hAnsi="Arial" w:cs="Arial" w:hint="eastAsia"/>
          <w:sz w:val="28"/>
        </w:rPr>
        <w:t>14.1%</w:t>
      </w:r>
      <w:r>
        <w:rPr>
          <w:rFonts w:ascii="Arial" w:hAnsi="Arial" w:cs="Arial" w:hint="eastAsia"/>
          <w:sz w:val="28"/>
        </w:rPr>
        <w:t>。乡村休闲旅游接待</w:t>
      </w:r>
      <w:r>
        <w:rPr>
          <w:rFonts w:ascii="Arial" w:hAnsi="Arial" w:cs="Arial" w:hint="eastAsia"/>
          <w:sz w:val="28"/>
        </w:rPr>
        <w:t>1123</w:t>
      </w:r>
      <w:r>
        <w:rPr>
          <w:rFonts w:ascii="Arial" w:hAnsi="Arial" w:cs="Arial" w:hint="eastAsia"/>
          <w:sz w:val="28"/>
        </w:rPr>
        <w:t>万人次，同比增长</w:t>
      </w:r>
      <w:r>
        <w:rPr>
          <w:rFonts w:ascii="Arial" w:hAnsi="Arial" w:cs="Arial" w:hint="eastAsia"/>
          <w:sz w:val="28"/>
        </w:rPr>
        <w:t>4.7%</w:t>
      </w:r>
      <w:r>
        <w:rPr>
          <w:rFonts w:ascii="Arial" w:hAnsi="Arial" w:cs="Arial" w:hint="eastAsia"/>
          <w:sz w:val="28"/>
        </w:rPr>
        <w:t>。</w:t>
      </w:r>
    </w:p>
    <w:p w14:paraId="3B61FA4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2</w:t>
      </w:r>
      <w:r>
        <w:rPr>
          <w:rFonts w:ascii="Arial" w:hAnsi="Arial" w:cs="Arial" w:hint="eastAsia"/>
          <w:sz w:val="28"/>
        </w:rPr>
        <w:t>）工业生产增速提升，高端制造加快布局</w:t>
      </w:r>
    </w:p>
    <w:p w14:paraId="38CB50F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年上半年，北京市规模以上工业增加值按可比价格计算，同比增长</w:t>
      </w:r>
      <w:r>
        <w:rPr>
          <w:rFonts w:ascii="Arial" w:hAnsi="Arial" w:cs="Arial" w:hint="eastAsia"/>
          <w:sz w:val="28"/>
        </w:rPr>
        <w:t>7.0%</w:t>
      </w:r>
      <w:r>
        <w:rPr>
          <w:rFonts w:ascii="Arial" w:hAnsi="Arial" w:cs="Arial" w:hint="eastAsia"/>
          <w:sz w:val="28"/>
        </w:rPr>
        <w:t>，比一季度提高</w:t>
      </w:r>
      <w:r>
        <w:rPr>
          <w:rFonts w:ascii="Arial" w:hAnsi="Arial" w:cs="Arial" w:hint="eastAsia"/>
          <w:sz w:val="28"/>
        </w:rPr>
        <w:t>0.2</w:t>
      </w:r>
      <w:r>
        <w:rPr>
          <w:rFonts w:ascii="Arial" w:hAnsi="Arial" w:cs="Arial" w:hint="eastAsia"/>
          <w:sz w:val="28"/>
        </w:rPr>
        <w:t>个百分点。重点行业中，计算机、通信和其他电子设备制造业增长</w:t>
      </w:r>
      <w:r>
        <w:rPr>
          <w:rFonts w:ascii="Arial" w:hAnsi="Arial" w:cs="Arial" w:hint="eastAsia"/>
          <w:sz w:val="28"/>
        </w:rPr>
        <w:t>24.6%</w:t>
      </w:r>
      <w:r>
        <w:rPr>
          <w:rFonts w:ascii="Arial" w:hAnsi="Arial" w:cs="Arial" w:hint="eastAsia"/>
          <w:sz w:val="28"/>
        </w:rPr>
        <w:t>，汽车制造业增长</w:t>
      </w:r>
      <w:r>
        <w:rPr>
          <w:rFonts w:ascii="Arial" w:hAnsi="Arial" w:cs="Arial" w:hint="eastAsia"/>
          <w:sz w:val="28"/>
        </w:rPr>
        <w:t>16.7%</w:t>
      </w:r>
      <w:r>
        <w:rPr>
          <w:rFonts w:ascii="Arial" w:hAnsi="Arial" w:cs="Arial" w:hint="eastAsia"/>
          <w:sz w:val="28"/>
        </w:rPr>
        <w:t>，电力、热力生产和供应业增长</w:t>
      </w:r>
      <w:r>
        <w:rPr>
          <w:rFonts w:ascii="Arial" w:hAnsi="Arial" w:cs="Arial" w:hint="eastAsia"/>
          <w:sz w:val="28"/>
        </w:rPr>
        <w:t>3.9%</w:t>
      </w:r>
      <w:r>
        <w:rPr>
          <w:rFonts w:ascii="Arial" w:hAnsi="Arial" w:cs="Arial" w:hint="eastAsia"/>
          <w:sz w:val="28"/>
        </w:rPr>
        <w:t>，医药制造业下降</w:t>
      </w:r>
      <w:r>
        <w:rPr>
          <w:rFonts w:ascii="Arial" w:hAnsi="Arial" w:cs="Arial" w:hint="eastAsia"/>
          <w:sz w:val="28"/>
        </w:rPr>
        <w:t>9.1%</w:t>
      </w:r>
      <w:r>
        <w:rPr>
          <w:rFonts w:ascii="Arial" w:hAnsi="Arial" w:cs="Arial" w:hint="eastAsia"/>
          <w:sz w:val="28"/>
        </w:rPr>
        <w:t>，五大装备制造业</w:t>
      </w:r>
      <w:r>
        <w:rPr>
          <w:rFonts w:ascii="Arial" w:hAnsi="Arial" w:cs="Arial" w:hint="eastAsia"/>
          <w:sz w:val="28"/>
        </w:rPr>
        <w:t>[1]</w:t>
      </w:r>
      <w:r>
        <w:rPr>
          <w:rFonts w:ascii="Arial" w:hAnsi="Arial" w:cs="Arial" w:hint="eastAsia"/>
          <w:sz w:val="28"/>
        </w:rPr>
        <w:t>延续回暖态势，增长</w:t>
      </w:r>
      <w:r>
        <w:rPr>
          <w:rFonts w:ascii="Arial" w:hAnsi="Arial" w:cs="Arial" w:hint="eastAsia"/>
          <w:sz w:val="28"/>
        </w:rPr>
        <w:t>9.7%</w:t>
      </w:r>
      <w:r>
        <w:rPr>
          <w:rFonts w:ascii="Arial" w:hAnsi="Arial" w:cs="Arial" w:hint="eastAsia"/>
          <w:sz w:val="28"/>
        </w:rPr>
        <w:t>。高端制造业表现活跃，规模以上工业战略性新兴产业、高技术制造业增加值分别增长</w:t>
      </w:r>
      <w:r>
        <w:rPr>
          <w:rFonts w:ascii="Arial" w:hAnsi="Arial" w:cs="Arial" w:hint="eastAsia"/>
          <w:sz w:val="28"/>
        </w:rPr>
        <w:t>16.8%</w:t>
      </w:r>
      <w:r>
        <w:rPr>
          <w:rFonts w:ascii="Arial" w:hAnsi="Arial" w:cs="Arial" w:hint="eastAsia"/>
          <w:sz w:val="28"/>
        </w:rPr>
        <w:t>和</w:t>
      </w:r>
      <w:r>
        <w:rPr>
          <w:rFonts w:ascii="Arial" w:hAnsi="Arial" w:cs="Arial" w:hint="eastAsia"/>
          <w:sz w:val="28"/>
        </w:rPr>
        <w:t>9.9%</w:t>
      </w:r>
      <w:r>
        <w:rPr>
          <w:rFonts w:ascii="Arial" w:hAnsi="Arial" w:cs="Arial" w:hint="eastAsia"/>
          <w:sz w:val="28"/>
        </w:rPr>
        <w:t>（二者有交叉），锂电子电池、新能源汽车、医疗仪器设备及器械、集成电路等产品产量分别增长</w:t>
      </w:r>
      <w:r>
        <w:rPr>
          <w:rFonts w:ascii="Arial" w:hAnsi="Arial" w:cs="Arial" w:hint="eastAsia"/>
          <w:sz w:val="28"/>
        </w:rPr>
        <w:t>3.3</w:t>
      </w:r>
      <w:r>
        <w:rPr>
          <w:rFonts w:ascii="Arial" w:hAnsi="Arial" w:cs="Arial" w:hint="eastAsia"/>
          <w:sz w:val="28"/>
        </w:rPr>
        <w:t>倍、</w:t>
      </w:r>
      <w:r>
        <w:rPr>
          <w:rFonts w:ascii="Arial" w:hAnsi="Arial" w:cs="Arial" w:hint="eastAsia"/>
          <w:sz w:val="28"/>
        </w:rPr>
        <w:t>1.5</w:t>
      </w:r>
      <w:r>
        <w:rPr>
          <w:rFonts w:ascii="Arial" w:hAnsi="Arial" w:cs="Arial" w:hint="eastAsia"/>
          <w:sz w:val="28"/>
        </w:rPr>
        <w:lastRenderedPageBreak/>
        <w:t>倍、</w:t>
      </w:r>
      <w:r>
        <w:rPr>
          <w:rFonts w:ascii="Arial" w:hAnsi="Arial" w:cs="Arial" w:hint="eastAsia"/>
          <w:sz w:val="28"/>
        </w:rPr>
        <w:t>1.1</w:t>
      </w:r>
      <w:r>
        <w:rPr>
          <w:rFonts w:ascii="Arial" w:hAnsi="Arial" w:cs="Arial" w:hint="eastAsia"/>
          <w:sz w:val="28"/>
        </w:rPr>
        <w:t>倍和</w:t>
      </w:r>
      <w:r>
        <w:rPr>
          <w:rFonts w:ascii="Arial" w:hAnsi="Arial" w:cs="Arial" w:hint="eastAsia"/>
          <w:sz w:val="28"/>
        </w:rPr>
        <w:t>14.9%</w:t>
      </w:r>
      <w:r>
        <w:rPr>
          <w:rFonts w:ascii="Arial" w:hAnsi="Arial" w:cs="Arial" w:hint="eastAsia"/>
          <w:sz w:val="28"/>
        </w:rPr>
        <w:t>。规模以上工业实现销售产值</w:t>
      </w:r>
      <w:r>
        <w:rPr>
          <w:rFonts w:ascii="Arial" w:hAnsi="Arial" w:cs="Arial" w:hint="eastAsia"/>
          <w:sz w:val="28"/>
        </w:rPr>
        <w:t>13045.8</w:t>
      </w:r>
      <w:r>
        <w:rPr>
          <w:rFonts w:ascii="Arial" w:hAnsi="Arial" w:cs="Arial" w:hint="eastAsia"/>
          <w:sz w:val="28"/>
        </w:rPr>
        <w:t>亿元，增长</w:t>
      </w:r>
      <w:r>
        <w:rPr>
          <w:rFonts w:ascii="Arial" w:hAnsi="Arial" w:cs="Arial" w:hint="eastAsia"/>
          <w:sz w:val="28"/>
        </w:rPr>
        <w:t>5.9%</w:t>
      </w:r>
      <w:r>
        <w:rPr>
          <w:rFonts w:ascii="Arial" w:hAnsi="Arial" w:cs="Arial" w:hint="eastAsia"/>
          <w:sz w:val="28"/>
        </w:rPr>
        <w:t>；其中，内销产值</w:t>
      </w:r>
      <w:r>
        <w:rPr>
          <w:rFonts w:ascii="Arial" w:hAnsi="Arial" w:cs="Arial" w:hint="eastAsia"/>
          <w:sz w:val="28"/>
        </w:rPr>
        <w:t>12019.1</w:t>
      </w:r>
      <w:r>
        <w:rPr>
          <w:rFonts w:ascii="Arial" w:hAnsi="Arial" w:cs="Arial" w:hint="eastAsia"/>
          <w:sz w:val="28"/>
        </w:rPr>
        <w:t>亿元，增长</w:t>
      </w:r>
      <w:r>
        <w:rPr>
          <w:rFonts w:ascii="Arial" w:hAnsi="Arial" w:cs="Arial" w:hint="eastAsia"/>
          <w:sz w:val="28"/>
        </w:rPr>
        <w:t>6.1%</w:t>
      </w:r>
      <w:r>
        <w:rPr>
          <w:rFonts w:ascii="Arial" w:hAnsi="Arial" w:cs="Arial" w:hint="eastAsia"/>
          <w:sz w:val="28"/>
        </w:rPr>
        <w:t>，出口交货值</w:t>
      </w:r>
      <w:r>
        <w:rPr>
          <w:rFonts w:ascii="Arial" w:hAnsi="Arial" w:cs="Arial" w:hint="eastAsia"/>
          <w:sz w:val="28"/>
        </w:rPr>
        <w:t>1026.7</w:t>
      </w:r>
      <w:r>
        <w:rPr>
          <w:rFonts w:ascii="Arial" w:hAnsi="Arial" w:cs="Arial" w:hint="eastAsia"/>
          <w:sz w:val="28"/>
        </w:rPr>
        <w:t>亿元，增长</w:t>
      </w:r>
      <w:r>
        <w:rPr>
          <w:rFonts w:ascii="Arial" w:hAnsi="Arial" w:cs="Arial" w:hint="eastAsia"/>
          <w:sz w:val="28"/>
        </w:rPr>
        <w:t>4.1%</w:t>
      </w:r>
      <w:r>
        <w:rPr>
          <w:rFonts w:ascii="Arial" w:hAnsi="Arial" w:cs="Arial" w:hint="eastAsia"/>
          <w:sz w:val="28"/>
        </w:rPr>
        <w:t>。</w:t>
      </w:r>
    </w:p>
    <w:p w14:paraId="6AEE893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3</w:t>
      </w:r>
      <w:r>
        <w:rPr>
          <w:rFonts w:ascii="Arial" w:hAnsi="Arial" w:cs="Arial" w:hint="eastAsia"/>
          <w:sz w:val="28"/>
        </w:rPr>
        <w:t>）服务业发挥稳定器作用，优势行业有力支撑</w:t>
      </w:r>
    </w:p>
    <w:p w14:paraId="5C121F1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年上半年，北京市第三产业增加值按不变价格计算，同比增长</w:t>
      </w:r>
      <w:r>
        <w:rPr>
          <w:rFonts w:ascii="Arial" w:hAnsi="Arial" w:cs="Arial" w:hint="eastAsia"/>
          <w:sz w:val="28"/>
        </w:rPr>
        <w:t>5.6%</w:t>
      </w:r>
      <w:r>
        <w:rPr>
          <w:rFonts w:ascii="Arial" w:hAnsi="Arial" w:cs="Arial" w:hint="eastAsia"/>
          <w:sz w:val="28"/>
        </w:rPr>
        <w:t>，比一季度提高</w:t>
      </w:r>
      <w:r>
        <w:rPr>
          <w:rFonts w:ascii="Arial" w:hAnsi="Arial" w:cs="Arial" w:hint="eastAsia"/>
          <w:sz w:val="28"/>
        </w:rPr>
        <w:t>0.2</w:t>
      </w:r>
      <w:r>
        <w:rPr>
          <w:rFonts w:ascii="Arial" w:hAnsi="Arial" w:cs="Arial" w:hint="eastAsia"/>
          <w:sz w:val="28"/>
        </w:rPr>
        <w:t>个百分点。其中，信息传输、软件和信息技术服务业实现增加值</w:t>
      </w:r>
      <w:r>
        <w:rPr>
          <w:rFonts w:ascii="Arial" w:hAnsi="Arial" w:cs="Arial" w:hint="eastAsia"/>
          <w:sz w:val="28"/>
        </w:rPr>
        <w:t>6193.8</w:t>
      </w:r>
      <w:r>
        <w:rPr>
          <w:rFonts w:ascii="Arial" w:hAnsi="Arial" w:cs="Arial" w:hint="eastAsia"/>
          <w:sz w:val="28"/>
        </w:rPr>
        <w:t>亿元，增长</w:t>
      </w:r>
      <w:r>
        <w:rPr>
          <w:rFonts w:ascii="Arial" w:hAnsi="Arial" w:cs="Arial" w:hint="eastAsia"/>
          <w:sz w:val="28"/>
        </w:rPr>
        <w:t>11.1%</w:t>
      </w:r>
      <w:r>
        <w:rPr>
          <w:rFonts w:ascii="Arial" w:hAnsi="Arial" w:cs="Arial" w:hint="eastAsia"/>
          <w:sz w:val="28"/>
        </w:rPr>
        <w:t>；金融业实现增加值</w:t>
      </w:r>
      <w:r>
        <w:rPr>
          <w:rFonts w:ascii="Arial" w:hAnsi="Arial" w:cs="Arial" w:hint="eastAsia"/>
          <w:sz w:val="28"/>
        </w:rPr>
        <w:t>4362.8</w:t>
      </w:r>
      <w:r>
        <w:rPr>
          <w:rFonts w:ascii="Arial" w:hAnsi="Arial" w:cs="Arial" w:hint="eastAsia"/>
          <w:sz w:val="28"/>
        </w:rPr>
        <w:t>亿元，增长</w:t>
      </w:r>
      <w:r>
        <w:rPr>
          <w:rFonts w:ascii="Arial" w:hAnsi="Arial" w:cs="Arial" w:hint="eastAsia"/>
          <w:sz w:val="28"/>
        </w:rPr>
        <w:t>8.1%</w:t>
      </w:r>
      <w:r>
        <w:rPr>
          <w:rFonts w:ascii="Arial" w:hAnsi="Arial" w:cs="Arial" w:hint="eastAsia"/>
          <w:sz w:val="28"/>
        </w:rPr>
        <w:t>，两个行业对第三产业增长的贡献率超过八成；租赁和商务服务业实现增加值</w:t>
      </w:r>
      <w:r>
        <w:rPr>
          <w:rFonts w:ascii="Arial" w:hAnsi="Arial" w:cs="Arial" w:hint="eastAsia"/>
          <w:sz w:val="28"/>
        </w:rPr>
        <w:t>1341.3</w:t>
      </w:r>
      <w:r>
        <w:rPr>
          <w:rFonts w:ascii="Arial" w:hAnsi="Arial" w:cs="Arial" w:hint="eastAsia"/>
          <w:sz w:val="28"/>
        </w:rPr>
        <w:t>亿元，增长</w:t>
      </w:r>
      <w:r>
        <w:rPr>
          <w:rFonts w:ascii="Arial" w:hAnsi="Arial" w:cs="Arial" w:hint="eastAsia"/>
          <w:sz w:val="28"/>
        </w:rPr>
        <w:t>3.4%</w:t>
      </w:r>
      <w:r>
        <w:rPr>
          <w:rFonts w:ascii="Arial" w:hAnsi="Arial" w:cs="Arial" w:hint="eastAsia"/>
          <w:sz w:val="28"/>
        </w:rPr>
        <w:t>；交通运输、仓储和邮政业实现增加值</w:t>
      </w:r>
      <w:r>
        <w:rPr>
          <w:rFonts w:ascii="Arial" w:hAnsi="Arial" w:cs="Arial" w:hint="eastAsia"/>
          <w:sz w:val="28"/>
        </w:rPr>
        <w:t>646.8</w:t>
      </w:r>
      <w:r>
        <w:rPr>
          <w:rFonts w:ascii="Arial" w:hAnsi="Arial" w:cs="Arial" w:hint="eastAsia"/>
          <w:sz w:val="28"/>
        </w:rPr>
        <w:t>亿元，增长</w:t>
      </w:r>
      <w:r>
        <w:rPr>
          <w:rFonts w:ascii="Arial" w:hAnsi="Arial" w:cs="Arial" w:hint="eastAsia"/>
          <w:sz w:val="28"/>
        </w:rPr>
        <w:t>6.0%</w:t>
      </w:r>
      <w:r>
        <w:rPr>
          <w:rFonts w:ascii="Arial" w:hAnsi="Arial" w:cs="Arial" w:hint="eastAsia"/>
          <w:sz w:val="28"/>
        </w:rPr>
        <w:t>。</w:t>
      </w:r>
    </w:p>
    <w:p w14:paraId="3E3FFD7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4</w:t>
      </w:r>
      <w:r>
        <w:rPr>
          <w:rFonts w:ascii="Arial" w:hAnsi="Arial" w:cs="Arial" w:hint="eastAsia"/>
          <w:sz w:val="28"/>
        </w:rPr>
        <w:t>）固定资产投资快速增长，设备购置投资带动明显</w:t>
      </w:r>
    </w:p>
    <w:p w14:paraId="37EC8478"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年上半年，北京市固定资产投资（不含农户）同比增长</w:t>
      </w:r>
      <w:r>
        <w:rPr>
          <w:rFonts w:ascii="Arial" w:hAnsi="Arial" w:cs="Arial" w:hint="eastAsia"/>
          <w:sz w:val="28"/>
        </w:rPr>
        <w:t>14.1%</w:t>
      </w:r>
      <w:r>
        <w:rPr>
          <w:rFonts w:ascii="Arial" w:hAnsi="Arial" w:cs="Arial" w:hint="eastAsia"/>
          <w:sz w:val="28"/>
        </w:rPr>
        <w:t>。其中，反映企业扩大生产能力的设备购置投资增长</w:t>
      </w:r>
      <w:r>
        <w:rPr>
          <w:rFonts w:ascii="Arial" w:hAnsi="Arial" w:cs="Arial" w:hint="eastAsia"/>
          <w:sz w:val="28"/>
        </w:rPr>
        <w:t>99.0%</w:t>
      </w:r>
      <w:r>
        <w:rPr>
          <w:rFonts w:ascii="Arial" w:hAnsi="Arial" w:cs="Arial" w:hint="eastAsia"/>
          <w:sz w:val="28"/>
        </w:rPr>
        <w:t>，占全市固定资产投资的比重为</w:t>
      </w:r>
      <w:r>
        <w:rPr>
          <w:rFonts w:ascii="Arial" w:hAnsi="Arial" w:cs="Arial" w:hint="eastAsia"/>
          <w:sz w:val="28"/>
        </w:rPr>
        <w:t>28.2%</w:t>
      </w:r>
      <w:r>
        <w:rPr>
          <w:rFonts w:ascii="Arial" w:hAnsi="Arial" w:cs="Arial" w:hint="eastAsia"/>
          <w:sz w:val="28"/>
        </w:rPr>
        <w:t>，同比提高</w:t>
      </w:r>
      <w:r>
        <w:rPr>
          <w:rFonts w:ascii="Arial" w:hAnsi="Arial" w:cs="Arial" w:hint="eastAsia"/>
          <w:sz w:val="28"/>
        </w:rPr>
        <w:t>12</w:t>
      </w:r>
      <w:r>
        <w:rPr>
          <w:rFonts w:ascii="Arial" w:hAnsi="Arial" w:cs="Arial" w:hint="eastAsia"/>
          <w:sz w:val="28"/>
        </w:rPr>
        <w:t>个百分点。分领域看，基础设施投资增长</w:t>
      </w:r>
      <w:r>
        <w:rPr>
          <w:rFonts w:ascii="Arial" w:hAnsi="Arial" w:cs="Arial" w:hint="eastAsia"/>
          <w:sz w:val="28"/>
        </w:rPr>
        <w:t>2.0%</w:t>
      </w:r>
      <w:r>
        <w:rPr>
          <w:rFonts w:ascii="Arial" w:hAnsi="Arial" w:cs="Arial" w:hint="eastAsia"/>
          <w:sz w:val="28"/>
        </w:rPr>
        <w:t>，制造业投资增长</w:t>
      </w:r>
      <w:r>
        <w:rPr>
          <w:rFonts w:ascii="Arial" w:hAnsi="Arial" w:cs="Arial" w:hint="eastAsia"/>
          <w:sz w:val="28"/>
        </w:rPr>
        <w:t>8.9%</w:t>
      </w:r>
      <w:r>
        <w:rPr>
          <w:rFonts w:ascii="Arial" w:hAnsi="Arial" w:cs="Arial" w:hint="eastAsia"/>
          <w:sz w:val="28"/>
        </w:rPr>
        <w:t>，房地产开发投资下降</w:t>
      </w:r>
      <w:r>
        <w:rPr>
          <w:rFonts w:ascii="Arial" w:hAnsi="Arial" w:cs="Arial" w:hint="eastAsia"/>
          <w:sz w:val="28"/>
        </w:rPr>
        <w:t>7.5%</w:t>
      </w:r>
      <w:r>
        <w:rPr>
          <w:rFonts w:ascii="Arial" w:hAnsi="Arial" w:cs="Arial" w:hint="eastAsia"/>
          <w:sz w:val="28"/>
        </w:rPr>
        <w:t>。分产业看，第一产业投资增长</w:t>
      </w:r>
      <w:r>
        <w:rPr>
          <w:rFonts w:ascii="Arial" w:hAnsi="Arial" w:cs="Arial" w:hint="eastAsia"/>
          <w:sz w:val="28"/>
        </w:rPr>
        <w:t>80.0%</w:t>
      </w:r>
      <w:r>
        <w:rPr>
          <w:rFonts w:ascii="Arial" w:hAnsi="Arial" w:cs="Arial" w:hint="eastAsia"/>
          <w:sz w:val="28"/>
        </w:rPr>
        <w:t>，第二产业投资增长</w:t>
      </w:r>
      <w:r>
        <w:rPr>
          <w:rFonts w:ascii="Arial" w:hAnsi="Arial" w:cs="Arial" w:hint="eastAsia"/>
          <w:sz w:val="28"/>
        </w:rPr>
        <w:t>12.7%</w:t>
      </w:r>
      <w:r>
        <w:rPr>
          <w:rFonts w:ascii="Arial" w:hAnsi="Arial" w:cs="Arial" w:hint="eastAsia"/>
          <w:sz w:val="28"/>
        </w:rPr>
        <w:t>，第三产业投资增长</w:t>
      </w:r>
      <w:r>
        <w:rPr>
          <w:rFonts w:ascii="Arial" w:hAnsi="Arial" w:cs="Arial" w:hint="eastAsia"/>
          <w:sz w:val="28"/>
        </w:rPr>
        <w:t>14.2%</w:t>
      </w:r>
      <w:r>
        <w:rPr>
          <w:rFonts w:ascii="Arial" w:hAnsi="Arial" w:cs="Arial" w:hint="eastAsia"/>
          <w:sz w:val="28"/>
        </w:rPr>
        <w:t>。高技术产业投资保持活跃，增长</w:t>
      </w:r>
      <w:r>
        <w:rPr>
          <w:rFonts w:ascii="Arial" w:hAnsi="Arial" w:cs="Arial" w:hint="eastAsia"/>
          <w:sz w:val="28"/>
        </w:rPr>
        <w:t>72.9%</w:t>
      </w:r>
      <w:r>
        <w:rPr>
          <w:rFonts w:ascii="Arial" w:hAnsi="Arial" w:cs="Arial" w:hint="eastAsia"/>
          <w:sz w:val="28"/>
        </w:rPr>
        <w:t>，其中，信息传输、软件和信息技术服务业，汽车制造业，计算机、通信和其他电子设备制造业投资分别增长</w:t>
      </w:r>
      <w:r>
        <w:rPr>
          <w:rFonts w:ascii="Arial" w:hAnsi="Arial" w:cs="Arial" w:hint="eastAsia"/>
          <w:sz w:val="28"/>
        </w:rPr>
        <w:t>1.6</w:t>
      </w:r>
      <w:r>
        <w:rPr>
          <w:rFonts w:ascii="Arial" w:hAnsi="Arial" w:cs="Arial" w:hint="eastAsia"/>
          <w:sz w:val="28"/>
        </w:rPr>
        <w:t>倍、</w:t>
      </w:r>
      <w:r>
        <w:rPr>
          <w:rFonts w:ascii="Arial" w:hAnsi="Arial" w:cs="Arial" w:hint="eastAsia"/>
          <w:sz w:val="28"/>
        </w:rPr>
        <w:t>41.7%</w:t>
      </w:r>
      <w:r>
        <w:rPr>
          <w:rFonts w:ascii="Arial" w:hAnsi="Arial" w:cs="Arial" w:hint="eastAsia"/>
          <w:sz w:val="28"/>
        </w:rPr>
        <w:t>和</w:t>
      </w:r>
      <w:r>
        <w:rPr>
          <w:rFonts w:ascii="Arial" w:hAnsi="Arial" w:cs="Arial" w:hint="eastAsia"/>
          <w:sz w:val="28"/>
        </w:rPr>
        <w:t>9.4%</w:t>
      </w:r>
      <w:r>
        <w:rPr>
          <w:rFonts w:ascii="Arial" w:hAnsi="Arial" w:cs="Arial" w:hint="eastAsia"/>
          <w:sz w:val="28"/>
        </w:rPr>
        <w:t>。</w:t>
      </w:r>
    </w:p>
    <w:p w14:paraId="07A2C431"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年上半年，北京市房屋施工面积</w:t>
      </w:r>
      <w:r>
        <w:rPr>
          <w:rFonts w:ascii="Arial" w:hAnsi="Arial" w:cs="Arial" w:hint="eastAsia"/>
          <w:sz w:val="28"/>
        </w:rPr>
        <w:t>9896</w:t>
      </w:r>
      <w:r>
        <w:rPr>
          <w:rFonts w:ascii="Arial" w:hAnsi="Arial" w:cs="Arial" w:hint="eastAsia"/>
          <w:sz w:val="28"/>
        </w:rPr>
        <w:t>万平方米，同比下降</w:t>
      </w:r>
      <w:r>
        <w:rPr>
          <w:rFonts w:ascii="Arial" w:hAnsi="Arial" w:cs="Arial" w:hint="eastAsia"/>
          <w:sz w:val="28"/>
        </w:rPr>
        <w:t>8.0%</w:t>
      </w:r>
      <w:r>
        <w:rPr>
          <w:rFonts w:ascii="Arial" w:hAnsi="Arial" w:cs="Arial" w:hint="eastAsia"/>
          <w:sz w:val="28"/>
        </w:rPr>
        <w:t>，其中住宅施工面积</w:t>
      </w:r>
      <w:r>
        <w:rPr>
          <w:rFonts w:ascii="Arial" w:hAnsi="Arial" w:cs="Arial" w:hint="eastAsia"/>
          <w:sz w:val="28"/>
        </w:rPr>
        <w:t>4904.6</w:t>
      </w:r>
      <w:r>
        <w:rPr>
          <w:rFonts w:ascii="Arial" w:hAnsi="Arial" w:cs="Arial" w:hint="eastAsia"/>
          <w:sz w:val="28"/>
        </w:rPr>
        <w:t>万平方米，下降</w:t>
      </w:r>
      <w:r>
        <w:rPr>
          <w:rFonts w:ascii="Arial" w:hAnsi="Arial" w:cs="Arial" w:hint="eastAsia"/>
          <w:sz w:val="28"/>
        </w:rPr>
        <w:t>8.8%</w:t>
      </w:r>
      <w:r>
        <w:rPr>
          <w:rFonts w:ascii="Arial" w:hAnsi="Arial" w:cs="Arial" w:hint="eastAsia"/>
          <w:sz w:val="28"/>
        </w:rPr>
        <w:t>。全市新建商品房销售面积</w:t>
      </w:r>
      <w:r>
        <w:rPr>
          <w:rFonts w:ascii="Arial" w:hAnsi="Arial" w:cs="Arial" w:hint="eastAsia"/>
          <w:sz w:val="28"/>
        </w:rPr>
        <w:t>537.6</w:t>
      </w:r>
      <w:r>
        <w:rPr>
          <w:rFonts w:ascii="Arial" w:hAnsi="Arial" w:cs="Arial" w:hint="eastAsia"/>
          <w:sz w:val="28"/>
        </w:rPr>
        <w:t>万平方米，同比增长</w:t>
      </w:r>
      <w:r>
        <w:rPr>
          <w:rFonts w:ascii="Arial" w:hAnsi="Arial" w:cs="Arial" w:hint="eastAsia"/>
          <w:sz w:val="28"/>
        </w:rPr>
        <w:t>5.4%</w:t>
      </w:r>
      <w:r>
        <w:rPr>
          <w:rFonts w:ascii="Arial" w:hAnsi="Arial" w:cs="Arial" w:hint="eastAsia"/>
          <w:sz w:val="28"/>
        </w:rPr>
        <w:t>，其中住宅销售面积</w:t>
      </w:r>
      <w:r>
        <w:rPr>
          <w:rFonts w:ascii="Arial" w:hAnsi="Arial" w:cs="Arial" w:hint="eastAsia"/>
          <w:sz w:val="28"/>
        </w:rPr>
        <w:t>352.3</w:t>
      </w:r>
      <w:r>
        <w:rPr>
          <w:rFonts w:ascii="Arial" w:hAnsi="Arial" w:cs="Arial" w:hint="eastAsia"/>
          <w:sz w:val="28"/>
        </w:rPr>
        <w:t>万平方米，下降</w:t>
      </w:r>
      <w:r>
        <w:rPr>
          <w:rFonts w:ascii="Arial" w:hAnsi="Arial" w:cs="Arial" w:hint="eastAsia"/>
          <w:sz w:val="28"/>
        </w:rPr>
        <w:t>0.8%</w:t>
      </w:r>
      <w:r>
        <w:rPr>
          <w:rFonts w:ascii="Arial" w:hAnsi="Arial" w:cs="Arial" w:hint="eastAsia"/>
          <w:sz w:val="28"/>
        </w:rPr>
        <w:t>，住宅中的纯商品住宅销售面积增长</w:t>
      </w:r>
      <w:r>
        <w:rPr>
          <w:rFonts w:ascii="Arial" w:hAnsi="Arial" w:cs="Arial" w:hint="eastAsia"/>
          <w:sz w:val="28"/>
        </w:rPr>
        <w:t>33.8%</w:t>
      </w:r>
      <w:r>
        <w:rPr>
          <w:rFonts w:ascii="Arial" w:hAnsi="Arial" w:cs="Arial" w:hint="eastAsia"/>
          <w:sz w:val="28"/>
        </w:rPr>
        <w:t>。</w:t>
      </w:r>
    </w:p>
    <w:p w14:paraId="0A4D420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5</w:t>
      </w:r>
      <w:r>
        <w:rPr>
          <w:rFonts w:ascii="Arial" w:hAnsi="Arial" w:cs="Arial" w:hint="eastAsia"/>
          <w:sz w:val="28"/>
        </w:rPr>
        <w:t>）服务性消费较为活跃，社会消费品零售总额仍呈降势</w:t>
      </w:r>
    </w:p>
    <w:p w14:paraId="50EBB3AE"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年上半年，北京市市场总消费额同比增长</w:t>
      </w:r>
      <w:r>
        <w:rPr>
          <w:rFonts w:ascii="Arial" w:hAnsi="Arial" w:cs="Arial" w:hint="eastAsia"/>
          <w:sz w:val="28"/>
        </w:rPr>
        <w:t>0.9%</w:t>
      </w:r>
      <w:r>
        <w:rPr>
          <w:rFonts w:ascii="Arial" w:hAnsi="Arial" w:cs="Arial" w:hint="eastAsia"/>
          <w:sz w:val="28"/>
        </w:rPr>
        <w:t>。其中，服务性消</w:t>
      </w:r>
      <w:r>
        <w:rPr>
          <w:rFonts w:ascii="Arial" w:hAnsi="Arial" w:cs="Arial" w:hint="eastAsia"/>
          <w:sz w:val="28"/>
        </w:rPr>
        <w:lastRenderedPageBreak/>
        <w:t>费在信息、交通、文化娱乐等领域带动下增长</w:t>
      </w:r>
      <w:r>
        <w:rPr>
          <w:rFonts w:ascii="Arial" w:hAnsi="Arial" w:cs="Arial" w:hint="eastAsia"/>
          <w:sz w:val="28"/>
        </w:rPr>
        <w:t>4.7%</w:t>
      </w:r>
      <w:r>
        <w:rPr>
          <w:rFonts w:ascii="Arial" w:hAnsi="Arial" w:cs="Arial" w:hint="eastAsia"/>
          <w:sz w:val="28"/>
        </w:rPr>
        <w:t>；实现社会消费品零售总额</w:t>
      </w:r>
      <w:r>
        <w:rPr>
          <w:rFonts w:ascii="Arial" w:hAnsi="Arial" w:cs="Arial" w:hint="eastAsia"/>
          <w:sz w:val="28"/>
        </w:rPr>
        <w:t>6734.2</w:t>
      </w:r>
      <w:r>
        <w:rPr>
          <w:rFonts w:ascii="Arial" w:hAnsi="Arial" w:cs="Arial" w:hint="eastAsia"/>
          <w:sz w:val="28"/>
        </w:rPr>
        <w:t>亿元，下降</w:t>
      </w:r>
      <w:r>
        <w:rPr>
          <w:rFonts w:ascii="Arial" w:hAnsi="Arial" w:cs="Arial" w:hint="eastAsia"/>
          <w:sz w:val="28"/>
        </w:rPr>
        <w:t>3.8%</w:t>
      </w:r>
      <w:r>
        <w:rPr>
          <w:rFonts w:ascii="Arial" w:hAnsi="Arial" w:cs="Arial" w:hint="eastAsia"/>
          <w:sz w:val="28"/>
        </w:rPr>
        <w:t>。社会消费品零售总额中，按消费形态分，商品零售</w:t>
      </w:r>
      <w:r>
        <w:rPr>
          <w:rFonts w:ascii="Arial" w:hAnsi="Arial" w:cs="Arial" w:hint="eastAsia"/>
          <w:sz w:val="28"/>
        </w:rPr>
        <w:t>6061.6</w:t>
      </w:r>
      <w:r>
        <w:rPr>
          <w:rFonts w:ascii="Arial" w:hAnsi="Arial" w:cs="Arial" w:hint="eastAsia"/>
          <w:sz w:val="28"/>
        </w:rPr>
        <w:t>亿元，下降</w:t>
      </w:r>
      <w:r>
        <w:rPr>
          <w:rFonts w:ascii="Arial" w:hAnsi="Arial" w:cs="Arial" w:hint="eastAsia"/>
          <w:sz w:val="28"/>
        </w:rPr>
        <w:t>3.8%</w:t>
      </w:r>
      <w:r>
        <w:rPr>
          <w:rFonts w:ascii="Arial" w:hAnsi="Arial" w:cs="Arial" w:hint="eastAsia"/>
          <w:sz w:val="28"/>
        </w:rPr>
        <w:t>；餐饮收入</w:t>
      </w:r>
      <w:r>
        <w:rPr>
          <w:rFonts w:ascii="Arial" w:hAnsi="Arial" w:cs="Arial" w:hint="eastAsia"/>
          <w:sz w:val="28"/>
        </w:rPr>
        <w:t>672.6</w:t>
      </w:r>
      <w:r>
        <w:rPr>
          <w:rFonts w:ascii="Arial" w:hAnsi="Arial" w:cs="Arial" w:hint="eastAsia"/>
          <w:sz w:val="28"/>
        </w:rPr>
        <w:t>亿元，下降</w:t>
      </w:r>
      <w:r>
        <w:rPr>
          <w:rFonts w:ascii="Arial" w:hAnsi="Arial" w:cs="Arial" w:hint="eastAsia"/>
          <w:sz w:val="28"/>
        </w:rPr>
        <w:t>3.6%</w:t>
      </w:r>
      <w:r>
        <w:rPr>
          <w:rFonts w:ascii="Arial" w:hAnsi="Arial" w:cs="Arial" w:hint="eastAsia"/>
          <w:sz w:val="28"/>
        </w:rPr>
        <w:t>。从商品类别看，限额以上批发和零售业中，基本生活类和时尚类商品销售较好，粮油食品类、金银珠宝类、体育娱乐用品类、化妆品类商品零售额分别增长</w:t>
      </w:r>
      <w:r>
        <w:rPr>
          <w:rFonts w:ascii="Arial" w:hAnsi="Arial" w:cs="Arial" w:hint="eastAsia"/>
          <w:sz w:val="28"/>
        </w:rPr>
        <w:t>13.9%</w:t>
      </w:r>
      <w:r>
        <w:rPr>
          <w:rFonts w:ascii="Arial" w:hAnsi="Arial" w:cs="Arial" w:hint="eastAsia"/>
          <w:sz w:val="28"/>
        </w:rPr>
        <w:t>、</w:t>
      </w:r>
      <w:r>
        <w:rPr>
          <w:rFonts w:ascii="Arial" w:hAnsi="Arial" w:cs="Arial" w:hint="eastAsia"/>
          <w:sz w:val="28"/>
        </w:rPr>
        <w:t>36.1%</w:t>
      </w:r>
      <w:r>
        <w:rPr>
          <w:rFonts w:ascii="Arial" w:hAnsi="Arial" w:cs="Arial" w:hint="eastAsia"/>
          <w:sz w:val="28"/>
        </w:rPr>
        <w:t>、</w:t>
      </w:r>
      <w:r>
        <w:rPr>
          <w:rFonts w:ascii="Arial" w:hAnsi="Arial" w:cs="Arial" w:hint="eastAsia"/>
          <w:sz w:val="28"/>
        </w:rPr>
        <w:t>9.3%</w:t>
      </w:r>
      <w:r>
        <w:rPr>
          <w:rFonts w:ascii="Arial" w:hAnsi="Arial" w:cs="Arial" w:hint="eastAsia"/>
          <w:sz w:val="28"/>
        </w:rPr>
        <w:t>和</w:t>
      </w:r>
      <w:r>
        <w:rPr>
          <w:rFonts w:ascii="Arial" w:hAnsi="Arial" w:cs="Arial" w:hint="eastAsia"/>
          <w:sz w:val="28"/>
        </w:rPr>
        <w:t>7.6%</w:t>
      </w:r>
      <w:r>
        <w:rPr>
          <w:rFonts w:ascii="Arial" w:hAnsi="Arial" w:cs="Arial" w:hint="eastAsia"/>
          <w:sz w:val="28"/>
        </w:rPr>
        <w:t>；消费品“以旧换新”政策继续显效，家用电器和音像器材类、文化办公用品类商品零售额分别增长</w:t>
      </w:r>
      <w:r>
        <w:rPr>
          <w:rFonts w:ascii="Arial" w:hAnsi="Arial" w:cs="Arial" w:hint="eastAsia"/>
          <w:sz w:val="28"/>
        </w:rPr>
        <w:t>4.6%</w:t>
      </w:r>
      <w:r>
        <w:rPr>
          <w:rFonts w:ascii="Arial" w:hAnsi="Arial" w:cs="Arial" w:hint="eastAsia"/>
          <w:sz w:val="28"/>
        </w:rPr>
        <w:t>和</w:t>
      </w:r>
      <w:r>
        <w:rPr>
          <w:rFonts w:ascii="Arial" w:hAnsi="Arial" w:cs="Arial" w:hint="eastAsia"/>
          <w:sz w:val="28"/>
        </w:rPr>
        <w:t>3.1%</w:t>
      </w:r>
      <w:r>
        <w:rPr>
          <w:rFonts w:ascii="Arial" w:hAnsi="Arial" w:cs="Arial" w:hint="eastAsia"/>
          <w:sz w:val="28"/>
        </w:rPr>
        <w:t>；受市场竞争激烈、销售渠道更加多元影响，汽车类、通讯器材类商品零售额分别下降</w:t>
      </w:r>
      <w:r>
        <w:rPr>
          <w:rFonts w:ascii="Arial" w:hAnsi="Arial" w:cs="Arial" w:hint="eastAsia"/>
          <w:sz w:val="28"/>
        </w:rPr>
        <w:t>20.0%</w:t>
      </w:r>
      <w:r>
        <w:rPr>
          <w:rFonts w:ascii="Arial" w:hAnsi="Arial" w:cs="Arial" w:hint="eastAsia"/>
          <w:sz w:val="28"/>
        </w:rPr>
        <w:t>和</w:t>
      </w:r>
      <w:r>
        <w:rPr>
          <w:rFonts w:ascii="Arial" w:hAnsi="Arial" w:cs="Arial" w:hint="eastAsia"/>
          <w:sz w:val="28"/>
        </w:rPr>
        <w:t>24.0%</w:t>
      </w:r>
      <w:r>
        <w:rPr>
          <w:rFonts w:ascii="Arial" w:hAnsi="Arial" w:cs="Arial" w:hint="eastAsia"/>
          <w:sz w:val="28"/>
        </w:rPr>
        <w:t>，对社会消费品零售总额产生较大下拉作用。</w:t>
      </w:r>
    </w:p>
    <w:p w14:paraId="7D58F492"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6</w:t>
      </w:r>
      <w:r>
        <w:rPr>
          <w:rFonts w:ascii="Arial" w:hAnsi="Arial" w:cs="Arial" w:hint="eastAsia"/>
          <w:sz w:val="28"/>
        </w:rPr>
        <w:t>）居民消费价格平稳运行，工业生产者出厂价格延续降势</w:t>
      </w:r>
      <w:r>
        <w:rPr>
          <w:rFonts w:ascii="Arial" w:hAnsi="Arial" w:cs="Arial" w:hint="eastAsia"/>
          <w:sz w:val="28"/>
        </w:rPr>
        <w:t> </w:t>
      </w:r>
    </w:p>
    <w:p w14:paraId="58AB877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年上半年，北京市居民消费价格同比下降</w:t>
      </w:r>
      <w:r>
        <w:rPr>
          <w:rFonts w:ascii="Arial" w:hAnsi="Arial" w:cs="Arial" w:hint="eastAsia"/>
          <w:sz w:val="28"/>
        </w:rPr>
        <w:t>0.3%</w:t>
      </w:r>
      <w:r>
        <w:rPr>
          <w:rFonts w:ascii="Arial" w:hAnsi="Arial" w:cs="Arial" w:hint="eastAsia"/>
          <w:sz w:val="28"/>
        </w:rPr>
        <w:t>。其中，消费品价格下降</w:t>
      </w:r>
      <w:r>
        <w:rPr>
          <w:rFonts w:ascii="Arial" w:hAnsi="Arial" w:cs="Arial" w:hint="eastAsia"/>
          <w:sz w:val="28"/>
        </w:rPr>
        <w:t>0.7%</w:t>
      </w:r>
      <w:r>
        <w:rPr>
          <w:rFonts w:ascii="Arial" w:hAnsi="Arial" w:cs="Arial" w:hint="eastAsia"/>
          <w:sz w:val="28"/>
        </w:rPr>
        <w:t>，服务价格上涨</w:t>
      </w:r>
      <w:r>
        <w:rPr>
          <w:rFonts w:ascii="Arial" w:hAnsi="Arial" w:cs="Arial" w:hint="eastAsia"/>
          <w:sz w:val="28"/>
        </w:rPr>
        <w:t>0.1%</w:t>
      </w:r>
      <w:r>
        <w:rPr>
          <w:rFonts w:ascii="Arial" w:hAnsi="Arial" w:cs="Arial" w:hint="eastAsia"/>
          <w:sz w:val="28"/>
        </w:rPr>
        <w:t>。八大类商品和服务项目中，其他用品及服务类价格上涨</w:t>
      </w:r>
      <w:r>
        <w:rPr>
          <w:rFonts w:ascii="Arial" w:hAnsi="Arial" w:cs="Arial" w:hint="eastAsia"/>
          <w:sz w:val="28"/>
        </w:rPr>
        <w:t>9.8%</w:t>
      </w:r>
      <w:r>
        <w:rPr>
          <w:rFonts w:ascii="Arial" w:hAnsi="Arial" w:cs="Arial" w:hint="eastAsia"/>
          <w:sz w:val="28"/>
        </w:rPr>
        <w:t>，生活用品及服务类价格上涨</w:t>
      </w:r>
      <w:r>
        <w:rPr>
          <w:rFonts w:ascii="Arial" w:hAnsi="Arial" w:cs="Arial" w:hint="eastAsia"/>
          <w:sz w:val="28"/>
        </w:rPr>
        <w:t>0.9%</w:t>
      </w:r>
      <w:r>
        <w:rPr>
          <w:rFonts w:ascii="Arial" w:hAnsi="Arial" w:cs="Arial" w:hint="eastAsia"/>
          <w:sz w:val="28"/>
        </w:rPr>
        <w:t>，居住类价格上涨</w:t>
      </w:r>
      <w:r>
        <w:rPr>
          <w:rFonts w:ascii="Arial" w:hAnsi="Arial" w:cs="Arial" w:hint="eastAsia"/>
          <w:sz w:val="28"/>
        </w:rPr>
        <w:t>0.3%</w:t>
      </w:r>
      <w:r>
        <w:rPr>
          <w:rFonts w:ascii="Arial" w:hAnsi="Arial" w:cs="Arial" w:hint="eastAsia"/>
          <w:sz w:val="28"/>
        </w:rPr>
        <w:t>，衣着类价格上涨</w:t>
      </w:r>
      <w:r>
        <w:rPr>
          <w:rFonts w:ascii="Arial" w:hAnsi="Arial" w:cs="Arial" w:hint="eastAsia"/>
          <w:sz w:val="28"/>
        </w:rPr>
        <w:t>0.2%</w:t>
      </w:r>
      <w:r>
        <w:rPr>
          <w:rFonts w:ascii="Arial" w:hAnsi="Arial" w:cs="Arial" w:hint="eastAsia"/>
          <w:sz w:val="28"/>
        </w:rPr>
        <w:t>，食品烟酒类价格下降</w:t>
      </w:r>
      <w:r>
        <w:rPr>
          <w:rFonts w:ascii="Arial" w:hAnsi="Arial" w:cs="Arial" w:hint="eastAsia"/>
          <w:sz w:val="28"/>
        </w:rPr>
        <w:t>1.1%</w:t>
      </w:r>
      <w:r>
        <w:rPr>
          <w:rFonts w:ascii="Arial" w:hAnsi="Arial" w:cs="Arial" w:hint="eastAsia"/>
          <w:sz w:val="28"/>
        </w:rPr>
        <w:t>，交通通信类价格下降</w:t>
      </w:r>
      <w:r>
        <w:rPr>
          <w:rFonts w:ascii="Arial" w:hAnsi="Arial" w:cs="Arial" w:hint="eastAsia"/>
          <w:sz w:val="28"/>
        </w:rPr>
        <w:t>2.7%</w:t>
      </w:r>
      <w:r>
        <w:rPr>
          <w:rFonts w:ascii="Arial" w:hAnsi="Arial" w:cs="Arial" w:hint="eastAsia"/>
          <w:sz w:val="28"/>
        </w:rPr>
        <w:t>，教育文化娱乐类价格下降</w:t>
      </w:r>
      <w:r>
        <w:rPr>
          <w:rFonts w:ascii="Arial" w:hAnsi="Arial" w:cs="Arial" w:hint="eastAsia"/>
          <w:sz w:val="28"/>
        </w:rPr>
        <w:t>1.1%</w:t>
      </w:r>
      <w:r>
        <w:rPr>
          <w:rFonts w:ascii="Arial" w:hAnsi="Arial" w:cs="Arial" w:hint="eastAsia"/>
          <w:sz w:val="28"/>
        </w:rPr>
        <w:t>，医疗保健类价格下降</w:t>
      </w:r>
      <w:r>
        <w:rPr>
          <w:rFonts w:ascii="Arial" w:hAnsi="Arial" w:cs="Arial" w:hint="eastAsia"/>
          <w:sz w:val="28"/>
        </w:rPr>
        <w:t>0.6%</w:t>
      </w:r>
      <w:r>
        <w:rPr>
          <w:rFonts w:ascii="Arial" w:hAnsi="Arial" w:cs="Arial" w:hint="eastAsia"/>
          <w:sz w:val="28"/>
        </w:rPr>
        <w:t>。</w:t>
      </w:r>
      <w:r>
        <w:rPr>
          <w:rFonts w:ascii="Arial" w:hAnsi="Arial" w:cs="Arial" w:hint="eastAsia"/>
          <w:sz w:val="28"/>
        </w:rPr>
        <w:t>6</w:t>
      </w:r>
      <w:r>
        <w:rPr>
          <w:rFonts w:ascii="Arial" w:hAnsi="Arial" w:cs="Arial" w:hint="eastAsia"/>
          <w:sz w:val="28"/>
        </w:rPr>
        <w:t>月份，居民消费价格同比下降</w:t>
      </w:r>
      <w:r>
        <w:rPr>
          <w:rFonts w:ascii="Arial" w:hAnsi="Arial" w:cs="Arial" w:hint="eastAsia"/>
          <w:sz w:val="28"/>
        </w:rPr>
        <w:t>0.1%</w:t>
      </w:r>
      <w:r>
        <w:rPr>
          <w:rFonts w:ascii="Arial" w:hAnsi="Arial" w:cs="Arial" w:hint="eastAsia"/>
          <w:sz w:val="28"/>
        </w:rPr>
        <w:t>，环比下降</w:t>
      </w:r>
      <w:r>
        <w:rPr>
          <w:rFonts w:ascii="Arial" w:hAnsi="Arial" w:cs="Arial" w:hint="eastAsia"/>
          <w:sz w:val="28"/>
        </w:rPr>
        <w:t>0.4%</w:t>
      </w:r>
      <w:r>
        <w:rPr>
          <w:rFonts w:ascii="Arial" w:hAnsi="Arial" w:cs="Arial" w:hint="eastAsia"/>
          <w:sz w:val="28"/>
        </w:rPr>
        <w:t>。</w:t>
      </w:r>
    </w:p>
    <w:p w14:paraId="4779A964"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年上半年，北京市工业生产者出厂价格同比下降</w:t>
      </w:r>
      <w:r>
        <w:rPr>
          <w:rFonts w:ascii="Arial" w:hAnsi="Arial" w:cs="Arial" w:hint="eastAsia"/>
          <w:sz w:val="28"/>
        </w:rPr>
        <w:t>1.8%</w:t>
      </w:r>
      <w:r>
        <w:rPr>
          <w:rFonts w:ascii="Arial" w:hAnsi="Arial" w:cs="Arial" w:hint="eastAsia"/>
          <w:sz w:val="28"/>
        </w:rPr>
        <w:t>，购进价格同比下降</w:t>
      </w:r>
      <w:r>
        <w:rPr>
          <w:rFonts w:ascii="Arial" w:hAnsi="Arial" w:cs="Arial" w:hint="eastAsia"/>
          <w:sz w:val="28"/>
        </w:rPr>
        <w:t>1.1%</w:t>
      </w:r>
      <w:r>
        <w:rPr>
          <w:rFonts w:ascii="Arial" w:hAnsi="Arial" w:cs="Arial" w:hint="eastAsia"/>
          <w:sz w:val="28"/>
        </w:rPr>
        <w:t>。</w:t>
      </w:r>
      <w:r>
        <w:rPr>
          <w:rFonts w:ascii="Arial" w:hAnsi="Arial" w:cs="Arial" w:hint="eastAsia"/>
          <w:sz w:val="28"/>
        </w:rPr>
        <w:t>6</w:t>
      </w:r>
      <w:r>
        <w:rPr>
          <w:rFonts w:ascii="Arial" w:hAnsi="Arial" w:cs="Arial" w:hint="eastAsia"/>
          <w:sz w:val="28"/>
        </w:rPr>
        <w:t>月份，工业生产者出厂价格同比下降</w:t>
      </w:r>
      <w:r>
        <w:rPr>
          <w:rFonts w:ascii="Arial" w:hAnsi="Arial" w:cs="Arial" w:hint="eastAsia"/>
          <w:sz w:val="28"/>
        </w:rPr>
        <w:t>1.7%</w:t>
      </w:r>
      <w:r>
        <w:rPr>
          <w:rFonts w:ascii="Arial" w:hAnsi="Arial" w:cs="Arial" w:hint="eastAsia"/>
          <w:sz w:val="28"/>
        </w:rPr>
        <w:t>，环比下降</w:t>
      </w:r>
      <w:r>
        <w:rPr>
          <w:rFonts w:ascii="Arial" w:hAnsi="Arial" w:cs="Arial" w:hint="eastAsia"/>
          <w:sz w:val="28"/>
        </w:rPr>
        <w:t>0.3%</w:t>
      </w:r>
      <w:r>
        <w:rPr>
          <w:rFonts w:ascii="Arial" w:hAnsi="Arial" w:cs="Arial" w:hint="eastAsia"/>
          <w:sz w:val="28"/>
        </w:rPr>
        <w:t>；购进价格同比下降</w:t>
      </w:r>
      <w:r>
        <w:rPr>
          <w:rFonts w:ascii="Arial" w:hAnsi="Arial" w:cs="Arial" w:hint="eastAsia"/>
          <w:sz w:val="28"/>
        </w:rPr>
        <w:t>2.3%</w:t>
      </w:r>
      <w:r>
        <w:rPr>
          <w:rFonts w:ascii="Arial" w:hAnsi="Arial" w:cs="Arial" w:hint="eastAsia"/>
          <w:sz w:val="28"/>
        </w:rPr>
        <w:t>，环比下降</w:t>
      </w:r>
      <w:r>
        <w:rPr>
          <w:rFonts w:ascii="Arial" w:hAnsi="Arial" w:cs="Arial" w:hint="eastAsia"/>
          <w:sz w:val="28"/>
        </w:rPr>
        <w:t>0.3%</w:t>
      </w:r>
      <w:r>
        <w:rPr>
          <w:rFonts w:ascii="Arial" w:hAnsi="Arial" w:cs="Arial" w:hint="eastAsia"/>
          <w:sz w:val="28"/>
        </w:rPr>
        <w:t>。</w:t>
      </w:r>
    </w:p>
    <w:p w14:paraId="2164392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w:t>
      </w:r>
      <w:r>
        <w:rPr>
          <w:rFonts w:ascii="Arial" w:hAnsi="Arial" w:cs="Arial" w:hint="eastAsia"/>
          <w:sz w:val="28"/>
        </w:rPr>
        <w:t>7</w:t>
      </w:r>
      <w:r>
        <w:rPr>
          <w:rFonts w:ascii="Arial" w:hAnsi="Arial" w:cs="Arial" w:hint="eastAsia"/>
          <w:sz w:val="28"/>
        </w:rPr>
        <w:t>）就业形势总体平稳，居民收入稳步增加</w:t>
      </w:r>
      <w:r>
        <w:rPr>
          <w:rFonts w:ascii="Arial" w:hAnsi="Arial" w:cs="Arial" w:hint="eastAsia"/>
          <w:sz w:val="28"/>
        </w:rPr>
        <w:t> </w:t>
      </w:r>
    </w:p>
    <w:p w14:paraId="1CF115CA"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年上半年，北京市城镇调查失业率均值为</w:t>
      </w:r>
      <w:r>
        <w:rPr>
          <w:rFonts w:ascii="Arial" w:hAnsi="Arial" w:cs="Arial" w:hint="eastAsia"/>
          <w:sz w:val="28"/>
        </w:rPr>
        <w:t>4.1%</w:t>
      </w:r>
      <w:r>
        <w:rPr>
          <w:rFonts w:ascii="Arial" w:hAnsi="Arial" w:cs="Arial" w:hint="eastAsia"/>
          <w:sz w:val="28"/>
        </w:rPr>
        <w:t>，与一季度持平；</w:t>
      </w:r>
      <w:r>
        <w:rPr>
          <w:rFonts w:ascii="Arial" w:hAnsi="Arial" w:cs="Arial" w:hint="eastAsia"/>
          <w:sz w:val="28"/>
        </w:rPr>
        <w:t>6</w:t>
      </w:r>
      <w:r>
        <w:rPr>
          <w:rFonts w:ascii="Arial" w:hAnsi="Arial" w:cs="Arial" w:hint="eastAsia"/>
          <w:sz w:val="28"/>
        </w:rPr>
        <w:t>月份，城镇调查失业率为</w:t>
      </w:r>
      <w:r>
        <w:rPr>
          <w:rFonts w:ascii="Arial" w:hAnsi="Arial" w:cs="Arial" w:hint="eastAsia"/>
          <w:sz w:val="28"/>
        </w:rPr>
        <w:t>4.1%</w:t>
      </w:r>
      <w:r>
        <w:rPr>
          <w:rFonts w:ascii="Arial" w:hAnsi="Arial" w:cs="Arial" w:hint="eastAsia"/>
          <w:sz w:val="28"/>
        </w:rPr>
        <w:t>，环比上升</w:t>
      </w:r>
      <w:r>
        <w:rPr>
          <w:rFonts w:ascii="Arial" w:hAnsi="Arial" w:cs="Arial" w:hint="eastAsia"/>
          <w:sz w:val="28"/>
        </w:rPr>
        <w:t>0.1</w:t>
      </w:r>
      <w:r>
        <w:rPr>
          <w:rFonts w:ascii="Arial" w:hAnsi="Arial" w:cs="Arial" w:hint="eastAsia"/>
          <w:sz w:val="28"/>
        </w:rPr>
        <w:t>个百分点。</w:t>
      </w:r>
    </w:p>
    <w:p w14:paraId="67DD9596"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2025</w:t>
      </w:r>
      <w:r>
        <w:rPr>
          <w:rFonts w:ascii="Arial" w:hAnsi="Arial" w:cs="Arial" w:hint="eastAsia"/>
          <w:sz w:val="28"/>
        </w:rPr>
        <w:t>年上半年，北京市居民人均可支配收入</w:t>
      </w:r>
      <w:r>
        <w:rPr>
          <w:rFonts w:ascii="Arial" w:hAnsi="Arial" w:cs="Arial" w:hint="eastAsia"/>
          <w:sz w:val="28"/>
        </w:rPr>
        <w:t>45144</w:t>
      </w:r>
      <w:r>
        <w:rPr>
          <w:rFonts w:ascii="Arial" w:hAnsi="Arial" w:cs="Arial" w:hint="eastAsia"/>
          <w:sz w:val="28"/>
        </w:rPr>
        <w:t>元，同比增长</w:t>
      </w:r>
      <w:r>
        <w:rPr>
          <w:rFonts w:ascii="Arial" w:hAnsi="Arial" w:cs="Arial" w:hint="eastAsia"/>
          <w:sz w:val="28"/>
        </w:rPr>
        <w:t>4.8%</w:t>
      </w:r>
      <w:r>
        <w:rPr>
          <w:rFonts w:ascii="Arial" w:hAnsi="Arial" w:cs="Arial" w:hint="eastAsia"/>
          <w:sz w:val="28"/>
        </w:rPr>
        <w:t>，扣除价格因素，实际增长</w:t>
      </w:r>
      <w:r>
        <w:rPr>
          <w:rFonts w:ascii="Arial" w:hAnsi="Arial" w:cs="Arial" w:hint="eastAsia"/>
          <w:sz w:val="28"/>
        </w:rPr>
        <w:t>5.1%</w:t>
      </w:r>
      <w:r>
        <w:rPr>
          <w:rFonts w:ascii="Arial" w:hAnsi="Arial" w:cs="Arial" w:hint="eastAsia"/>
          <w:sz w:val="28"/>
        </w:rPr>
        <w:t>。其中，工资性收入增长</w:t>
      </w:r>
      <w:r>
        <w:rPr>
          <w:rFonts w:ascii="Arial" w:hAnsi="Arial" w:cs="Arial" w:hint="eastAsia"/>
          <w:sz w:val="28"/>
        </w:rPr>
        <w:t>5.3%</w:t>
      </w:r>
      <w:r>
        <w:rPr>
          <w:rFonts w:ascii="Arial" w:hAnsi="Arial" w:cs="Arial" w:hint="eastAsia"/>
          <w:sz w:val="28"/>
        </w:rPr>
        <w:t>，经营净收入增长</w:t>
      </w:r>
      <w:r>
        <w:rPr>
          <w:rFonts w:ascii="Arial" w:hAnsi="Arial" w:cs="Arial" w:hint="eastAsia"/>
          <w:sz w:val="28"/>
        </w:rPr>
        <w:t>2.4%</w:t>
      </w:r>
      <w:r>
        <w:rPr>
          <w:rFonts w:ascii="Arial" w:hAnsi="Arial" w:cs="Arial" w:hint="eastAsia"/>
          <w:sz w:val="28"/>
        </w:rPr>
        <w:t>，财产净收入增长</w:t>
      </w:r>
      <w:r>
        <w:rPr>
          <w:rFonts w:ascii="Arial" w:hAnsi="Arial" w:cs="Arial" w:hint="eastAsia"/>
          <w:sz w:val="28"/>
        </w:rPr>
        <w:t>2.3%</w:t>
      </w:r>
      <w:r>
        <w:rPr>
          <w:rFonts w:ascii="Arial" w:hAnsi="Arial" w:cs="Arial" w:hint="eastAsia"/>
          <w:sz w:val="28"/>
        </w:rPr>
        <w:t>，转移净收入增长</w:t>
      </w:r>
      <w:r>
        <w:rPr>
          <w:rFonts w:ascii="Arial" w:hAnsi="Arial" w:cs="Arial" w:hint="eastAsia"/>
          <w:sz w:val="28"/>
        </w:rPr>
        <w:t>5.2%</w:t>
      </w:r>
      <w:r>
        <w:rPr>
          <w:rFonts w:ascii="Arial" w:hAnsi="Arial" w:cs="Arial" w:hint="eastAsia"/>
          <w:sz w:val="28"/>
        </w:rPr>
        <w:t>。城镇</w:t>
      </w:r>
      <w:r>
        <w:rPr>
          <w:rFonts w:ascii="Arial" w:hAnsi="Arial" w:cs="Arial" w:hint="eastAsia"/>
          <w:sz w:val="28"/>
        </w:rPr>
        <w:lastRenderedPageBreak/>
        <w:t>居民人均可支配收入</w:t>
      </w:r>
      <w:r>
        <w:rPr>
          <w:rFonts w:ascii="Arial" w:hAnsi="Arial" w:cs="Arial" w:hint="eastAsia"/>
          <w:sz w:val="28"/>
        </w:rPr>
        <w:t>48666</w:t>
      </w:r>
      <w:r>
        <w:rPr>
          <w:rFonts w:ascii="Arial" w:hAnsi="Arial" w:cs="Arial" w:hint="eastAsia"/>
          <w:sz w:val="28"/>
        </w:rPr>
        <w:t>元，同比增长</w:t>
      </w:r>
      <w:r>
        <w:rPr>
          <w:rFonts w:ascii="Arial" w:hAnsi="Arial" w:cs="Arial" w:hint="eastAsia"/>
          <w:sz w:val="28"/>
        </w:rPr>
        <w:t>4.6%</w:t>
      </w:r>
      <w:r>
        <w:rPr>
          <w:rFonts w:ascii="Arial" w:hAnsi="Arial" w:cs="Arial" w:hint="eastAsia"/>
          <w:sz w:val="28"/>
        </w:rPr>
        <w:t>，农村居民人均可支配收入</w:t>
      </w:r>
      <w:r>
        <w:rPr>
          <w:rFonts w:ascii="Arial" w:hAnsi="Arial" w:cs="Arial" w:hint="eastAsia"/>
          <w:sz w:val="28"/>
        </w:rPr>
        <w:t>22124</w:t>
      </w:r>
      <w:r>
        <w:rPr>
          <w:rFonts w:ascii="Arial" w:hAnsi="Arial" w:cs="Arial" w:hint="eastAsia"/>
          <w:sz w:val="28"/>
        </w:rPr>
        <w:t>元，同比增长</w:t>
      </w:r>
      <w:r>
        <w:rPr>
          <w:rFonts w:ascii="Arial" w:hAnsi="Arial" w:cs="Arial" w:hint="eastAsia"/>
          <w:sz w:val="28"/>
        </w:rPr>
        <w:t>6.1%</w:t>
      </w:r>
      <w:r>
        <w:rPr>
          <w:rFonts w:ascii="Arial" w:hAnsi="Arial" w:cs="Arial" w:hint="eastAsia"/>
          <w:sz w:val="28"/>
        </w:rPr>
        <w:t>。</w:t>
      </w:r>
    </w:p>
    <w:p w14:paraId="3AC085F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总的来看，</w:t>
      </w:r>
      <w:r>
        <w:rPr>
          <w:rFonts w:ascii="Arial" w:hAnsi="Arial" w:cs="Arial" w:hint="eastAsia"/>
          <w:sz w:val="28"/>
        </w:rPr>
        <w:t>2025</w:t>
      </w:r>
      <w:r>
        <w:rPr>
          <w:rFonts w:ascii="Arial" w:hAnsi="Arial" w:cs="Arial" w:hint="eastAsia"/>
          <w:sz w:val="28"/>
        </w:rPr>
        <w:t>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14:paraId="06E032D8" w14:textId="77777777" w:rsidR="00000000" w:rsidRDefault="00000000">
      <w:pPr>
        <w:spacing w:line="360" w:lineRule="auto"/>
        <w:jc w:val="both"/>
        <w:rPr>
          <w:rFonts w:ascii="Arial" w:hAnsi="Arial" w:cs="Arial"/>
          <w:sz w:val="28"/>
        </w:rPr>
      </w:pPr>
      <w:r>
        <w:rPr>
          <w:rFonts w:ascii="Arial" w:hAnsi="Arial" w:cs="Arial"/>
          <w:sz w:val="28"/>
        </w:rPr>
        <w:t>（二）区域因素</w:t>
      </w:r>
    </w:p>
    <w:p w14:paraId="620B4156" w14:textId="77777777" w:rsidR="00000000" w:rsidRDefault="00000000">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区域概况</w:t>
      </w:r>
    </w:p>
    <w:p w14:paraId="64D67B46" w14:textId="77777777" w:rsidR="00000000" w:rsidRDefault="00000000">
      <w:pPr>
        <w:spacing w:line="360" w:lineRule="auto"/>
        <w:ind w:firstLineChars="200" w:firstLine="560"/>
        <w:jc w:val="both"/>
        <w:rPr>
          <w:rFonts w:ascii="Arial" w:hAnsi="Arial" w:cs="Arial"/>
          <w:sz w:val="28"/>
        </w:rPr>
      </w:pPr>
      <w:r>
        <w:rPr>
          <w:rFonts w:ascii="Arial" w:hAnsi="Arial" w:cs="Arial"/>
          <w:sz w:val="28"/>
        </w:rPr>
        <w:t>咨询对象位于北京市</w:t>
      </w:r>
      <w:r>
        <w:rPr>
          <w:rFonts w:ascii="Arial" w:hAnsi="Arial" w:cs="Arial" w:hint="eastAsia"/>
          <w:sz w:val="28"/>
        </w:rPr>
        <w:t>昌平区马池口镇百泉庄村</w:t>
      </w:r>
      <w:r>
        <w:rPr>
          <w:rFonts w:ascii="Arial" w:hAnsi="Arial" w:cs="Arial"/>
          <w:sz w:val="28"/>
        </w:rPr>
        <w:t>。</w:t>
      </w:r>
      <w:r>
        <w:rPr>
          <w:rFonts w:ascii="Arial" w:hAnsi="Arial" w:cs="Arial" w:hint="eastAsia"/>
          <w:sz w:val="28"/>
        </w:rPr>
        <w:t>百泉庄村位于北京市昌平城区西部，距离马池口镇政府约</w:t>
      </w:r>
      <w:r>
        <w:rPr>
          <w:rFonts w:ascii="Arial" w:hAnsi="Arial" w:cs="Arial" w:hint="eastAsia"/>
          <w:sz w:val="28"/>
        </w:rPr>
        <w:t>4.7</w:t>
      </w:r>
      <w:r>
        <w:rPr>
          <w:rFonts w:ascii="Arial" w:hAnsi="Arial" w:cs="Arial" w:hint="eastAsia"/>
          <w:sz w:val="28"/>
        </w:rPr>
        <w:t>公里。东邻昌平城区，西接上念头村，南连宏道村，北邻昌平镇。村域面积</w:t>
      </w:r>
      <w:r>
        <w:rPr>
          <w:rFonts w:ascii="Arial" w:hAnsi="Arial" w:cs="Arial" w:hint="eastAsia"/>
          <w:sz w:val="28"/>
        </w:rPr>
        <w:t>286.07</w:t>
      </w:r>
      <w:r>
        <w:rPr>
          <w:rFonts w:ascii="Arial" w:hAnsi="Arial" w:cs="Arial" w:hint="eastAsia"/>
          <w:sz w:val="28"/>
        </w:rPr>
        <w:t>公顷（</w:t>
      </w:r>
      <w:r>
        <w:rPr>
          <w:rFonts w:ascii="Arial" w:hAnsi="Arial" w:cs="Arial" w:hint="eastAsia"/>
          <w:sz w:val="28"/>
        </w:rPr>
        <w:t>4291.05</w:t>
      </w:r>
      <w:r>
        <w:rPr>
          <w:rFonts w:ascii="Arial" w:hAnsi="Arial" w:cs="Arial" w:hint="eastAsia"/>
          <w:sz w:val="28"/>
        </w:rPr>
        <w:t>亩），村庄人口</w:t>
      </w:r>
      <w:r>
        <w:rPr>
          <w:rFonts w:ascii="Arial" w:hAnsi="Arial" w:cs="Arial" w:hint="eastAsia"/>
          <w:sz w:val="28"/>
        </w:rPr>
        <w:t xml:space="preserve"> 2000</w:t>
      </w:r>
      <w:r>
        <w:rPr>
          <w:rFonts w:ascii="Arial" w:hAnsi="Arial" w:cs="Arial" w:hint="eastAsia"/>
          <w:sz w:val="28"/>
        </w:rPr>
        <w:t>人，其中非农业人口</w:t>
      </w:r>
      <w:r>
        <w:rPr>
          <w:rFonts w:ascii="Arial" w:hAnsi="Arial" w:cs="Arial" w:hint="eastAsia"/>
          <w:sz w:val="28"/>
        </w:rPr>
        <w:t>427</w:t>
      </w:r>
      <w:r>
        <w:rPr>
          <w:rFonts w:ascii="Arial" w:hAnsi="Arial" w:cs="Arial" w:hint="eastAsia"/>
          <w:sz w:val="28"/>
        </w:rPr>
        <w:t>人，农业人口</w:t>
      </w:r>
      <w:r>
        <w:rPr>
          <w:rFonts w:ascii="Arial" w:hAnsi="Arial" w:cs="Arial" w:hint="eastAsia"/>
          <w:sz w:val="28"/>
        </w:rPr>
        <w:t>1573</w:t>
      </w:r>
      <w:r>
        <w:rPr>
          <w:rFonts w:ascii="Arial" w:hAnsi="Arial" w:cs="Arial" w:hint="eastAsia"/>
          <w:sz w:val="28"/>
        </w:rPr>
        <w:t>人。共</w:t>
      </w:r>
      <w:r>
        <w:rPr>
          <w:rFonts w:ascii="Arial" w:hAnsi="Arial" w:cs="Arial" w:hint="eastAsia"/>
          <w:sz w:val="28"/>
        </w:rPr>
        <w:t>818</w:t>
      </w:r>
      <w:r>
        <w:rPr>
          <w:rFonts w:ascii="Arial" w:hAnsi="Arial" w:cs="Arial" w:hint="eastAsia"/>
          <w:sz w:val="28"/>
        </w:rPr>
        <w:t>户，其中非农业户</w:t>
      </w:r>
      <w:r>
        <w:rPr>
          <w:rFonts w:ascii="Arial" w:hAnsi="Arial" w:cs="Arial" w:hint="eastAsia"/>
          <w:sz w:val="28"/>
        </w:rPr>
        <w:t>200</w:t>
      </w:r>
      <w:r>
        <w:rPr>
          <w:rFonts w:ascii="Arial" w:hAnsi="Arial" w:cs="Arial" w:hint="eastAsia"/>
          <w:sz w:val="28"/>
        </w:rPr>
        <w:t>户，农业户</w:t>
      </w:r>
      <w:r>
        <w:rPr>
          <w:rFonts w:ascii="Arial" w:hAnsi="Arial" w:cs="Arial" w:hint="eastAsia"/>
          <w:sz w:val="28"/>
        </w:rPr>
        <w:t>618</w:t>
      </w:r>
      <w:r>
        <w:rPr>
          <w:rFonts w:ascii="Arial" w:hAnsi="Arial" w:cs="Arial" w:hint="eastAsia"/>
          <w:sz w:val="28"/>
        </w:rPr>
        <w:t>户。百泉庄村域面积较大，农业用地主要分布在温南路以南，经济发展平稳。第一产业以粮食作物种植、蔬菜水果种植以及塘鱼养殖为主，主要表现为经济功能的发展，其社会和生态的功能有待提高。村域西部大部分土地被征为国有土地，在村庄周边有大量的工业企业和对外服务设施。</w:t>
      </w:r>
    </w:p>
    <w:p w14:paraId="13441003" w14:textId="77777777" w:rsidR="00000000" w:rsidRDefault="00000000">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交通条件</w:t>
      </w:r>
    </w:p>
    <w:p w14:paraId="352705ED" w14:textId="77777777" w:rsidR="00000000" w:rsidRDefault="00000000">
      <w:pPr>
        <w:spacing w:line="360" w:lineRule="auto"/>
        <w:ind w:firstLineChars="200" w:firstLine="560"/>
        <w:rPr>
          <w:rFonts w:ascii="Arial" w:hAnsi="Arial" w:cs="Arial"/>
          <w:sz w:val="28"/>
        </w:rPr>
      </w:pPr>
      <w:r>
        <w:rPr>
          <w:rFonts w:ascii="Arial" w:hAnsi="Arial" w:cs="Arial"/>
          <w:sz w:val="28"/>
        </w:rPr>
        <w:t>咨询对象东侧</w:t>
      </w:r>
      <w:r>
        <w:rPr>
          <w:rFonts w:ascii="Arial" w:hAnsi="Arial" w:cs="Arial" w:hint="eastAsia"/>
          <w:sz w:val="28"/>
        </w:rPr>
        <w:t>紧邻</w:t>
      </w:r>
      <w:r>
        <w:rPr>
          <w:rFonts w:ascii="Arial" w:hAnsi="Arial" w:cs="Arial"/>
          <w:sz w:val="28"/>
        </w:rPr>
        <w:t>城市次干道</w:t>
      </w:r>
      <w:r>
        <w:rPr>
          <w:rFonts w:ascii="Arial" w:hAnsi="Arial" w:cs="Arial"/>
          <w:sz w:val="28"/>
        </w:rPr>
        <w:t>——</w:t>
      </w:r>
      <w:r>
        <w:rPr>
          <w:rFonts w:ascii="Arial" w:hAnsi="Arial" w:cs="Arial" w:hint="eastAsia"/>
          <w:sz w:val="28"/>
        </w:rPr>
        <w:t>水屯路</w:t>
      </w:r>
      <w:r>
        <w:rPr>
          <w:rFonts w:ascii="Arial" w:hAnsi="Arial" w:cs="Arial"/>
          <w:sz w:val="28"/>
        </w:rPr>
        <w:t>、</w:t>
      </w:r>
      <w:r>
        <w:rPr>
          <w:rFonts w:ascii="Arial" w:hAnsi="Arial" w:cs="Arial" w:hint="eastAsia"/>
          <w:sz w:val="28"/>
        </w:rPr>
        <w:t>北侧</w:t>
      </w:r>
      <w:r>
        <w:rPr>
          <w:rFonts w:ascii="Arial" w:hAnsi="Arial" w:cs="Arial"/>
          <w:sz w:val="28"/>
        </w:rPr>
        <w:t>临近城市次干道</w:t>
      </w:r>
      <w:r>
        <w:rPr>
          <w:rFonts w:ascii="Arial" w:hAnsi="Arial" w:cs="Arial"/>
          <w:sz w:val="28"/>
        </w:rPr>
        <w:t>——</w:t>
      </w:r>
      <w:r>
        <w:rPr>
          <w:rFonts w:ascii="Arial" w:hAnsi="Arial" w:cs="Arial" w:hint="eastAsia"/>
          <w:sz w:val="28"/>
        </w:rPr>
        <w:t>水南路</w:t>
      </w:r>
      <w:r>
        <w:rPr>
          <w:rFonts w:ascii="Arial" w:hAnsi="Arial" w:cs="Arial"/>
          <w:sz w:val="28"/>
        </w:rPr>
        <w:t>，</w:t>
      </w:r>
      <w:r>
        <w:rPr>
          <w:rFonts w:ascii="Arial" w:hAnsi="Arial" w:cs="Arial" w:hint="eastAsia"/>
          <w:sz w:val="28"/>
        </w:rPr>
        <w:t>距京藏高速约</w:t>
      </w:r>
      <w:r>
        <w:rPr>
          <w:rFonts w:ascii="Arial" w:hAnsi="Arial" w:cs="Arial" w:hint="eastAsia"/>
          <w:sz w:val="28"/>
        </w:rPr>
        <w:t>1</w:t>
      </w:r>
      <w:r>
        <w:rPr>
          <w:rFonts w:ascii="Arial" w:hAnsi="Arial" w:cs="Arial" w:hint="eastAsia"/>
          <w:sz w:val="28"/>
        </w:rPr>
        <w:t>公里，</w:t>
      </w:r>
      <w:r>
        <w:rPr>
          <w:rFonts w:ascii="Arial" w:hAnsi="Arial" w:cs="Arial"/>
          <w:sz w:val="28"/>
        </w:rPr>
        <w:t>周边有</w:t>
      </w:r>
      <w:r>
        <w:rPr>
          <w:rFonts w:ascii="Arial" w:hAnsi="Arial" w:cs="Arial" w:hint="eastAsia"/>
          <w:sz w:val="28"/>
        </w:rPr>
        <w:t>559</w:t>
      </w:r>
      <w:r>
        <w:rPr>
          <w:rFonts w:ascii="Arial" w:hAnsi="Arial" w:cs="Arial"/>
          <w:sz w:val="28"/>
        </w:rPr>
        <w:t>路、</w:t>
      </w:r>
      <w:r>
        <w:rPr>
          <w:rFonts w:ascii="Arial" w:hAnsi="Arial" w:cs="Arial" w:hint="eastAsia"/>
          <w:sz w:val="28"/>
        </w:rPr>
        <w:t>590</w:t>
      </w:r>
      <w:r>
        <w:rPr>
          <w:rFonts w:ascii="Arial" w:hAnsi="Arial" w:cs="Arial"/>
          <w:sz w:val="28"/>
        </w:rPr>
        <w:t>路、</w:t>
      </w:r>
      <w:r>
        <w:rPr>
          <w:rFonts w:ascii="Arial" w:hAnsi="Arial" w:cs="Arial" w:hint="eastAsia"/>
          <w:sz w:val="28"/>
        </w:rPr>
        <w:t>昌</w:t>
      </w:r>
      <w:r>
        <w:rPr>
          <w:rFonts w:ascii="Arial" w:hAnsi="Arial" w:cs="Arial" w:hint="eastAsia"/>
          <w:sz w:val="28"/>
        </w:rPr>
        <w:t>13</w:t>
      </w:r>
      <w:r>
        <w:rPr>
          <w:rFonts w:ascii="Arial" w:hAnsi="Arial" w:cs="Arial"/>
          <w:sz w:val="28"/>
        </w:rPr>
        <w:t>路</w:t>
      </w:r>
      <w:r>
        <w:rPr>
          <w:rFonts w:ascii="Arial" w:hAnsi="Arial" w:cs="Arial" w:hint="eastAsia"/>
          <w:sz w:val="28"/>
        </w:rPr>
        <w:t>、昌</w:t>
      </w:r>
      <w:r>
        <w:rPr>
          <w:rFonts w:ascii="Arial" w:hAnsi="Arial" w:cs="Arial" w:hint="eastAsia"/>
          <w:sz w:val="28"/>
        </w:rPr>
        <w:t>3</w:t>
      </w:r>
      <w:r>
        <w:rPr>
          <w:rFonts w:ascii="Arial" w:hAnsi="Arial" w:cs="Arial" w:hint="eastAsia"/>
          <w:sz w:val="28"/>
        </w:rPr>
        <w:t>路</w:t>
      </w:r>
      <w:r>
        <w:rPr>
          <w:rFonts w:ascii="Arial" w:hAnsi="Arial" w:cs="Arial"/>
          <w:sz w:val="28"/>
        </w:rPr>
        <w:t>等公交线路，</w:t>
      </w:r>
      <w:r>
        <w:rPr>
          <w:rFonts w:ascii="Arial" w:hAnsi="Arial" w:cs="Arial" w:hint="eastAsia"/>
          <w:sz w:val="28"/>
        </w:rPr>
        <w:t>2</w:t>
      </w:r>
      <w:r>
        <w:rPr>
          <w:rFonts w:ascii="Arial" w:hAnsi="Arial" w:cs="Arial" w:hint="eastAsia"/>
          <w:sz w:val="28"/>
        </w:rPr>
        <w:t>公里范围内无轨道交通</w:t>
      </w:r>
      <w:r>
        <w:rPr>
          <w:rFonts w:ascii="Arial" w:hAnsi="Arial" w:cs="Arial"/>
          <w:sz w:val="28"/>
        </w:rPr>
        <w:t>，综合评价交通便捷度</w:t>
      </w:r>
      <w:r>
        <w:rPr>
          <w:rFonts w:ascii="Arial" w:hAnsi="Arial" w:cs="Arial" w:hint="eastAsia"/>
          <w:sz w:val="28"/>
        </w:rPr>
        <w:t>较差</w:t>
      </w:r>
      <w:r>
        <w:rPr>
          <w:rFonts w:ascii="Arial" w:hAnsi="Arial" w:cs="Arial"/>
          <w:sz w:val="28"/>
        </w:rPr>
        <w:t>。</w:t>
      </w:r>
    </w:p>
    <w:p w14:paraId="351B2FD6" w14:textId="77777777" w:rsidR="00000000" w:rsidRDefault="00000000">
      <w:pPr>
        <w:spacing w:line="360" w:lineRule="auto"/>
        <w:ind w:firstLineChars="200" w:firstLine="560"/>
        <w:rPr>
          <w:rFonts w:ascii="Arial" w:hAnsi="Arial" w:cs="Arial"/>
          <w:sz w:val="28"/>
        </w:rPr>
      </w:pPr>
      <w:r>
        <w:rPr>
          <w:rFonts w:ascii="Arial" w:hAnsi="Arial" w:cs="Arial"/>
          <w:sz w:val="28"/>
        </w:rPr>
        <w:t>3.</w:t>
      </w:r>
      <w:r>
        <w:rPr>
          <w:rFonts w:ascii="Arial" w:hAnsi="Arial" w:cs="Arial"/>
          <w:sz w:val="28"/>
        </w:rPr>
        <w:t>环境条件</w:t>
      </w:r>
    </w:p>
    <w:p w14:paraId="6F06FD4E" w14:textId="77777777" w:rsidR="00000000" w:rsidRDefault="00000000">
      <w:pPr>
        <w:spacing w:line="360" w:lineRule="auto"/>
        <w:ind w:firstLineChars="200" w:firstLine="560"/>
        <w:jc w:val="both"/>
        <w:rPr>
          <w:rFonts w:ascii="Arial" w:hAnsi="Arial" w:cs="Arial"/>
          <w:sz w:val="28"/>
        </w:rPr>
      </w:pPr>
      <w:r>
        <w:rPr>
          <w:rFonts w:ascii="Arial" w:hAnsi="Arial" w:cs="Arial"/>
          <w:sz w:val="28"/>
        </w:rPr>
        <w:t>咨询对象</w:t>
      </w:r>
      <w:r>
        <w:rPr>
          <w:rFonts w:ascii="Arial" w:hAnsi="Arial" w:cs="Arial" w:hint="eastAsia"/>
          <w:sz w:val="28"/>
        </w:rPr>
        <w:t>周边有京密引水渠等</w:t>
      </w:r>
      <w:r>
        <w:rPr>
          <w:rFonts w:ascii="Arial" w:hAnsi="Arial" w:cs="Arial"/>
          <w:sz w:val="28"/>
        </w:rPr>
        <w:t>自然环境；</w:t>
      </w:r>
      <w:r>
        <w:rPr>
          <w:rFonts w:ascii="Arial" w:hAnsi="Arial" w:cs="Arial" w:hint="eastAsia"/>
          <w:sz w:val="28"/>
        </w:rPr>
        <w:t>有中国石化石油化工科学研究院、中国标准化研究院、北京汇佳职业学院等人文场所。</w:t>
      </w:r>
      <w:r>
        <w:rPr>
          <w:rFonts w:ascii="Arial" w:hAnsi="Arial" w:cs="Arial"/>
          <w:sz w:val="28"/>
        </w:rPr>
        <w:t>综合评价环境状况</w:t>
      </w:r>
      <w:r>
        <w:rPr>
          <w:rFonts w:ascii="Arial" w:hAnsi="Arial" w:cs="Arial"/>
          <w:sz w:val="28"/>
        </w:rPr>
        <w:lastRenderedPageBreak/>
        <w:t>一般。</w:t>
      </w:r>
    </w:p>
    <w:p w14:paraId="7A308DFF" w14:textId="77777777" w:rsidR="00000000" w:rsidRDefault="00000000">
      <w:pPr>
        <w:spacing w:line="360" w:lineRule="auto"/>
        <w:ind w:firstLineChars="200" w:firstLine="560"/>
        <w:jc w:val="both"/>
        <w:rPr>
          <w:rFonts w:ascii="Arial" w:hAnsi="Arial" w:cs="Arial"/>
          <w:i/>
          <w:sz w:val="28"/>
        </w:rPr>
      </w:pPr>
      <w:r>
        <w:rPr>
          <w:rFonts w:ascii="Arial" w:hAnsi="Arial" w:cs="Arial"/>
          <w:sz w:val="28"/>
        </w:rPr>
        <w:t>4.</w:t>
      </w:r>
      <w:r>
        <w:rPr>
          <w:rFonts w:ascii="Arial" w:hAnsi="Arial" w:cs="Arial"/>
          <w:sz w:val="28"/>
        </w:rPr>
        <w:t>基础设施条件</w:t>
      </w:r>
    </w:p>
    <w:p w14:paraId="33C468CC"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昌平</w:t>
      </w:r>
      <w:r>
        <w:rPr>
          <w:rFonts w:ascii="Arial" w:hAnsi="Arial" w:cs="Arial"/>
          <w:sz w:val="28"/>
        </w:rPr>
        <w:t>区目前已拥有完善的基础设施配套保障，区内大部分区域基础设施配套目前可达到</w:t>
      </w:r>
      <w:r>
        <w:rPr>
          <w:rFonts w:ascii="Arial" w:hAnsi="Arial" w:cs="Arial"/>
          <w:sz w:val="28"/>
        </w:rPr>
        <w:t>“</w:t>
      </w:r>
      <w:r>
        <w:rPr>
          <w:rFonts w:ascii="Arial" w:hAnsi="Arial" w:cs="Arial"/>
          <w:sz w:val="28"/>
        </w:rPr>
        <w:t>七通</w:t>
      </w:r>
      <w:r>
        <w:rPr>
          <w:rFonts w:ascii="Arial" w:hAnsi="Arial" w:cs="Arial"/>
          <w:sz w:val="28"/>
        </w:rPr>
        <w:t>”</w:t>
      </w:r>
      <w:r>
        <w:rPr>
          <w:rFonts w:ascii="Arial" w:hAnsi="Arial" w:cs="Arial"/>
          <w:sz w:val="28"/>
        </w:rPr>
        <w:t>（即通路、通电、通讯、通上水、通下水、通燃气、通热）条件。</w:t>
      </w:r>
    </w:p>
    <w:p w14:paraId="10F52903" w14:textId="77777777" w:rsidR="00000000" w:rsidRDefault="00000000">
      <w:pPr>
        <w:spacing w:line="360" w:lineRule="auto"/>
        <w:ind w:firstLineChars="200" w:firstLine="560"/>
        <w:jc w:val="both"/>
        <w:rPr>
          <w:rFonts w:ascii="Arial" w:hAnsi="Arial" w:cs="Arial"/>
          <w:sz w:val="28"/>
        </w:rPr>
      </w:pPr>
      <w:r>
        <w:rPr>
          <w:rFonts w:ascii="Arial" w:hAnsi="Arial" w:cs="Arial"/>
          <w:sz w:val="28"/>
        </w:rPr>
        <w:t>5.</w:t>
      </w:r>
      <w:r>
        <w:rPr>
          <w:rFonts w:ascii="Arial" w:hAnsi="Arial" w:cs="Arial"/>
          <w:sz w:val="28"/>
        </w:rPr>
        <w:t>居住社区成熟度</w:t>
      </w:r>
    </w:p>
    <w:p w14:paraId="283315D5" w14:textId="77777777" w:rsidR="00000000" w:rsidRDefault="00000000">
      <w:pPr>
        <w:spacing w:line="360" w:lineRule="auto"/>
        <w:ind w:firstLineChars="200" w:firstLine="560"/>
        <w:jc w:val="both"/>
        <w:rPr>
          <w:rFonts w:ascii="Arial" w:hAnsi="Arial" w:cs="Arial"/>
          <w:sz w:val="28"/>
        </w:rPr>
      </w:pPr>
      <w:r>
        <w:rPr>
          <w:rFonts w:ascii="Arial" w:hAnsi="Arial" w:cs="Arial"/>
          <w:sz w:val="28"/>
        </w:rPr>
        <w:t>咨询对象周边有</w:t>
      </w:r>
      <w:r>
        <w:rPr>
          <w:rFonts w:ascii="Arial" w:hAnsi="Arial" w:cs="Arial" w:hint="eastAsia"/>
          <w:sz w:val="28"/>
        </w:rPr>
        <w:t>华庭公寓</w:t>
      </w:r>
      <w:r>
        <w:rPr>
          <w:rFonts w:ascii="Arial" w:hAnsi="Arial" w:cs="Arial"/>
          <w:sz w:val="28"/>
        </w:rPr>
        <w:t>、</w:t>
      </w:r>
      <w:r>
        <w:rPr>
          <w:rFonts w:ascii="Arial" w:hAnsi="Arial" w:cs="Arial" w:hint="eastAsia"/>
          <w:sz w:val="28"/>
        </w:rPr>
        <w:t>水屯家园、水南佳苑、龙山跃、百泉花园</w:t>
      </w:r>
      <w:r>
        <w:rPr>
          <w:rFonts w:ascii="Arial" w:hAnsi="Arial" w:cs="Arial"/>
          <w:sz w:val="28"/>
        </w:rPr>
        <w:t>等居住小区，</w:t>
      </w:r>
      <w:r>
        <w:rPr>
          <w:rFonts w:ascii="Arial" w:hAnsi="Arial" w:cs="Arial" w:hint="eastAsia"/>
          <w:sz w:val="28"/>
        </w:rPr>
        <w:t>规模较小，分布</w:t>
      </w:r>
      <w:r>
        <w:rPr>
          <w:rFonts w:ascii="Arial" w:hAnsi="Arial" w:cs="Arial"/>
          <w:sz w:val="28"/>
        </w:rPr>
        <w:t>较为分散，居住社区成熟度</w:t>
      </w:r>
      <w:r>
        <w:rPr>
          <w:rFonts w:ascii="Arial" w:hAnsi="Arial" w:cs="Arial" w:hint="eastAsia"/>
          <w:sz w:val="28"/>
        </w:rPr>
        <w:t>一般</w:t>
      </w:r>
      <w:r>
        <w:rPr>
          <w:rFonts w:ascii="Arial" w:hAnsi="Arial" w:cs="Arial"/>
          <w:sz w:val="28"/>
        </w:rPr>
        <w:t>。</w:t>
      </w:r>
    </w:p>
    <w:p w14:paraId="4AD959A1" w14:textId="77777777" w:rsidR="00000000" w:rsidRDefault="00000000">
      <w:pPr>
        <w:spacing w:line="360" w:lineRule="auto"/>
        <w:ind w:firstLineChars="200" w:firstLine="560"/>
        <w:jc w:val="both"/>
        <w:rPr>
          <w:rFonts w:ascii="Arial" w:hAnsi="Arial" w:cs="Arial"/>
          <w:sz w:val="28"/>
        </w:rPr>
      </w:pPr>
      <w:r>
        <w:rPr>
          <w:rFonts w:ascii="Arial" w:hAnsi="Arial" w:cs="Arial"/>
          <w:sz w:val="28"/>
        </w:rPr>
        <w:t>6.</w:t>
      </w:r>
      <w:r>
        <w:rPr>
          <w:rFonts w:ascii="Arial" w:hAnsi="Arial" w:cs="Arial" w:hint="eastAsia"/>
          <w:sz w:val="28"/>
        </w:rPr>
        <w:t>商业繁华度</w:t>
      </w:r>
    </w:p>
    <w:p w14:paraId="0F5059BF" w14:textId="77777777" w:rsidR="00000000" w:rsidRDefault="00000000">
      <w:pPr>
        <w:spacing w:line="360" w:lineRule="auto"/>
        <w:ind w:firstLineChars="200" w:firstLine="560"/>
        <w:jc w:val="both"/>
        <w:rPr>
          <w:rFonts w:ascii="Arial" w:hAnsi="Arial" w:cs="Arial" w:hint="eastAsia"/>
          <w:sz w:val="28"/>
        </w:rPr>
      </w:pPr>
      <w:r>
        <w:rPr>
          <w:rFonts w:ascii="Arial" w:hAnsi="Arial" w:cs="Arial"/>
          <w:sz w:val="28"/>
        </w:rPr>
        <w:t>咨询对象周边有</w:t>
      </w:r>
      <w:r>
        <w:rPr>
          <w:rFonts w:ascii="Arial" w:hAnsi="Arial" w:cs="Arial" w:hint="eastAsia"/>
          <w:sz w:val="28"/>
        </w:rPr>
        <w:t>零星住宅配套商业，商业繁华度一般。</w:t>
      </w:r>
    </w:p>
    <w:p w14:paraId="188FA937"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7.</w:t>
      </w:r>
      <w:r>
        <w:rPr>
          <w:rFonts w:ascii="Arial" w:hAnsi="Arial" w:cs="Arial" w:hint="eastAsia"/>
          <w:sz w:val="28"/>
        </w:rPr>
        <w:t>公共配套设施齐备度</w:t>
      </w:r>
    </w:p>
    <w:p w14:paraId="5A5B58A1" w14:textId="77777777" w:rsidR="00000000" w:rsidRDefault="00000000">
      <w:pPr>
        <w:spacing w:line="360" w:lineRule="auto"/>
        <w:ind w:firstLineChars="200" w:firstLine="560"/>
        <w:jc w:val="both"/>
        <w:rPr>
          <w:rFonts w:ascii="Arial" w:hAnsi="Arial" w:cs="Arial"/>
          <w:sz w:val="28"/>
        </w:rPr>
      </w:pPr>
      <w:r>
        <w:rPr>
          <w:rFonts w:ascii="Arial" w:hAnsi="Arial" w:cs="Arial"/>
          <w:sz w:val="28"/>
        </w:rPr>
        <w:t>咨询对象所在区域周边</w:t>
      </w:r>
      <w:r>
        <w:rPr>
          <w:rFonts w:ascii="Arial" w:hAnsi="Arial" w:cs="Arial"/>
          <w:sz w:val="28"/>
        </w:rPr>
        <w:t>2</w:t>
      </w:r>
      <w:r>
        <w:rPr>
          <w:rFonts w:ascii="Arial" w:hAnsi="Arial" w:cs="Arial"/>
          <w:sz w:val="28"/>
        </w:rPr>
        <w:t>公里范围内有</w:t>
      </w:r>
      <w:r>
        <w:rPr>
          <w:rFonts w:ascii="Arial" w:hAnsi="Arial" w:cs="Arial" w:hint="eastAsia"/>
          <w:sz w:val="28"/>
        </w:rPr>
        <w:t>汇蕾学校、北京市昌平区马池口中心百泉庄小学、马池口小学、北京博仁祥医院、昌平区城南社区卫生服务中心水屯社区卫生服务站、北京农商银行（水南路分理处）、中国邮政储蓄银行（水屯营业所）、北京银行（水南路支行）</w:t>
      </w:r>
      <w:r>
        <w:rPr>
          <w:rFonts w:ascii="Arial" w:hAnsi="Arial" w:cs="Arial"/>
          <w:sz w:val="28"/>
        </w:rPr>
        <w:t>等，各类配套设施齐备程度</w:t>
      </w:r>
      <w:r>
        <w:rPr>
          <w:rFonts w:ascii="Arial" w:hAnsi="Arial" w:cs="Arial" w:hint="eastAsia"/>
          <w:sz w:val="28"/>
        </w:rPr>
        <w:t>一般</w:t>
      </w:r>
      <w:r>
        <w:rPr>
          <w:rFonts w:ascii="Arial" w:hAnsi="Arial" w:cs="Arial"/>
          <w:sz w:val="28"/>
        </w:rPr>
        <w:t>，故公共配套设施状况一般。</w:t>
      </w:r>
    </w:p>
    <w:p w14:paraId="7D63F46C" w14:textId="77777777" w:rsidR="00000000" w:rsidRDefault="00000000">
      <w:pPr>
        <w:spacing w:line="360" w:lineRule="auto"/>
        <w:ind w:firstLineChars="200" w:firstLine="560"/>
        <w:jc w:val="both"/>
        <w:rPr>
          <w:rFonts w:ascii="Arial" w:hAnsi="Arial" w:cs="Arial"/>
          <w:sz w:val="28"/>
        </w:rPr>
      </w:pPr>
      <w:r>
        <w:rPr>
          <w:rFonts w:ascii="Arial" w:hAnsi="Arial" w:cs="Arial"/>
          <w:sz w:val="28"/>
        </w:rPr>
        <w:t>综上所述，咨询对象所处区域地理位置条件</w:t>
      </w:r>
      <w:r>
        <w:rPr>
          <w:rFonts w:ascii="Arial" w:hAnsi="Arial" w:cs="Arial" w:hint="eastAsia"/>
          <w:sz w:val="28"/>
        </w:rPr>
        <w:t>一般</w:t>
      </w:r>
      <w:r>
        <w:rPr>
          <w:rFonts w:ascii="Arial" w:hAnsi="Arial" w:cs="Arial"/>
          <w:sz w:val="28"/>
        </w:rPr>
        <w:t>、交通条件</w:t>
      </w:r>
      <w:r>
        <w:rPr>
          <w:rFonts w:ascii="Arial" w:hAnsi="Arial" w:cs="Arial" w:hint="eastAsia"/>
          <w:sz w:val="28"/>
        </w:rPr>
        <w:t>较差</w:t>
      </w:r>
      <w:r>
        <w:rPr>
          <w:rFonts w:ascii="Arial" w:hAnsi="Arial" w:cs="Arial"/>
          <w:sz w:val="28"/>
        </w:rPr>
        <w:t>，基础设施水平</w:t>
      </w:r>
      <w:r>
        <w:rPr>
          <w:rFonts w:ascii="Arial" w:hAnsi="Arial" w:cs="Arial" w:hint="eastAsia"/>
          <w:sz w:val="28"/>
        </w:rPr>
        <w:t>完善</w:t>
      </w:r>
      <w:r>
        <w:rPr>
          <w:rFonts w:ascii="Arial" w:hAnsi="Arial" w:cs="Arial"/>
          <w:sz w:val="28"/>
        </w:rPr>
        <w:t>，环境条件一般，</w:t>
      </w:r>
      <w:r>
        <w:rPr>
          <w:rFonts w:ascii="Arial" w:hAnsi="Arial" w:cs="Arial" w:hint="eastAsia"/>
          <w:sz w:val="28"/>
        </w:rPr>
        <w:t>居住社区成熟度一般、商业</w:t>
      </w:r>
      <w:r>
        <w:rPr>
          <w:rFonts w:ascii="Arial" w:hAnsi="Arial" w:cs="Arial"/>
          <w:sz w:val="28"/>
        </w:rPr>
        <w:t>繁华度情况一般</w:t>
      </w:r>
      <w:r>
        <w:rPr>
          <w:rFonts w:ascii="Arial" w:hAnsi="Arial" w:cs="Arial" w:hint="eastAsia"/>
          <w:sz w:val="28"/>
        </w:rPr>
        <w:t>、公共配套设施齐备度一般</w:t>
      </w:r>
      <w:r>
        <w:rPr>
          <w:rFonts w:ascii="Arial" w:hAnsi="Arial" w:cs="Arial"/>
          <w:sz w:val="28"/>
        </w:rPr>
        <w:t>。总体评价影响咨询对象的区域因素一般。</w:t>
      </w:r>
    </w:p>
    <w:p w14:paraId="7EA4CE90" w14:textId="77777777" w:rsidR="00000000" w:rsidRDefault="00000000">
      <w:pPr>
        <w:spacing w:line="360" w:lineRule="auto"/>
        <w:jc w:val="both"/>
        <w:rPr>
          <w:rFonts w:ascii="Arial" w:hAnsi="Arial" w:cs="Arial"/>
          <w:sz w:val="28"/>
        </w:rPr>
      </w:pPr>
      <w:r>
        <w:rPr>
          <w:rFonts w:ascii="Arial" w:hAnsi="Arial" w:cs="Arial"/>
          <w:sz w:val="28"/>
        </w:rPr>
        <w:t>（三）个别因素</w:t>
      </w:r>
    </w:p>
    <w:p w14:paraId="139569EB" w14:textId="77777777" w:rsidR="00000000" w:rsidRDefault="00000000">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咨询对象位置：咨询对象位于北京市</w:t>
      </w:r>
      <w:r>
        <w:rPr>
          <w:rFonts w:ascii="Arial" w:hAnsi="Arial" w:cs="Arial" w:hint="eastAsia"/>
          <w:sz w:val="28"/>
        </w:rPr>
        <w:t>昌平区马池口镇百泉庄村</w:t>
      </w:r>
      <w:r>
        <w:rPr>
          <w:rFonts w:ascii="Arial" w:hAnsi="Arial" w:cs="Arial"/>
          <w:sz w:val="28"/>
        </w:rPr>
        <w:t>，</w:t>
      </w:r>
      <w:r>
        <w:rPr>
          <w:rFonts w:ascii="Arial" w:hAnsi="Arial" w:cs="Arial" w:hint="eastAsia"/>
          <w:sz w:val="28"/>
        </w:rPr>
        <w:t>拟</w:t>
      </w:r>
      <w:r>
        <w:rPr>
          <w:rFonts w:ascii="Arial" w:hAnsi="Arial" w:cs="Arial"/>
          <w:sz w:val="28"/>
        </w:rPr>
        <w:t>开发建设的集体土地租赁住房项目。</w:t>
      </w:r>
    </w:p>
    <w:p w14:paraId="660D1CBC" w14:textId="77777777" w:rsidR="00000000" w:rsidRDefault="00000000">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宗地规划用途、面积</w:t>
      </w:r>
    </w:p>
    <w:p w14:paraId="20143343" w14:textId="77777777" w:rsidR="00000000" w:rsidRDefault="00000000">
      <w:pPr>
        <w:spacing w:line="360" w:lineRule="auto"/>
        <w:ind w:firstLineChars="200" w:firstLine="560"/>
        <w:jc w:val="both"/>
        <w:rPr>
          <w:rFonts w:ascii="Arial" w:hAnsi="Arial" w:cs="Arial"/>
          <w:sz w:val="28"/>
        </w:rPr>
      </w:pPr>
      <w:r>
        <w:rPr>
          <w:rFonts w:ascii="Arial" w:hAnsi="Arial" w:cs="Arial"/>
          <w:sz w:val="28"/>
        </w:rPr>
        <w:t>咨询对象规划土地用途为</w:t>
      </w:r>
      <w:r>
        <w:rPr>
          <w:rFonts w:ascii="Arial" w:hAnsi="Arial" w:cs="Arial" w:hint="eastAsia"/>
          <w:sz w:val="28"/>
        </w:rPr>
        <w:t>公寓</w:t>
      </w:r>
      <w:r>
        <w:rPr>
          <w:rFonts w:ascii="Arial" w:hAnsi="Arial" w:cs="Arial"/>
          <w:sz w:val="28"/>
        </w:rPr>
        <w:t>、商业、地下车库，为最佳最有效用途</w:t>
      </w:r>
      <w:r>
        <w:rPr>
          <w:rFonts w:ascii="Arial" w:hAnsi="Arial" w:cs="Arial" w:hint="eastAsia"/>
          <w:sz w:val="28"/>
        </w:rPr>
        <w:t>。</w:t>
      </w:r>
      <w:r>
        <w:rPr>
          <w:rFonts w:ascii="Arial" w:hAnsi="Arial" w:cs="Arial"/>
          <w:spacing w:val="-12"/>
          <w:sz w:val="28"/>
        </w:rPr>
        <w:t>咨询对象土地面积</w:t>
      </w:r>
      <w:r>
        <w:rPr>
          <w:rFonts w:ascii="Arial" w:hAnsi="Arial" w:cs="Arial"/>
          <w:bCs/>
          <w:kern w:val="2"/>
          <w:sz w:val="28"/>
        </w:rPr>
        <w:t>为</w:t>
      </w:r>
      <w:r>
        <w:rPr>
          <w:rFonts w:ascii="Arial" w:hAnsi="Arial" w:cs="Arial" w:hint="eastAsia"/>
          <w:sz w:val="28"/>
        </w:rPr>
        <w:t>18132</w:t>
      </w:r>
      <w:r>
        <w:rPr>
          <w:rFonts w:ascii="Arial" w:hAnsi="Arial" w:cs="Arial"/>
          <w:bCs/>
          <w:kern w:val="2"/>
          <w:sz w:val="28"/>
        </w:rPr>
        <w:t>平方</w:t>
      </w:r>
      <w:r>
        <w:rPr>
          <w:rFonts w:ascii="Arial" w:hAnsi="Arial" w:cs="Arial"/>
          <w:sz w:val="28"/>
        </w:rPr>
        <w:t>米。</w:t>
      </w:r>
    </w:p>
    <w:p w14:paraId="41FF5872" w14:textId="77777777" w:rsidR="00000000" w:rsidRDefault="00000000">
      <w:pPr>
        <w:spacing w:line="360" w:lineRule="auto"/>
        <w:ind w:firstLineChars="200" w:firstLine="560"/>
        <w:jc w:val="both"/>
        <w:rPr>
          <w:rFonts w:ascii="Arial" w:hAnsi="Arial" w:cs="Arial"/>
          <w:sz w:val="28"/>
        </w:rPr>
      </w:pPr>
      <w:r>
        <w:rPr>
          <w:rFonts w:ascii="Arial" w:hAnsi="Arial" w:cs="Arial"/>
          <w:sz w:val="28"/>
        </w:rPr>
        <w:lastRenderedPageBreak/>
        <w:t>3.</w:t>
      </w:r>
      <w:r>
        <w:rPr>
          <w:rFonts w:ascii="Arial" w:hAnsi="Arial" w:cs="Arial"/>
          <w:sz w:val="28"/>
        </w:rPr>
        <w:t>宗地容积率及可利用情况</w:t>
      </w:r>
    </w:p>
    <w:p w14:paraId="7BF0F5B6" w14:textId="77777777" w:rsidR="00000000" w:rsidRDefault="00000000">
      <w:pPr>
        <w:spacing w:line="360" w:lineRule="auto"/>
        <w:ind w:firstLineChars="200" w:firstLine="560"/>
        <w:jc w:val="both"/>
        <w:rPr>
          <w:rFonts w:ascii="Arial" w:hAnsi="Arial" w:cs="Arial"/>
          <w:spacing w:val="-12"/>
          <w:sz w:val="28"/>
        </w:rPr>
      </w:pPr>
      <w:r>
        <w:rPr>
          <w:rFonts w:ascii="Arial" w:hAnsi="Arial" w:cs="Arial"/>
          <w:sz w:val="28"/>
        </w:rPr>
        <w:t>咨询对象规划建筑面积为</w:t>
      </w:r>
      <w:r>
        <w:rPr>
          <w:rFonts w:ascii="Arial" w:hAnsi="Arial" w:cs="Arial" w:hint="eastAsia"/>
          <w:sz w:val="28"/>
        </w:rPr>
        <w:t>43300</w:t>
      </w:r>
      <w:r>
        <w:rPr>
          <w:rFonts w:ascii="Arial" w:hAnsi="Arial" w:cs="Arial"/>
          <w:sz w:val="28"/>
        </w:rPr>
        <w:t>平方米，容积率为</w:t>
      </w:r>
      <w:r>
        <w:rPr>
          <w:rFonts w:ascii="Arial" w:hAnsi="Arial" w:cs="Arial"/>
          <w:sz w:val="28"/>
        </w:rPr>
        <w:t>1.8</w:t>
      </w:r>
      <w:r>
        <w:rPr>
          <w:rFonts w:ascii="Arial" w:hAnsi="Arial" w:cs="Arial"/>
          <w:sz w:val="28"/>
        </w:rPr>
        <w:t>。咨询对象宗地形状较规则、地形平坦、地质良好。综合评价咨询对象土地利用程度较好。</w:t>
      </w:r>
    </w:p>
    <w:p w14:paraId="660F4153" w14:textId="77777777" w:rsidR="00000000" w:rsidRDefault="00000000">
      <w:pPr>
        <w:spacing w:line="360" w:lineRule="auto"/>
        <w:ind w:firstLineChars="200" w:firstLine="560"/>
        <w:jc w:val="both"/>
        <w:rPr>
          <w:rFonts w:ascii="Arial" w:hAnsi="Arial" w:cs="Arial"/>
          <w:sz w:val="28"/>
        </w:rPr>
      </w:pPr>
      <w:r>
        <w:rPr>
          <w:rFonts w:ascii="Arial" w:hAnsi="Arial" w:cs="Arial"/>
          <w:sz w:val="28"/>
        </w:rPr>
        <w:t>4.</w:t>
      </w:r>
      <w:r>
        <w:rPr>
          <w:rFonts w:ascii="Arial" w:hAnsi="Arial" w:cs="Arial"/>
          <w:sz w:val="28"/>
        </w:rPr>
        <w:t>宗地基础设施</w:t>
      </w:r>
      <w:r>
        <w:rPr>
          <w:rFonts w:ascii="Arial" w:hAnsi="Arial" w:cs="Arial"/>
          <w:sz w:val="28"/>
        </w:rPr>
        <w:t xml:space="preserve"> </w:t>
      </w:r>
    </w:p>
    <w:p w14:paraId="7249F0E1" w14:textId="77777777" w:rsidR="00000000" w:rsidRDefault="00000000">
      <w:pPr>
        <w:spacing w:line="360" w:lineRule="auto"/>
        <w:ind w:firstLineChars="200" w:firstLine="528"/>
        <w:jc w:val="both"/>
        <w:rPr>
          <w:rFonts w:ascii="Arial" w:hAnsi="Arial" w:cs="Arial"/>
          <w:sz w:val="28"/>
        </w:rPr>
      </w:pPr>
      <w:r>
        <w:rPr>
          <w:rFonts w:ascii="Arial" w:hAnsi="Arial" w:cs="Arial"/>
          <w:spacing w:val="-8"/>
          <w:sz w:val="28"/>
        </w:rPr>
        <w:t>根据委托方提供的资料</w:t>
      </w:r>
      <w:r>
        <w:rPr>
          <w:rFonts w:ascii="Arial" w:hAnsi="Arial" w:cs="Arial" w:hint="eastAsia"/>
          <w:spacing w:val="-8"/>
          <w:sz w:val="28"/>
        </w:rPr>
        <w:t>及介绍</w:t>
      </w:r>
      <w:r>
        <w:rPr>
          <w:rFonts w:ascii="Arial" w:hAnsi="Arial" w:cs="Arial"/>
          <w:spacing w:val="-8"/>
          <w:sz w:val="28"/>
        </w:rPr>
        <w:t>，咨询对象</w:t>
      </w:r>
      <w:r>
        <w:rPr>
          <w:rFonts w:ascii="Arial" w:hAnsi="Arial" w:cs="Arial"/>
          <w:sz w:val="28"/>
        </w:rPr>
        <w:t>开发完成后拟达到的市政基础设施条件为</w:t>
      </w:r>
      <w:r>
        <w:rPr>
          <w:rFonts w:ascii="Arial" w:hAnsi="Arial" w:cs="Arial"/>
          <w:spacing w:val="-8"/>
          <w:sz w:val="28"/>
        </w:rPr>
        <w:t>七通</w:t>
      </w:r>
      <w:r>
        <w:rPr>
          <w:rFonts w:ascii="Arial" w:hAnsi="Arial" w:cs="Arial"/>
          <w:spacing w:val="-8"/>
          <w:sz w:val="28"/>
        </w:rPr>
        <w:t>”</w:t>
      </w:r>
      <w:r>
        <w:rPr>
          <w:rFonts w:ascii="Arial" w:hAnsi="Arial" w:cs="Arial"/>
          <w:spacing w:val="-8"/>
          <w:sz w:val="28"/>
        </w:rPr>
        <w:t>，现状市政基础设施条件为红线外</w:t>
      </w:r>
      <w:r>
        <w:rPr>
          <w:rFonts w:ascii="Arial" w:hAnsi="Arial" w:cs="Arial"/>
          <w:spacing w:val="-8"/>
          <w:sz w:val="28"/>
        </w:rPr>
        <w:t>“</w:t>
      </w:r>
      <w:r>
        <w:rPr>
          <w:rFonts w:ascii="Arial" w:hAnsi="Arial" w:cs="Arial"/>
          <w:spacing w:val="-8"/>
          <w:sz w:val="28"/>
        </w:rPr>
        <w:t>三通</w:t>
      </w:r>
      <w:r>
        <w:rPr>
          <w:rFonts w:ascii="Arial" w:hAnsi="Arial" w:cs="Arial"/>
          <w:spacing w:val="-8"/>
          <w:sz w:val="28"/>
        </w:rPr>
        <w:t>”</w:t>
      </w:r>
      <w:r>
        <w:rPr>
          <w:rFonts w:ascii="Arial" w:hAnsi="Arial" w:cs="Arial"/>
          <w:sz w:val="28"/>
        </w:rPr>
        <w:t>。</w:t>
      </w:r>
    </w:p>
    <w:p w14:paraId="19AADEE0" w14:textId="77777777" w:rsidR="00000000" w:rsidRDefault="00000000">
      <w:pPr>
        <w:spacing w:line="360" w:lineRule="auto"/>
        <w:ind w:firstLineChars="200" w:firstLine="560"/>
        <w:jc w:val="both"/>
        <w:rPr>
          <w:rFonts w:ascii="Arial" w:hAnsi="Arial" w:cs="Arial"/>
          <w:sz w:val="28"/>
        </w:rPr>
      </w:pPr>
    </w:p>
    <w:p w14:paraId="4B350A05" w14:textId="77777777" w:rsidR="00000000" w:rsidRDefault="00000000">
      <w:pPr>
        <w:spacing w:line="360" w:lineRule="auto"/>
        <w:ind w:firstLineChars="200" w:firstLine="560"/>
        <w:jc w:val="both"/>
        <w:rPr>
          <w:rFonts w:ascii="Arial" w:hAnsi="Arial" w:cs="Arial"/>
          <w:sz w:val="28"/>
        </w:rPr>
      </w:pPr>
    </w:p>
    <w:p w14:paraId="4CCE4911" w14:textId="77777777" w:rsidR="00000000" w:rsidRDefault="00000000">
      <w:pPr>
        <w:spacing w:line="360" w:lineRule="auto"/>
        <w:ind w:firstLineChars="200" w:firstLine="560"/>
        <w:jc w:val="both"/>
        <w:rPr>
          <w:rFonts w:ascii="Arial" w:hAnsi="Arial" w:cs="Arial"/>
          <w:sz w:val="28"/>
          <w:szCs w:val="18"/>
        </w:rPr>
      </w:pPr>
    </w:p>
    <w:p w14:paraId="20D5F68E" w14:textId="77777777" w:rsidR="00000000" w:rsidRDefault="00000000">
      <w:pPr>
        <w:spacing w:line="360" w:lineRule="auto"/>
        <w:ind w:firstLineChars="202" w:firstLine="566"/>
        <w:jc w:val="both"/>
        <w:rPr>
          <w:rFonts w:ascii="Arial" w:hAnsi="Arial" w:cs="Arial"/>
          <w:sz w:val="28"/>
          <w:szCs w:val="18"/>
        </w:rPr>
      </w:pPr>
      <w:bookmarkStart w:id="298" w:name="_Toc416783599"/>
      <w:bookmarkStart w:id="299" w:name="_Toc416783695"/>
    </w:p>
    <w:p w14:paraId="4B607635" w14:textId="77777777" w:rsidR="00000000" w:rsidRDefault="00000000">
      <w:pPr>
        <w:spacing w:line="360" w:lineRule="auto"/>
        <w:ind w:firstLineChars="202" w:firstLine="566"/>
        <w:jc w:val="both"/>
        <w:rPr>
          <w:rFonts w:ascii="Arial" w:hAnsi="Arial" w:cs="Arial"/>
          <w:sz w:val="28"/>
          <w:szCs w:val="18"/>
        </w:rPr>
        <w:sectPr w:rsidR="00000000">
          <w:headerReference w:type="default" r:id="rId59"/>
          <w:footerReference w:type="even" r:id="rId60"/>
          <w:pgSz w:w="11907" w:h="16840"/>
          <w:pgMar w:top="1843" w:right="1304" w:bottom="1134" w:left="1304" w:header="1134" w:footer="907" w:gutter="0"/>
          <w:cols w:space="720"/>
          <w:docGrid w:linePitch="326"/>
        </w:sectPr>
      </w:pPr>
    </w:p>
    <w:p w14:paraId="4EA3BA2D" w14:textId="77777777" w:rsidR="00000000" w:rsidRDefault="00000000">
      <w:pPr>
        <w:spacing w:line="360" w:lineRule="auto"/>
        <w:jc w:val="center"/>
        <w:outlineLvl w:val="0"/>
        <w:rPr>
          <w:rFonts w:ascii="Arial" w:hAnsi="Arial" w:cs="Arial"/>
          <w:sz w:val="32"/>
        </w:rPr>
      </w:pPr>
      <w:bookmarkStart w:id="300" w:name="_Toc97732768"/>
      <w:bookmarkStart w:id="301" w:name="_Toc97732886"/>
      <w:bookmarkStart w:id="302" w:name="_Toc4198"/>
      <w:bookmarkStart w:id="303" w:name="_Toc18858"/>
      <w:bookmarkStart w:id="304" w:name="_Toc469066168"/>
      <w:r>
        <w:rPr>
          <w:rFonts w:ascii="Arial" w:hAnsi="Arial" w:cs="Arial"/>
          <w:b/>
          <w:sz w:val="32"/>
        </w:rPr>
        <w:lastRenderedPageBreak/>
        <w:t>第三部分</w:t>
      </w:r>
      <w:r>
        <w:rPr>
          <w:rFonts w:ascii="Arial" w:hAnsi="Arial" w:cs="Arial"/>
          <w:b/>
          <w:sz w:val="32"/>
        </w:rPr>
        <w:t xml:space="preserve">  </w:t>
      </w:r>
      <w:r>
        <w:rPr>
          <w:rFonts w:ascii="Arial" w:hAnsi="Arial" w:cs="Arial"/>
          <w:b/>
          <w:sz w:val="32"/>
        </w:rPr>
        <w:t>土地估价</w:t>
      </w:r>
      <w:bookmarkEnd w:id="298"/>
      <w:bookmarkEnd w:id="299"/>
      <w:bookmarkEnd w:id="300"/>
      <w:bookmarkEnd w:id="301"/>
      <w:bookmarkEnd w:id="302"/>
      <w:bookmarkEnd w:id="303"/>
      <w:bookmarkEnd w:id="304"/>
    </w:p>
    <w:p w14:paraId="7A2A31E7" w14:textId="77777777" w:rsidR="00000000" w:rsidRDefault="00000000">
      <w:pPr>
        <w:spacing w:line="360" w:lineRule="auto"/>
        <w:rPr>
          <w:rFonts w:ascii="Arial" w:hAnsi="Arial" w:cs="Arial"/>
          <w:b/>
          <w:sz w:val="28"/>
        </w:rPr>
      </w:pPr>
    </w:p>
    <w:p w14:paraId="3FC957CA" w14:textId="77777777" w:rsidR="00000000" w:rsidRDefault="00000000">
      <w:pPr>
        <w:spacing w:line="360" w:lineRule="auto"/>
        <w:outlineLvl w:val="1"/>
        <w:rPr>
          <w:rFonts w:ascii="Arial" w:hAnsi="Arial" w:cs="Arial"/>
          <w:sz w:val="28"/>
        </w:rPr>
      </w:pPr>
      <w:bookmarkStart w:id="305" w:name="_Toc469066169"/>
      <w:bookmarkStart w:id="306" w:name="_Toc26671"/>
      <w:bookmarkStart w:id="307" w:name="_Toc97732887"/>
      <w:bookmarkStart w:id="308" w:name="_Toc416783600"/>
      <w:bookmarkStart w:id="309" w:name="_Toc416783696"/>
      <w:bookmarkStart w:id="310" w:name="_Toc97732769"/>
      <w:bookmarkStart w:id="311" w:name="_Toc27002"/>
      <w:r>
        <w:rPr>
          <w:rFonts w:ascii="Arial" w:hAnsi="Arial" w:cs="Arial"/>
          <w:b/>
          <w:sz w:val="28"/>
        </w:rPr>
        <w:t>一、估价原则</w:t>
      </w:r>
      <w:bookmarkEnd w:id="305"/>
      <w:bookmarkEnd w:id="306"/>
      <w:bookmarkEnd w:id="307"/>
      <w:bookmarkEnd w:id="308"/>
      <w:bookmarkEnd w:id="309"/>
      <w:bookmarkEnd w:id="310"/>
      <w:bookmarkEnd w:id="311"/>
    </w:p>
    <w:p w14:paraId="2A39B760" w14:textId="77777777" w:rsidR="00000000" w:rsidRDefault="00000000">
      <w:pPr>
        <w:spacing w:line="360" w:lineRule="auto"/>
        <w:ind w:firstLineChars="200" w:firstLine="560"/>
        <w:jc w:val="both"/>
        <w:rPr>
          <w:rFonts w:ascii="Arial" w:hAnsi="Arial" w:cs="Arial"/>
          <w:sz w:val="28"/>
        </w:rPr>
      </w:pPr>
      <w:r>
        <w:rPr>
          <w:rFonts w:ascii="Arial" w:hAnsi="Arial" w:cs="Arial"/>
          <w:sz w:val="28"/>
        </w:rPr>
        <w:t>地价是由其效用、相对稀缺性及有效需求三者相互作用影响所形成，由于这些因素又经常处于变动之中，我们在估价时遵循以下原则：</w:t>
      </w:r>
    </w:p>
    <w:p w14:paraId="033CB34C" w14:textId="77777777" w:rsidR="00000000" w:rsidRDefault="00000000">
      <w:pPr>
        <w:spacing w:beforeLines="25" w:before="60" w:afterLines="25" w:after="60" w:line="360" w:lineRule="auto"/>
        <w:jc w:val="both"/>
        <w:rPr>
          <w:rFonts w:ascii="Arial" w:hAnsi="Arial" w:cs="Arial"/>
          <w:sz w:val="28"/>
        </w:rPr>
      </w:pPr>
      <w:r>
        <w:rPr>
          <w:rFonts w:ascii="Arial" w:hAnsi="Arial" w:cs="Arial"/>
          <w:sz w:val="28"/>
        </w:rPr>
        <w:t>（一）替代原则</w:t>
      </w:r>
    </w:p>
    <w:p w14:paraId="4AB720C8" w14:textId="77777777" w:rsidR="00000000" w:rsidRDefault="00000000">
      <w:pPr>
        <w:spacing w:line="360" w:lineRule="auto"/>
        <w:ind w:firstLineChars="200" w:firstLine="560"/>
        <w:jc w:val="both"/>
        <w:rPr>
          <w:rFonts w:ascii="Arial" w:hAnsi="Arial" w:cs="Arial"/>
          <w:sz w:val="28"/>
        </w:rPr>
      </w:pPr>
      <w:r>
        <w:rPr>
          <w:rFonts w:ascii="Arial"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基于这一原则，咨询对象土地价格可参考周边同类或类似土地交易案例确定，且咨询对象未来开发完成后的价格水平可参考周边项目的租售水平确定。</w:t>
      </w:r>
    </w:p>
    <w:p w14:paraId="6E717F02" w14:textId="77777777" w:rsidR="00000000" w:rsidRDefault="00000000">
      <w:pPr>
        <w:spacing w:beforeLines="25" w:before="60" w:afterLines="25" w:after="60" w:line="360" w:lineRule="auto"/>
        <w:jc w:val="both"/>
        <w:rPr>
          <w:rFonts w:ascii="Arial" w:hAnsi="Arial" w:cs="Arial"/>
          <w:sz w:val="28"/>
        </w:rPr>
      </w:pPr>
      <w:r>
        <w:rPr>
          <w:rFonts w:ascii="Arial" w:hAnsi="Arial" w:cs="Arial"/>
          <w:sz w:val="28"/>
        </w:rPr>
        <w:t>（二）最有效利用原则</w:t>
      </w:r>
    </w:p>
    <w:p w14:paraId="13226538" w14:textId="77777777" w:rsidR="00000000" w:rsidRDefault="00000000">
      <w:pPr>
        <w:spacing w:line="360" w:lineRule="auto"/>
        <w:ind w:firstLineChars="200" w:firstLine="560"/>
        <w:jc w:val="both"/>
        <w:rPr>
          <w:rFonts w:ascii="Arial" w:hAnsi="Arial" w:cs="Arial"/>
          <w:sz w:val="28"/>
        </w:rPr>
      </w:pPr>
      <w:r>
        <w:rPr>
          <w:rFonts w:ascii="Arial"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2991C1A1" w14:textId="77777777" w:rsidR="00000000" w:rsidRDefault="00000000">
      <w:pPr>
        <w:spacing w:beforeLines="25" w:before="60" w:afterLines="25" w:after="60" w:line="360" w:lineRule="auto"/>
        <w:jc w:val="both"/>
        <w:rPr>
          <w:rFonts w:ascii="Arial" w:hAnsi="Arial" w:cs="Arial"/>
          <w:sz w:val="28"/>
        </w:rPr>
      </w:pPr>
      <w:r>
        <w:rPr>
          <w:rFonts w:ascii="Arial" w:hAnsi="Arial" w:cs="Arial"/>
          <w:sz w:val="28"/>
        </w:rPr>
        <w:t>（三）预期收益原则</w:t>
      </w:r>
    </w:p>
    <w:p w14:paraId="57BDFE60" w14:textId="77777777" w:rsidR="00000000" w:rsidRDefault="00000000">
      <w:pPr>
        <w:spacing w:line="360" w:lineRule="auto"/>
        <w:ind w:firstLineChars="200" w:firstLine="560"/>
        <w:jc w:val="both"/>
        <w:rPr>
          <w:rFonts w:ascii="Arial" w:hAnsi="Arial" w:cs="Arial"/>
          <w:sz w:val="28"/>
        </w:rPr>
      </w:pPr>
      <w:r>
        <w:rPr>
          <w:rFonts w:ascii="Arial"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咨询对象土地价格时，就是以该原则为原理。</w:t>
      </w:r>
    </w:p>
    <w:p w14:paraId="2ED48E41" w14:textId="77777777" w:rsidR="00000000" w:rsidRDefault="00000000">
      <w:pPr>
        <w:spacing w:beforeLines="25" w:before="60" w:afterLines="25" w:after="60" w:line="360" w:lineRule="auto"/>
        <w:jc w:val="both"/>
        <w:rPr>
          <w:rFonts w:ascii="Arial" w:hAnsi="Arial" w:cs="Arial"/>
          <w:sz w:val="28"/>
        </w:rPr>
      </w:pPr>
      <w:r>
        <w:rPr>
          <w:rFonts w:ascii="Arial" w:hAnsi="Arial" w:cs="Arial"/>
          <w:sz w:val="28"/>
        </w:rPr>
        <w:lastRenderedPageBreak/>
        <w:t>（四）供需原则</w:t>
      </w:r>
    </w:p>
    <w:p w14:paraId="2B62243D" w14:textId="77777777" w:rsidR="00000000" w:rsidRDefault="00000000">
      <w:pPr>
        <w:spacing w:line="360" w:lineRule="auto"/>
        <w:ind w:firstLineChars="200" w:firstLine="560"/>
        <w:jc w:val="both"/>
        <w:rPr>
          <w:rFonts w:ascii="Arial" w:hAnsi="Arial" w:cs="Arial"/>
          <w:sz w:val="28"/>
        </w:rPr>
      </w:pPr>
      <w:r>
        <w:rPr>
          <w:rFonts w:ascii="Arial"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咨询对象位于北京市顺义区南法信镇北法信村，属城区范围内，土地性质为集体建设用地使用权。区域内土地资产存在一定增值潜力。评估中剩余法的运用主要考虑此项原则。</w:t>
      </w:r>
    </w:p>
    <w:p w14:paraId="6F14FCB8" w14:textId="77777777" w:rsidR="00000000" w:rsidRDefault="00000000">
      <w:pPr>
        <w:spacing w:beforeLines="25" w:before="60" w:afterLines="25" w:after="60" w:line="360" w:lineRule="auto"/>
        <w:jc w:val="both"/>
        <w:rPr>
          <w:rFonts w:ascii="Arial" w:hAnsi="Arial" w:cs="Arial"/>
          <w:sz w:val="28"/>
        </w:rPr>
      </w:pPr>
      <w:r>
        <w:rPr>
          <w:rFonts w:ascii="Arial" w:hAnsi="Arial" w:cs="Arial"/>
          <w:sz w:val="28"/>
        </w:rPr>
        <w:t>（五）贡献原则</w:t>
      </w:r>
    </w:p>
    <w:p w14:paraId="13300067" w14:textId="77777777" w:rsidR="00000000" w:rsidRDefault="00000000">
      <w:pPr>
        <w:spacing w:line="360" w:lineRule="auto"/>
        <w:ind w:firstLineChars="200" w:firstLine="560"/>
        <w:jc w:val="both"/>
        <w:rPr>
          <w:rFonts w:ascii="Arial" w:hAnsi="Arial" w:cs="Arial"/>
          <w:sz w:val="28"/>
        </w:rPr>
      </w:pPr>
      <w:r>
        <w:rPr>
          <w:rFonts w:ascii="Arial"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38C3614" w14:textId="77777777" w:rsidR="00000000" w:rsidRDefault="00000000">
      <w:pPr>
        <w:spacing w:line="360" w:lineRule="auto"/>
        <w:jc w:val="both"/>
        <w:rPr>
          <w:rFonts w:ascii="Arial" w:hAnsi="Arial" w:cs="Arial"/>
          <w:b/>
          <w:sz w:val="28"/>
        </w:rPr>
      </w:pPr>
    </w:p>
    <w:p w14:paraId="25035BC2" w14:textId="77777777" w:rsidR="00000000" w:rsidRDefault="00000000">
      <w:pPr>
        <w:spacing w:line="360" w:lineRule="auto"/>
        <w:jc w:val="both"/>
        <w:outlineLvl w:val="1"/>
        <w:rPr>
          <w:rFonts w:ascii="Arial" w:hAnsi="Arial" w:cs="Arial"/>
          <w:b/>
          <w:sz w:val="28"/>
        </w:rPr>
      </w:pPr>
      <w:bookmarkStart w:id="312" w:name="_Toc469066170"/>
      <w:bookmarkStart w:id="313" w:name="_Toc21441"/>
      <w:bookmarkStart w:id="314" w:name="_Toc97732888"/>
      <w:bookmarkStart w:id="315" w:name="_Toc97732770"/>
      <w:bookmarkStart w:id="316" w:name="_Toc14947"/>
      <w:bookmarkStart w:id="317" w:name="_Toc416783601"/>
      <w:bookmarkStart w:id="318" w:name="_Toc416783697"/>
      <w:r>
        <w:rPr>
          <w:rFonts w:ascii="Arial" w:hAnsi="Arial" w:cs="Arial"/>
          <w:b/>
          <w:sz w:val="28"/>
        </w:rPr>
        <w:t>二、估价方法与估价过程</w:t>
      </w:r>
      <w:bookmarkEnd w:id="312"/>
      <w:bookmarkEnd w:id="313"/>
      <w:bookmarkEnd w:id="314"/>
      <w:bookmarkEnd w:id="315"/>
      <w:bookmarkEnd w:id="316"/>
      <w:bookmarkEnd w:id="317"/>
      <w:bookmarkEnd w:id="318"/>
    </w:p>
    <w:p w14:paraId="0CE3E7B0" w14:textId="77777777" w:rsidR="00000000" w:rsidRDefault="00000000">
      <w:pPr>
        <w:pStyle w:val="Normal"/>
        <w:autoSpaceDE w:val="0"/>
        <w:autoSpaceDN w:val="0"/>
        <w:spacing w:line="360" w:lineRule="auto"/>
        <w:ind w:right="140"/>
        <w:jc w:val="both"/>
        <w:textAlignment w:val="bottom"/>
        <w:rPr>
          <w:rFonts w:ascii="Arial" w:hAnsi="Arial" w:cs="Arial"/>
          <w:bCs/>
          <w:sz w:val="28"/>
        </w:rPr>
      </w:pPr>
      <w:r>
        <w:rPr>
          <w:rFonts w:ascii="Arial" w:hAnsi="Arial" w:cs="Arial"/>
          <w:bCs/>
          <w:sz w:val="28"/>
        </w:rPr>
        <w:t>（一）估价方法选择</w:t>
      </w:r>
    </w:p>
    <w:p w14:paraId="1E3C05FC" w14:textId="77777777" w:rsidR="00000000" w:rsidRDefault="00000000">
      <w:pPr>
        <w:spacing w:line="360" w:lineRule="auto"/>
        <w:ind w:firstLineChars="200" w:firstLine="560"/>
        <w:jc w:val="both"/>
        <w:rPr>
          <w:rFonts w:ascii="Arial" w:hAnsi="Arial" w:cs="Arial"/>
          <w:sz w:val="28"/>
        </w:rPr>
      </w:pPr>
      <w:r>
        <w:rPr>
          <w:rFonts w:ascii="Arial" w:hAnsi="Arial" w:cs="Arial"/>
          <w:sz w:val="28"/>
        </w:rPr>
        <w:t>1.</w:t>
      </w:r>
      <w:r>
        <w:rPr>
          <w:rFonts w:ascii="Arial" w:hAnsi="Arial" w:cs="Arial"/>
          <w:sz w:val="28"/>
        </w:rPr>
        <w:t>方法选择</w:t>
      </w:r>
    </w:p>
    <w:p w14:paraId="7FBE4D1D" w14:textId="77777777" w:rsidR="00000000" w:rsidRDefault="00000000">
      <w:pPr>
        <w:spacing w:line="360" w:lineRule="auto"/>
        <w:ind w:firstLineChars="200" w:firstLine="560"/>
        <w:jc w:val="both"/>
        <w:rPr>
          <w:rFonts w:ascii="Arial" w:hAnsi="Arial" w:cs="Arial"/>
          <w:sz w:val="28"/>
        </w:rPr>
      </w:pPr>
      <w:r>
        <w:rPr>
          <w:rFonts w:ascii="Arial" w:hAnsi="Arial" w:cs="Arial"/>
          <w:sz w:val="28"/>
        </w:rPr>
        <w:t>根据《城镇土地估价规程》</w:t>
      </w:r>
      <w:r>
        <w:rPr>
          <w:rFonts w:ascii="Arial" w:hAnsi="Arial" w:cs="Arial"/>
          <w:sz w:val="28"/>
        </w:rPr>
        <w:t>[GB/T18508-2014]</w:t>
      </w:r>
      <w:r>
        <w:rPr>
          <w:rFonts w:ascii="Arial" w:hAnsi="Arial" w:cs="Arial"/>
          <w:sz w:val="28"/>
        </w:rPr>
        <w:t>，估价方法通常有市场比较法、收益还原法、成本逼近法、剩余法及基准地价系数修正法共五种估价方法。</w:t>
      </w:r>
    </w:p>
    <w:p w14:paraId="42A1570F" w14:textId="77777777" w:rsidR="00000000" w:rsidRDefault="00000000">
      <w:pPr>
        <w:pStyle w:val="Normal"/>
        <w:autoSpaceDE w:val="0"/>
        <w:autoSpaceDN w:val="0"/>
        <w:spacing w:line="360" w:lineRule="auto"/>
        <w:ind w:right="6" w:firstLineChars="200" w:firstLine="560"/>
        <w:jc w:val="both"/>
        <w:textAlignment w:val="bottom"/>
        <w:rPr>
          <w:rFonts w:ascii="Arial" w:hAnsi="Arial" w:cs="Arial"/>
          <w:i/>
          <w:sz w:val="28"/>
        </w:rPr>
      </w:pPr>
      <w:r>
        <w:rPr>
          <w:rFonts w:ascii="Arial" w:hAnsi="Arial" w:cs="Arial"/>
          <w:sz w:val="28"/>
        </w:rPr>
        <w:t>评估专业人员根据咨询对象的特点、实际情况以及咨询目的，对上述估价方法分析如下：</w:t>
      </w:r>
      <w:r>
        <w:rPr>
          <w:rFonts w:ascii="Arial" w:hAnsi="Arial" w:cs="Arial"/>
          <w:i/>
          <w:sz w:val="28"/>
        </w:rPr>
        <w:t xml:space="preserve"> </w:t>
      </w:r>
    </w:p>
    <w:p w14:paraId="4295A84D" w14:textId="77777777" w:rsidR="00000000" w:rsidRDefault="00000000">
      <w:pPr>
        <w:pStyle w:val="Normal"/>
        <w:autoSpaceDE w:val="0"/>
        <w:autoSpaceDN w:val="0"/>
        <w:spacing w:line="360" w:lineRule="auto"/>
        <w:ind w:right="6" w:firstLineChars="200" w:firstLine="560"/>
        <w:jc w:val="both"/>
        <w:textAlignment w:val="bottom"/>
        <w:rPr>
          <w:rFonts w:ascii="Arial" w:hAnsi="Arial" w:cs="Arial"/>
          <w:sz w:val="28"/>
        </w:rPr>
      </w:pPr>
      <w:r>
        <w:rPr>
          <w:rFonts w:ascii="Arial" w:hAnsi="Arial" w:cs="Arial"/>
          <w:sz w:val="28"/>
        </w:rPr>
        <w:t>市场比较法：市场比较法是选取一定数量的可比实例，将它们与咨询对象进行比较，根据其间的差异对可比实例成交价格进行处理后得到咨询对象</w:t>
      </w:r>
      <w:r>
        <w:rPr>
          <w:rFonts w:ascii="Arial" w:hAnsi="Arial" w:cs="Arial"/>
          <w:sz w:val="28"/>
        </w:rPr>
        <w:lastRenderedPageBreak/>
        <w:t>价值或价格的方法。市场比较法主要用于同类房地产数量较多、经常发生交易且具有一定可比性的房地产。</w:t>
      </w:r>
    </w:p>
    <w:p w14:paraId="02666140" w14:textId="77777777" w:rsidR="00000000" w:rsidRDefault="00000000">
      <w:pPr>
        <w:spacing w:line="360" w:lineRule="auto"/>
        <w:ind w:firstLineChars="200" w:firstLine="560"/>
        <w:jc w:val="both"/>
        <w:rPr>
          <w:rFonts w:ascii="Arial" w:hAnsi="Arial" w:cs="Arial"/>
          <w:sz w:val="28"/>
        </w:rPr>
      </w:pPr>
      <w:r>
        <w:rPr>
          <w:rFonts w:ascii="Arial"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2CAD8E79" w14:textId="77777777" w:rsidR="00000000" w:rsidRDefault="00000000">
      <w:pPr>
        <w:spacing w:line="360" w:lineRule="auto"/>
        <w:ind w:leftChars="-1" w:left="-2" w:firstLineChars="200" w:firstLine="560"/>
        <w:jc w:val="both"/>
        <w:rPr>
          <w:rFonts w:ascii="Arial" w:hAnsi="Arial" w:cs="Arial"/>
          <w:sz w:val="28"/>
        </w:rPr>
      </w:pPr>
      <w:r>
        <w:rPr>
          <w:rFonts w:ascii="Arial" w:hAnsi="Arial" w:cs="Arial"/>
          <w:sz w:val="28"/>
        </w:rPr>
        <w:t>成本逼近法：成本逼近法是以取得和开发土地所耗费的各项费用之和为主要依据，再加上一定的利润、利息、应缴纳的税金和</w:t>
      </w:r>
      <w:hyperlink r:id="rId61" w:tgtFrame="_blank" w:history="1">
        <w:r>
          <w:rPr>
            <w:rFonts w:ascii="Arial" w:hAnsi="Arial" w:cs="Arial"/>
            <w:sz w:val="28"/>
          </w:rPr>
          <w:t>土地所有权</w:t>
        </w:r>
      </w:hyperlink>
      <w:r>
        <w:rPr>
          <w:rFonts w:ascii="Arial" w:hAnsi="Arial" w:cs="Arial"/>
          <w:sz w:val="28"/>
        </w:rPr>
        <w:t>收益来确定</w:t>
      </w:r>
      <w:hyperlink r:id="rId62" w:tgtFrame="_blank" w:history="1">
        <w:r>
          <w:rPr>
            <w:rFonts w:ascii="Arial" w:hAnsi="Arial" w:cs="Arial"/>
            <w:sz w:val="28"/>
          </w:rPr>
          <w:t>土地价格</w:t>
        </w:r>
      </w:hyperlink>
      <w:r>
        <w:rPr>
          <w:rFonts w:ascii="Arial" w:hAnsi="Arial" w:cs="Arial"/>
          <w:sz w:val="28"/>
        </w:rPr>
        <w:t>的咨询方法。成本逼近法一般是用于新开发土地，或土地市场欠发育、交易实例少的地区的土地价格评估。</w:t>
      </w:r>
    </w:p>
    <w:p w14:paraId="193F709C" w14:textId="77777777" w:rsidR="00000000" w:rsidRDefault="00000000">
      <w:pPr>
        <w:spacing w:line="360" w:lineRule="auto"/>
        <w:ind w:firstLineChars="200" w:firstLine="560"/>
        <w:jc w:val="both"/>
        <w:rPr>
          <w:rFonts w:ascii="Arial" w:hAnsi="Arial" w:cs="Arial"/>
          <w:sz w:val="28"/>
        </w:rPr>
      </w:pPr>
      <w:r>
        <w:rPr>
          <w:rFonts w:ascii="Arial" w:hAnsi="Arial" w:cs="Arial"/>
          <w:sz w:val="28"/>
        </w:rPr>
        <w:t>剩余（增值收益扣减）法</w:t>
      </w:r>
      <w:r>
        <w:rPr>
          <w:rFonts w:ascii="Arial" w:hAnsi="Arial" w:cs="Arial"/>
          <w:sz w:val="28"/>
        </w:rPr>
        <w:t>:</w:t>
      </w:r>
      <w:r>
        <w:rPr>
          <w:rFonts w:ascii="Arial" w:hAnsi="Arial" w:cs="Arial"/>
          <w:sz w:val="28"/>
        </w:rPr>
        <w:t>是在《城镇土地估价规程》剩余法</w:t>
      </w:r>
      <w:r>
        <w:rPr>
          <w:rFonts w:ascii="Arial" w:hAnsi="Arial" w:cs="Arial"/>
          <w:sz w:val="28"/>
        </w:rPr>
        <w:t xml:space="preserve"> </w:t>
      </w:r>
      <w:r>
        <w:rPr>
          <w:rFonts w:ascii="Arial" w:hAnsi="Arial" w:cs="Arial"/>
          <w:sz w:val="28"/>
        </w:rPr>
        <w:t>思路上衍生技术路线，通过出让土地使用权价格扣减土地增值收益的方</w:t>
      </w:r>
      <w:r>
        <w:rPr>
          <w:rFonts w:ascii="Arial" w:hAnsi="Arial" w:cs="Arial"/>
          <w:sz w:val="28"/>
        </w:rPr>
        <w:t xml:space="preserve"> </w:t>
      </w:r>
      <w:r>
        <w:rPr>
          <w:rFonts w:ascii="Arial" w:hAnsi="Arial" w:cs="Arial"/>
          <w:sz w:val="28"/>
        </w:rPr>
        <w:t>法评估划拨地价。咨询对象周边市场满足出让土地使用权价格评估，虽</w:t>
      </w:r>
      <w:r>
        <w:rPr>
          <w:rFonts w:ascii="Arial" w:hAnsi="Arial" w:cs="Arial"/>
          <w:sz w:val="28"/>
        </w:rPr>
        <w:t xml:space="preserve"> </w:t>
      </w:r>
      <w:r>
        <w:rPr>
          <w:rFonts w:ascii="Arial" w:hAnsi="Arial" w:cs="Arial"/>
          <w:sz w:val="28"/>
        </w:rPr>
        <w:t>然北京市暂未公布土地增值收益，但可以通过招拍挂市场成交价与土地</w:t>
      </w:r>
      <w:r>
        <w:rPr>
          <w:rFonts w:ascii="Arial" w:hAnsi="Arial" w:cs="Arial"/>
          <w:sz w:val="28"/>
        </w:rPr>
        <w:t xml:space="preserve"> </w:t>
      </w:r>
      <w:r>
        <w:rPr>
          <w:rFonts w:ascii="Arial" w:hAnsi="Arial" w:cs="Arial"/>
          <w:sz w:val="28"/>
        </w:rPr>
        <w:t>一级开发成本差额计算土地增值收益。</w:t>
      </w:r>
    </w:p>
    <w:p w14:paraId="31CFC114" w14:textId="77777777" w:rsidR="00000000" w:rsidRDefault="00000000">
      <w:pPr>
        <w:spacing w:line="360" w:lineRule="auto"/>
        <w:ind w:firstLineChars="200" w:firstLine="560"/>
        <w:jc w:val="both"/>
        <w:rPr>
          <w:rFonts w:ascii="Arial" w:hAnsi="Arial" w:cs="Arial"/>
          <w:sz w:val="28"/>
        </w:rPr>
      </w:pPr>
      <w:r>
        <w:rPr>
          <w:rFonts w:ascii="Arial" w:hAnsi="Arial" w:cs="Arial"/>
          <w:sz w:val="28"/>
        </w:rPr>
        <w:t>基准地价系数修正法：该方法适用于政府或其有关部门已公布基准地价地区的土地咨询。</w:t>
      </w:r>
    </w:p>
    <w:p w14:paraId="0A2EDCC8" w14:textId="77777777" w:rsidR="00000000" w:rsidRDefault="00000000">
      <w:pPr>
        <w:spacing w:line="360" w:lineRule="auto"/>
        <w:ind w:firstLineChars="200" w:firstLine="560"/>
        <w:jc w:val="both"/>
        <w:rPr>
          <w:rFonts w:ascii="Arial" w:hAnsi="Arial" w:cs="Arial"/>
          <w:sz w:val="28"/>
        </w:rPr>
      </w:pPr>
      <w:r>
        <w:rPr>
          <w:rFonts w:ascii="Arial" w:hAnsi="Arial" w:cs="Arial"/>
          <w:sz w:val="28"/>
        </w:rPr>
        <w:t>本评估项目评估对象的性质为集体土地使用权，开发建设项目未来将以住宅业态为主并建设部分商业业态采取出租收取租金的运营模式，该类开发建设项目属于新兴业态目前市场交易（包括出租、转让等）案例较少、公开信息不完整，故不适宜采用市场比较法、成本法和收益还原法；目前政府相关部门也尚未正式公布关于集体土地相关公示地价系数等资料，故也不适宜采用公示地价系数修正法。</w:t>
      </w:r>
    </w:p>
    <w:p w14:paraId="42D8A731" w14:textId="77777777" w:rsidR="00000000" w:rsidRDefault="00000000">
      <w:pPr>
        <w:pStyle w:val="Normal"/>
        <w:autoSpaceDE w:val="0"/>
        <w:autoSpaceDN w:val="0"/>
        <w:spacing w:line="360" w:lineRule="auto"/>
        <w:ind w:rightChars="13" w:right="31" w:firstLineChars="200" w:firstLine="560"/>
        <w:jc w:val="both"/>
        <w:textAlignment w:val="bottom"/>
        <w:rPr>
          <w:rFonts w:ascii="Arial" w:hAnsi="Arial" w:cs="Arial"/>
          <w:sz w:val="28"/>
        </w:rPr>
      </w:pPr>
      <w:r>
        <w:rPr>
          <w:rFonts w:ascii="Arial" w:hAnsi="Arial" w:cs="Arial"/>
          <w:sz w:val="28"/>
        </w:rPr>
        <w:t>综上所述，本次评估根据咨询对象的特点和实际状况，采用剩余法进行测算，其中剩余法中不动产开发完成后总价采用收益还原法求取，力求合理</w:t>
      </w:r>
      <w:r>
        <w:rPr>
          <w:rFonts w:ascii="Arial" w:hAnsi="Arial" w:cs="Arial"/>
          <w:sz w:val="28"/>
        </w:rPr>
        <w:lastRenderedPageBreak/>
        <w:t>科学地评估出咨询对象的集体建设用地使用权价格。</w:t>
      </w:r>
    </w:p>
    <w:p w14:paraId="0C92E808" w14:textId="77777777" w:rsidR="00000000" w:rsidRDefault="00000000">
      <w:pPr>
        <w:pStyle w:val="Normal"/>
        <w:autoSpaceDE w:val="0"/>
        <w:autoSpaceDN w:val="0"/>
        <w:spacing w:line="360" w:lineRule="auto"/>
        <w:ind w:rightChars="13" w:right="31" w:firstLineChars="200" w:firstLine="560"/>
        <w:jc w:val="both"/>
        <w:textAlignment w:val="bottom"/>
        <w:rPr>
          <w:rFonts w:ascii="Arial" w:hAnsi="Arial" w:cs="Arial"/>
          <w:sz w:val="28"/>
        </w:rPr>
      </w:pPr>
      <w:r>
        <w:rPr>
          <w:rFonts w:ascii="Arial" w:hAnsi="Arial" w:cs="Arial"/>
          <w:sz w:val="28"/>
        </w:rPr>
        <w:t>2.</w:t>
      </w:r>
      <w:r>
        <w:rPr>
          <w:rFonts w:ascii="Arial" w:hAnsi="Arial" w:cs="Arial"/>
          <w:sz w:val="28"/>
        </w:rPr>
        <w:t>本次评估所采用的估价方法简述如下：</w:t>
      </w:r>
    </w:p>
    <w:p w14:paraId="7ADC3D97" w14:textId="77777777" w:rsidR="00000000" w:rsidRDefault="00000000">
      <w:pPr>
        <w:spacing w:line="360" w:lineRule="auto"/>
        <w:ind w:firstLineChars="192" w:firstLine="538"/>
        <w:jc w:val="both"/>
        <w:rPr>
          <w:rFonts w:ascii="Arial" w:hAnsi="Arial" w:cs="Arial"/>
          <w:sz w:val="28"/>
        </w:rPr>
      </w:pPr>
      <w:r>
        <w:rPr>
          <w:rFonts w:ascii="Arial" w:hAnsi="Arial" w:cs="Arial"/>
          <w:sz w:val="28"/>
        </w:rPr>
        <w:t>剩余法是在测算完成开发后的不动产正常交易价格的基础上，扣除预计的正常建造成本以及有关专业费用、利息、利润和税费等，以价格余额来估算待估宗地价格的方法。</w:t>
      </w:r>
    </w:p>
    <w:p w14:paraId="6E33BD05" w14:textId="77777777" w:rsidR="00000000" w:rsidRDefault="00000000">
      <w:pPr>
        <w:spacing w:before="25" w:after="25" w:line="360" w:lineRule="auto"/>
        <w:ind w:firstLine="555"/>
        <w:rPr>
          <w:rFonts w:ascii="Arial" w:hAnsi="Arial" w:cs="Arial"/>
          <w:spacing w:val="10"/>
          <w:sz w:val="28"/>
        </w:rPr>
      </w:pPr>
      <w:r>
        <w:rPr>
          <w:rFonts w:ascii="Arial" w:hAnsi="Arial" w:cs="Arial"/>
          <w:spacing w:val="10"/>
          <w:sz w:val="28"/>
        </w:rPr>
        <w:t>其计算公式为：</w:t>
      </w:r>
    </w:p>
    <w:p w14:paraId="51E749B3" w14:textId="77777777" w:rsidR="00000000" w:rsidRDefault="00000000">
      <w:pPr>
        <w:spacing w:before="25" w:after="25" w:line="360" w:lineRule="auto"/>
        <w:ind w:firstLine="646"/>
        <w:rPr>
          <w:rFonts w:ascii="Arial" w:hAnsi="Arial" w:cs="Arial"/>
          <w:spacing w:val="10"/>
          <w:sz w:val="28"/>
        </w:rPr>
      </w:pPr>
      <w:r>
        <w:rPr>
          <w:rFonts w:ascii="Arial" w:hAnsi="Arial" w:cs="Arial"/>
          <w:sz w:val="28"/>
        </w:rPr>
        <w:t>P=</w:t>
      </w:r>
      <w:r>
        <w:rPr>
          <w:rFonts w:ascii="Arial" w:hAnsi="Arial" w:cs="Arial"/>
          <w:spacing w:val="10"/>
          <w:sz w:val="28"/>
        </w:rPr>
        <w:t>A</w:t>
      </w:r>
      <w:r>
        <w:rPr>
          <w:rFonts w:ascii="Arial" w:hAnsi="Arial" w:cs="Arial"/>
          <w:spacing w:val="10"/>
          <w:sz w:val="28"/>
        </w:rPr>
        <w:t>－</w:t>
      </w:r>
      <w:r>
        <w:rPr>
          <w:rFonts w:ascii="Arial" w:hAnsi="Arial" w:cs="Arial"/>
          <w:spacing w:val="10"/>
          <w:sz w:val="28"/>
        </w:rPr>
        <w:t>B</w:t>
      </w:r>
      <w:r>
        <w:rPr>
          <w:rFonts w:ascii="Arial" w:hAnsi="Arial" w:cs="Arial"/>
          <w:spacing w:val="10"/>
          <w:sz w:val="28"/>
        </w:rPr>
        <w:t>－</w:t>
      </w:r>
      <w:r>
        <w:rPr>
          <w:rFonts w:ascii="Arial" w:hAnsi="Arial" w:cs="Arial"/>
          <w:spacing w:val="10"/>
          <w:sz w:val="28"/>
        </w:rPr>
        <w:t>C</w:t>
      </w:r>
    </w:p>
    <w:p w14:paraId="31032C9F" w14:textId="77777777" w:rsidR="00000000" w:rsidRDefault="00000000">
      <w:pPr>
        <w:pStyle w:val="Normal"/>
        <w:autoSpaceDE w:val="0"/>
        <w:autoSpaceDN w:val="0"/>
        <w:spacing w:line="360" w:lineRule="auto"/>
        <w:ind w:right="140" w:firstLine="570"/>
        <w:jc w:val="both"/>
        <w:textAlignment w:val="bottom"/>
        <w:rPr>
          <w:rFonts w:ascii="Arial" w:hAnsi="Arial" w:cs="Arial"/>
          <w:sz w:val="28"/>
        </w:rPr>
      </w:pPr>
      <w:r>
        <w:rPr>
          <w:rFonts w:ascii="Arial" w:hAnsi="Arial" w:cs="Arial"/>
          <w:sz w:val="28"/>
        </w:rPr>
        <w:t>式中：</w:t>
      </w:r>
    </w:p>
    <w:p w14:paraId="61D3AC5F" w14:textId="77777777" w:rsidR="00000000" w:rsidRDefault="00000000">
      <w:pPr>
        <w:spacing w:before="25" w:after="25" w:line="360" w:lineRule="auto"/>
        <w:ind w:firstLine="646"/>
        <w:rPr>
          <w:rFonts w:ascii="Arial" w:hAnsi="Arial" w:cs="Arial"/>
          <w:spacing w:val="10"/>
          <w:sz w:val="28"/>
        </w:rPr>
      </w:pPr>
      <w:r>
        <w:rPr>
          <w:rFonts w:ascii="Arial" w:hAnsi="Arial" w:cs="Arial"/>
          <w:spacing w:val="10"/>
          <w:sz w:val="28"/>
        </w:rPr>
        <w:t>P——</w:t>
      </w:r>
      <w:r>
        <w:rPr>
          <w:rFonts w:ascii="Arial" w:hAnsi="Arial" w:cs="Arial"/>
          <w:sz w:val="28"/>
        </w:rPr>
        <w:t>待估宗地价格</w:t>
      </w:r>
    </w:p>
    <w:p w14:paraId="1088A5D6" w14:textId="77777777" w:rsidR="00000000" w:rsidRDefault="00000000">
      <w:pPr>
        <w:spacing w:before="25" w:after="25" w:line="360" w:lineRule="auto"/>
        <w:ind w:firstLine="646"/>
        <w:rPr>
          <w:rFonts w:ascii="Arial" w:hAnsi="Arial" w:cs="Arial"/>
          <w:sz w:val="28"/>
        </w:rPr>
      </w:pPr>
      <w:r>
        <w:rPr>
          <w:rFonts w:ascii="Arial" w:hAnsi="Arial" w:cs="Arial"/>
          <w:spacing w:val="10"/>
          <w:sz w:val="28"/>
        </w:rPr>
        <w:t>A——</w:t>
      </w:r>
      <w:r>
        <w:rPr>
          <w:rFonts w:ascii="Arial" w:hAnsi="Arial" w:cs="Arial"/>
          <w:spacing w:val="10"/>
          <w:sz w:val="28"/>
        </w:rPr>
        <w:t>不动产总价</w:t>
      </w:r>
    </w:p>
    <w:p w14:paraId="654EB6BE" w14:textId="77777777" w:rsidR="00000000" w:rsidRDefault="00000000">
      <w:pPr>
        <w:spacing w:before="25" w:after="25" w:line="360" w:lineRule="auto"/>
        <w:ind w:firstLine="646"/>
        <w:rPr>
          <w:rFonts w:ascii="Arial" w:hAnsi="Arial" w:cs="Arial"/>
          <w:sz w:val="28"/>
        </w:rPr>
      </w:pPr>
      <w:r>
        <w:rPr>
          <w:rFonts w:ascii="Arial" w:hAnsi="Arial" w:cs="Arial"/>
          <w:spacing w:val="10"/>
          <w:sz w:val="28"/>
        </w:rPr>
        <w:t>B——</w:t>
      </w:r>
      <w:r>
        <w:rPr>
          <w:rFonts w:ascii="Arial" w:hAnsi="Arial" w:cs="Arial"/>
          <w:spacing w:val="10"/>
          <w:sz w:val="28"/>
        </w:rPr>
        <w:t>开发项目整体的开发成本</w:t>
      </w:r>
    </w:p>
    <w:p w14:paraId="17C5731D" w14:textId="77777777" w:rsidR="00000000" w:rsidRDefault="00000000">
      <w:pPr>
        <w:spacing w:line="360" w:lineRule="auto"/>
        <w:ind w:firstLineChars="225" w:firstLine="630"/>
        <w:textAlignment w:val="bottom"/>
        <w:rPr>
          <w:rFonts w:ascii="Arial" w:hAnsi="Arial" w:cs="Arial"/>
          <w:sz w:val="28"/>
        </w:rPr>
      </w:pPr>
      <w:r>
        <w:rPr>
          <w:rFonts w:ascii="Arial" w:hAnsi="Arial" w:cs="Arial"/>
          <w:sz w:val="28"/>
        </w:rPr>
        <w:t>C——</w:t>
      </w:r>
      <w:r>
        <w:rPr>
          <w:rFonts w:ascii="Arial" w:hAnsi="Arial" w:cs="Arial"/>
          <w:sz w:val="28"/>
        </w:rPr>
        <w:t>投资利润</w:t>
      </w:r>
    </w:p>
    <w:p w14:paraId="0CDDDC15" w14:textId="77777777" w:rsidR="00000000" w:rsidRDefault="00000000">
      <w:pPr>
        <w:pStyle w:val="Normal"/>
        <w:autoSpaceDE w:val="0"/>
        <w:autoSpaceDN w:val="0"/>
        <w:spacing w:line="360" w:lineRule="auto"/>
        <w:ind w:rightChars="13" w:right="31" w:firstLineChars="200" w:firstLine="560"/>
        <w:jc w:val="both"/>
        <w:textAlignment w:val="bottom"/>
        <w:rPr>
          <w:rFonts w:ascii="Arial" w:hAnsi="Arial" w:cs="Arial"/>
          <w:sz w:val="28"/>
        </w:rPr>
      </w:pPr>
      <w:r>
        <w:rPr>
          <w:rFonts w:ascii="Arial" w:hAnsi="Arial" w:cs="Arial"/>
          <w:sz w:val="28"/>
        </w:rPr>
        <w:t>其中：</w:t>
      </w:r>
      <w:r>
        <w:rPr>
          <w:rFonts w:ascii="Arial" w:hAnsi="Arial" w:cs="Arial"/>
          <w:spacing w:val="10"/>
          <w:sz w:val="28"/>
        </w:rPr>
        <w:t>开发项目整体的开发成本包括购地税费、房屋建造成本、管理费用、销售费用、投资利息和销售税费。</w:t>
      </w:r>
    </w:p>
    <w:p w14:paraId="3650BC1D" w14:textId="77777777" w:rsidR="00000000" w:rsidRDefault="00000000">
      <w:pPr>
        <w:spacing w:line="360" w:lineRule="auto"/>
        <w:jc w:val="both"/>
        <w:rPr>
          <w:rFonts w:ascii="Arial" w:hAnsi="Arial" w:cs="Arial"/>
          <w:b/>
          <w:sz w:val="28"/>
        </w:rPr>
      </w:pPr>
      <w:bookmarkStart w:id="319" w:name="_Toc416783698"/>
      <w:bookmarkStart w:id="320" w:name="_Toc416783602"/>
    </w:p>
    <w:p w14:paraId="524D7E00" w14:textId="77777777" w:rsidR="00000000" w:rsidRDefault="00000000">
      <w:pPr>
        <w:spacing w:line="360" w:lineRule="auto"/>
        <w:jc w:val="both"/>
        <w:rPr>
          <w:rFonts w:ascii="Arial" w:hAnsi="Arial" w:cs="Arial"/>
          <w:sz w:val="28"/>
        </w:rPr>
      </w:pPr>
      <w:r>
        <w:rPr>
          <w:rFonts w:ascii="Arial" w:hAnsi="Arial" w:cs="Arial"/>
          <w:sz w:val="28"/>
        </w:rPr>
        <w:t>（二）估价过程</w:t>
      </w:r>
      <w:bookmarkEnd w:id="319"/>
      <w:bookmarkEnd w:id="320"/>
    </w:p>
    <w:p w14:paraId="01E79B33" w14:textId="77777777" w:rsidR="00000000" w:rsidRDefault="00000000">
      <w:pPr>
        <w:pStyle w:val="Normal"/>
        <w:autoSpaceDE w:val="0"/>
        <w:autoSpaceDN w:val="0"/>
        <w:spacing w:line="360" w:lineRule="auto"/>
        <w:ind w:right="140" w:firstLineChars="200" w:firstLine="562"/>
        <w:jc w:val="both"/>
        <w:textAlignment w:val="bottom"/>
        <w:rPr>
          <w:rFonts w:ascii="Arial" w:hAnsi="Arial" w:cs="Arial"/>
          <w:b/>
          <w:sz w:val="28"/>
        </w:rPr>
      </w:pPr>
      <w:r>
        <w:rPr>
          <w:rFonts w:ascii="Arial" w:hAnsi="Arial" w:cs="Arial"/>
          <w:b/>
          <w:sz w:val="28"/>
        </w:rPr>
        <w:t>相关参数</w:t>
      </w:r>
    </w:p>
    <w:p w14:paraId="2D3994CC" w14:textId="77777777" w:rsidR="00000000" w:rsidRDefault="00000000">
      <w:pPr>
        <w:pStyle w:val="Normal"/>
        <w:autoSpaceDE w:val="0"/>
        <w:autoSpaceDN w:val="0"/>
        <w:spacing w:line="360" w:lineRule="auto"/>
        <w:ind w:right="140" w:firstLineChars="200" w:firstLine="560"/>
        <w:jc w:val="both"/>
        <w:textAlignment w:val="bottom"/>
        <w:rPr>
          <w:rFonts w:ascii="Arial" w:hAnsi="Arial" w:cs="Arial"/>
          <w:sz w:val="28"/>
        </w:rPr>
      </w:pPr>
      <w:r>
        <w:rPr>
          <w:rFonts w:ascii="Arial" w:hAnsi="Arial" w:cs="Arial"/>
          <w:sz w:val="28"/>
        </w:rPr>
        <w:t>1.</w:t>
      </w:r>
      <w:r>
        <w:rPr>
          <w:rFonts w:ascii="Arial" w:hAnsi="Arial" w:cs="Arial"/>
          <w:sz w:val="28"/>
        </w:rPr>
        <w:t>咨询对象土地经济技术指标</w:t>
      </w:r>
    </w:p>
    <w:p w14:paraId="150E2277"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根据委托方提供的经济技术指标，规划利用条件如下：</w:t>
      </w:r>
    </w:p>
    <w:tbl>
      <w:tblPr>
        <w:tblpPr w:leftFromText="180" w:rightFromText="180" w:vertAnchor="text" w:horzAnchor="margin" w:tblpX="1" w:tblpY="143"/>
        <w:tblW w:w="9450" w:type="dxa"/>
        <w:tblInd w:w="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000" w:firstRow="0" w:lastRow="0" w:firstColumn="0" w:lastColumn="0" w:noHBand="0" w:noVBand="0"/>
      </w:tblPr>
      <w:tblGrid>
        <w:gridCol w:w="1165"/>
        <w:gridCol w:w="1020"/>
        <w:gridCol w:w="3341"/>
        <w:gridCol w:w="1488"/>
        <w:gridCol w:w="2436"/>
      </w:tblGrid>
      <w:tr w:rsidR="00000000" w14:paraId="1180F8EB" w14:textId="77777777">
        <w:trPr>
          <w:trHeight w:val="280"/>
        </w:trPr>
        <w:tc>
          <w:tcPr>
            <w:tcW w:w="5526" w:type="dxa"/>
            <w:gridSpan w:val="3"/>
            <w:tcBorders>
              <w:bottom w:val="single" w:sz="4" w:space="0" w:color="auto"/>
              <w:right w:val="single" w:sz="4" w:space="0" w:color="auto"/>
            </w:tcBorders>
            <w:noWrap/>
            <w:vAlign w:val="center"/>
          </w:tcPr>
          <w:p w14:paraId="5A4CFD3B"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sz="4" w:space="0" w:color="auto"/>
              <w:right w:val="single" w:sz="4" w:space="0" w:color="auto"/>
            </w:tcBorders>
            <w:noWrap/>
            <w:vAlign w:val="center"/>
          </w:tcPr>
          <w:p w14:paraId="569B9DA5"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sz="4" w:space="0" w:color="auto"/>
              <w:right w:val="single" w:sz="4" w:space="0" w:color="auto"/>
            </w:tcBorders>
            <w:noWrap/>
            <w:vAlign w:val="center"/>
          </w:tcPr>
          <w:p w14:paraId="2AFB9B49"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数量</w:t>
            </w:r>
          </w:p>
        </w:tc>
      </w:tr>
      <w:tr w:rsidR="00000000" w14:paraId="1F61C009"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1BDA0818"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sz="4" w:space="0" w:color="auto"/>
              <w:right w:val="single" w:sz="4" w:space="0" w:color="auto"/>
            </w:tcBorders>
            <w:noWrap/>
            <w:vAlign w:val="center"/>
          </w:tcPr>
          <w:p w14:paraId="16754774"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2C42F29A"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000000" w14:paraId="1D7CA8D4"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0410D4B1"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建设用地面积</w:t>
            </w:r>
          </w:p>
        </w:tc>
        <w:tc>
          <w:tcPr>
            <w:tcW w:w="1488" w:type="dxa"/>
            <w:tcBorders>
              <w:top w:val="nil"/>
              <w:left w:val="nil"/>
              <w:bottom w:val="single" w:sz="4" w:space="0" w:color="auto"/>
              <w:right w:val="single" w:sz="4" w:space="0" w:color="auto"/>
            </w:tcBorders>
            <w:noWrap/>
            <w:vAlign w:val="center"/>
          </w:tcPr>
          <w:p w14:paraId="14BC3F5A"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14D72A40"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18132</w:t>
            </w:r>
          </w:p>
        </w:tc>
      </w:tr>
      <w:tr w:rsidR="00000000" w14:paraId="697D83EC"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52657CBF"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总建筑面积</w:t>
            </w:r>
          </w:p>
        </w:tc>
        <w:tc>
          <w:tcPr>
            <w:tcW w:w="1488" w:type="dxa"/>
            <w:tcBorders>
              <w:top w:val="nil"/>
              <w:left w:val="nil"/>
              <w:bottom w:val="single" w:sz="4" w:space="0" w:color="auto"/>
              <w:right w:val="single" w:sz="4" w:space="0" w:color="auto"/>
            </w:tcBorders>
            <w:noWrap/>
            <w:vAlign w:val="center"/>
          </w:tcPr>
          <w:p w14:paraId="1A6F79EA"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41A4C745"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43300</w:t>
            </w:r>
          </w:p>
        </w:tc>
      </w:tr>
      <w:tr w:rsidR="00000000" w14:paraId="0FF401C7" w14:textId="77777777">
        <w:trPr>
          <w:trHeight w:val="280"/>
        </w:trPr>
        <w:tc>
          <w:tcPr>
            <w:tcW w:w="1165" w:type="dxa"/>
            <w:vMerge w:val="restart"/>
            <w:tcBorders>
              <w:top w:val="nil"/>
              <w:right w:val="single" w:sz="4" w:space="0" w:color="auto"/>
            </w:tcBorders>
            <w:noWrap/>
            <w:vAlign w:val="center"/>
          </w:tcPr>
          <w:p w14:paraId="0F3AD71E"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sz="4" w:space="0" w:color="auto"/>
              <w:left w:val="nil"/>
              <w:bottom w:val="single" w:sz="4" w:space="0" w:color="auto"/>
              <w:right w:val="single" w:sz="4" w:space="0" w:color="auto"/>
            </w:tcBorders>
            <w:noWrap/>
            <w:vAlign w:val="center"/>
          </w:tcPr>
          <w:p w14:paraId="5F5B6054"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sz="4" w:space="0" w:color="auto"/>
              <w:right w:val="single" w:sz="4" w:space="0" w:color="auto"/>
            </w:tcBorders>
            <w:noWrap/>
            <w:vAlign w:val="center"/>
          </w:tcPr>
          <w:p w14:paraId="4F8B6CD4"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32DAD396"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32638</w:t>
            </w:r>
          </w:p>
        </w:tc>
      </w:tr>
      <w:tr w:rsidR="00000000" w14:paraId="1EFD3C55" w14:textId="77777777">
        <w:trPr>
          <w:trHeight w:val="280"/>
        </w:trPr>
        <w:tc>
          <w:tcPr>
            <w:tcW w:w="1165" w:type="dxa"/>
            <w:vMerge/>
            <w:tcBorders>
              <w:right w:val="single" w:sz="4" w:space="0" w:color="auto"/>
            </w:tcBorders>
            <w:vAlign w:val="center"/>
          </w:tcPr>
          <w:p w14:paraId="1EF4F26E" w14:textId="77777777" w:rsidR="00000000" w:rsidRDefault="00000000">
            <w:pPr>
              <w:widowControl/>
              <w:spacing w:line="240" w:lineRule="auto"/>
              <w:jc w:val="center"/>
              <w:rPr>
                <w:rFonts w:ascii="Arial" w:hAnsi="Arial" w:cs="Arial"/>
                <w:color w:val="000000"/>
                <w:sz w:val="20"/>
              </w:rPr>
            </w:pPr>
          </w:p>
        </w:tc>
        <w:tc>
          <w:tcPr>
            <w:tcW w:w="1020" w:type="dxa"/>
            <w:vMerge w:val="restart"/>
            <w:tcBorders>
              <w:top w:val="nil"/>
              <w:left w:val="single" w:sz="4" w:space="0" w:color="auto"/>
              <w:bottom w:val="single" w:sz="4" w:space="0" w:color="auto"/>
              <w:right w:val="single" w:sz="4" w:space="0" w:color="auto"/>
            </w:tcBorders>
            <w:noWrap/>
            <w:vAlign w:val="center"/>
          </w:tcPr>
          <w:p w14:paraId="36053636"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sz="4" w:space="0" w:color="auto"/>
              <w:right w:val="single" w:sz="4" w:space="0" w:color="auto"/>
            </w:tcBorders>
            <w:noWrap/>
            <w:vAlign w:val="center"/>
          </w:tcPr>
          <w:p w14:paraId="00FD7DB4"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公寓建筑面积</w:t>
            </w:r>
          </w:p>
        </w:tc>
        <w:tc>
          <w:tcPr>
            <w:tcW w:w="1488" w:type="dxa"/>
            <w:tcBorders>
              <w:top w:val="nil"/>
              <w:left w:val="nil"/>
              <w:bottom w:val="single" w:sz="4" w:space="0" w:color="auto"/>
              <w:right w:val="single" w:sz="4" w:space="0" w:color="auto"/>
            </w:tcBorders>
            <w:noWrap/>
            <w:vAlign w:val="center"/>
          </w:tcPr>
          <w:p w14:paraId="17CC0BD4"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09EE88A8"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31152</w:t>
            </w:r>
          </w:p>
        </w:tc>
      </w:tr>
      <w:tr w:rsidR="00000000" w14:paraId="65493C25" w14:textId="77777777">
        <w:trPr>
          <w:trHeight w:val="280"/>
        </w:trPr>
        <w:tc>
          <w:tcPr>
            <w:tcW w:w="1165" w:type="dxa"/>
            <w:vMerge/>
            <w:tcBorders>
              <w:right w:val="single" w:sz="4" w:space="0" w:color="auto"/>
            </w:tcBorders>
            <w:vAlign w:val="center"/>
          </w:tcPr>
          <w:p w14:paraId="740059E9" w14:textId="77777777" w:rsidR="00000000" w:rsidRDefault="00000000">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14:paraId="4C863DB6"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54FA4D4D"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商业建筑面积</w:t>
            </w:r>
          </w:p>
        </w:tc>
        <w:tc>
          <w:tcPr>
            <w:tcW w:w="1488" w:type="dxa"/>
            <w:tcBorders>
              <w:top w:val="nil"/>
              <w:left w:val="nil"/>
              <w:bottom w:val="single" w:sz="4" w:space="0" w:color="auto"/>
              <w:right w:val="single" w:sz="4" w:space="0" w:color="auto"/>
            </w:tcBorders>
            <w:noWrap/>
            <w:vAlign w:val="center"/>
          </w:tcPr>
          <w:p w14:paraId="2174692D"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09F3B3E6"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796</w:t>
            </w:r>
          </w:p>
        </w:tc>
      </w:tr>
      <w:tr w:rsidR="00000000" w14:paraId="4EB8BFE1" w14:textId="77777777">
        <w:trPr>
          <w:trHeight w:val="280"/>
        </w:trPr>
        <w:tc>
          <w:tcPr>
            <w:tcW w:w="1165" w:type="dxa"/>
            <w:vMerge/>
            <w:tcBorders>
              <w:right w:val="single" w:sz="4" w:space="0" w:color="auto"/>
            </w:tcBorders>
            <w:vAlign w:val="center"/>
          </w:tcPr>
          <w:p w14:paraId="45953D1E" w14:textId="77777777" w:rsidR="00000000" w:rsidRDefault="00000000">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14:paraId="09569466"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5987C121"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地下建筑出入口</w:t>
            </w:r>
          </w:p>
        </w:tc>
        <w:tc>
          <w:tcPr>
            <w:tcW w:w="1488" w:type="dxa"/>
            <w:tcBorders>
              <w:top w:val="nil"/>
              <w:left w:val="nil"/>
              <w:bottom w:val="single" w:sz="4" w:space="0" w:color="auto"/>
              <w:right w:val="single" w:sz="4" w:space="0" w:color="auto"/>
            </w:tcBorders>
            <w:noWrap/>
            <w:vAlign w:val="center"/>
          </w:tcPr>
          <w:p w14:paraId="4808F20B"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1A3A6EC8"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150</w:t>
            </w:r>
          </w:p>
        </w:tc>
      </w:tr>
      <w:tr w:rsidR="00000000" w14:paraId="126E7AF7" w14:textId="77777777">
        <w:trPr>
          <w:trHeight w:val="280"/>
        </w:trPr>
        <w:tc>
          <w:tcPr>
            <w:tcW w:w="1165" w:type="dxa"/>
            <w:vMerge/>
            <w:tcBorders>
              <w:right w:val="single" w:sz="4" w:space="0" w:color="auto"/>
            </w:tcBorders>
            <w:vAlign w:val="center"/>
          </w:tcPr>
          <w:p w14:paraId="20A5F0AF" w14:textId="77777777" w:rsidR="00000000" w:rsidRDefault="00000000">
            <w:pPr>
              <w:widowControl/>
              <w:spacing w:line="240" w:lineRule="auto"/>
              <w:jc w:val="center"/>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tcPr>
          <w:p w14:paraId="190F2A2A"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75D156C2"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配套设施面积</w:t>
            </w:r>
          </w:p>
        </w:tc>
        <w:tc>
          <w:tcPr>
            <w:tcW w:w="1488" w:type="dxa"/>
            <w:tcBorders>
              <w:top w:val="nil"/>
              <w:left w:val="nil"/>
              <w:bottom w:val="single" w:sz="4" w:space="0" w:color="auto"/>
              <w:right w:val="single" w:sz="4" w:space="0" w:color="auto"/>
            </w:tcBorders>
            <w:noWrap/>
            <w:vAlign w:val="center"/>
          </w:tcPr>
          <w:p w14:paraId="7AFA57F2"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710CC856"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540</w:t>
            </w:r>
          </w:p>
        </w:tc>
      </w:tr>
      <w:tr w:rsidR="00000000" w14:paraId="2458FD71" w14:textId="77777777">
        <w:trPr>
          <w:trHeight w:val="280"/>
        </w:trPr>
        <w:tc>
          <w:tcPr>
            <w:tcW w:w="1165" w:type="dxa"/>
            <w:vMerge/>
            <w:tcBorders>
              <w:right w:val="single" w:sz="4" w:space="0" w:color="auto"/>
            </w:tcBorders>
            <w:vAlign w:val="center"/>
          </w:tcPr>
          <w:p w14:paraId="3370029D" w14:textId="77777777" w:rsidR="00000000" w:rsidRDefault="00000000">
            <w:pPr>
              <w:widowControl/>
              <w:spacing w:line="240" w:lineRule="auto"/>
              <w:jc w:val="center"/>
              <w:rPr>
                <w:rFonts w:ascii="Arial" w:hAnsi="Arial" w:cs="Arial"/>
                <w:color w:val="000000"/>
                <w:sz w:val="20"/>
              </w:rPr>
            </w:pPr>
          </w:p>
        </w:tc>
        <w:tc>
          <w:tcPr>
            <w:tcW w:w="4361" w:type="dxa"/>
            <w:gridSpan w:val="2"/>
            <w:tcBorders>
              <w:top w:val="single" w:sz="4" w:space="0" w:color="auto"/>
              <w:left w:val="single" w:sz="4" w:space="0" w:color="auto"/>
              <w:bottom w:val="single" w:sz="4" w:space="0" w:color="auto"/>
              <w:right w:val="single" w:sz="4" w:space="0" w:color="auto"/>
            </w:tcBorders>
            <w:vAlign w:val="center"/>
          </w:tcPr>
          <w:p w14:paraId="6B21134E" w14:textId="77777777" w:rsidR="00000000" w:rsidRDefault="00000000">
            <w:pPr>
              <w:widowControl/>
              <w:spacing w:line="240" w:lineRule="auto"/>
              <w:jc w:val="center"/>
              <w:rPr>
                <w:rFonts w:ascii="Arial" w:hAnsi="Arial" w:cs="Arial" w:hint="eastAsia"/>
                <w:color w:val="000000"/>
                <w:sz w:val="20"/>
              </w:rPr>
            </w:pPr>
            <w:r>
              <w:rPr>
                <w:rFonts w:ascii="Arial" w:hAnsi="Arial" w:cs="Arial"/>
                <w:color w:val="000000"/>
                <w:sz w:val="20"/>
              </w:rPr>
              <w:t>地下建筑面积</w:t>
            </w:r>
          </w:p>
        </w:tc>
        <w:tc>
          <w:tcPr>
            <w:tcW w:w="1488" w:type="dxa"/>
            <w:tcBorders>
              <w:top w:val="nil"/>
              <w:left w:val="nil"/>
              <w:bottom w:val="single" w:sz="4" w:space="0" w:color="auto"/>
              <w:right w:val="single" w:sz="4" w:space="0" w:color="auto"/>
            </w:tcBorders>
            <w:noWrap/>
            <w:vAlign w:val="center"/>
          </w:tcPr>
          <w:p w14:paraId="6EEE821B"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4F023FDE"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10662</w:t>
            </w:r>
          </w:p>
        </w:tc>
      </w:tr>
      <w:tr w:rsidR="00000000" w14:paraId="754D14FB" w14:textId="77777777">
        <w:trPr>
          <w:trHeight w:val="280"/>
        </w:trPr>
        <w:tc>
          <w:tcPr>
            <w:tcW w:w="1165" w:type="dxa"/>
            <w:vMerge/>
            <w:tcBorders>
              <w:right w:val="single" w:sz="4" w:space="0" w:color="auto"/>
            </w:tcBorders>
            <w:vAlign w:val="center"/>
          </w:tcPr>
          <w:p w14:paraId="04FFB112" w14:textId="77777777" w:rsidR="00000000" w:rsidRDefault="00000000">
            <w:pPr>
              <w:widowControl/>
              <w:spacing w:line="240" w:lineRule="auto"/>
              <w:jc w:val="center"/>
              <w:rPr>
                <w:rFonts w:ascii="Arial" w:hAnsi="Arial" w:cs="Arial"/>
                <w:color w:val="000000"/>
                <w:sz w:val="20"/>
              </w:rPr>
            </w:pPr>
          </w:p>
        </w:tc>
        <w:tc>
          <w:tcPr>
            <w:tcW w:w="1020" w:type="dxa"/>
            <w:vMerge w:val="restart"/>
            <w:tcBorders>
              <w:top w:val="single" w:sz="4" w:space="0" w:color="auto"/>
              <w:left w:val="single" w:sz="4" w:space="0" w:color="auto"/>
              <w:bottom w:val="single" w:sz="4" w:space="0" w:color="auto"/>
              <w:right w:val="single" w:sz="4" w:space="0" w:color="auto"/>
            </w:tcBorders>
            <w:vAlign w:val="center"/>
          </w:tcPr>
          <w:p w14:paraId="6038AAEC"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sz="4" w:space="0" w:color="auto"/>
              <w:left w:val="nil"/>
              <w:bottom w:val="single" w:sz="4" w:space="0" w:color="auto"/>
              <w:right w:val="single" w:sz="4" w:space="0" w:color="auto"/>
            </w:tcBorders>
            <w:noWrap/>
            <w:vAlign w:val="center"/>
          </w:tcPr>
          <w:p w14:paraId="79020017"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人防建筑面积</w:t>
            </w:r>
          </w:p>
        </w:tc>
        <w:tc>
          <w:tcPr>
            <w:tcW w:w="1488" w:type="dxa"/>
            <w:tcBorders>
              <w:top w:val="nil"/>
              <w:left w:val="nil"/>
              <w:bottom w:val="single" w:sz="4" w:space="0" w:color="auto"/>
              <w:right w:val="single" w:sz="4" w:space="0" w:color="auto"/>
            </w:tcBorders>
            <w:noWrap/>
            <w:vAlign w:val="center"/>
          </w:tcPr>
          <w:p w14:paraId="5CCA62D2"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5B3E04DA"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2837</w:t>
            </w:r>
          </w:p>
        </w:tc>
      </w:tr>
      <w:tr w:rsidR="00000000" w14:paraId="14387B1C" w14:textId="77777777">
        <w:trPr>
          <w:trHeight w:val="280"/>
        </w:trPr>
        <w:tc>
          <w:tcPr>
            <w:tcW w:w="1165" w:type="dxa"/>
            <w:vMerge/>
            <w:tcBorders>
              <w:right w:val="single" w:sz="4" w:space="0" w:color="auto"/>
            </w:tcBorders>
            <w:vAlign w:val="center"/>
          </w:tcPr>
          <w:p w14:paraId="292ACFB4" w14:textId="77777777" w:rsidR="00000000" w:rsidRDefault="00000000">
            <w:pPr>
              <w:widowControl/>
              <w:spacing w:line="240" w:lineRule="auto"/>
              <w:jc w:val="center"/>
              <w:rPr>
                <w:rFonts w:ascii="Arial" w:hAnsi="Arial" w:cs="Arial"/>
                <w:color w:val="000000"/>
                <w:sz w:val="20"/>
              </w:rPr>
            </w:pPr>
          </w:p>
        </w:tc>
        <w:tc>
          <w:tcPr>
            <w:tcW w:w="1020" w:type="dxa"/>
            <w:vMerge/>
            <w:tcBorders>
              <w:top w:val="single" w:sz="4" w:space="0" w:color="auto"/>
              <w:left w:val="single" w:sz="4" w:space="0" w:color="auto"/>
              <w:right w:val="single" w:sz="4" w:space="0" w:color="auto"/>
            </w:tcBorders>
            <w:vAlign w:val="center"/>
          </w:tcPr>
          <w:p w14:paraId="6A6F033B" w14:textId="77777777" w:rsidR="00000000" w:rsidRDefault="00000000">
            <w:pPr>
              <w:widowControl/>
              <w:spacing w:line="240" w:lineRule="auto"/>
              <w:jc w:val="center"/>
              <w:rPr>
                <w:rFonts w:ascii="Arial" w:hAnsi="Arial" w:cs="Arial"/>
                <w:color w:val="000000"/>
                <w:sz w:val="20"/>
              </w:rPr>
            </w:pPr>
          </w:p>
        </w:tc>
        <w:tc>
          <w:tcPr>
            <w:tcW w:w="3341" w:type="dxa"/>
            <w:tcBorders>
              <w:top w:val="single" w:sz="4" w:space="0" w:color="auto"/>
              <w:left w:val="nil"/>
              <w:bottom w:val="single" w:sz="4" w:space="0" w:color="auto"/>
              <w:right w:val="single" w:sz="4" w:space="0" w:color="auto"/>
            </w:tcBorders>
            <w:noWrap/>
            <w:vAlign w:val="center"/>
          </w:tcPr>
          <w:p w14:paraId="3FDBDC47"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地下机动车库面积</w:t>
            </w:r>
          </w:p>
        </w:tc>
        <w:tc>
          <w:tcPr>
            <w:tcW w:w="1488" w:type="dxa"/>
            <w:tcBorders>
              <w:top w:val="nil"/>
              <w:left w:val="nil"/>
              <w:bottom w:val="single" w:sz="4" w:space="0" w:color="auto"/>
              <w:right w:val="single" w:sz="4" w:space="0" w:color="auto"/>
            </w:tcBorders>
            <w:noWrap/>
            <w:vAlign w:val="center"/>
          </w:tcPr>
          <w:p w14:paraId="709E7492"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09EAEAA5"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5556</w:t>
            </w:r>
          </w:p>
        </w:tc>
      </w:tr>
      <w:tr w:rsidR="00000000" w14:paraId="2718F1CB" w14:textId="77777777">
        <w:trPr>
          <w:trHeight w:val="280"/>
        </w:trPr>
        <w:tc>
          <w:tcPr>
            <w:tcW w:w="1165" w:type="dxa"/>
            <w:vMerge/>
            <w:tcBorders>
              <w:right w:val="single" w:sz="4" w:space="0" w:color="auto"/>
            </w:tcBorders>
            <w:vAlign w:val="center"/>
          </w:tcPr>
          <w:p w14:paraId="55D7995E" w14:textId="77777777" w:rsidR="00000000" w:rsidRDefault="00000000">
            <w:pPr>
              <w:widowControl/>
              <w:spacing w:line="240" w:lineRule="auto"/>
              <w:jc w:val="center"/>
              <w:rPr>
                <w:rFonts w:ascii="Arial" w:hAnsi="Arial" w:cs="Arial"/>
                <w:color w:val="000000"/>
                <w:sz w:val="20"/>
              </w:rPr>
            </w:pPr>
          </w:p>
        </w:tc>
        <w:tc>
          <w:tcPr>
            <w:tcW w:w="1020" w:type="dxa"/>
            <w:vMerge/>
            <w:tcBorders>
              <w:left w:val="single" w:sz="4" w:space="0" w:color="auto"/>
              <w:right w:val="single" w:sz="4" w:space="0" w:color="auto"/>
            </w:tcBorders>
            <w:vAlign w:val="center"/>
          </w:tcPr>
          <w:p w14:paraId="4B238DD4"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2E04E053"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自行车</w:t>
            </w:r>
          </w:p>
        </w:tc>
        <w:tc>
          <w:tcPr>
            <w:tcW w:w="1488" w:type="dxa"/>
            <w:tcBorders>
              <w:top w:val="nil"/>
              <w:left w:val="nil"/>
              <w:bottom w:val="single" w:sz="4" w:space="0" w:color="auto"/>
              <w:right w:val="single" w:sz="4" w:space="0" w:color="auto"/>
            </w:tcBorders>
            <w:noWrap/>
            <w:vAlign w:val="center"/>
          </w:tcPr>
          <w:p w14:paraId="0C1E8F9F"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0B78747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979</w:t>
            </w:r>
          </w:p>
        </w:tc>
      </w:tr>
      <w:tr w:rsidR="00000000" w14:paraId="06C500C5" w14:textId="77777777">
        <w:trPr>
          <w:trHeight w:val="280"/>
        </w:trPr>
        <w:tc>
          <w:tcPr>
            <w:tcW w:w="1165" w:type="dxa"/>
            <w:vMerge/>
            <w:tcBorders>
              <w:right w:val="single" w:sz="4" w:space="0" w:color="auto"/>
            </w:tcBorders>
            <w:vAlign w:val="center"/>
          </w:tcPr>
          <w:p w14:paraId="0300B631" w14:textId="77777777" w:rsidR="00000000" w:rsidRDefault="00000000">
            <w:pPr>
              <w:widowControl/>
              <w:spacing w:line="240" w:lineRule="auto"/>
              <w:jc w:val="center"/>
              <w:rPr>
                <w:rFonts w:ascii="Arial" w:hAnsi="Arial" w:cs="Arial"/>
                <w:color w:val="000000"/>
                <w:sz w:val="20"/>
              </w:rPr>
            </w:pPr>
          </w:p>
        </w:tc>
        <w:tc>
          <w:tcPr>
            <w:tcW w:w="1020" w:type="dxa"/>
            <w:vMerge/>
            <w:tcBorders>
              <w:left w:val="single" w:sz="4" w:space="0" w:color="auto"/>
              <w:bottom w:val="single" w:sz="4" w:space="0" w:color="auto"/>
              <w:right w:val="single" w:sz="4" w:space="0" w:color="auto"/>
            </w:tcBorders>
            <w:vAlign w:val="center"/>
          </w:tcPr>
          <w:p w14:paraId="4D5A272E" w14:textId="77777777" w:rsidR="00000000" w:rsidRDefault="00000000">
            <w:pPr>
              <w:widowControl/>
              <w:spacing w:line="240" w:lineRule="auto"/>
              <w:jc w:val="center"/>
              <w:rPr>
                <w:rFonts w:ascii="Arial" w:hAnsi="Arial" w:cs="Arial"/>
                <w:color w:val="000000"/>
                <w:sz w:val="20"/>
              </w:rPr>
            </w:pPr>
          </w:p>
        </w:tc>
        <w:tc>
          <w:tcPr>
            <w:tcW w:w="3341" w:type="dxa"/>
            <w:tcBorders>
              <w:top w:val="nil"/>
              <w:left w:val="nil"/>
              <w:bottom w:val="single" w:sz="4" w:space="0" w:color="auto"/>
              <w:right w:val="single" w:sz="4" w:space="0" w:color="auto"/>
            </w:tcBorders>
            <w:noWrap/>
            <w:vAlign w:val="center"/>
          </w:tcPr>
          <w:p w14:paraId="169DDE17"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设备用房</w:t>
            </w:r>
          </w:p>
        </w:tc>
        <w:tc>
          <w:tcPr>
            <w:tcW w:w="1488" w:type="dxa"/>
            <w:tcBorders>
              <w:top w:val="nil"/>
              <w:left w:val="nil"/>
              <w:bottom w:val="single" w:sz="4" w:space="0" w:color="auto"/>
              <w:right w:val="single" w:sz="4" w:space="0" w:color="auto"/>
            </w:tcBorders>
            <w:noWrap/>
            <w:vAlign w:val="center"/>
          </w:tcPr>
          <w:p w14:paraId="415DE2AF"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49CE349B"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12900</w:t>
            </w:r>
          </w:p>
        </w:tc>
      </w:tr>
      <w:tr w:rsidR="00000000" w14:paraId="08FAEF3C"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4EBB2C9A"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sz="4" w:space="0" w:color="auto"/>
              <w:right w:val="single" w:sz="4" w:space="0" w:color="auto"/>
            </w:tcBorders>
            <w:noWrap/>
            <w:vAlign w:val="center"/>
          </w:tcPr>
          <w:p w14:paraId="7DAB0222"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sz="4" w:space="0" w:color="auto"/>
              <w:right w:val="single" w:sz="4" w:space="0" w:color="auto"/>
            </w:tcBorders>
            <w:noWrap/>
            <w:vAlign w:val="center"/>
          </w:tcPr>
          <w:p w14:paraId="247DCBAA"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1090</w:t>
            </w:r>
          </w:p>
        </w:tc>
      </w:tr>
      <w:tr w:rsidR="00000000" w14:paraId="38DCF671"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1DB8864C"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机动车停车位</w:t>
            </w:r>
          </w:p>
        </w:tc>
        <w:tc>
          <w:tcPr>
            <w:tcW w:w="1488" w:type="dxa"/>
            <w:tcBorders>
              <w:top w:val="nil"/>
              <w:left w:val="nil"/>
              <w:bottom w:val="single" w:sz="4" w:space="0" w:color="auto"/>
              <w:right w:val="single" w:sz="4" w:space="0" w:color="auto"/>
            </w:tcBorders>
            <w:noWrap/>
            <w:vAlign w:val="center"/>
          </w:tcPr>
          <w:p w14:paraId="4B04DF9C"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个</w:t>
            </w:r>
          </w:p>
        </w:tc>
        <w:tc>
          <w:tcPr>
            <w:tcW w:w="2436" w:type="dxa"/>
            <w:tcBorders>
              <w:top w:val="nil"/>
              <w:left w:val="nil"/>
              <w:bottom w:val="single" w:sz="4" w:space="0" w:color="auto"/>
              <w:right w:val="single" w:sz="4" w:space="0" w:color="auto"/>
            </w:tcBorders>
            <w:noWrap/>
            <w:vAlign w:val="center"/>
          </w:tcPr>
          <w:p w14:paraId="150340E3"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218</w:t>
            </w:r>
          </w:p>
        </w:tc>
      </w:tr>
      <w:tr w:rsidR="00000000" w14:paraId="7E8BDE11"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0FE72CD0"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sz="4" w:space="0" w:color="auto"/>
              <w:right w:val="single" w:sz="4" w:space="0" w:color="auto"/>
            </w:tcBorders>
            <w:noWrap/>
            <w:vAlign w:val="center"/>
          </w:tcPr>
          <w:p w14:paraId="32AEE049"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79DF1740"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1.8</w:t>
            </w:r>
          </w:p>
        </w:tc>
      </w:tr>
      <w:tr w:rsidR="00000000" w14:paraId="0E4FD122"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56D34110"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sz="4" w:space="0" w:color="auto"/>
              <w:right w:val="single" w:sz="4" w:space="0" w:color="auto"/>
            </w:tcBorders>
            <w:noWrap/>
            <w:vAlign w:val="center"/>
          </w:tcPr>
          <w:p w14:paraId="0173EBA4"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5723AA79" w14:textId="77777777" w:rsidR="00000000" w:rsidRDefault="00000000">
            <w:pPr>
              <w:widowControl/>
              <w:spacing w:line="240" w:lineRule="auto"/>
              <w:jc w:val="center"/>
              <w:rPr>
                <w:rFonts w:ascii="Arial" w:hAnsi="Arial" w:cs="Arial"/>
                <w:color w:val="000000"/>
                <w:sz w:val="20"/>
              </w:rPr>
            </w:pPr>
            <w:r>
              <w:rPr>
                <w:rFonts w:ascii="Arial" w:hAnsi="Arial" w:cs="Arial" w:hint="eastAsia"/>
                <w:color w:val="000000"/>
                <w:sz w:val="20"/>
              </w:rPr>
              <w:t>29.93</w:t>
            </w:r>
            <w:r>
              <w:rPr>
                <w:rFonts w:ascii="Arial" w:hAnsi="Arial" w:cs="Arial"/>
                <w:color w:val="000000"/>
                <w:sz w:val="20"/>
              </w:rPr>
              <w:t>%</w:t>
            </w:r>
          </w:p>
        </w:tc>
      </w:tr>
      <w:tr w:rsidR="00000000" w14:paraId="4B005278" w14:textId="77777777">
        <w:trPr>
          <w:trHeight w:val="280"/>
        </w:trPr>
        <w:tc>
          <w:tcPr>
            <w:tcW w:w="5526" w:type="dxa"/>
            <w:gridSpan w:val="3"/>
            <w:tcBorders>
              <w:top w:val="single" w:sz="4" w:space="0" w:color="auto"/>
              <w:bottom w:val="single" w:sz="4" w:space="0" w:color="auto"/>
              <w:right w:val="single" w:sz="4" w:space="0" w:color="auto"/>
            </w:tcBorders>
            <w:noWrap/>
            <w:vAlign w:val="center"/>
          </w:tcPr>
          <w:p w14:paraId="2716B6E2"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sz="4" w:space="0" w:color="auto"/>
              <w:right w:val="single" w:sz="4" w:space="0" w:color="auto"/>
            </w:tcBorders>
            <w:noWrap/>
            <w:vAlign w:val="center"/>
          </w:tcPr>
          <w:p w14:paraId="2D72B20D" w14:textId="77777777" w:rsidR="00000000" w:rsidRDefault="00000000">
            <w:pPr>
              <w:widowControl/>
              <w:spacing w:line="240" w:lineRule="auto"/>
              <w:jc w:val="center"/>
              <w:rPr>
                <w:rFonts w:ascii="Arial" w:hAnsi="Arial" w:cs="Arial" w:hint="eastAsia"/>
                <w:color w:val="000000"/>
                <w:sz w:val="20"/>
              </w:rPr>
            </w:pPr>
            <w:r>
              <w:rPr>
                <w:rFonts w:ascii="Arial" w:hAnsi="Arial" w:cs="Arial" w:hint="eastAsia"/>
                <w:color w:val="000000"/>
                <w:sz w:val="20"/>
              </w:rPr>
              <w:t>-</w:t>
            </w:r>
          </w:p>
        </w:tc>
        <w:tc>
          <w:tcPr>
            <w:tcW w:w="2436" w:type="dxa"/>
            <w:tcBorders>
              <w:top w:val="nil"/>
              <w:left w:val="nil"/>
              <w:bottom w:val="single" w:sz="4" w:space="0" w:color="auto"/>
              <w:right w:val="single" w:sz="4" w:space="0" w:color="auto"/>
            </w:tcBorders>
            <w:noWrap/>
            <w:vAlign w:val="center"/>
          </w:tcPr>
          <w:p w14:paraId="24256E2C" w14:textId="77777777" w:rsidR="00000000" w:rsidRDefault="00000000">
            <w:pPr>
              <w:widowControl/>
              <w:spacing w:line="240" w:lineRule="auto"/>
              <w:jc w:val="center"/>
              <w:rPr>
                <w:rFonts w:ascii="Arial" w:hAnsi="Arial" w:cs="Arial"/>
                <w:color w:val="000000"/>
                <w:sz w:val="20"/>
              </w:rPr>
            </w:pPr>
            <w:r>
              <w:rPr>
                <w:rFonts w:ascii="Arial" w:hAnsi="Arial" w:cs="Arial"/>
                <w:color w:val="000000"/>
                <w:sz w:val="20"/>
              </w:rPr>
              <w:t>30.0</w:t>
            </w:r>
            <w:r>
              <w:rPr>
                <w:rFonts w:ascii="Arial" w:hAnsi="Arial" w:cs="Arial" w:hint="eastAsia"/>
                <w:color w:val="000000"/>
                <w:sz w:val="20"/>
              </w:rPr>
              <w:t>0%</w:t>
            </w:r>
          </w:p>
        </w:tc>
      </w:tr>
    </w:tbl>
    <w:p w14:paraId="6668A02E" w14:textId="77777777" w:rsidR="00000000" w:rsidRDefault="00000000">
      <w:pPr>
        <w:pStyle w:val="Normal"/>
        <w:autoSpaceDE w:val="0"/>
        <w:autoSpaceDN w:val="0"/>
        <w:spacing w:beforeLines="100" w:before="240" w:line="360" w:lineRule="auto"/>
        <w:ind w:right="142" w:firstLine="573"/>
        <w:jc w:val="both"/>
        <w:textAlignment w:val="bottom"/>
        <w:rPr>
          <w:rFonts w:ascii="Arial" w:hAnsi="Arial" w:cs="Arial"/>
          <w:sz w:val="28"/>
        </w:rPr>
      </w:pPr>
      <w:r>
        <w:rPr>
          <w:rFonts w:ascii="Arial" w:hAnsi="Arial" w:cs="Arial"/>
          <w:sz w:val="28"/>
        </w:rPr>
        <w:t>2.</w:t>
      </w:r>
      <w:r>
        <w:rPr>
          <w:rFonts w:ascii="Arial" w:hAnsi="Arial" w:cs="Arial"/>
          <w:sz w:val="28"/>
        </w:rPr>
        <w:t>工期情况说明：</w:t>
      </w:r>
    </w:p>
    <w:p w14:paraId="56D5F5B4" w14:textId="77777777" w:rsidR="00000000" w:rsidRDefault="00000000">
      <w:pPr>
        <w:pStyle w:val="Normal"/>
        <w:autoSpaceDE w:val="0"/>
        <w:autoSpaceDN w:val="0"/>
        <w:spacing w:line="360" w:lineRule="auto"/>
        <w:ind w:right="140" w:firstLine="570"/>
        <w:jc w:val="both"/>
        <w:textAlignment w:val="bottom"/>
        <w:rPr>
          <w:rFonts w:ascii="Arial" w:hAnsi="Arial" w:cs="Arial"/>
          <w:sz w:val="28"/>
        </w:rPr>
      </w:pPr>
      <w:r>
        <w:rPr>
          <w:rFonts w:ascii="Arial" w:hAnsi="Arial" w:cs="Arial"/>
          <w:sz w:val="28"/>
        </w:rPr>
        <w:t>土地开发期：</w:t>
      </w:r>
      <w:r>
        <w:rPr>
          <w:rFonts w:ascii="Arial" w:hAnsi="Arial" w:cs="Arial"/>
          <w:sz w:val="28"/>
        </w:rPr>
        <w:t>1</w:t>
      </w:r>
      <w:r>
        <w:rPr>
          <w:rFonts w:ascii="Arial" w:hAnsi="Arial" w:cs="Arial"/>
          <w:sz w:val="28"/>
        </w:rPr>
        <w:t>年</w:t>
      </w:r>
    </w:p>
    <w:p w14:paraId="693FD0EE" w14:textId="77777777" w:rsidR="00000000" w:rsidRDefault="00000000">
      <w:pPr>
        <w:pStyle w:val="Normal"/>
        <w:autoSpaceDE w:val="0"/>
        <w:autoSpaceDN w:val="0"/>
        <w:spacing w:line="360" w:lineRule="auto"/>
        <w:ind w:right="140" w:firstLine="570"/>
        <w:jc w:val="both"/>
        <w:textAlignment w:val="bottom"/>
        <w:rPr>
          <w:rFonts w:ascii="Arial" w:hAnsi="Arial" w:cs="Arial"/>
          <w:sz w:val="28"/>
        </w:rPr>
      </w:pPr>
      <w:r>
        <w:rPr>
          <w:rFonts w:ascii="Arial" w:hAnsi="Arial" w:cs="Arial"/>
          <w:sz w:val="28"/>
        </w:rPr>
        <w:t>建筑物建设期：</w:t>
      </w:r>
      <w:r>
        <w:rPr>
          <w:rFonts w:ascii="Arial" w:hAnsi="Arial" w:cs="Arial"/>
          <w:sz w:val="28"/>
        </w:rPr>
        <w:t>2</w:t>
      </w:r>
      <w:r>
        <w:rPr>
          <w:rFonts w:ascii="Arial" w:hAnsi="Arial" w:cs="Arial"/>
          <w:sz w:val="28"/>
        </w:rPr>
        <w:t>年</w:t>
      </w:r>
    </w:p>
    <w:p w14:paraId="503F32CC" w14:textId="77777777" w:rsidR="00000000" w:rsidRDefault="00000000">
      <w:pPr>
        <w:pStyle w:val="Normal"/>
        <w:autoSpaceDE w:val="0"/>
        <w:autoSpaceDN w:val="0"/>
        <w:spacing w:line="360" w:lineRule="auto"/>
        <w:ind w:right="140" w:firstLine="570"/>
        <w:jc w:val="both"/>
        <w:textAlignment w:val="bottom"/>
        <w:rPr>
          <w:rFonts w:ascii="Arial" w:hAnsi="Arial" w:cs="Arial"/>
          <w:sz w:val="28"/>
        </w:rPr>
      </w:pPr>
    </w:p>
    <w:p w14:paraId="238C8B03" w14:textId="77777777" w:rsidR="00000000" w:rsidRDefault="00000000">
      <w:pPr>
        <w:pStyle w:val="Normal"/>
        <w:autoSpaceDE w:val="0"/>
        <w:autoSpaceDN w:val="0"/>
        <w:spacing w:line="360" w:lineRule="auto"/>
        <w:ind w:right="140" w:firstLine="570"/>
        <w:jc w:val="both"/>
        <w:textAlignment w:val="bottom"/>
        <w:rPr>
          <w:rFonts w:ascii="Arial" w:hAnsi="Arial" w:cs="Arial"/>
          <w:sz w:val="28"/>
        </w:rPr>
      </w:pPr>
      <w:r>
        <w:rPr>
          <w:rFonts w:ascii="Arial" w:hAnsi="Arial" w:cs="Arial"/>
          <w:sz w:val="28"/>
        </w:rPr>
        <w:t>以上述条件为基础计算咨询对象的价格。</w:t>
      </w:r>
    </w:p>
    <w:p w14:paraId="61BDAFD4" w14:textId="77777777" w:rsidR="00000000" w:rsidRDefault="00000000">
      <w:pPr>
        <w:spacing w:line="360" w:lineRule="auto"/>
        <w:ind w:firstLineChars="200" w:firstLine="562"/>
        <w:jc w:val="both"/>
        <w:rPr>
          <w:rFonts w:ascii="Arial" w:hAnsi="Arial" w:cs="Arial"/>
          <w:b/>
          <w:sz w:val="28"/>
        </w:rPr>
      </w:pPr>
      <w:r>
        <w:rPr>
          <w:rFonts w:ascii="Arial" w:hAnsi="Arial" w:cs="Arial"/>
          <w:b/>
          <w:sz w:val="28"/>
        </w:rPr>
        <w:t>测算过程</w:t>
      </w:r>
    </w:p>
    <w:p w14:paraId="450F4BA1" w14:textId="77777777" w:rsidR="00000000" w:rsidRDefault="00000000">
      <w:pPr>
        <w:spacing w:line="360" w:lineRule="auto"/>
        <w:ind w:firstLineChars="200" w:firstLine="562"/>
        <w:jc w:val="both"/>
        <w:rPr>
          <w:rFonts w:ascii="Arial" w:hAnsi="Arial" w:cs="Arial"/>
          <w:b/>
          <w:sz w:val="28"/>
        </w:rPr>
      </w:pPr>
      <w:r>
        <w:rPr>
          <w:rFonts w:ascii="Arial" w:hAnsi="Arial" w:cs="Arial"/>
          <w:b/>
          <w:sz w:val="28"/>
        </w:rPr>
        <w:t>剩余法</w:t>
      </w:r>
    </w:p>
    <w:p w14:paraId="76D543BD" w14:textId="77777777" w:rsidR="00000000" w:rsidRDefault="00000000">
      <w:pPr>
        <w:spacing w:line="360" w:lineRule="auto"/>
        <w:ind w:firstLineChars="200" w:firstLine="560"/>
        <w:rPr>
          <w:rFonts w:ascii="Arial" w:hAnsi="Arial" w:cs="Arial"/>
          <w:sz w:val="28"/>
        </w:rPr>
      </w:pPr>
      <w:r>
        <w:rPr>
          <w:rFonts w:ascii="Arial" w:hAnsi="Arial" w:cs="Arial"/>
          <w:sz w:val="28"/>
        </w:rPr>
        <w:t>（</w:t>
      </w:r>
      <w:r>
        <w:rPr>
          <w:rFonts w:ascii="Arial" w:hAnsi="Arial" w:cs="Arial"/>
          <w:sz w:val="28"/>
        </w:rPr>
        <w:t>1</w:t>
      </w:r>
      <w:r>
        <w:rPr>
          <w:rFonts w:ascii="Arial" w:hAnsi="Arial" w:cs="Arial"/>
          <w:sz w:val="28"/>
        </w:rPr>
        <w:t>）</w:t>
      </w:r>
      <w:r>
        <w:rPr>
          <w:rFonts w:ascii="Arial" w:hAnsi="Arial" w:cs="Arial"/>
          <w:bCs/>
          <w:sz w:val="28"/>
        </w:rPr>
        <w:t>土地最有效利用方式</w:t>
      </w:r>
    </w:p>
    <w:p w14:paraId="6E94AB35" w14:textId="77777777" w:rsidR="00000000" w:rsidRDefault="00000000">
      <w:pPr>
        <w:snapToGrid w:val="0"/>
        <w:spacing w:line="360" w:lineRule="auto"/>
        <w:ind w:firstLineChars="200" w:firstLine="560"/>
        <w:jc w:val="both"/>
        <w:rPr>
          <w:rFonts w:ascii="Arial" w:hAnsi="Arial" w:cs="Arial"/>
          <w:sz w:val="28"/>
          <w:szCs w:val="28"/>
        </w:rPr>
      </w:pPr>
      <w:r>
        <w:rPr>
          <w:rFonts w:ascii="Arial" w:hAnsi="Arial" w:cs="Arial"/>
          <w:sz w:val="28"/>
          <w:szCs w:val="28"/>
        </w:rPr>
        <w:t>根据</w:t>
      </w:r>
      <w:r>
        <w:rPr>
          <w:rFonts w:ascii="Arial" w:hAnsi="Arial" w:cs="Arial"/>
          <w:sz w:val="28"/>
        </w:rPr>
        <w:t>委托方介绍及本次咨询目的</w:t>
      </w:r>
      <w:r>
        <w:rPr>
          <w:rFonts w:ascii="Arial" w:hAnsi="Arial" w:cs="Arial"/>
          <w:sz w:val="28"/>
          <w:szCs w:val="28"/>
        </w:rPr>
        <w:t>，本次评估设定如下：</w:t>
      </w:r>
    </w:p>
    <w:p w14:paraId="587912B4" w14:textId="77777777" w:rsidR="00000000" w:rsidRDefault="00000000">
      <w:pPr>
        <w:numPr>
          <w:ilvl w:val="0"/>
          <w:numId w:val="8"/>
        </w:numPr>
        <w:spacing w:line="360" w:lineRule="auto"/>
        <w:rPr>
          <w:rFonts w:ascii="Arial" w:hAnsi="Arial" w:cs="Arial"/>
          <w:snapToGrid w:val="0"/>
          <w:sz w:val="28"/>
        </w:rPr>
      </w:pPr>
      <w:r>
        <w:rPr>
          <w:rFonts w:ascii="Arial" w:hAnsi="Arial" w:cs="Arial"/>
          <w:snapToGrid w:val="0"/>
          <w:sz w:val="28"/>
        </w:rPr>
        <w:t>设定咨询对象能够顺利完成预期的开发建设目标；</w:t>
      </w:r>
    </w:p>
    <w:p w14:paraId="37CF665F" w14:textId="77777777" w:rsidR="00000000" w:rsidRDefault="00000000">
      <w:pPr>
        <w:numPr>
          <w:ilvl w:val="0"/>
          <w:numId w:val="8"/>
        </w:numPr>
        <w:spacing w:line="360" w:lineRule="auto"/>
        <w:rPr>
          <w:rFonts w:ascii="Arial" w:hAnsi="Arial" w:cs="Arial"/>
          <w:snapToGrid w:val="0"/>
          <w:sz w:val="28"/>
        </w:rPr>
      </w:pPr>
      <w:r>
        <w:rPr>
          <w:rFonts w:ascii="Arial" w:hAnsi="Arial" w:cs="Arial"/>
          <w:snapToGrid w:val="0"/>
          <w:sz w:val="28"/>
        </w:rPr>
        <w:t>本项目建筑物建设周期为</w:t>
      </w:r>
      <w:r>
        <w:rPr>
          <w:rFonts w:ascii="Arial" w:hAnsi="Arial" w:cs="Arial"/>
          <w:snapToGrid w:val="0"/>
          <w:sz w:val="28"/>
        </w:rPr>
        <w:t>2.0</w:t>
      </w:r>
      <w:r>
        <w:rPr>
          <w:rFonts w:ascii="Arial" w:hAnsi="Arial" w:cs="Arial"/>
          <w:snapToGrid w:val="0"/>
          <w:sz w:val="28"/>
        </w:rPr>
        <w:t>年；</w:t>
      </w:r>
    </w:p>
    <w:p w14:paraId="2A972254" w14:textId="77777777" w:rsidR="00000000" w:rsidRDefault="00000000">
      <w:pPr>
        <w:numPr>
          <w:ilvl w:val="0"/>
          <w:numId w:val="8"/>
        </w:numPr>
        <w:spacing w:line="360" w:lineRule="auto"/>
        <w:rPr>
          <w:rFonts w:ascii="Arial" w:hAnsi="Arial" w:cs="Arial"/>
          <w:snapToGrid w:val="0"/>
          <w:sz w:val="28"/>
        </w:rPr>
      </w:pPr>
      <w:r>
        <w:rPr>
          <w:rFonts w:ascii="Arial" w:hAnsi="Arial" w:cs="Arial"/>
          <w:snapToGrid w:val="0"/>
          <w:sz w:val="28"/>
        </w:rPr>
        <w:t>建安费用在项目周期内均匀投入，利息按复利计算；</w:t>
      </w:r>
    </w:p>
    <w:p w14:paraId="030CC5DD" w14:textId="77777777" w:rsidR="00000000" w:rsidRDefault="00000000">
      <w:pPr>
        <w:numPr>
          <w:ilvl w:val="0"/>
          <w:numId w:val="8"/>
        </w:numPr>
        <w:spacing w:line="360" w:lineRule="auto"/>
        <w:ind w:right="14"/>
        <w:rPr>
          <w:rFonts w:ascii="Arial" w:hAnsi="Arial" w:cs="Arial"/>
          <w:snapToGrid w:val="0"/>
          <w:sz w:val="28"/>
        </w:rPr>
      </w:pPr>
      <w:r>
        <w:rPr>
          <w:rFonts w:ascii="Arial" w:hAnsi="Arial" w:cs="Arial"/>
          <w:snapToGrid w:val="0"/>
          <w:sz w:val="28"/>
        </w:rPr>
        <w:t>在开发建设期间，房地产市场不会发生大的变化；</w:t>
      </w:r>
    </w:p>
    <w:p w14:paraId="1C0F5E7E" w14:textId="77777777" w:rsidR="00000000" w:rsidRDefault="00000000">
      <w:pPr>
        <w:numPr>
          <w:ilvl w:val="0"/>
          <w:numId w:val="8"/>
        </w:numPr>
        <w:spacing w:line="360" w:lineRule="auto"/>
        <w:ind w:right="14"/>
        <w:rPr>
          <w:rFonts w:ascii="Arial" w:hAnsi="Arial" w:cs="Arial"/>
          <w:snapToGrid w:val="0"/>
          <w:sz w:val="28"/>
        </w:rPr>
      </w:pPr>
      <w:r>
        <w:rPr>
          <w:rFonts w:ascii="Arial" w:hAnsi="Arial" w:cs="Arial"/>
          <w:snapToGrid w:val="0"/>
          <w:sz w:val="28"/>
        </w:rPr>
        <w:t>该项目在建成后即出租完毕；</w:t>
      </w:r>
    </w:p>
    <w:p w14:paraId="14A8CBE3" w14:textId="77777777" w:rsidR="00000000" w:rsidRDefault="00000000">
      <w:pPr>
        <w:numPr>
          <w:ilvl w:val="0"/>
          <w:numId w:val="8"/>
        </w:numPr>
        <w:spacing w:line="360" w:lineRule="auto"/>
        <w:ind w:right="14"/>
        <w:jc w:val="both"/>
        <w:rPr>
          <w:rFonts w:ascii="Arial" w:hAnsi="Arial" w:cs="Arial"/>
          <w:snapToGrid w:val="0"/>
          <w:sz w:val="28"/>
        </w:rPr>
      </w:pPr>
      <w:r>
        <w:rPr>
          <w:rFonts w:ascii="Arial" w:hAnsi="Arial" w:cs="Arial"/>
          <w:snapToGrid w:val="0"/>
          <w:sz w:val="28"/>
        </w:rPr>
        <w:t>在开发过程中或有调整规划用途情况建议参照本咨询结果价值水平。</w:t>
      </w:r>
    </w:p>
    <w:p w14:paraId="2AA29237" w14:textId="77777777" w:rsidR="00000000" w:rsidRDefault="00000000">
      <w:pPr>
        <w:spacing w:after="26" w:line="360" w:lineRule="auto"/>
        <w:ind w:firstLineChars="200" w:firstLine="560"/>
        <w:rPr>
          <w:rFonts w:ascii="Arial" w:hAnsi="Arial" w:cs="Arial"/>
          <w:snapToGrid w:val="0"/>
          <w:sz w:val="28"/>
        </w:rPr>
      </w:pPr>
      <w:r>
        <w:rPr>
          <w:rFonts w:ascii="Arial" w:hAnsi="Arial" w:cs="Arial"/>
          <w:snapToGrid w:val="0"/>
          <w:sz w:val="28"/>
        </w:rPr>
        <w:t>（</w:t>
      </w:r>
      <w:r>
        <w:rPr>
          <w:rFonts w:ascii="Arial" w:hAnsi="Arial" w:cs="Arial"/>
          <w:snapToGrid w:val="0"/>
          <w:sz w:val="28"/>
        </w:rPr>
        <w:t>2</w:t>
      </w:r>
      <w:r>
        <w:rPr>
          <w:rFonts w:ascii="Arial" w:hAnsi="Arial" w:cs="Arial"/>
          <w:snapToGrid w:val="0"/>
          <w:sz w:val="28"/>
        </w:rPr>
        <w:t>）开发完成后</w:t>
      </w:r>
      <w:r>
        <w:rPr>
          <w:rFonts w:ascii="Arial" w:hAnsi="Arial" w:cs="Arial"/>
          <w:bCs/>
          <w:sz w:val="28"/>
        </w:rPr>
        <w:t>的不动产总价</w:t>
      </w:r>
    </w:p>
    <w:p w14:paraId="39D01E26" w14:textId="77777777" w:rsidR="00000000" w:rsidRDefault="00000000">
      <w:pPr>
        <w:spacing w:line="360" w:lineRule="auto"/>
        <w:ind w:firstLineChars="200" w:firstLine="560"/>
        <w:outlineLvl w:val="2"/>
        <w:rPr>
          <w:rFonts w:ascii="Arial" w:hAnsi="Arial" w:cs="Arial"/>
          <w:sz w:val="28"/>
        </w:rPr>
      </w:pPr>
      <w:r>
        <w:rPr>
          <w:rFonts w:ascii="Arial" w:hAnsi="Arial" w:cs="Arial"/>
          <w:sz w:val="28"/>
        </w:rPr>
        <w:t>1</w:t>
      </w:r>
      <w:r>
        <w:rPr>
          <w:rFonts w:ascii="Arial" w:hAnsi="Arial" w:cs="Arial"/>
          <w:sz w:val="28"/>
        </w:rPr>
        <w:t>）住宅用房开发完成后不动产总价</w:t>
      </w:r>
    </w:p>
    <w:p w14:paraId="00216D4D"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通过对昌平区马池口镇百泉庄村附近公寓用房租赁市场的调查，选取近期同一供需圈及邻近地区实际成交的案例进行分析比较，咨询对象周边租金水平约</w:t>
      </w:r>
      <w:r>
        <w:rPr>
          <w:rFonts w:ascii="Arial" w:hAnsi="Arial" w:cs="Arial"/>
          <w:sz w:val="28"/>
        </w:rPr>
        <w:t>30-</w:t>
      </w:r>
      <w:r>
        <w:rPr>
          <w:rFonts w:ascii="Arial" w:hAnsi="Arial" w:cs="Arial" w:hint="eastAsia"/>
          <w:sz w:val="28"/>
        </w:rPr>
        <w:t>45</w:t>
      </w:r>
      <w:r>
        <w:rPr>
          <w:rFonts w:ascii="Arial" w:hAnsi="Arial" w:cs="Arial" w:hint="eastAsia"/>
          <w:sz w:val="28"/>
        </w:rPr>
        <w:t>元</w:t>
      </w:r>
      <w:r>
        <w:rPr>
          <w:rFonts w:ascii="Arial" w:hAnsi="Arial" w:cs="Arial"/>
          <w:sz w:val="28"/>
        </w:rPr>
        <w:t>/</w:t>
      </w:r>
      <w:r>
        <w:rPr>
          <w:rFonts w:ascii="Arial" w:hAnsi="Arial" w:cs="Arial" w:hint="eastAsia"/>
          <w:sz w:val="28"/>
        </w:rPr>
        <w:t>平方米</w:t>
      </w:r>
      <w:r>
        <w:rPr>
          <w:rFonts w:ascii="Arial" w:hAnsi="Arial" w:cs="Arial" w:hint="eastAsia"/>
          <w:sz w:val="28"/>
        </w:rPr>
        <w:t>/</w:t>
      </w:r>
      <w:r>
        <w:rPr>
          <w:rFonts w:ascii="Arial" w:hAnsi="Arial" w:cs="Arial" w:hint="eastAsia"/>
          <w:sz w:val="28"/>
        </w:rPr>
        <w:t>月，结合咨询对象自身项目情况，最终估算咨询对象租金水平为</w:t>
      </w:r>
      <w:r>
        <w:rPr>
          <w:rFonts w:ascii="Arial" w:hAnsi="Arial" w:cs="Arial" w:hint="eastAsia"/>
          <w:sz w:val="28"/>
        </w:rPr>
        <w:t>40</w:t>
      </w:r>
      <w:r>
        <w:rPr>
          <w:rFonts w:ascii="Arial" w:hAnsi="Arial" w:cs="Arial" w:hint="eastAsia"/>
          <w:sz w:val="28"/>
        </w:rPr>
        <w:t>元</w:t>
      </w:r>
      <w:r>
        <w:rPr>
          <w:rFonts w:ascii="Arial" w:hAnsi="Arial" w:cs="Arial"/>
          <w:sz w:val="28"/>
        </w:rPr>
        <w:t>/</w:t>
      </w:r>
      <w:r>
        <w:rPr>
          <w:rFonts w:ascii="Arial" w:hAnsi="Arial" w:cs="Arial" w:hint="eastAsia"/>
          <w:sz w:val="28"/>
        </w:rPr>
        <w:t>平方米</w:t>
      </w:r>
      <w:r>
        <w:rPr>
          <w:rFonts w:ascii="Arial" w:hAnsi="Arial" w:cs="Arial" w:hint="eastAsia"/>
          <w:sz w:val="28"/>
        </w:rPr>
        <w:t>/</w:t>
      </w:r>
      <w:r>
        <w:rPr>
          <w:rFonts w:ascii="Arial" w:hAnsi="Arial" w:cs="Arial" w:hint="eastAsia"/>
          <w:sz w:val="28"/>
        </w:rPr>
        <w:t>月。</w:t>
      </w:r>
    </w:p>
    <w:tbl>
      <w:tblPr>
        <w:tblW w:w="5091" w:type="pct"/>
        <w:tblInd w:w="0" w:type="dxa"/>
        <w:tblLayout w:type="fixed"/>
        <w:tblLook w:val="0000" w:firstRow="0" w:lastRow="0" w:firstColumn="0" w:lastColumn="0" w:noHBand="0" w:noVBand="0"/>
      </w:tblPr>
      <w:tblGrid>
        <w:gridCol w:w="691"/>
        <w:gridCol w:w="1939"/>
        <w:gridCol w:w="966"/>
        <w:gridCol w:w="3318"/>
        <w:gridCol w:w="1522"/>
        <w:gridCol w:w="1017"/>
      </w:tblGrid>
      <w:tr w:rsidR="00000000" w14:paraId="6554C452"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1D6AE01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lastRenderedPageBreak/>
              <w:t>序号</w:t>
            </w:r>
          </w:p>
        </w:tc>
        <w:tc>
          <w:tcPr>
            <w:tcW w:w="1024" w:type="pct"/>
            <w:tcBorders>
              <w:top w:val="single" w:sz="8" w:space="0" w:color="auto"/>
              <w:left w:val="nil"/>
              <w:bottom w:val="single" w:sz="4" w:space="0" w:color="auto"/>
              <w:right w:val="single" w:sz="4" w:space="0" w:color="auto"/>
            </w:tcBorders>
            <w:noWrap/>
            <w:vAlign w:val="center"/>
          </w:tcPr>
          <w:p w14:paraId="28249AC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511" w:type="pct"/>
            <w:tcBorders>
              <w:top w:val="single" w:sz="8" w:space="0" w:color="auto"/>
              <w:left w:val="nil"/>
              <w:bottom w:val="single" w:sz="4" w:space="0" w:color="auto"/>
              <w:right w:val="single" w:sz="4" w:space="0" w:color="auto"/>
            </w:tcBorders>
            <w:noWrap/>
            <w:vAlign w:val="center"/>
          </w:tcPr>
          <w:p w14:paraId="1F523E7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754" w:type="pct"/>
            <w:tcBorders>
              <w:top w:val="single" w:sz="8" w:space="0" w:color="auto"/>
              <w:left w:val="nil"/>
              <w:bottom w:val="single" w:sz="4" w:space="0" w:color="auto"/>
              <w:right w:val="single" w:sz="4" w:space="0" w:color="auto"/>
            </w:tcBorders>
            <w:noWrap/>
            <w:vAlign w:val="center"/>
          </w:tcPr>
          <w:p w14:paraId="3132952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805" w:type="pct"/>
            <w:tcBorders>
              <w:top w:val="single" w:sz="8" w:space="0" w:color="auto"/>
              <w:left w:val="nil"/>
              <w:bottom w:val="single" w:sz="4" w:space="0" w:color="auto"/>
              <w:right w:val="nil"/>
            </w:tcBorders>
            <w:noWrap/>
            <w:vAlign w:val="center"/>
          </w:tcPr>
          <w:p w14:paraId="7C91993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取费标准</w:t>
            </w:r>
          </w:p>
        </w:tc>
        <w:tc>
          <w:tcPr>
            <w:tcW w:w="538" w:type="pct"/>
            <w:tcBorders>
              <w:top w:val="single" w:sz="8" w:space="0" w:color="auto"/>
              <w:left w:val="nil"/>
              <w:bottom w:val="single" w:sz="4" w:space="0" w:color="auto"/>
              <w:right w:val="single" w:sz="8" w:space="0" w:color="auto"/>
            </w:tcBorders>
            <w:noWrap/>
            <w:vAlign w:val="center"/>
          </w:tcPr>
          <w:p w14:paraId="78AECF5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000000" w14:paraId="12C6D33A"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7FFC72E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4" w:type="pct"/>
            <w:tcBorders>
              <w:top w:val="nil"/>
              <w:left w:val="nil"/>
              <w:bottom w:val="nil"/>
              <w:right w:val="single" w:sz="4" w:space="0" w:color="auto"/>
            </w:tcBorders>
            <w:vAlign w:val="center"/>
          </w:tcPr>
          <w:p w14:paraId="12D0DE1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511" w:type="pct"/>
            <w:tcBorders>
              <w:top w:val="nil"/>
              <w:left w:val="nil"/>
              <w:bottom w:val="nil"/>
              <w:right w:val="single" w:sz="4" w:space="0" w:color="auto"/>
            </w:tcBorders>
            <w:noWrap/>
            <w:vAlign w:val="center"/>
          </w:tcPr>
          <w:p w14:paraId="71E4C7A2"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1423</w:t>
            </w:r>
          </w:p>
        </w:tc>
        <w:tc>
          <w:tcPr>
            <w:tcW w:w="3097" w:type="pct"/>
            <w:gridSpan w:val="3"/>
            <w:tcBorders>
              <w:top w:val="single" w:sz="4" w:space="0" w:color="auto"/>
              <w:left w:val="nil"/>
              <w:bottom w:val="single" w:sz="4" w:space="0" w:color="auto"/>
              <w:right w:val="single" w:sz="4" w:space="0" w:color="auto"/>
            </w:tcBorders>
            <w:noWrap/>
            <w:vAlign w:val="center"/>
          </w:tcPr>
          <w:p w14:paraId="70CB834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年租金收入</w:t>
            </w:r>
            <w:r>
              <w:rPr>
                <w:rFonts w:ascii="Arial" w:hAnsi="Arial" w:cs="Arial"/>
                <w:snapToGrid w:val="0"/>
                <w:sz w:val="16"/>
              </w:rPr>
              <w:t>+</w:t>
            </w:r>
            <w:r>
              <w:rPr>
                <w:rFonts w:ascii="Arial" w:hAnsi="Arial" w:cs="Arial"/>
                <w:snapToGrid w:val="0"/>
                <w:sz w:val="16"/>
              </w:rPr>
              <w:t>押金利息收入</w:t>
            </w:r>
          </w:p>
          <w:p w14:paraId="4A78AE62" w14:textId="77777777" w:rsidR="00000000" w:rsidRDefault="00000000">
            <w:pPr>
              <w:widowControl/>
              <w:adjustRightInd/>
              <w:spacing w:line="240" w:lineRule="auto"/>
              <w:jc w:val="center"/>
              <w:textAlignment w:val="auto"/>
              <w:rPr>
                <w:rFonts w:ascii="Arial" w:hAnsi="Arial" w:cs="Arial"/>
                <w:snapToGrid w:val="0"/>
                <w:sz w:val="16"/>
              </w:rPr>
            </w:pPr>
          </w:p>
        </w:tc>
      </w:tr>
      <w:tr w:rsidR="00000000" w14:paraId="1634A745" w14:textId="77777777">
        <w:trPr>
          <w:trHeight w:val="360"/>
        </w:trPr>
        <w:tc>
          <w:tcPr>
            <w:tcW w:w="365" w:type="pct"/>
            <w:vMerge w:val="restart"/>
            <w:tcBorders>
              <w:top w:val="single" w:sz="4" w:space="0" w:color="auto"/>
              <w:left w:val="single" w:sz="4" w:space="0" w:color="auto"/>
              <w:right w:val="single" w:sz="4" w:space="0" w:color="auto"/>
            </w:tcBorders>
            <w:noWrap/>
            <w:vAlign w:val="center"/>
          </w:tcPr>
          <w:p w14:paraId="70A2019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p w14:paraId="12237CBC" w14:textId="77777777" w:rsidR="00000000" w:rsidRDefault="00000000">
            <w:pPr>
              <w:spacing w:line="240" w:lineRule="auto"/>
              <w:rPr>
                <w:rFonts w:ascii="Arial" w:hAnsi="Arial" w:cs="Arial"/>
                <w:snapToGrid w:val="0"/>
                <w:sz w:val="16"/>
              </w:rPr>
            </w:pPr>
          </w:p>
        </w:tc>
        <w:tc>
          <w:tcPr>
            <w:tcW w:w="1024" w:type="pct"/>
            <w:vMerge w:val="restart"/>
            <w:tcBorders>
              <w:top w:val="single" w:sz="4" w:space="0" w:color="auto"/>
              <w:left w:val="single" w:sz="4" w:space="0" w:color="auto"/>
              <w:bottom w:val="single" w:sz="4" w:space="0" w:color="000000"/>
              <w:right w:val="single" w:sz="4" w:space="0" w:color="auto"/>
            </w:tcBorders>
          </w:tcPr>
          <w:p w14:paraId="7674F66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511" w:type="pct"/>
            <w:tcBorders>
              <w:top w:val="single" w:sz="4" w:space="0" w:color="auto"/>
              <w:left w:val="nil"/>
              <w:bottom w:val="nil"/>
              <w:right w:val="single" w:sz="4" w:space="0" w:color="auto"/>
            </w:tcBorders>
            <w:noWrap/>
            <w:vAlign w:val="center"/>
          </w:tcPr>
          <w:p w14:paraId="001E0A3E"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1421</w:t>
            </w:r>
          </w:p>
        </w:tc>
        <w:tc>
          <w:tcPr>
            <w:tcW w:w="1754" w:type="pct"/>
            <w:tcBorders>
              <w:top w:val="single" w:sz="4" w:space="0" w:color="auto"/>
              <w:left w:val="nil"/>
              <w:bottom w:val="nil"/>
              <w:right w:val="single" w:sz="4" w:space="0" w:color="auto"/>
            </w:tcBorders>
            <w:noWrap/>
            <w:vAlign w:val="center"/>
          </w:tcPr>
          <w:p w14:paraId="1B7B95D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租金</w:t>
            </w:r>
            <w:r>
              <w:rPr>
                <w:rFonts w:ascii="Arial" w:hAnsi="Arial" w:cs="Arial"/>
                <w:snapToGrid w:val="0"/>
                <w:sz w:val="16"/>
              </w:rPr>
              <w:t>×</w:t>
            </w:r>
            <w:r>
              <w:rPr>
                <w:rFonts w:ascii="Arial" w:hAnsi="Arial" w:cs="Arial"/>
                <w:snapToGrid w:val="0"/>
                <w:sz w:val="16"/>
              </w:rPr>
              <w:t>月数</w:t>
            </w:r>
            <w:r>
              <w:rPr>
                <w:rFonts w:ascii="Arial" w:hAnsi="Arial" w:cs="Arial"/>
                <w:snapToGrid w:val="0"/>
                <w:sz w:val="16"/>
              </w:rPr>
              <w:t>×</w:t>
            </w:r>
            <w:r>
              <w:rPr>
                <w:rFonts w:ascii="Arial" w:hAnsi="Arial" w:cs="Arial"/>
                <w:snapToGrid w:val="0"/>
                <w:sz w:val="16"/>
              </w:rPr>
              <w:t>（</w:t>
            </w:r>
            <w:r>
              <w:rPr>
                <w:rFonts w:ascii="Arial" w:hAnsi="Arial" w:cs="Arial"/>
                <w:snapToGrid w:val="0"/>
                <w:sz w:val="16"/>
              </w:rPr>
              <w:t>1-</w:t>
            </w:r>
            <w:r>
              <w:rPr>
                <w:rFonts w:ascii="Arial" w:hAnsi="Arial" w:cs="Arial"/>
                <w:snapToGrid w:val="0"/>
                <w:sz w:val="16"/>
              </w:rPr>
              <w:t>空置率）</w:t>
            </w:r>
          </w:p>
        </w:tc>
        <w:tc>
          <w:tcPr>
            <w:tcW w:w="805" w:type="pct"/>
            <w:tcBorders>
              <w:top w:val="single" w:sz="4" w:space="0" w:color="auto"/>
              <w:left w:val="nil"/>
              <w:bottom w:val="single" w:sz="4" w:space="0" w:color="auto"/>
              <w:right w:val="single" w:sz="4" w:space="0" w:color="auto"/>
            </w:tcBorders>
            <w:noWrap/>
            <w:vAlign w:val="center"/>
          </w:tcPr>
          <w:p w14:paraId="6F2F0342" w14:textId="77777777" w:rsidR="00000000" w:rsidRDefault="00000000">
            <w:pPr>
              <w:spacing w:line="240" w:lineRule="auto"/>
              <w:rPr>
                <w:rFonts w:ascii="Arial" w:hAnsi="Arial" w:cs="Arial"/>
                <w:snapToGrid w:val="0"/>
                <w:sz w:val="16"/>
              </w:rPr>
            </w:pPr>
            <w:r>
              <w:rPr>
                <w:rFonts w:ascii="Arial" w:hAnsi="Arial" w:cs="Arial"/>
                <w:snapToGrid w:val="0"/>
                <w:sz w:val="16"/>
              </w:rPr>
              <w:t>租金（元</w:t>
            </w:r>
            <w:r>
              <w:rPr>
                <w:rFonts w:ascii="Arial" w:hAnsi="Arial" w:cs="Arial"/>
                <w:snapToGrid w:val="0"/>
                <w:sz w:val="16"/>
              </w:rPr>
              <w:t>/</w:t>
            </w:r>
            <w:r>
              <w:rPr>
                <w:rFonts w:ascii="Arial" w:hAnsi="Arial" w:cs="Arial" w:hint="eastAsia"/>
                <w:snapToGrid w:val="0"/>
                <w:sz w:val="16"/>
              </w:rPr>
              <w:t>平方米</w:t>
            </w:r>
            <w:r>
              <w:rPr>
                <w:rFonts w:ascii="Arial" w:hAnsi="Arial" w:cs="Arial"/>
                <w:snapToGrid w:val="0"/>
                <w:sz w:val="16"/>
              </w:rPr>
              <w:t>/</w:t>
            </w:r>
            <w:r>
              <w:rPr>
                <w:rFonts w:ascii="Arial" w:hAnsi="Arial" w:cs="Arial" w:hint="eastAsia"/>
                <w:snapToGrid w:val="0"/>
                <w:sz w:val="16"/>
              </w:rPr>
              <w:t>月</w:t>
            </w:r>
            <w:r>
              <w:rPr>
                <w:rFonts w:ascii="Arial" w:hAnsi="Arial" w:cs="Arial"/>
                <w:snapToGrid w:val="0"/>
                <w:sz w:val="16"/>
              </w:rPr>
              <w:t>）</w:t>
            </w:r>
          </w:p>
        </w:tc>
        <w:tc>
          <w:tcPr>
            <w:tcW w:w="538" w:type="pct"/>
            <w:tcBorders>
              <w:top w:val="single" w:sz="4" w:space="0" w:color="auto"/>
              <w:left w:val="nil"/>
              <w:bottom w:val="single" w:sz="4" w:space="0" w:color="auto"/>
              <w:right w:val="single" w:sz="8" w:space="0" w:color="auto"/>
            </w:tcBorders>
            <w:noWrap/>
            <w:vAlign w:val="center"/>
          </w:tcPr>
          <w:p w14:paraId="799CFA20"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40</w:t>
            </w:r>
          </w:p>
        </w:tc>
      </w:tr>
      <w:tr w:rsidR="00000000" w14:paraId="104E3C0C" w14:textId="77777777">
        <w:trPr>
          <w:trHeight w:val="360"/>
        </w:trPr>
        <w:tc>
          <w:tcPr>
            <w:tcW w:w="365" w:type="pct"/>
            <w:vMerge/>
            <w:tcBorders>
              <w:left w:val="single" w:sz="4" w:space="0" w:color="auto"/>
              <w:right w:val="single" w:sz="4" w:space="0" w:color="auto"/>
            </w:tcBorders>
            <w:noWrap/>
            <w:vAlign w:val="center"/>
          </w:tcPr>
          <w:p w14:paraId="7D01CF77" w14:textId="77777777" w:rsidR="00000000" w:rsidRDefault="00000000">
            <w:pPr>
              <w:spacing w:line="240" w:lineRule="auto"/>
              <w:rPr>
                <w:rFonts w:ascii="Arial" w:hAnsi="Arial" w:cs="Arial"/>
                <w:snapToGrid w:val="0"/>
                <w:sz w:val="16"/>
              </w:rPr>
            </w:pPr>
          </w:p>
        </w:tc>
        <w:tc>
          <w:tcPr>
            <w:tcW w:w="1024" w:type="pct"/>
            <w:vMerge/>
            <w:tcBorders>
              <w:top w:val="single" w:sz="4" w:space="0" w:color="auto"/>
              <w:left w:val="single" w:sz="4" w:space="0" w:color="auto"/>
              <w:bottom w:val="single" w:sz="4" w:space="0" w:color="000000"/>
              <w:right w:val="single" w:sz="4" w:space="0" w:color="auto"/>
            </w:tcBorders>
            <w:vAlign w:val="center"/>
          </w:tcPr>
          <w:p w14:paraId="4980FA6C" w14:textId="77777777" w:rsidR="00000000" w:rsidRDefault="00000000">
            <w:pPr>
              <w:widowControl/>
              <w:adjustRightInd/>
              <w:spacing w:line="240" w:lineRule="auto"/>
              <w:textAlignment w:val="auto"/>
              <w:rPr>
                <w:rFonts w:ascii="Arial" w:hAnsi="Arial" w:cs="Arial"/>
                <w:snapToGrid w:val="0"/>
                <w:sz w:val="16"/>
              </w:rPr>
            </w:pPr>
          </w:p>
        </w:tc>
        <w:tc>
          <w:tcPr>
            <w:tcW w:w="511" w:type="pct"/>
            <w:tcBorders>
              <w:top w:val="nil"/>
              <w:left w:val="nil"/>
              <w:bottom w:val="nil"/>
              <w:right w:val="single" w:sz="4" w:space="0" w:color="auto"/>
            </w:tcBorders>
            <w:noWrap/>
            <w:vAlign w:val="center"/>
          </w:tcPr>
          <w:p w14:paraId="7413D42D"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nil"/>
              <w:right w:val="single" w:sz="4" w:space="0" w:color="auto"/>
            </w:tcBorders>
            <w:noWrap/>
            <w:vAlign w:val="center"/>
          </w:tcPr>
          <w:p w14:paraId="37BFC57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single" w:sz="4" w:space="0" w:color="auto"/>
              <w:right w:val="single" w:sz="4" w:space="0" w:color="auto"/>
            </w:tcBorders>
            <w:noWrap/>
            <w:vAlign w:val="center"/>
          </w:tcPr>
          <w:p w14:paraId="53078800" w14:textId="77777777" w:rsidR="00000000" w:rsidRDefault="00000000">
            <w:pPr>
              <w:spacing w:line="240" w:lineRule="auto"/>
              <w:rPr>
                <w:rFonts w:ascii="Arial" w:hAnsi="Arial" w:cs="Arial"/>
                <w:snapToGrid w:val="0"/>
                <w:sz w:val="16"/>
              </w:rPr>
            </w:pPr>
            <w:r>
              <w:rPr>
                <w:rFonts w:ascii="Arial" w:hAnsi="Arial" w:cs="Arial" w:hint="eastAsia"/>
                <w:snapToGrid w:val="0"/>
                <w:sz w:val="16"/>
              </w:rPr>
              <w:t>面积</w:t>
            </w:r>
            <w:r>
              <w:rPr>
                <w:rFonts w:ascii="Arial" w:hAnsi="Arial" w:cs="Arial"/>
                <w:snapToGrid w:val="0"/>
                <w:sz w:val="16"/>
              </w:rPr>
              <w:t>（</w:t>
            </w:r>
            <w:r>
              <w:rPr>
                <w:rFonts w:ascii="Arial" w:hAnsi="Arial" w:cs="Arial" w:hint="eastAsia"/>
                <w:snapToGrid w:val="0"/>
                <w:sz w:val="16"/>
              </w:rPr>
              <w:t>平方米</w:t>
            </w:r>
            <w:r>
              <w:rPr>
                <w:rFonts w:ascii="Arial" w:hAnsi="Arial" w:cs="Arial"/>
                <w:snapToGrid w:val="0"/>
                <w:sz w:val="16"/>
              </w:rPr>
              <w:t>）</w:t>
            </w:r>
          </w:p>
        </w:tc>
        <w:tc>
          <w:tcPr>
            <w:tcW w:w="538" w:type="pct"/>
            <w:tcBorders>
              <w:top w:val="nil"/>
              <w:left w:val="nil"/>
              <w:bottom w:val="single" w:sz="4" w:space="0" w:color="auto"/>
              <w:right w:val="single" w:sz="8" w:space="0" w:color="auto"/>
            </w:tcBorders>
            <w:noWrap/>
            <w:vAlign w:val="center"/>
          </w:tcPr>
          <w:p w14:paraId="62F9480E"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31152</w:t>
            </w:r>
          </w:p>
        </w:tc>
      </w:tr>
      <w:tr w:rsidR="00000000" w14:paraId="4F3815DC" w14:textId="77777777">
        <w:trPr>
          <w:trHeight w:val="360"/>
        </w:trPr>
        <w:tc>
          <w:tcPr>
            <w:tcW w:w="365" w:type="pct"/>
            <w:vMerge/>
            <w:tcBorders>
              <w:left w:val="single" w:sz="4" w:space="0" w:color="auto"/>
              <w:right w:val="single" w:sz="4" w:space="0" w:color="auto"/>
            </w:tcBorders>
            <w:noWrap/>
            <w:vAlign w:val="center"/>
          </w:tcPr>
          <w:p w14:paraId="24624E9C" w14:textId="77777777" w:rsidR="00000000" w:rsidRDefault="00000000">
            <w:pPr>
              <w:spacing w:line="240" w:lineRule="auto"/>
              <w:rPr>
                <w:rFonts w:ascii="Arial" w:hAnsi="Arial" w:cs="Arial"/>
                <w:snapToGrid w:val="0"/>
                <w:sz w:val="16"/>
              </w:rPr>
            </w:pPr>
          </w:p>
        </w:tc>
        <w:tc>
          <w:tcPr>
            <w:tcW w:w="1024" w:type="pct"/>
            <w:vMerge/>
            <w:tcBorders>
              <w:top w:val="single" w:sz="4" w:space="0" w:color="auto"/>
              <w:left w:val="single" w:sz="4" w:space="0" w:color="auto"/>
              <w:bottom w:val="single" w:sz="4" w:space="0" w:color="000000"/>
              <w:right w:val="single" w:sz="4" w:space="0" w:color="auto"/>
            </w:tcBorders>
            <w:vAlign w:val="center"/>
          </w:tcPr>
          <w:p w14:paraId="6A6E7DA0" w14:textId="77777777" w:rsidR="00000000" w:rsidRDefault="00000000">
            <w:pPr>
              <w:widowControl/>
              <w:adjustRightInd/>
              <w:spacing w:line="240" w:lineRule="auto"/>
              <w:textAlignment w:val="auto"/>
              <w:rPr>
                <w:rFonts w:ascii="Arial" w:hAnsi="Arial" w:cs="Arial"/>
                <w:snapToGrid w:val="0"/>
                <w:sz w:val="16"/>
              </w:rPr>
            </w:pPr>
          </w:p>
        </w:tc>
        <w:tc>
          <w:tcPr>
            <w:tcW w:w="511" w:type="pct"/>
            <w:tcBorders>
              <w:top w:val="nil"/>
              <w:left w:val="nil"/>
              <w:bottom w:val="nil"/>
              <w:right w:val="single" w:sz="4" w:space="0" w:color="auto"/>
            </w:tcBorders>
            <w:noWrap/>
            <w:vAlign w:val="center"/>
          </w:tcPr>
          <w:p w14:paraId="2BD663DA"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nil"/>
              <w:right w:val="single" w:sz="4" w:space="0" w:color="auto"/>
            </w:tcBorders>
            <w:noWrap/>
            <w:vAlign w:val="center"/>
          </w:tcPr>
          <w:p w14:paraId="5AC17E4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single" w:sz="4" w:space="0" w:color="auto"/>
              <w:right w:val="single" w:sz="4" w:space="0" w:color="auto"/>
            </w:tcBorders>
            <w:noWrap/>
            <w:vAlign w:val="center"/>
          </w:tcPr>
          <w:p w14:paraId="4C167310" w14:textId="77777777" w:rsidR="00000000" w:rsidRDefault="00000000">
            <w:pPr>
              <w:spacing w:line="240" w:lineRule="auto"/>
              <w:rPr>
                <w:rFonts w:ascii="Arial" w:hAnsi="Arial" w:cs="Arial"/>
                <w:snapToGrid w:val="0"/>
                <w:sz w:val="16"/>
              </w:rPr>
            </w:pPr>
            <w:r>
              <w:rPr>
                <w:rFonts w:ascii="Arial" w:hAnsi="Arial" w:cs="Arial" w:hint="eastAsia"/>
                <w:snapToGrid w:val="0"/>
                <w:sz w:val="16"/>
              </w:rPr>
              <w:t>月</w:t>
            </w:r>
            <w:r>
              <w:rPr>
                <w:rFonts w:ascii="Arial" w:hAnsi="Arial" w:cs="Arial"/>
                <w:snapToGrid w:val="0"/>
                <w:sz w:val="16"/>
              </w:rPr>
              <w:t>（个）</w:t>
            </w:r>
          </w:p>
        </w:tc>
        <w:tc>
          <w:tcPr>
            <w:tcW w:w="538" w:type="pct"/>
            <w:tcBorders>
              <w:top w:val="nil"/>
              <w:left w:val="nil"/>
              <w:bottom w:val="single" w:sz="4" w:space="0" w:color="auto"/>
              <w:right w:val="single" w:sz="8" w:space="0" w:color="auto"/>
            </w:tcBorders>
            <w:noWrap/>
            <w:vAlign w:val="center"/>
          </w:tcPr>
          <w:p w14:paraId="1448FDAA"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rsidR="00000000" w14:paraId="6B1823B6" w14:textId="77777777">
        <w:trPr>
          <w:trHeight w:val="360"/>
        </w:trPr>
        <w:tc>
          <w:tcPr>
            <w:tcW w:w="365" w:type="pct"/>
            <w:vMerge/>
            <w:tcBorders>
              <w:left w:val="single" w:sz="4" w:space="0" w:color="auto"/>
              <w:bottom w:val="single" w:sz="4" w:space="0" w:color="auto"/>
              <w:right w:val="single" w:sz="4" w:space="0" w:color="auto"/>
            </w:tcBorders>
            <w:noWrap/>
            <w:vAlign w:val="center"/>
          </w:tcPr>
          <w:p w14:paraId="35AB6E1E" w14:textId="77777777" w:rsidR="00000000" w:rsidRDefault="00000000">
            <w:pPr>
              <w:widowControl/>
              <w:adjustRightInd/>
              <w:spacing w:line="240" w:lineRule="auto"/>
              <w:textAlignment w:val="auto"/>
              <w:rPr>
                <w:rFonts w:ascii="Arial" w:hAnsi="Arial" w:cs="Arial"/>
                <w:snapToGrid w:val="0"/>
                <w:sz w:val="16"/>
              </w:rPr>
            </w:pPr>
          </w:p>
        </w:tc>
        <w:tc>
          <w:tcPr>
            <w:tcW w:w="1024" w:type="pct"/>
            <w:vMerge/>
            <w:tcBorders>
              <w:top w:val="single" w:sz="4" w:space="0" w:color="auto"/>
              <w:left w:val="single" w:sz="4" w:space="0" w:color="auto"/>
              <w:bottom w:val="single" w:sz="4" w:space="0" w:color="000000"/>
              <w:right w:val="single" w:sz="4" w:space="0" w:color="auto"/>
            </w:tcBorders>
            <w:vAlign w:val="center"/>
          </w:tcPr>
          <w:p w14:paraId="0CAC3C89" w14:textId="77777777" w:rsidR="00000000" w:rsidRDefault="00000000">
            <w:pPr>
              <w:widowControl/>
              <w:adjustRightInd/>
              <w:spacing w:line="240" w:lineRule="auto"/>
              <w:textAlignment w:val="auto"/>
              <w:rPr>
                <w:rFonts w:ascii="Arial" w:hAnsi="Arial" w:cs="Arial"/>
                <w:snapToGrid w:val="0"/>
                <w:sz w:val="16"/>
              </w:rPr>
            </w:pPr>
          </w:p>
        </w:tc>
        <w:tc>
          <w:tcPr>
            <w:tcW w:w="511" w:type="pct"/>
            <w:tcBorders>
              <w:top w:val="nil"/>
              <w:left w:val="nil"/>
              <w:bottom w:val="nil"/>
              <w:right w:val="single" w:sz="4" w:space="0" w:color="auto"/>
            </w:tcBorders>
            <w:noWrap/>
            <w:vAlign w:val="center"/>
          </w:tcPr>
          <w:p w14:paraId="469AF9C2"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nil"/>
              <w:right w:val="single" w:sz="4" w:space="0" w:color="auto"/>
            </w:tcBorders>
            <w:noWrap/>
            <w:vAlign w:val="center"/>
          </w:tcPr>
          <w:p w14:paraId="426C64D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single" w:sz="4" w:space="0" w:color="auto"/>
              <w:right w:val="single" w:sz="4" w:space="0" w:color="auto"/>
            </w:tcBorders>
            <w:noWrap/>
            <w:vAlign w:val="center"/>
          </w:tcPr>
          <w:p w14:paraId="53654C05" w14:textId="77777777" w:rsidR="00000000" w:rsidRDefault="00000000">
            <w:pPr>
              <w:spacing w:line="240" w:lineRule="auto"/>
              <w:rPr>
                <w:rFonts w:ascii="Arial" w:hAnsi="Arial" w:cs="Arial"/>
                <w:snapToGrid w:val="0"/>
                <w:sz w:val="16"/>
              </w:rPr>
            </w:pPr>
            <w:r>
              <w:rPr>
                <w:rFonts w:ascii="Arial" w:hAnsi="Arial" w:cs="Arial"/>
                <w:snapToGrid w:val="0"/>
                <w:sz w:val="16"/>
              </w:rPr>
              <w:t>空置率（</w:t>
            </w:r>
            <w:r>
              <w:rPr>
                <w:rFonts w:ascii="Arial" w:hAnsi="Arial" w:cs="Arial"/>
                <w:snapToGrid w:val="0"/>
                <w:sz w:val="16"/>
              </w:rPr>
              <w:t>%</w:t>
            </w:r>
            <w:r>
              <w:rPr>
                <w:rFonts w:ascii="Arial" w:hAnsi="Arial" w:cs="Arial"/>
                <w:snapToGrid w:val="0"/>
                <w:sz w:val="16"/>
              </w:rPr>
              <w:t>）</w:t>
            </w:r>
          </w:p>
        </w:tc>
        <w:tc>
          <w:tcPr>
            <w:tcW w:w="538" w:type="pct"/>
            <w:tcBorders>
              <w:top w:val="nil"/>
              <w:left w:val="nil"/>
              <w:bottom w:val="single" w:sz="4" w:space="0" w:color="auto"/>
              <w:right w:val="single" w:sz="8" w:space="0" w:color="auto"/>
            </w:tcBorders>
            <w:noWrap/>
            <w:vAlign w:val="center"/>
          </w:tcPr>
          <w:p w14:paraId="70223354"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000000" w14:paraId="271012D1"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181EE33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24" w:type="pct"/>
            <w:tcBorders>
              <w:top w:val="nil"/>
              <w:left w:val="nil"/>
              <w:bottom w:val="nil"/>
              <w:right w:val="single" w:sz="4" w:space="0" w:color="auto"/>
            </w:tcBorders>
            <w:vAlign w:val="center"/>
          </w:tcPr>
          <w:p w14:paraId="7400B18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511" w:type="pct"/>
            <w:tcBorders>
              <w:top w:val="single" w:sz="4" w:space="0" w:color="auto"/>
              <w:left w:val="nil"/>
              <w:bottom w:val="single" w:sz="4" w:space="0" w:color="auto"/>
              <w:right w:val="single" w:sz="4" w:space="0" w:color="auto"/>
            </w:tcBorders>
            <w:noWrap/>
            <w:vAlign w:val="center"/>
          </w:tcPr>
          <w:p w14:paraId="59A7EA2D" w14:textId="77777777" w:rsidR="00000000" w:rsidRDefault="00000000">
            <w:pPr>
              <w:widowControl/>
              <w:adjustRightInd/>
              <w:spacing w:line="240" w:lineRule="auto"/>
              <w:jc w:val="center"/>
              <w:textAlignment w:val="auto"/>
              <w:rPr>
                <w:rFonts w:ascii="Arial" w:hAnsi="Arial" w:cs="Arial" w:hint="eastAsia"/>
                <w:snapToGrid w:val="0"/>
                <w:sz w:val="16"/>
              </w:rPr>
            </w:pPr>
            <w:r>
              <w:rPr>
                <w:rFonts w:ascii="Arial" w:hAnsi="Arial" w:cs="Arial" w:hint="eastAsia"/>
                <w:snapToGrid w:val="0"/>
                <w:sz w:val="16"/>
              </w:rPr>
              <w:t>2</w:t>
            </w:r>
          </w:p>
        </w:tc>
        <w:tc>
          <w:tcPr>
            <w:tcW w:w="1754" w:type="pct"/>
            <w:tcBorders>
              <w:top w:val="single" w:sz="4" w:space="0" w:color="auto"/>
              <w:left w:val="nil"/>
              <w:bottom w:val="nil"/>
              <w:right w:val="single" w:sz="4" w:space="0" w:color="auto"/>
            </w:tcBorders>
            <w:noWrap/>
            <w:vAlign w:val="center"/>
          </w:tcPr>
          <w:p w14:paraId="19CFA1A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押金</w:t>
            </w:r>
            <w:r>
              <w:rPr>
                <w:rFonts w:ascii="Arial" w:hAnsi="Arial" w:cs="Arial"/>
                <w:snapToGrid w:val="0"/>
                <w:sz w:val="16"/>
              </w:rPr>
              <w:t>*</w:t>
            </w:r>
            <w:r>
              <w:rPr>
                <w:rFonts w:ascii="Arial" w:hAnsi="Arial" w:cs="Arial"/>
                <w:snapToGrid w:val="0"/>
                <w:sz w:val="16"/>
              </w:rPr>
              <w:t>一年期存款利率</w:t>
            </w:r>
          </w:p>
        </w:tc>
        <w:tc>
          <w:tcPr>
            <w:tcW w:w="805" w:type="pct"/>
            <w:tcBorders>
              <w:top w:val="nil"/>
              <w:left w:val="nil"/>
              <w:bottom w:val="nil"/>
              <w:right w:val="single" w:sz="4" w:space="0" w:color="auto"/>
            </w:tcBorders>
            <w:noWrap/>
            <w:vAlign w:val="center"/>
          </w:tcPr>
          <w:p w14:paraId="4D7A682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538" w:type="pct"/>
            <w:tcBorders>
              <w:top w:val="nil"/>
              <w:left w:val="nil"/>
              <w:bottom w:val="nil"/>
              <w:right w:val="single" w:sz="8" w:space="0" w:color="auto"/>
            </w:tcBorders>
            <w:noWrap/>
            <w:vAlign w:val="center"/>
          </w:tcPr>
          <w:p w14:paraId="6BFB69A0"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押一</w:t>
            </w:r>
          </w:p>
        </w:tc>
      </w:tr>
      <w:tr w:rsidR="00000000" w14:paraId="32002D58"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2EAEA0C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24" w:type="pct"/>
            <w:tcBorders>
              <w:top w:val="single" w:sz="4" w:space="0" w:color="auto"/>
              <w:left w:val="nil"/>
              <w:bottom w:val="single" w:sz="4" w:space="0" w:color="auto"/>
              <w:right w:val="single" w:sz="4" w:space="0" w:color="auto"/>
            </w:tcBorders>
            <w:vAlign w:val="center"/>
          </w:tcPr>
          <w:p w14:paraId="7C5B1615" w14:textId="77777777" w:rsidR="00000000" w:rsidRDefault="00000000">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511" w:type="pct"/>
            <w:tcBorders>
              <w:top w:val="nil"/>
              <w:left w:val="nil"/>
              <w:bottom w:val="single" w:sz="4" w:space="0" w:color="auto"/>
              <w:right w:val="single" w:sz="4" w:space="0" w:color="auto"/>
            </w:tcBorders>
            <w:noWrap/>
            <w:vAlign w:val="center"/>
          </w:tcPr>
          <w:p w14:paraId="4D6B2661"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single" w:sz="4" w:space="0" w:color="auto"/>
              <w:right w:val="single" w:sz="4" w:space="0" w:color="auto"/>
            </w:tcBorders>
            <w:noWrap/>
            <w:vAlign w:val="center"/>
          </w:tcPr>
          <w:p w14:paraId="22AC2FB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single" w:sz="4" w:space="0" w:color="auto"/>
              <w:left w:val="nil"/>
              <w:bottom w:val="single" w:sz="4" w:space="0" w:color="auto"/>
              <w:right w:val="single" w:sz="4" w:space="0" w:color="auto"/>
            </w:tcBorders>
            <w:noWrap/>
            <w:vAlign w:val="center"/>
          </w:tcPr>
          <w:p w14:paraId="42AFE04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538" w:type="pct"/>
            <w:tcBorders>
              <w:top w:val="single" w:sz="4" w:space="0" w:color="auto"/>
              <w:left w:val="nil"/>
              <w:bottom w:val="single" w:sz="4" w:space="0" w:color="auto"/>
              <w:right w:val="single" w:sz="8" w:space="0" w:color="auto"/>
            </w:tcBorders>
            <w:noWrap/>
            <w:vAlign w:val="center"/>
          </w:tcPr>
          <w:p w14:paraId="703B678B"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000000" w14:paraId="2C46A63D"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4BD8478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4" w:type="pct"/>
            <w:tcBorders>
              <w:top w:val="single" w:sz="4" w:space="0" w:color="auto"/>
              <w:left w:val="nil"/>
              <w:bottom w:val="single" w:sz="4" w:space="0" w:color="auto"/>
              <w:right w:val="single" w:sz="4" w:space="0" w:color="auto"/>
            </w:tcBorders>
            <w:noWrap/>
            <w:vAlign w:val="center"/>
          </w:tcPr>
          <w:p w14:paraId="433D1FF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511" w:type="pct"/>
            <w:tcBorders>
              <w:top w:val="single" w:sz="4" w:space="0" w:color="auto"/>
              <w:left w:val="nil"/>
              <w:bottom w:val="single" w:sz="4" w:space="0" w:color="auto"/>
              <w:right w:val="single" w:sz="4" w:space="0" w:color="auto"/>
            </w:tcBorders>
            <w:noWrap/>
            <w:vAlign w:val="center"/>
          </w:tcPr>
          <w:p w14:paraId="1AFF6434"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17768</w:t>
            </w:r>
          </w:p>
        </w:tc>
        <w:tc>
          <w:tcPr>
            <w:tcW w:w="1754" w:type="pct"/>
            <w:tcBorders>
              <w:top w:val="single" w:sz="4" w:space="0" w:color="auto"/>
              <w:left w:val="nil"/>
              <w:bottom w:val="single" w:sz="4" w:space="0" w:color="auto"/>
              <w:right w:val="single" w:sz="4" w:space="0" w:color="auto"/>
            </w:tcBorders>
            <w:noWrap/>
            <w:vAlign w:val="center"/>
          </w:tcPr>
          <w:p w14:paraId="52B3D7D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成新度</w:t>
            </w:r>
          </w:p>
        </w:tc>
        <w:tc>
          <w:tcPr>
            <w:tcW w:w="805" w:type="pct"/>
            <w:tcBorders>
              <w:top w:val="single" w:sz="4" w:space="0" w:color="auto"/>
              <w:left w:val="nil"/>
              <w:bottom w:val="single" w:sz="4" w:space="0" w:color="auto"/>
              <w:right w:val="single" w:sz="4" w:space="0" w:color="auto"/>
            </w:tcBorders>
            <w:noWrap/>
            <w:vAlign w:val="center"/>
          </w:tcPr>
          <w:p w14:paraId="586C086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成新度（</w:t>
            </w:r>
            <w:r>
              <w:rPr>
                <w:rFonts w:ascii="Arial" w:hAnsi="Arial" w:cs="Arial"/>
                <w:snapToGrid w:val="0"/>
                <w:sz w:val="16"/>
              </w:rPr>
              <w:t>%</w:t>
            </w:r>
            <w:r>
              <w:rPr>
                <w:rFonts w:ascii="Arial" w:hAnsi="Arial" w:cs="Arial"/>
                <w:snapToGrid w:val="0"/>
                <w:sz w:val="16"/>
              </w:rPr>
              <w:t>）</w:t>
            </w:r>
          </w:p>
        </w:tc>
        <w:tc>
          <w:tcPr>
            <w:tcW w:w="538" w:type="pct"/>
            <w:tcBorders>
              <w:top w:val="single" w:sz="4" w:space="0" w:color="auto"/>
              <w:left w:val="nil"/>
              <w:bottom w:val="single" w:sz="4" w:space="0" w:color="auto"/>
              <w:right w:val="single" w:sz="4" w:space="0" w:color="auto"/>
            </w:tcBorders>
            <w:noWrap/>
            <w:vAlign w:val="center"/>
          </w:tcPr>
          <w:p w14:paraId="438A50B2"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rsidR="00000000" w14:paraId="21D2A887"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2D64496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24" w:type="pct"/>
            <w:tcBorders>
              <w:top w:val="single" w:sz="4" w:space="0" w:color="auto"/>
              <w:left w:val="nil"/>
              <w:bottom w:val="single" w:sz="4" w:space="0" w:color="auto"/>
              <w:right w:val="single" w:sz="4" w:space="0" w:color="auto"/>
            </w:tcBorders>
            <w:noWrap/>
            <w:vAlign w:val="center"/>
          </w:tcPr>
          <w:p w14:paraId="7B5FD23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511" w:type="pct"/>
            <w:tcBorders>
              <w:top w:val="single" w:sz="4" w:space="0" w:color="auto"/>
              <w:left w:val="nil"/>
              <w:bottom w:val="single" w:sz="4" w:space="0" w:color="auto"/>
              <w:right w:val="single" w:sz="4" w:space="0" w:color="auto"/>
            </w:tcBorders>
            <w:noWrap/>
            <w:vAlign w:val="center"/>
          </w:tcPr>
          <w:p w14:paraId="260FBEB4"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12844</w:t>
            </w:r>
          </w:p>
        </w:tc>
        <w:tc>
          <w:tcPr>
            <w:tcW w:w="3097" w:type="pct"/>
            <w:gridSpan w:val="3"/>
            <w:tcBorders>
              <w:top w:val="single" w:sz="4" w:space="0" w:color="auto"/>
              <w:left w:val="single" w:sz="4" w:space="0" w:color="auto"/>
              <w:bottom w:val="single" w:sz="4" w:space="0" w:color="auto"/>
              <w:right w:val="single" w:sz="4" w:space="0" w:color="auto"/>
            </w:tcBorders>
            <w:vAlign w:val="center"/>
          </w:tcPr>
          <w:p w14:paraId="4513C0A7"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同前述</w:t>
            </w:r>
          </w:p>
        </w:tc>
      </w:tr>
      <w:tr w:rsidR="00000000" w14:paraId="124CBCD8"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2997FF1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4720CF3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511" w:type="pct"/>
            <w:tcBorders>
              <w:top w:val="nil"/>
              <w:left w:val="nil"/>
              <w:bottom w:val="single" w:sz="4" w:space="0" w:color="auto"/>
              <w:right w:val="single" w:sz="4" w:space="0" w:color="auto"/>
            </w:tcBorders>
            <w:noWrap/>
            <w:vAlign w:val="center"/>
          </w:tcPr>
          <w:p w14:paraId="50BB73D6"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642</w:t>
            </w:r>
          </w:p>
        </w:tc>
        <w:tc>
          <w:tcPr>
            <w:tcW w:w="1754" w:type="pct"/>
            <w:tcBorders>
              <w:top w:val="single" w:sz="4" w:space="0" w:color="auto"/>
              <w:left w:val="nil"/>
              <w:bottom w:val="single" w:sz="4" w:space="0" w:color="auto"/>
              <w:right w:val="single" w:sz="4" w:space="0" w:color="auto"/>
            </w:tcBorders>
            <w:noWrap/>
            <w:vAlign w:val="center"/>
          </w:tcPr>
          <w:p w14:paraId="4257AB5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05" w:type="pct"/>
            <w:tcBorders>
              <w:top w:val="single" w:sz="4" w:space="0" w:color="auto"/>
              <w:left w:val="nil"/>
              <w:bottom w:val="single" w:sz="4" w:space="0" w:color="auto"/>
              <w:right w:val="single" w:sz="4" w:space="0" w:color="auto"/>
            </w:tcBorders>
            <w:noWrap/>
            <w:vAlign w:val="center"/>
          </w:tcPr>
          <w:p w14:paraId="3853FC5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8" w:type="pct"/>
            <w:tcBorders>
              <w:top w:val="single" w:sz="4" w:space="0" w:color="auto"/>
              <w:left w:val="nil"/>
              <w:bottom w:val="single" w:sz="4" w:space="0" w:color="auto"/>
              <w:right w:val="single" w:sz="8" w:space="0" w:color="auto"/>
            </w:tcBorders>
            <w:noWrap/>
            <w:vAlign w:val="center"/>
          </w:tcPr>
          <w:p w14:paraId="0904A579"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000000" w14:paraId="02223F5C"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24F5728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77385B0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511" w:type="pct"/>
            <w:tcBorders>
              <w:top w:val="nil"/>
              <w:left w:val="nil"/>
              <w:bottom w:val="single" w:sz="4" w:space="0" w:color="auto"/>
              <w:right w:val="single" w:sz="4" w:space="0" w:color="auto"/>
            </w:tcBorders>
            <w:noWrap/>
            <w:vAlign w:val="center"/>
          </w:tcPr>
          <w:p w14:paraId="4808B9D0"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623</w:t>
            </w:r>
          </w:p>
        </w:tc>
        <w:tc>
          <w:tcPr>
            <w:tcW w:w="1754" w:type="pct"/>
            <w:tcBorders>
              <w:top w:val="nil"/>
              <w:left w:val="nil"/>
              <w:bottom w:val="single" w:sz="4" w:space="0" w:color="auto"/>
              <w:right w:val="single" w:sz="4" w:space="0" w:color="auto"/>
            </w:tcBorders>
            <w:noWrap/>
            <w:vAlign w:val="center"/>
          </w:tcPr>
          <w:p w14:paraId="11CD491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05" w:type="pct"/>
            <w:tcBorders>
              <w:top w:val="nil"/>
              <w:left w:val="nil"/>
              <w:bottom w:val="single" w:sz="4" w:space="0" w:color="auto"/>
              <w:right w:val="single" w:sz="4" w:space="0" w:color="auto"/>
            </w:tcBorders>
            <w:noWrap/>
            <w:vAlign w:val="center"/>
          </w:tcPr>
          <w:p w14:paraId="0B79B9B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8" w:type="pct"/>
            <w:tcBorders>
              <w:top w:val="nil"/>
              <w:left w:val="nil"/>
              <w:bottom w:val="single" w:sz="4" w:space="0" w:color="auto"/>
              <w:right w:val="single" w:sz="8" w:space="0" w:color="auto"/>
            </w:tcBorders>
            <w:noWrap/>
            <w:vAlign w:val="center"/>
          </w:tcPr>
          <w:p w14:paraId="57D78550"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1</w:t>
            </w:r>
            <w:r>
              <w:rPr>
                <w:rFonts w:ascii="Arial" w:hAnsi="Arial" w:cs="Arial" w:hint="eastAsia"/>
                <w:snapToGrid w:val="0"/>
                <w:sz w:val="16"/>
              </w:rPr>
              <w:t>0</w:t>
            </w:r>
            <w:r>
              <w:rPr>
                <w:rFonts w:ascii="Arial" w:hAnsi="Arial" w:cs="Arial"/>
                <w:snapToGrid w:val="0"/>
                <w:sz w:val="16"/>
              </w:rPr>
              <w:t>.0%</w:t>
            </w:r>
          </w:p>
        </w:tc>
      </w:tr>
      <w:tr w:rsidR="00000000" w14:paraId="433B46F0"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76E5521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4</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568BE40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511" w:type="pct"/>
            <w:tcBorders>
              <w:top w:val="nil"/>
              <w:left w:val="nil"/>
              <w:bottom w:val="single" w:sz="4" w:space="0" w:color="auto"/>
              <w:right w:val="single" w:sz="4" w:space="0" w:color="auto"/>
            </w:tcBorders>
            <w:noWrap/>
            <w:vAlign w:val="center"/>
          </w:tcPr>
          <w:p w14:paraId="4FB7A1A8"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647</w:t>
            </w:r>
          </w:p>
        </w:tc>
        <w:tc>
          <w:tcPr>
            <w:tcW w:w="1754" w:type="pct"/>
            <w:tcBorders>
              <w:top w:val="nil"/>
              <w:left w:val="nil"/>
              <w:bottom w:val="single" w:sz="4" w:space="0" w:color="auto"/>
              <w:right w:val="single" w:sz="4" w:space="0" w:color="auto"/>
            </w:tcBorders>
            <w:noWrap/>
            <w:vAlign w:val="center"/>
          </w:tcPr>
          <w:p w14:paraId="52C17DF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r>
              <w:rPr>
                <w:rFonts w:ascii="Arial" w:hAnsi="Arial" w:cs="Arial"/>
                <w:snapToGrid w:val="0"/>
                <w:sz w:val="16"/>
              </w:rPr>
              <w:t>×</w:t>
            </w:r>
            <w:r>
              <w:rPr>
                <w:rFonts w:ascii="Arial" w:hAnsi="Arial" w:cs="Arial"/>
                <w:snapToGrid w:val="0"/>
                <w:sz w:val="16"/>
              </w:rPr>
              <w:t>取费标准</w:t>
            </w:r>
          </w:p>
        </w:tc>
        <w:tc>
          <w:tcPr>
            <w:tcW w:w="805" w:type="pct"/>
            <w:tcBorders>
              <w:top w:val="nil"/>
              <w:left w:val="nil"/>
              <w:bottom w:val="single" w:sz="4" w:space="0" w:color="auto"/>
              <w:right w:val="single" w:sz="4" w:space="0" w:color="auto"/>
            </w:tcBorders>
            <w:noWrap/>
            <w:vAlign w:val="center"/>
          </w:tcPr>
          <w:p w14:paraId="6409BDE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r>
              <w:rPr>
                <w:rFonts w:ascii="Arial" w:hAnsi="Arial" w:cs="Arial"/>
                <w:snapToGrid w:val="0"/>
                <w:sz w:val="16"/>
              </w:rPr>
              <w:t>/</w:t>
            </w:r>
            <w:r>
              <w:rPr>
                <w:rFonts w:ascii="Arial" w:hAnsi="Arial" w:cs="Arial"/>
                <w:snapToGrid w:val="0"/>
                <w:sz w:val="16"/>
              </w:rPr>
              <w:t>㎡）</w:t>
            </w:r>
          </w:p>
        </w:tc>
        <w:tc>
          <w:tcPr>
            <w:tcW w:w="538" w:type="pct"/>
            <w:tcBorders>
              <w:top w:val="nil"/>
              <w:left w:val="nil"/>
              <w:bottom w:val="single" w:sz="4" w:space="0" w:color="auto"/>
              <w:right w:val="single" w:sz="8" w:space="0" w:color="auto"/>
            </w:tcBorders>
            <w:noWrap/>
            <w:vAlign w:val="center"/>
          </w:tcPr>
          <w:p w14:paraId="64C70C99"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200</w:t>
            </w:r>
          </w:p>
        </w:tc>
      </w:tr>
      <w:tr w:rsidR="00000000" w14:paraId="4F8E01D3"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541D3A9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5</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005E28D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511" w:type="pct"/>
            <w:tcBorders>
              <w:top w:val="nil"/>
              <w:left w:val="nil"/>
              <w:bottom w:val="single" w:sz="4" w:space="0" w:color="auto"/>
              <w:right w:val="single" w:sz="4" w:space="0" w:color="auto"/>
            </w:tcBorders>
            <w:noWrap/>
            <w:vAlign w:val="center"/>
          </w:tcPr>
          <w:p w14:paraId="3751CCD2"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257</w:t>
            </w:r>
          </w:p>
        </w:tc>
        <w:tc>
          <w:tcPr>
            <w:tcW w:w="1754" w:type="pct"/>
            <w:tcBorders>
              <w:top w:val="nil"/>
              <w:left w:val="nil"/>
              <w:bottom w:val="single" w:sz="4" w:space="0" w:color="auto"/>
              <w:right w:val="single" w:sz="4" w:space="0" w:color="auto"/>
            </w:tcBorders>
            <w:noWrap/>
            <w:vAlign w:val="center"/>
          </w:tcPr>
          <w:p w14:paraId="582B72C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05" w:type="pct"/>
            <w:tcBorders>
              <w:top w:val="nil"/>
              <w:left w:val="nil"/>
              <w:bottom w:val="single" w:sz="4" w:space="0" w:color="auto"/>
              <w:right w:val="single" w:sz="4" w:space="0" w:color="auto"/>
            </w:tcBorders>
            <w:noWrap/>
            <w:vAlign w:val="center"/>
          </w:tcPr>
          <w:p w14:paraId="15DF000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8" w:type="pct"/>
            <w:tcBorders>
              <w:top w:val="nil"/>
              <w:left w:val="nil"/>
              <w:bottom w:val="single" w:sz="4" w:space="0" w:color="auto"/>
              <w:right w:val="single" w:sz="8" w:space="0" w:color="auto"/>
            </w:tcBorders>
            <w:noWrap/>
            <w:vAlign w:val="center"/>
          </w:tcPr>
          <w:p w14:paraId="2710EE2D"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2.0</w:t>
            </w:r>
            <w:r>
              <w:rPr>
                <w:rFonts w:ascii="Arial" w:hAnsi="Arial" w:cs="Arial"/>
                <w:snapToGrid w:val="0"/>
                <w:sz w:val="16"/>
              </w:rPr>
              <w:t>%</w:t>
            </w:r>
          </w:p>
        </w:tc>
      </w:tr>
      <w:tr w:rsidR="00000000" w14:paraId="26C99173" w14:textId="77777777">
        <w:trPr>
          <w:trHeight w:val="324"/>
        </w:trPr>
        <w:tc>
          <w:tcPr>
            <w:tcW w:w="365" w:type="pct"/>
            <w:tcBorders>
              <w:top w:val="single" w:sz="4" w:space="0" w:color="auto"/>
              <w:left w:val="single" w:sz="4" w:space="0" w:color="auto"/>
              <w:bottom w:val="single" w:sz="4" w:space="0" w:color="auto"/>
              <w:right w:val="single" w:sz="4" w:space="0" w:color="auto"/>
            </w:tcBorders>
            <w:noWrap/>
            <w:vAlign w:val="center"/>
          </w:tcPr>
          <w:p w14:paraId="15E8CE7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1F44E09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511" w:type="pct"/>
            <w:tcBorders>
              <w:top w:val="nil"/>
              <w:left w:val="nil"/>
              <w:bottom w:val="single" w:sz="4" w:space="0" w:color="auto"/>
              <w:right w:val="single" w:sz="4" w:space="0" w:color="auto"/>
            </w:tcBorders>
            <w:noWrap/>
            <w:vAlign w:val="center"/>
          </w:tcPr>
          <w:p w14:paraId="30695115"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15013</w:t>
            </w:r>
          </w:p>
        </w:tc>
        <w:tc>
          <w:tcPr>
            <w:tcW w:w="2559" w:type="pct"/>
            <w:gridSpan w:val="2"/>
            <w:tcBorders>
              <w:top w:val="single" w:sz="4" w:space="0" w:color="auto"/>
              <w:left w:val="single" w:sz="4" w:space="0" w:color="auto"/>
              <w:bottom w:val="single" w:sz="4" w:space="0" w:color="auto"/>
              <w:right w:val="nil"/>
            </w:tcBorders>
            <w:noWrap/>
            <w:vAlign w:val="center"/>
          </w:tcPr>
          <w:p w14:paraId="5358640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公共配套设施费用</w:t>
            </w:r>
            <w:r>
              <w:rPr>
                <w:rFonts w:ascii="Arial" w:hAnsi="Arial" w:cs="Arial"/>
                <w:snapToGrid w:val="0"/>
                <w:sz w:val="16"/>
              </w:rPr>
              <w:t>+</w:t>
            </w:r>
            <w:r>
              <w:rPr>
                <w:rFonts w:ascii="Arial" w:hAnsi="Arial" w:cs="Arial"/>
                <w:snapToGrid w:val="0"/>
                <w:sz w:val="16"/>
              </w:rPr>
              <w:t>基础设施建设费</w:t>
            </w:r>
            <w:r>
              <w:rPr>
                <w:rFonts w:ascii="Arial" w:hAnsi="Arial" w:cs="Arial"/>
                <w:snapToGrid w:val="0"/>
                <w:sz w:val="16"/>
              </w:rPr>
              <w:t>+</w:t>
            </w:r>
            <w:r>
              <w:rPr>
                <w:rFonts w:ascii="Arial" w:hAnsi="Arial" w:cs="Arial"/>
                <w:snapToGrid w:val="0"/>
                <w:sz w:val="16"/>
              </w:rPr>
              <w:t>相关税费</w:t>
            </w:r>
          </w:p>
        </w:tc>
        <w:tc>
          <w:tcPr>
            <w:tcW w:w="538" w:type="pct"/>
            <w:tcBorders>
              <w:top w:val="nil"/>
              <w:left w:val="nil"/>
              <w:bottom w:val="single" w:sz="4" w:space="0" w:color="auto"/>
              <w:right w:val="single" w:sz="8" w:space="0" w:color="auto"/>
            </w:tcBorders>
            <w:noWrap/>
            <w:vAlign w:val="center"/>
          </w:tcPr>
          <w:p w14:paraId="010137E2" w14:textId="77777777" w:rsidR="00000000" w:rsidRDefault="00000000">
            <w:pPr>
              <w:widowControl/>
              <w:adjustRightInd/>
              <w:spacing w:line="240" w:lineRule="auto"/>
              <w:jc w:val="center"/>
              <w:textAlignment w:val="auto"/>
              <w:rPr>
                <w:rFonts w:ascii="Arial" w:hAnsi="Arial" w:cs="Arial"/>
                <w:snapToGrid w:val="0"/>
                <w:sz w:val="16"/>
              </w:rPr>
            </w:pPr>
          </w:p>
        </w:tc>
      </w:tr>
      <w:tr w:rsidR="00000000" w14:paraId="72CF6FA8"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1DDDB30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5D2A1F7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1" w:type="pct"/>
            <w:tcBorders>
              <w:top w:val="nil"/>
              <w:left w:val="nil"/>
              <w:bottom w:val="single" w:sz="4" w:space="0" w:color="auto"/>
              <w:right w:val="single" w:sz="4" w:space="0" w:color="auto"/>
            </w:tcBorders>
            <w:noWrap/>
            <w:vAlign w:val="center"/>
          </w:tcPr>
          <w:p w14:paraId="340633D2"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300</w:t>
            </w:r>
          </w:p>
        </w:tc>
        <w:tc>
          <w:tcPr>
            <w:tcW w:w="1754" w:type="pct"/>
            <w:tcBorders>
              <w:top w:val="nil"/>
              <w:left w:val="nil"/>
              <w:bottom w:val="single" w:sz="4" w:space="0" w:color="auto"/>
              <w:right w:val="single" w:sz="4" w:space="0" w:color="auto"/>
            </w:tcBorders>
            <w:vAlign w:val="center"/>
          </w:tcPr>
          <w:p w14:paraId="6CFECCC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费率</w:t>
            </w:r>
          </w:p>
        </w:tc>
        <w:tc>
          <w:tcPr>
            <w:tcW w:w="805" w:type="pct"/>
            <w:tcBorders>
              <w:top w:val="nil"/>
              <w:left w:val="nil"/>
              <w:bottom w:val="single" w:sz="4" w:space="0" w:color="auto"/>
              <w:right w:val="single" w:sz="4" w:space="0" w:color="auto"/>
            </w:tcBorders>
            <w:noWrap/>
            <w:vAlign w:val="center"/>
          </w:tcPr>
          <w:p w14:paraId="06024E0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8" w:type="pct"/>
            <w:tcBorders>
              <w:top w:val="nil"/>
              <w:left w:val="nil"/>
              <w:bottom w:val="single" w:sz="4" w:space="0" w:color="auto"/>
              <w:right w:val="single" w:sz="8" w:space="0" w:color="auto"/>
            </w:tcBorders>
            <w:noWrap/>
            <w:vAlign w:val="center"/>
          </w:tcPr>
          <w:p w14:paraId="217724E7"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w:t>
            </w:r>
            <w:r>
              <w:rPr>
                <w:rFonts w:ascii="Arial" w:hAnsi="Arial" w:cs="Arial"/>
                <w:snapToGrid w:val="0"/>
                <w:sz w:val="16"/>
              </w:rPr>
              <w:t>.0%</w:t>
            </w:r>
          </w:p>
        </w:tc>
      </w:tr>
      <w:tr w:rsidR="00000000" w14:paraId="18877711"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1AFB73A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3B90654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511" w:type="pct"/>
            <w:tcBorders>
              <w:top w:val="nil"/>
              <w:left w:val="nil"/>
              <w:bottom w:val="single" w:sz="4" w:space="0" w:color="auto"/>
              <w:right w:val="single" w:sz="4" w:space="0" w:color="auto"/>
            </w:tcBorders>
            <w:noWrap/>
            <w:vAlign w:val="center"/>
          </w:tcPr>
          <w:p w14:paraId="2D89EA39"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c>
          <w:tcPr>
            <w:tcW w:w="1754" w:type="pct"/>
            <w:tcBorders>
              <w:top w:val="nil"/>
              <w:left w:val="nil"/>
              <w:bottom w:val="single" w:sz="4" w:space="0" w:color="auto"/>
              <w:right w:val="single" w:sz="4" w:space="0" w:color="auto"/>
            </w:tcBorders>
            <w:vAlign w:val="center"/>
          </w:tcPr>
          <w:p w14:paraId="1EEB649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p>
        </w:tc>
        <w:tc>
          <w:tcPr>
            <w:tcW w:w="805" w:type="pct"/>
            <w:tcBorders>
              <w:top w:val="nil"/>
              <w:left w:val="nil"/>
              <w:bottom w:val="single" w:sz="4" w:space="0" w:color="auto"/>
              <w:right w:val="single" w:sz="4" w:space="0" w:color="auto"/>
            </w:tcBorders>
            <w:noWrap/>
            <w:vAlign w:val="center"/>
          </w:tcPr>
          <w:p w14:paraId="477F1DE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r>
              <w:rPr>
                <w:rFonts w:ascii="Arial" w:hAnsi="Arial" w:cs="Arial"/>
                <w:snapToGrid w:val="0"/>
                <w:sz w:val="16"/>
              </w:rPr>
              <w:t>%</w:t>
            </w:r>
            <w:r>
              <w:rPr>
                <w:rFonts w:ascii="Arial" w:hAnsi="Arial" w:cs="Arial"/>
                <w:snapToGrid w:val="0"/>
                <w:sz w:val="16"/>
              </w:rPr>
              <w:t>）</w:t>
            </w:r>
          </w:p>
        </w:tc>
        <w:tc>
          <w:tcPr>
            <w:tcW w:w="538" w:type="pct"/>
            <w:tcBorders>
              <w:top w:val="nil"/>
              <w:left w:val="nil"/>
              <w:bottom w:val="single" w:sz="4" w:space="0" w:color="auto"/>
              <w:right w:val="single" w:sz="8" w:space="0" w:color="auto"/>
            </w:tcBorders>
            <w:noWrap/>
            <w:vAlign w:val="center"/>
          </w:tcPr>
          <w:p w14:paraId="72AAABA3"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w:t>
            </w:r>
            <w:r>
              <w:rPr>
                <w:rFonts w:ascii="Arial" w:hAnsi="Arial" w:cs="Arial"/>
                <w:snapToGrid w:val="0"/>
                <w:sz w:val="16"/>
              </w:rPr>
              <w:t>0%</w:t>
            </w:r>
          </w:p>
        </w:tc>
      </w:tr>
      <w:tr w:rsidR="00000000" w14:paraId="7570487C"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1FEF7B8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4163A8C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511" w:type="pct"/>
            <w:tcBorders>
              <w:top w:val="nil"/>
              <w:left w:val="nil"/>
              <w:bottom w:val="single" w:sz="4" w:space="0" w:color="auto"/>
              <w:right w:val="single" w:sz="4" w:space="0" w:color="auto"/>
            </w:tcBorders>
            <w:noWrap/>
            <w:vAlign w:val="center"/>
          </w:tcPr>
          <w:p w14:paraId="274F1BAF" w14:textId="77777777" w:rsidR="00000000" w:rsidRDefault="00000000">
            <w:pPr>
              <w:widowControl/>
              <w:adjustRightInd/>
              <w:spacing w:line="240" w:lineRule="auto"/>
              <w:jc w:val="center"/>
              <w:textAlignment w:val="auto"/>
              <w:rPr>
                <w:rFonts w:ascii="Arial" w:hAnsi="Arial" w:cs="Arial"/>
                <w:snapToGrid w:val="0"/>
                <w:sz w:val="16"/>
              </w:rPr>
            </w:pPr>
          </w:p>
        </w:tc>
        <w:tc>
          <w:tcPr>
            <w:tcW w:w="2559" w:type="pct"/>
            <w:gridSpan w:val="2"/>
            <w:tcBorders>
              <w:top w:val="single" w:sz="4" w:space="0" w:color="auto"/>
              <w:left w:val="single" w:sz="4" w:space="0" w:color="auto"/>
              <w:bottom w:val="single" w:sz="4" w:space="0" w:color="auto"/>
              <w:right w:val="nil"/>
            </w:tcBorders>
            <w:noWrap/>
            <w:vAlign w:val="center"/>
          </w:tcPr>
          <w:p w14:paraId="20E5DB4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538" w:type="pct"/>
            <w:tcBorders>
              <w:top w:val="nil"/>
              <w:left w:val="nil"/>
              <w:bottom w:val="single" w:sz="4" w:space="0" w:color="auto"/>
              <w:right w:val="single" w:sz="8" w:space="0" w:color="auto"/>
            </w:tcBorders>
            <w:noWrap/>
            <w:vAlign w:val="center"/>
          </w:tcPr>
          <w:p w14:paraId="2D1ABA7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000000" w14:paraId="649D5BBF"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6F99B46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76AAE14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）项产生的利息</w:t>
            </w:r>
          </w:p>
        </w:tc>
        <w:tc>
          <w:tcPr>
            <w:tcW w:w="511" w:type="pct"/>
            <w:tcBorders>
              <w:top w:val="nil"/>
              <w:left w:val="nil"/>
              <w:bottom w:val="single" w:sz="4" w:space="0" w:color="auto"/>
              <w:right w:val="single" w:sz="4" w:space="0" w:color="auto"/>
            </w:tcBorders>
            <w:noWrap/>
            <w:vAlign w:val="center"/>
          </w:tcPr>
          <w:p w14:paraId="149074F9"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498</w:t>
            </w:r>
          </w:p>
        </w:tc>
        <w:tc>
          <w:tcPr>
            <w:tcW w:w="1754" w:type="pct"/>
            <w:tcBorders>
              <w:top w:val="nil"/>
              <w:left w:val="nil"/>
              <w:bottom w:val="single" w:sz="4" w:space="0" w:color="auto"/>
              <w:right w:val="single" w:sz="4" w:space="0" w:color="auto"/>
            </w:tcBorders>
            <w:noWrap/>
            <w:vAlign w:val="center"/>
          </w:tcPr>
          <w:p w14:paraId="04E43FC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805" w:type="pct"/>
            <w:tcBorders>
              <w:top w:val="nil"/>
              <w:left w:val="nil"/>
              <w:bottom w:val="single" w:sz="4" w:space="0" w:color="auto"/>
              <w:right w:val="single" w:sz="4" w:space="0" w:color="auto"/>
            </w:tcBorders>
            <w:noWrap/>
            <w:vAlign w:val="center"/>
          </w:tcPr>
          <w:p w14:paraId="436EE45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538" w:type="pct"/>
            <w:tcBorders>
              <w:top w:val="nil"/>
              <w:left w:val="nil"/>
              <w:bottom w:val="single" w:sz="4" w:space="0" w:color="auto"/>
              <w:right w:val="single" w:sz="8" w:space="0" w:color="auto"/>
            </w:tcBorders>
            <w:noWrap/>
            <w:vAlign w:val="center"/>
          </w:tcPr>
          <w:p w14:paraId="103BE3C3"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2</w:t>
            </w:r>
          </w:p>
        </w:tc>
      </w:tr>
      <w:tr w:rsidR="00000000" w14:paraId="30D018D1"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03D5992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34618D8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511" w:type="pct"/>
            <w:tcBorders>
              <w:top w:val="nil"/>
              <w:left w:val="nil"/>
              <w:bottom w:val="single" w:sz="4" w:space="0" w:color="auto"/>
              <w:right w:val="single" w:sz="4" w:space="0" w:color="auto"/>
            </w:tcBorders>
            <w:noWrap/>
            <w:vAlign w:val="center"/>
          </w:tcPr>
          <w:p w14:paraId="1D7ECFB5"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0.001</w:t>
            </w:r>
          </w:p>
        </w:tc>
        <w:tc>
          <w:tcPr>
            <w:tcW w:w="1754" w:type="pct"/>
            <w:tcBorders>
              <w:top w:val="nil"/>
              <w:left w:val="nil"/>
              <w:bottom w:val="single" w:sz="4" w:space="0" w:color="auto"/>
              <w:right w:val="single" w:sz="4" w:space="0" w:color="auto"/>
            </w:tcBorders>
            <w:noWrap/>
            <w:vAlign w:val="center"/>
          </w:tcPr>
          <w:p w14:paraId="24F3028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805" w:type="pct"/>
            <w:tcBorders>
              <w:top w:val="nil"/>
              <w:left w:val="nil"/>
              <w:bottom w:val="single" w:sz="4" w:space="0" w:color="auto"/>
              <w:right w:val="single" w:sz="4" w:space="0" w:color="auto"/>
            </w:tcBorders>
            <w:noWrap/>
            <w:vAlign w:val="center"/>
          </w:tcPr>
          <w:p w14:paraId="19B5FD7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利息（</w:t>
            </w:r>
            <w:r>
              <w:rPr>
                <w:rFonts w:ascii="Arial" w:hAnsi="Arial" w:cs="Arial"/>
                <w:snapToGrid w:val="0"/>
                <w:sz w:val="16"/>
              </w:rPr>
              <w:t>%</w:t>
            </w:r>
            <w:r>
              <w:rPr>
                <w:rFonts w:ascii="Arial" w:hAnsi="Arial" w:cs="Arial"/>
                <w:snapToGrid w:val="0"/>
                <w:sz w:val="16"/>
              </w:rPr>
              <w:t>）</w:t>
            </w:r>
          </w:p>
        </w:tc>
        <w:tc>
          <w:tcPr>
            <w:tcW w:w="538" w:type="pct"/>
            <w:tcBorders>
              <w:top w:val="nil"/>
              <w:left w:val="nil"/>
              <w:bottom w:val="single" w:sz="4" w:space="0" w:color="auto"/>
              <w:right w:val="single" w:sz="8" w:space="0" w:color="auto"/>
            </w:tcBorders>
            <w:noWrap/>
            <w:vAlign w:val="center"/>
          </w:tcPr>
          <w:p w14:paraId="75C8BB8D"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3.25</w:t>
            </w:r>
            <w:r>
              <w:rPr>
                <w:rFonts w:ascii="Arial" w:hAnsi="Arial" w:cs="Arial"/>
                <w:snapToGrid w:val="0"/>
                <w:sz w:val="16"/>
              </w:rPr>
              <w:t>%</w:t>
            </w:r>
          </w:p>
        </w:tc>
      </w:tr>
      <w:tr w:rsidR="00000000" w14:paraId="0D8390E5"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3A54E8D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5</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66761F1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511" w:type="pct"/>
            <w:tcBorders>
              <w:top w:val="nil"/>
              <w:left w:val="nil"/>
              <w:bottom w:val="single" w:sz="4" w:space="0" w:color="auto"/>
              <w:right w:val="single" w:sz="4" w:space="0" w:color="auto"/>
            </w:tcBorders>
            <w:noWrap/>
            <w:vAlign w:val="center"/>
          </w:tcPr>
          <w:p w14:paraId="5C933654" w14:textId="77777777" w:rsidR="00000000" w:rsidRDefault="00000000">
            <w:pPr>
              <w:widowControl/>
              <w:adjustRightInd/>
              <w:spacing w:line="240" w:lineRule="auto"/>
              <w:jc w:val="center"/>
              <w:textAlignment w:val="auto"/>
              <w:rPr>
                <w:rFonts w:ascii="Arial" w:hAnsi="Arial" w:cs="Arial"/>
                <w:snapToGrid w:val="0"/>
                <w:sz w:val="16"/>
              </w:rPr>
            </w:pPr>
          </w:p>
        </w:tc>
        <w:tc>
          <w:tcPr>
            <w:tcW w:w="1754" w:type="pct"/>
            <w:tcBorders>
              <w:top w:val="nil"/>
              <w:left w:val="nil"/>
              <w:bottom w:val="single" w:sz="4" w:space="0" w:color="auto"/>
              <w:right w:val="nil"/>
            </w:tcBorders>
            <w:noWrap/>
            <w:vAlign w:val="center"/>
          </w:tcPr>
          <w:p w14:paraId="16981C3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805" w:type="pct"/>
            <w:tcBorders>
              <w:top w:val="nil"/>
              <w:left w:val="nil"/>
              <w:bottom w:val="single" w:sz="4" w:space="0" w:color="auto"/>
              <w:right w:val="nil"/>
            </w:tcBorders>
            <w:noWrap/>
            <w:vAlign w:val="center"/>
          </w:tcPr>
          <w:p w14:paraId="647F52C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38" w:type="pct"/>
            <w:tcBorders>
              <w:top w:val="nil"/>
              <w:left w:val="nil"/>
              <w:bottom w:val="single" w:sz="4" w:space="0" w:color="auto"/>
              <w:right w:val="single" w:sz="8" w:space="0" w:color="auto"/>
            </w:tcBorders>
            <w:noWrap/>
            <w:vAlign w:val="center"/>
          </w:tcPr>
          <w:p w14:paraId="0398871A" w14:textId="77777777" w:rsidR="00000000" w:rsidRDefault="00000000">
            <w:pPr>
              <w:widowControl/>
              <w:adjustRightInd/>
              <w:spacing w:line="240" w:lineRule="auto"/>
              <w:jc w:val="center"/>
              <w:textAlignment w:val="auto"/>
              <w:rPr>
                <w:rFonts w:ascii="Arial" w:hAnsi="Arial" w:cs="Arial"/>
                <w:snapToGrid w:val="0"/>
                <w:sz w:val="16"/>
              </w:rPr>
            </w:pPr>
          </w:p>
        </w:tc>
      </w:tr>
      <w:tr w:rsidR="00000000" w14:paraId="5DC4E14C"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0B5A474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216C6CF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）项产生的利润</w:t>
            </w:r>
          </w:p>
        </w:tc>
        <w:tc>
          <w:tcPr>
            <w:tcW w:w="511" w:type="pct"/>
            <w:tcBorders>
              <w:top w:val="nil"/>
              <w:left w:val="nil"/>
              <w:bottom w:val="single" w:sz="4" w:space="0" w:color="auto"/>
              <w:right w:val="single" w:sz="4" w:space="0" w:color="auto"/>
            </w:tcBorders>
            <w:noWrap/>
            <w:vAlign w:val="center"/>
          </w:tcPr>
          <w:p w14:paraId="579C3BB5"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459</w:t>
            </w:r>
          </w:p>
        </w:tc>
        <w:tc>
          <w:tcPr>
            <w:tcW w:w="1754" w:type="pct"/>
            <w:tcBorders>
              <w:top w:val="nil"/>
              <w:left w:val="nil"/>
              <w:bottom w:val="single" w:sz="4" w:space="0" w:color="auto"/>
              <w:right w:val="single" w:sz="4" w:space="0" w:color="auto"/>
            </w:tcBorders>
            <w:vAlign w:val="center"/>
          </w:tcPr>
          <w:p w14:paraId="1FAB66A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利润率</w:t>
            </w:r>
          </w:p>
        </w:tc>
        <w:tc>
          <w:tcPr>
            <w:tcW w:w="805" w:type="pct"/>
            <w:tcBorders>
              <w:top w:val="nil"/>
              <w:left w:val="nil"/>
              <w:bottom w:val="nil"/>
              <w:right w:val="single" w:sz="4" w:space="0" w:color="auto"/>
            </w:tcBorders>
            <w:noWrap/>
            <w:vAlign w:val="center"/>
          </w:tcPr>
          <w:p w14:paraId="0D8DA44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利润率（</w:t>
            </w:r>
            <w:r>
              <w:rPr>
                <w:rFonts w:ascii="Arial" w:hAnsi="Arial" w:cs="Arial"/>
                <w:snapToGrid w:val="0"/>
                <w:sz w:val="16"/>
              </w:rPr>
              <w:t>%</w:t>
            </w:r>
            <w:r>
              <w:rPr>
                <w:rFonts w:ascii="Arial" w:hAnsi="Arial" w:cs="Arial"/>
                <w:snapToGrid w:val="0"/>
                <w:sz w:val="16"/>
              </w:rPr>
              <w:t>）</w:t>
            </w:r>
          </w:p>
        </w:tc>
        <w:tc>
          <w:tcPr>
            <w:tcW w:w="538" w:type="pct"/>
            <w:tcBorders>
              <w:top w:val="nil"/>
              <w:left w:val="nil"/>
              <w:bottom w:val="single" w:sz="4" w:space="0" w:color="auto"/>
              <w:right w:val="single" w:sz="8" w:space="0" w:color="auto"/>
            </w:tcBorders>
            <w:noWrap/>
            <w:vAlign w:val="center"/>
          </w:tcPr>
          <w:p w14:paraId="0DE32310"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3.0</w:t>
            </w:r>
            <w:r>
              <w:rPr>
                <w:rFonts w:ascii="Arial" w:hAnsi="Arial" w:cs="Arial"/>
                <w:snapToGrid w:val="0"/>
                <w:sz w:val="16"/>
              </w:rPr>
              <w:t>%</w:t>
            </w:r>
          </w:p>
        </w:tc>
      </w:tr>
      <w:tr w:rsidR="00000000" w14:paraId="31CF42CE"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6503FB3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64C89E2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511" w:type="pct"/>
            <w:tcBorders>
              <w:top w:val="nil"/>
              <w:left w:val="nil"/>
              <w:bottom w:val="single" w:sz="4" w:space="0" w:color="auto"/>
              <w:right w:val="single" w:sz="4" w:space="0" w:color="auto"/>
            </w:tcBorders>
            <w:noWrap/>
            <w:vAlign w:val="center"/>
          </w:tcPr>
          <w:p w14:paraId="7F683B12"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0.0009</w:t>
            </w:r>
          </w:p>
        </w:tc>
        <w:tc>
          <w:tcPr>
            <w:tcW w:w="1754" w:type="pct"/>
            <w:tcBorders>
              <w:top w:val="nil"/>
              <w:left w:val="nil"/>
              <w:bottom w:val="single" w:sz="4" w:space="0" w:color="auto"/>
              <w:right w:val="single" w:sz="4" w:space="0" w:color="auto"/>
            </w:tcBorders>
            <w:vAlign w:val="center"/>
          </w:tcPr>
          <w:p w14:paraId="5CAF19D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805" w:type="pct"/>
            <w:tcBorders>
              <w:top w:val="nil"/>
              <w:left w:val="nil"/>
              <w:bottom w:val="single" w:sz="4" w:space="0" w:color="auto"/>
              <w:right w:val="single" w:sz="4" w:space="0" w:color="auto"/>
            </w:tcBorders>
            <w:noWrap/>
            <w:vAlign w:val="center"/>
          </w:tcPr>
          <w:p w14:paraId="4480756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38" w:type="pct"/>
            <w:tcBorders>
              <w:top w:val="nil"/>
              <w:left w:val="nil"/>
              <w:bottom w:val="single" w:sz="4" w:space="0" w:color="auto"/>
              <w:right w:val="single" w:sz="8" w:space="0" w:color="auto"/>
            </w:tcBorders>
            <w:noWrap/>
            <w:vAlign w:val="center"/>
          </w:tcPr>
          <w:p w14:paraId="0F25A247" w14:textId="77777777" w:rsidR="00000000" w:rsidRDefault="00000000">
            <w:pPr>
              <w:widowControl/>
              <w:adjustRightInd/>
              <w:spacing w:line="240" w:lineRule="auto"/>
              <w:jc w:val="center"/>
              <w:textAlignment w:val="auto"/>
              <w:rPr>
                <w:rFonts w:ascii="Arial" w:hAnsi="Arial" w:cs="Arial"/>
                <w:snapToGrid w:val="0"/>
                <w:sz w:val="16"/>
              </w:rPr>
            </w:pPr>
          </w:p>
        </w:tc>
      </w:tr>
      <w:tr w:rsidR="00000000" w14:paraId="329B4A50" w14:textId="77777777">
        <w:trPr>
          <w:trHeight w:val="360"/>
        </w:trPr>
        <w:tc>
          <w:tcPr>
            <w:tcW w:w="365" w:type="pct"/>
            <w:tcBorders>
              <w:top w:val="single" w:sz="4" w:space="0" w:color="auto"/>
              <w:left w:val="single" w:sz="4" w:space="0" w:color="auto"/>
              <w:bottom w:val="single" w:sz="4" w:space="0" w:color="auto"/>
              <w:right w:val="single" w:sz="4" w:space="0" w:color="auto"/>
            </w:tcBorders>
            <w:noWrap/>
            <w:vAlign w:val="center"/>
          </w:tcPr>
          <w:p w14:paraId="7742977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6</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50B9F77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511" w:type="pct"/>
            <w:tcBorders>
              <w:top w:val="nil"/>
              <w:left w:val="nil"/>
              <w:bottom w:val="single" w:sz="4" w:space="0" w:color="auto"/>
              <w:right w:val="single" w:sz="4" w:space="0" w:color="auto"/>
            </w:tcBorders>
            <w:noWrap/>
            <w:vAlign w:val="center"/>
          </w:tcPr>
          <w:p w14:paraId="09576979"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0.0524</w:t>
            </w:r>
          </w:p>
        </w:tc>
        <w:tc>
          <w:tcPr>
            <w:tcW w:w="1754" w:type="pct"/>
            <w:tcBorders>
              <w:top w:val="nil"/>
              <w:left w:val="nil"/>
              <w:bottom w:val="single" w:sz="4" w:space="0" w:color="auto"/>
              <w:right w:val="single" w:sz="4" w:space="0" w:color="auto"/>
            </w:tcBorders>
            <w:vAlign w:val="center"/>
          </w:tcPr>
          <w:p w14:paraId="7976073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805" w:type="pct"/>
            <w:tcBorders>
              <w:top w:val="nil"/>
              <w:left w:val="nil"/>
              <w:bottom w:val="single" w:sz="4" w:space="0" w:color="auto"/>
              <w:right w:val="single" w:sz="4" w:space="0" w:color="auto"/>
            </w:tcBorders>
            <w:noWrap/>
            <w:vAlign w:val="center"/>
          </w:tcPr>
          <w:p w14:paraId="4000CFE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8" w:type="pct"/>
            <w:tcBorders>
              <w:top w:val="nil"/>
              <w:left w:val="nil"/>
              <w:bottom w:val="single" w:sz="4" w:space="0" w:color="auto"/>
              <w:right w:val="single" w:sz="8" w:space="0" w:color="auto"/>
            </w:tcBorders>
            <w:noWrap/>
            <w:vAlign w:val="center"/>
          </w:tcPr>
          <w:p w14:paraId="7A33DC67"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000000" w14:paraId="7D4FB935" w14:textId="77777777">
        <w:trPr>
          <w:trHeight w:val="360"/>
        </w:trPr>
        <w:tc>
          <w:tcPr>
            <w:tcW w:w="365" w:type="pct"/>
            <w:tcBorders>
              <w:top w:val="nil"/>
              <w:left w:val="single" w:sz="8" w:space="0" w:color="auto"/>
              <w:bottom w:val="double" w:sz="6" w:space="0" w:color="auto"/>
              <w:right w:val="single" w:sz="4" w:space="0" w:color="auto"/>
            </w:tcBorders>
            <w:noWrap/>
            <w:vAlign w:val="center"/>
          </w:tcPr>
          <w:p w14:paraId="0A7EB25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7</w:t>
            </w:r>
            <w:r>
              <w:rPr>
                <w:rFonts w:ascii="Arial" w:hAnsi="Arial" w:cs="Arial"/>
                <w:snapToGrid w:val="0"/>
                <w:sz w:val="16"/>
              </w:rPr>
              <w:t>）</w:t>
            </w:r>
          </w:p>
        </w:tc>
        <w:tc>
          <w:tcPr>
            <w:tcW w:w="1024" w:type="pct"/>
            <w:tcBorders>
              <w:top w:val="nil"/>
              <w:left w:val="nil"/>
              <w:bottom w:val="double" w:sz="6" w:space="0" w:color="auto"/>
              <w:right w:val="single" w:sz="4" w:space="0" w:color="auto"/>
            </w:tcBorders>
            <w:noWrap/>
            <w:vAlign w:val="center"/>
          </w:tcPr>
          <w:p w14:paraId="398B52F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P</w:t>
            </w:r>
            <w:r>
              <w:rPr>
                <w:rFonts w:ascii="Arial" w:hAnsi="Arial" w:cs="Arial"/>
                <w:snapToGrid w:val="0"/>
                <w:sz w:val="16"/>
              </w:rPr>
              <w:t>建）</w:t>
            </w:r>
          </w:p>
        </w:tc>
        <w:tc>
          <w:tcPr>
            <w:tcW w:w="511" w:type="pct"/>
            <w:tcBorders>
              <w:top w:val="nil"/>
              <w:left w:val="nil"/>
              <w:bottom w:val="double" w:sz="6" w:space="0" w:color="auto"/>
              <w:right w:val="single" w:sz="4" w:space="0" w:color="auto"/>
            </w:tcBorders>
            <w:noWrap/>
            <w:vAlign w:val="center"/>
          </w:tcPr>
          <w:p w14:paraId="30FADEDE"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17768</w:t>
            </w:r>
          </w:p>
        </w:tc>
        <w:tc>
          <w:tcPr>
            <w:tcW w:w="1754" w:type="pct"/>
            <w:tcBorders>
              <w:top w:val="nil"/>
              <w:left w:val="nil"/>
              <w:bottom w:val="double" w:sz="6" w:space="0" w:color="auto"/>
              <w:right w:val="single" w:sz="4" w:space="0" w:color="auto"/>
            </w:tcBorders>
            <w:vAlign w:val="center"/>
          </w:tcPr>
          <w:p w14:paraId="2344BE4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double" w:sz="6" w:space="0" w:color="auto"/>
              <w:right w:val="single" w:sz="4" w:space="0" w:color="auto"/>
            </w:tcBorders>
            <w:noWrap/>
            <w:vAlign w:val="center"/>
          </w:tcPr>
          <w:p w14:paraId="1F442BD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38" w:type="pct"/>
            <w:tcBorders>
              <w:top w:val="nil"/>
              <w:left w:val="nil"/>
              <w:bottom w:val="double" w:sz="6" w:space="0" w:color="auto"/>
              <w:right w:val="single" w:sz="8" w:space="0" w:color="auto"/>
            </w:tcBorders>
            <w:noWrap/>
            <w:vAlign w:val="center"/>
          </w:tcPr>
          <w:p w14:paraId="1551C71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000000" w14:paraId="708D84F6" w14:textId="77777777">
        <w:trPr>
          <w:trHeight w:val="360"/>
        </w:trPr>
        <w:tc>
          <w:tcPr>
            <w:tcW w:w="365" w:type="pct"/>
            <w:tcBorders>
              <w:top w:val="nil"/>
              <w:left w:val="single" w:sz="8" w:space="0" w:color="auto"/>
              <w:bottom w:val="single" w:sz="4" w:space="0" w:color="auto"/>
              <w:right w:val="single" w:sz="4" w:space="0" w:color="auto"/>
            </w:tcBorders>
            <w:noWrap/>
            <w:vAlign w:val="center"/>
          </w:tcPr>
          <w:p w14:paraId="7681301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4" w:type="pct"/>
            <w:tcBorders>
              <w:top w:val="nil"/>
              <w:left w:val="nil"/>
              <w:bottom w:val="single" w:sz="4" w:space="0" w:color="auto"/>
              <w:right w:val="single" w:sz="4" w:space="0" w:color="auto"/>
            </w:tcBorders>
            <w:noWrap/>
            <w:vAlign w:val="center"/>
          </w:tcPr>
          <w:p w14:paraId="551FF77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511" w:type="pct"/>
            <w:tcBorders>
              <w:top w:val="nil"/>
              <w:left w:val="nil"/>
              <w:bottom w:val="single" w:sz="4" w:space="0" w:color="auto"/>
              <w:right w:val="single" w:sz="4" w:space="0" w:color="auto"/>
            </w:tcBorders>
            <w:noWrap/>
          </w:tcPr>
          <w:p w14:paraId="46667BB5" w14:textId="77777777" w:rsidR="00000000" w:rsidRDefault="00000000">
            <w:pPr>
              <w:spacing w:line="240" w:lineRule="auto"/>
              <w:jc w:val="center"/>
              <w:rPr>
                <w:rFonts w:ascii="Arial" w:hAnsi="Arial" w:cs="Arial"/>
                <w:snapToGrid w:val="0"/>
                <w:sz w:val="16"/>
              </w:rPr>
            </w:pPr>
            <w:r>
              <w:rPr>
                <w:rFonts w:ascii="Arial" w:hAnsi="Arial" w:cs="Arial" w:hint="eastAsia"/>
                <w:snapToGrid w:val="0"/>
                <w:sz w:val="16"/>
              </w:rPr>
              <w:t>353</w:t>
            </w:r>
          </w:p>
        </w:tc>
        <w:tc>
          <w:tcPr>
            <w:tcW w:w="1754" w:type="pct"/>
            <w:tcBorders>
              <w:top w:val="nil"/>
              <w:left w:val="nil"/>
              <w:bottom w:val="single" w:sz="4" w:space="0" w:color="auto"/>
              <w:right w:val="nil"/>
            </w:tcBorders>
            <w:noWrap/>
            <w:vAlign w:val="center"/>
          </w:tcPr>
          <w:p w14:paraId="64A4ADE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税费</w:t>
            </w:r>
            <w:r>
              <w:rPr>
                <w:rFonts w:ascii="Arial" w:hAnsi="Arial" w:cs="Arial"/>
                <w:snapToGrid w:val="0"/>
                <w:sz w:val="16"/>
              </w:rPr>
              <w:t>+</w:t>
            </w:r>
            <w:r>
              <w:rPr>
                <w:rFonts w:ascii="Arial" w:hAnsi="Arial" w:cs="Arial"/>
                <w:snapToGrid w:val="0"/>
                <w:sz w:val="16"/>
              </w:rPr>
              <w:t>维修费</w:t>
            </w:r>
            <w:r>
              <w:rPr>
                <w:rFonts w:ascii="Arial" w:hAnsi="Arial" w:cs="Arial"/>
                <w:snapToGrid w:val="0"/>
                <w:sz w:val="16"/>
              </w:rPr>
              <w:t>+</w:t>
            </w:r>
            <w:r>
              <w:rPr>
                <w:rFonts w:ascii="Arial" w:hAnsi="Arial" w:cs="Arial"/>
                <w:snapToGrid w:val="0"/>
                <w:sz w:val="16"/>
              </w:rPr>
              <w:t>保险费</w:t>
            </w:r>
            <w:r>
              <w:rPr>
                <w:rFonts w:ascii="Arial" w:hAnsi="Arial" w:cs="Arial"/>
                <w:snapToGrid w:val="0"/>
                <w:sz w:val="16"/>
              </w:rPr>
              <w:t>+</w:t>
            </w:r>
            <w:r>
              <w:rPr>
                <w:rFonts w:ascii="Arial" w:hAnsi="Arial" w:cs="Arial"/>
                <w:snapToGrid w:val="0"/>
                <w:sz w:val="16"/>
              </w:rPr>
              <w:t>管理费</w:t>
            </w:r>
          </w:p>
        </w:tc>
        <w:tc>
          <w:tcPr>
            <w:tcW w:w="805" w:type="pct"/>
            <w:tcBorders>
              <w:top w:val="nil"/>
              <w:left w:val="nil"/>
              <w:bottom w:val="single" w:sz="4" w:space="0" w:color="auto"/>
              <w:right w:val="nil"/>
            </w:tcBorders>
            <w:noWrap/>
            <w:vAlign w:val="center"/>
          </w:tcPr>
          <w:p w14:paraId="1CB0B7B6"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538" w:type="pct"/>
            <w:tcBorders>
              <w:top w:val="nil"/>
              <w:left w:val="nil"/>
              <w:bottom w:val="single" w:sz="4" w:space="0" w:color="auto"/>
              <w:right w:val="single" w:sz="8" w:space="0" w:color="auto"/>
            </w:tcBorders>
            <w:noWrap/>
            <w:vAlign w:val="center"/>
          </w:tcPr>
          <w:p w14:paraId="42848274"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000000" w14:paraId="1BBB1570" w14:textId="77777777">
        <w:trPr>
          <w:trHeight w:val="360"/>
        </w:trPr>
        <w:tc>
          <w:tcPr>
            <w:tcW w:w="365" w:type="pct"/>
            <w:tcBorders>
              <w:top w:val="nil"/>
              <w:left w:val="single" w:sz="8" w:space="0" w:color="auto"/>
              <w:bottom w:val="single" w:sz="4" w:space="0" w:color="auto"/>
              <w:right w:val="single" w:sz="4" w:space="0" w:color="auto"/>
            </w:tcBorders>
            <w:noWrap/>
            <w:vAlign w:val="center"/>
          </w:tcPr>
          <w:p w14:paraId="0032D5F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3948383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税</w:t>
            </w:r>
            <w:r>
              <w:rPr>
                <w:rFonts w:ascii="Arial" w:hAnsi="Arial" w:cs="Arial"/>
                <w:snapToGrid w:val="0"/>
                <w:sz w:val="16"/>
              </w:rPr>
              <w:t xml:space="preserve">  </w:t>
            </w:r>
            <w:r>
              <w:rPr>
                <w:rFonts w:ascii="Arial" w:hAnsi="Arial" w:cs="Arial"/>
                <w:snapToGrid w:val="0"/>
                <w:sz w:val="16"/>
              </w:rPr>
              <w:t>费</w:t>
            </w:r>
          </w:p>
        </w:tc>
        <w:tc>
          <w:tcPr>
            <w:tcW w:w="511" w:type="pct"/>
            <w:tcBorders>
              <w:top w:val="nil"/>
              <w:left w:val="nil"/>
              <w:bottom w:val="single" w:sz="4" w:space="0" w:color="auto"/>
              <w:right w:val="single" w:sz="4" w:space="0" w:color="auto"/>
            </w:tcBorders>
            <w:noWrap/>
          </w:tcPr>
          <w:p w14:paraId="22A209CD" w14:textId="77777777" w:rsidR="00000000" w:rsidRDefault="00000000">
            <w:pPr>
              <w:spacing w:line="240" w:lineRule="auto"/>
              <w:jc w:val="center"/>
              <w:rPr>
                <w:rFonts w:ascii="Arial" w:hAnsi="Arial" w:cs="Arial"/>
                <w:snapToGrid w:val="0"/>
                <w:sz w:val="16"/>
              </w:rPr>
            </w:pPr>
            <w:r>
              <w:rPr>
                <w:rFonts w:ascii="Arial" w:hAnsi="Arial" w:cs="Arial" w:hint="eastAsia"/>
                <w:snapToGrid w:val="0"/>
                <w:sz w:val="16"/>
              </w:rPr>
              <w:t>238.96</w:t>
            </w:r>
          </w:p>
        </w:tc>
        <w:tc>
          <w:tcPr>
            <w:tcW w:w="1754" w:type="pct"/>
            <w:tcBorders>
              <w:top w:val="nil"/>
              <w:left w:val="nil"/>
              <w:bottom w:val="single" w:sz="4" w:space="0" w:color="auto"/>
              <w:right w:val="nil"/>
            </w:tcBorders>
            <w:vAlign w:val="center"/>
          </w:tcPr>
          <w:p w14:paraId="3D5EC19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两税一费</w:t>
            </w:r>
            <w:r>
              <w:rPr>
                <w:rFonts w:ascii="Arial" w:hAnsi="Arial" w:cs="Arial"/>
                <w:snapToGrid w:val="0"/>
                <w:sz w:val="16"/>
              </w:rPr>
              <w:t>+</w:t>
            </w:r>
            <w:r>
              <w:rPr>
                <w:rFonts w:ascii="Arial" w:hAnsi="Arial" w:cs="Arial"/>
                <w:snapToGrid w:val="0"/>
                <w:sz w:val="16"/>
              </w:rPr>
              <w:t>房产税</w:t>
            </w:r>
            <w:r>
              <w:rPr>
                <w:rFonts w:ascii="Arial" w:hAnsi="Arial" w:cs="Arial"/>
                <w:snapToGrid w:val="0"/>
                <w:sz w:val="16"/>
              </w:rPr>
              <w:t>+</w:t>
            </w:r>
            <w:r>
              <w:rPr>
                <w:rFonts w:ascii="Arial" w:hAnsi="Arial" w:cs="Arial"/>
                <w:snapToGrid w:val="0"/>
                <w:sz w:val="16"/>
              </w:rPr>
              <w:t>城镇土地使用税</w:t>
            </w:r>
          </w:p>
        </w:tc>
        <w:tc>
          <w:tcPr>
            <w:tcW w:w="805" w:type="pct"/>
            <w:tcBorders>
              <w:top w:val="nil"/>
              <w:left w:val="single" w:sz="4" w:space="0" w:color="auto"/>
              <w:bottom w:val="single" w:sz="4" w:space="0" w:color="auto"/>
              <w:right w:val="single" w:sz="4" w:space="0" w:color="auto"/>
            </w:tcBorders>
            <w:vAlign w:val="center"/>
          </w:tcPr>
          <w:p w14:paraId="77354F3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538" w:type="pct"/>
            <w:tcBorders>
              <w:top w:val="nil"/>
              <w:left w:val="nil"/>
              <w:bottom w:val="single" w:sz="4" w:space="0" w:color="auto"/>
              <w:right w:val="single" w:sz="8" w:space="0" w:color="auto"/>
            </w:tcBorders>
            <w:vAlign w:val="center"/>
          </w:tcPr>
          <w:p w14:paraId="532DB665"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r>
      <w:tr w:rsidR="00000000" w14:paraId="7FF03B28" w14:textId="77777777">
        <w:trPr>
          <w:trHeight w:val="360"/>
        </w:trPr>
        <w:tc>
          <w:tcPr>
            <w:tcW w:w="365" w:type="pct"/>
            <w:tcBorders>
              <w:top w:val="nil"/>
              <w:left w:val="single" w:sz="8" w:space="0" w:color="auto"/>
              <w:bottom w:val="single" w:sz="4" w:space="0" w:color="auto"/>
              <w:right w:val="single" w:sz="4" w:space="0" w:color="auto"/>
            </w:tcBorders>
            <w:noWrap/>
            <w:vAlign w:val="center"/>
          </w:tcPr>
          <w:p w14:paraId="73322DD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6716A91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511" w:type="pct"/>
            <w:tcBorders>
              <w:top w:val="nil"/>
              <w:left w:val="nil"/>
              <w:bottom w:val="single" w:sz="4" w:space="0" w:color="auto"/>
              <w:right w:val="single" w:sz="4" w:space="0" w:color="auto"/>
            </w:tcBorders>
            <w:noWrap/>
          </w:tcPr>
          <w:p w14:paraId="6B61B28A" w14:textId="77777777" w:rsidR="00000000" w:rsidRDefault="00000000">
            <w:pPr>
              <w:spacing w:line="240" w:lineRule="auto"/>
              <w:jc w:val="center"/>
              <w:rPr>
                <w:rFonts w:ascii="Arial" w:hAnsi="Arial" w:cs="Arial"/>
                <w:snapToGrid w:val="0"/>
                <w:sz w:val="16"/>
              </w:rPr>
            </w:pPr>
            <w:r>
              <w:rPr>
                <w:rFonts w:ascii="Arial" w:hAnsi="Arial" w:cs="Arial" w:hint="eastAsia"/>
                <w:snapToGrid w:val="0"/>
                <w:sz w:val="16"/>
              </w:rPr>
              <w:t>74.43</w:t>
            </w:r>
          </w:p>
        </w:tc>
        <w:tc>
          <w:tcPr>
            <w:tcW w:w="1754" w:type="pct"/>
            <w:tcBorders>
              <w:top w:val="nil"/>
              <w:left w:val="nil"/>
              <w:bottom w:val="single" w:sz="4" w:space="0" w:color="auto"/>
              <w:right w:val="single" w:sz="4" w:space="0" w:color="auto"/>
            </w:tcBorders>
            <w:vAlign w:val="center"/>
          </w:tcPr>
          <w:p w14:paraId="1E0B5A8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805" w:type="pct"/>
            <w:tcBorders>
              <w:top w:val="nil"/>
              <w:left w:val="nil"/>
              <w:bottom w:val="single" w:sz="4" w:space="0" w:color="auto"/>
              <w:right w:val="single" w:sz="4" w:space="0" w:color="auto"/>
            </w:tcBorders>
            <w:noWrap/>
            <w:vAlign w:val="center"/>
          </w:tcPr>
          <w:p w14:paraId="349C092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8" w:type="pct"/>
            <w:tcBorders>
              <w:top w:val="nil"/>
              <w:left w:val="nil"/>
              <w:bottom w:val="single" w:sz="4" w:space="0" w:color="auto"/>
              <w:right w:val="single" w:sz="8" w:space="0" w:color="auto"/>
            </w:tcBorders>
            <w:noWrap/>
            <w:vAlign w:val="center"/>
          </w:tcPr>
          <w:p w14:paraId="6118653A"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000000" w14:paraId="52053D4A" w14:textId="77777777">
        <w:trPr>
          <w:trHeight w:val="360"/>
        </w:trPr>
        <w:tc>
          <w:tcPr>
            <w:tcW w:w="365" w:type="pct"/>
            <w:tcBorders>
              <w:top w:val="nil"/>
              <w:left w:val="single" w:sz="8" w:space="0" w:color="auto"/>
              <w:bottom w:val="single" w:sz="4" w:space="0" w:color="auto"/>
              <w:right w:val="single" w:sz="4" w:space="0" w:color="auto"/>
            </w:tcBorders>
            <w:noWrap/>
            <w:vAlign w:val="center"/>
          </w:tcPr>
          <w:p w14:paraId="3E1A6C9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16C578E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511" w:type="pct"/>
            <w:tcBorders>
              <w:top w:val="nil"/>
              <w:left w:val="nil"/>
              <w:bottom w:val="single" w:sz="4" w:space="0" w:color="auto"/>
              <w:right w:val="single" w:sz="4" w:space="0" w:color="auto"/>
            </w:tcBorders>
            <w:noWrap/>
          </w:tcPr>
          <w:p w14:paraId="30BC4D20" w14:textId="77777777" w:rsidR="00000000" w:rsidRDefault="00000000">
            <w:pPr>
              <w:spacing w:line="240" w:lineRule="auto"/>
              <w:jc w:val="center"/>
              <w:rPr>
                <w:rFonts w:ascii="Arial" w:hAnsi="Arial" w:cs="Arial"/>
                <w:snapToGrid w:val="0"/>
                <w:sz w:val="16"/>
              </w:rPr>
            </w:pPr>
            <w:r>
              <w:rPr>
                <w:rFonts w:ascii="Arial" w:hAnsi="Arial" w:cs="Arial" w:hint="eastAsia"/>
                <w:snapToGrid w:val="0"/>
                <w:sz w:val="16"/>
              </w:rPr>
              <w:t>162.4</w:t>
            </w:r>
          </w:p>
        </w:tc>
        <w:tc>
          <w:tcPr>
            <w:tcW w:w="1754" w:type="pct"/>
            <w:tcBorders>
              <w:top w:val="nil"/>
              <w:left w:val="nil"/>
              <w:bottom w:val="single" w:sz="4" w:space="0" w:color="auto"/>
              <w:right w:val="single" w:sz="4" w:space="0" w:color="auto"/>
            </w:tcBorders>
            <w:vAlign w:val="center"/>
          </w:tcPr>
          <w:p w14:paraId="42E78D3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805" w:type="pct"/>
            <w:tcBorders>
              <w:top w:val="nil"/>
              <w:left w:val="nil"/>
              <w:bottom w:val="single" w:sz="4" w:space="0" w:color="auto"/>
              <w:right w:val="single" w:sz="4" w:space="0" w:color="auto"/>
            </w:tcBorders>
            <w:noWrap/>
            <w:vAlign w:val="center"/>
          </w:tcPr>
          <w:p w14:paraId="4821EAA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8" w:type="pct"/>
            <w:tcBorders>
              <w:top w:val="nil"/>
              <w:left w:val="nil"/>
              <w:bottom w:val="single" w:sz="4" w:space="0" w:color="auto"/>
              <w:right w:val="single" w:sz="8" w:space="0" w:color="auto"/>
            </w:tcBorders>
            <w:noWrap/>
            <w:vAlign w:val="center"/>
          </w:tcPr>
          <w:p w14:paraId="5833B074"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12.0</w:t>
            </w:r>
            <w:r>
              <w:rPr>
                <w:rFonts w:ascii="Arial" w:hAnsi="Arial" w:cs="Arial"/>
                <w:snapToGrid w:val="0"/>
                <w:sz w:val="16"/>
              </w:rPr>
              <w:t>%</w:t>
            </w:r>
          </w:p>
        </w:tc>
      </w:tr>
      <w:tr w:rsidR="00000000" w14:paraId="75211B03" w14:textId="77777777">
        <w:trPr>
          <w:trHeight w:val="90"/>
        </w:trPr>
        <w:tc>
          <w:tcPr>
            <w:tcW w:w="365" w:type="pct"/>
            <w:tcBorders>
              <w:top w:val="nil"/>
              <w:left w:val="single" w:sz="8" w:space="0" w:color="auto"/>
              <w:bottom w:val="nil"/>
              <w:right w:val="single" w:sz="4" w:space="0" w:color="auto"/>
            </w:tcBorders>
            <w:noWrap/>
            <w:vAlign w:val="center"/>
          </w:tcPr>
          <w:p w14:paraId="2E0D0FF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024" w:type="pct"/>
            <w:tcBorders>
              <w:top w:val="nil"/>
              <w:left w:val="nil"/>
              <w:bottom w:val="nil"/>
              <w:right w:val="single" w:sz="4" w:space="0" w:color="auto"/>
            </w:tcBorders>
            <w:noWrap/>
            <w:vAlign w:val="center"/>
          </w:tcPr>
          <w:p w14:paraId="462AF0B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511" w:type="pct"/>
            <w:tcBorders>
              <w:top w:val="nil"/>
              <w:left w:val="nil"/>
              <w:bottom w:val="nil"/>
              <w:right w:val="single" w:sz="4" w:space="0" w:color="auto"/>
            </w:tcBorders>
            <w:noWrap/>
          </w:tcPr>
          <w:p w14:paraId="78608E57" w14:textId="77777777" w:rsidR="00000000" w:rsidRDefault="00000000">
            <w:pPr>
              <w:spacing w:line="240" w:lineRule="auto"/>
              <w:jc w:val="center"/>
              <w:rPr>
                <w:rFonts w:ascii="Arial" w:hAnsi="Arial" w:cs="Arial"/>
                <w:snapToGrid w:val="0"/>
                <w:sz w:val="16"/>
              </w:rPr>
            </w:pPr>
            <w:r>
              <w:rPr>
                <w:rFonts w:ascii="Arial" w:hAnsi="Arial" w:cs="Arial" w:hint="eastAsia"/>
                <w:snapToGrid w:val="0"/>
                <w:sz w:val="16"/>
              </w:rPr>
              <w:t>2.13</w:t>
            </w:r>
          </w:p>
        </w:tc>
        <w:tc>
          <w:tcPr>
            <w:tcW w:w="1754" w:type="pct"/>
            <w:tcBorders>
              <w:top w:val="nil"/>
              <w:left w:val="nil"/>
              <w:bottom w:val="nil"/>
              <w:right w:val="single" w:sz="4" w:space="0" w:color="auto"/>
            </w:tcBorders>
            <w:vAlign w:val="center"/>
          </w:tcPr>
          <w:p w14:paraId="2B4189D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r>
              <w:rPr>
                <w:rFonts w:ascii="Arial" w:hAnsi="Arial" w:cs="Arial"/>
                <w:snapToGrid w:val="0"/>
                <w:sz w:val="16"/>
              </w:rPr>
              <w:t>×</w:t>
            </w:r>
            <w:r>
              <w:rPr>
                <w:rFonts w:ascii="Arial" w:hAnsi="Arial" w:cs="Arial"/>
                <w:snapToGrid w:val="0"/>
                <w:sz w:val="16"/>
              </w:rPr>
              <w:t>取费标准</w:t>
            </w:r>
          </w:p>
        </w:tc>
        <w:tc>
          <w:tcPr>
            <w:tcW w:w="805" w:type="pct"/>
            <w:tcBorders>
              <w:top w:val="nil"/>
              <w:left w:val="nil"/>
              <w:bottom w:val="single" w:sz="4" w:space="0" w:color="auto"/>
              <w:right w:val="single" w:sz="4" w:space="0" w:color="auto"/>
            </w:tcBorders>
            <w:noWrap/>
            <w:vAlign w:val="center"/>
          </w:tcPr>
          <w:p w14:paraId="0C525FE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r>
              <w:rPr>
                <w:rFonts w:ascii="Arial" w:hAnsi="Arial" w:cs="Arial"/>
                <w:snapToGrid w:val="0"/>
                <w:sz w:val="16"/>
              </w:rPr>
              <w:t>/</w:t>
            </w:r>
            <w:r>
              <w:rPr>
                <w:rFonts w:ascii="Arial" w:hAnsi="Arial" w:cs="Arial"/>
                <w:snapToGrid w:val="0"/>
                <w:sz w:val="16"/>
              </w:rPr>
              <w:t>㎡）</w:t>
            </w:r>
          </w:p>
        </w:tc>
        <w:tc>
          <w:tcPr>
            <w:tcW w:w="538" w:type="pct"/>
            <w:tcBorders>
              <w:top w:val="nil"/>
              <w:left w:val="nil"/>
              <w:bottom w:val="single" w:sz="4" w:space="0" w:color="auto"/>
              <w:right w:val="single" w:sz="8" w:space="0" w:color="auto"/>
            </w:tcBorders>
            <w:noWrap/>
            <w:vAlign w:val="center"/>
          </w:tcPr>
          <w:p w14:paraId="4F36672D"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000000" w14:paraId="31B2AE4C" w14:textId="77777777">
        <w:trPr>
          <w:trHeight w:val="360"/>
        </w:trPr>
        <w:tc>
          <w:tcPr>
            <w:tcW w:w="365" w:type="pct"/>
            <w:tcBorders>
              <w:top w:val="nil"/>
              <w:left w:val="single" w:sz="8" w:space="0" w:color="auto"/>
              <w:bottom w:val="single" w:sz="4" w:space="0" w:color="auto"/>
              <w:right w:val="single" w:sz="4" w:space="0" w:color="auto"/>
            </w:tcBorders>
            <w:noWrap/>
            <w:vAlign w:val="center"/>
          </w:tcPr>
          <w:p w14:paraId="121630F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24" w:type="pct"/>
            <w:tcBorders>
              <w:top w:val="nil"/>
              <w:left w:val="nil"/>
              <w:bottom w:val="single" w:sz="4" w:space="0" w:color="auto"/>
              <w:right w:val="single" w:sz="4" w:space="0" w:color="auto"/>
            </w:tcBorders>
            <w:noWrap/>
            <w:vAlign w:val="center"/>
          </w:tcPr>
          <w:p w14:paraId="786206C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11" w:type="pct"/>
            <w:tcBorders>
              <w:top w:val="nil"/>
              <w:left w:val="nil"/>
              <w:bottom w:val="single" w:sz="4" w:space="0" w:color="auto"/>
              <w:right w:val="single" w:sz="4" w:space="0" w:color="auto"/>
            </w:tcBorders>
            <w:noWrap/>
          </w:tcPr>
          <w:p w14:paraId="63AB6C04" w14:textId="77777777" w:rsidR="00000000" w:rsidRDefault="00000000">
            <w:pPr>
              <w:spacing w:line="240" w:lineRule="auto"/>
              <w:jc w:val="center"/>
              <w:rPr>
                <w:rFonts w:ascii="Arial" w:hAnsi="Arial" w:cs="Arial"/>
                <w:snapToGrid w:val="0"/>
                <w:sz w:val="16"/>
              </w:rPr>
            </w:pPr>
          </w:p>
        </w:tc>
        <w:tc>
          <w:tcPr>
            <w:tcW w:w="1754" w:type="pct"/>
            <w:tcBorders>
              <w:top w:val="nil"/>
              <w:left w:val="nil"/>
              <w:bottom w:val="single" w:sz="4" w:space="0" w:color="auto"/>
              <w:right w:val="single" w:sz="4" w:space="0" w:color="auto"/>
            </w:tcBorders>
            <w:vAlign w:val="center"/>
          </w:tcPr>
          <w:p w14:paraId="425BC06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single" w:sz="4" w:space="0" w:color="auto"/>
              <w:right w:val="single" w:sz="4" w:space="0" w:color="auto"/>
            </w:tcBorders>
            <w:noWrap/>
            <w:vAlign w:val="center"/>
          </w:tcPr>
          <w:p w14:paraId="54F0046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538" w:type="pct"/>
            <w:tcBorders>
              <w:top w:val="nil"/>
              <w:left w:val="nil"/>
              <w:bottom w:val="single" w:sz="4" w:space="0" w:color="auto"/>
              <w:right w:val="single" w:sz="8" w:space="0" w:color="auto"/>
            </w:tcBorders>
            <w:noWrap/>
            <w:vAlign w:val="center"/>
          </w:tcPr>
          <w:p w14:paraId="16E6DCD6"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14181.95</w:t>
            </w:r>
          </w:p>
        </w:tc>
      </w:tr>
      <w:tr w:rsidR="00000000" w14:paraId="36E5A700" w14:textId="77777777">
        <w:trPr>
          <w:trHeight w:val="360"/>
        </w:trPr>
        <w:tc>
          <w:tcPr>
            <w:tcW w:w="365" w:type="pct"/>
            <w:tcBorders>
              <w:top w:val="nil"/>
              <w:left w:val="single" w:sz="8" w:space="0" w:color="auto"/>
              <w:bottom w:val="single" w:sz="4" w:space="0" w:color="auto"/>
              <w:right w:val="single" w:sz="4" w:space="0" w:color="auto"/>
            </w:tcBorders>
            <w:noWrap/>
            <w:vAlign w:val="center"/>
          </w:tcPr>
          <w:p w14:paraId="2ED5681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4C05E81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511" w:type="pct"/>
            <w:tcBorders>
              <w:top w:val="nil"/>
              <w:left w:val="nil"/>
              <w:bottom w:val="single" w:sz="4" w:space="0" w:color="auto"/>
              <w:right w:val="single" w:sz="4" w:space="0" w:color="auto"/>
            </w:tcBorders>
            <w:noWrap/>
          </w:tcPr>
          <w:p w14:paraId="19A639CA" w14:textId="77777777" w:rsidR="00000000" w:rsidRDefault="00000000">
            <w:pPr>
              <w:spacing w:line="240" w:lineRule="auto"/>
              <w:jc w:val="center"/>
              <w:rPr>
                <w:rFonts w:ascii="Arial" w:hAnsi="Arial" w:cs="Arial"/>
                <w:snapToGrid w:val="0"/>
                <w:sz w:val="16"/>
              </w:rPr>
            </w:pPr>
            <w:r>
              <w:rPr>
                <w:rFonts w:ascii="Arial" w:hAnsi="Arial" w:cs="Arial" w:hint="eastAsia"/>
                <w:snapToGrid w:val="0"/>
                <w:sz w:val="16"/>
              </w:rPr>
              <w:t>88.84</w:t>
            </w:r>
          </w:p>
        </w:tc>
        <w:tc>
          <w:tcPr>
            <w:tcW w:w="1754" w:type="pct"/>
            <w:tcBorders>
              <w:top w:val="nil"/>
              <w:left w:val="nil"/>
              <w:bottom w:val="single" w:sz="4" w:space="0" w:color="auto"/>
              <w:right w:val="single" w:sz="4" w:space="0" w:color="auto"/>
            </w:tcBorders>
            <w:vAlign w:val="center"/>
          </w:tcPr>
          <w:p w14:paraId="1903B60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维修费率</w:t>
            </w:r>
          </w:p>
        </w:tc>
        <w:tc>
          <w:tcPr>
            <w:tcW w:w="805" w:type="pct"/>
            <w:tcBorders>
              <w:top w:val="nil"/>
              <w:left w:val="nil"/>
              <w:bottom w:val="single" w:sz="4" w:space="0" w:color="auto"/>
              <w:right w:val="single" w:sz="4" w:space="0" w:color="auto"/>
            </w:tcBorders>
            <w:noWrap/>
            <w:vAlign w:val="center"/>
          </w:tcPr>
          <w:p w14:paraId="3E6AF47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8" w:type="pct"/>
            <w:tcBorders>
              <w:top w:val="nil"/>
              <w:left w:val="nil"/>
              <w:bottom w:val="single" w:sz="4" w:space="0" w:color="auto"/>
              <w:right w:val="single" w:sz="8" w:space="0" w:color="auto"/>
            </w:tcBorders>
            <w:noWrap/>
            <w:vAlign w:val="center"/>
          </w:tcPr>
          <w:p w14:paraId="283290B1"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0.50</w:t>
            </w:r>
            <w:r>
              <w:rPr>
                <w:rFonts w:ascii="Arial" w:hAnsi="Arial" w:cs="Arial"/>
                <w:snapToGrid w:val="0"/>
                <w:sz w:val="16"/>
              </w:rPr>
              <w:t>%</w:t>
            </w:r>
          </w:p>
        </w:tc>
      </w:tr>
      <w:tr w:rsidR="00000000" w14:paraId="4CAA53BD" w14:textId="77777777">
        <w:trPr>
          <w:trHeight w:val="360"/>
        </w:trPr>
        <w:tc>
          <w:tcPr>
            <w:tcW w:w="365" w:type="pct"/>
            <w:tcBorders>
              <w:top w:val="nil"/>
              <w:left w:val="single" w:sz="8" w:space="0" w:color="auto"/>
              <w:bottom w:val="single" w:sz="4" w:space="0" w:color="auto"/>
              <w:right w:val="single" w:sz="4" w:space="0" w:color="auto"/>
            </w:tcBorders>
            <w:noWrap/>
            <w:vAlign w:val="center"/>
          </w:tcPr>
          <w:p w14:paraId="2344768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024" w:type="pct"/>
            <w:tcBorders>
              <w:top w:val="nil"/>
              <w:left w:val="nil"/>
              <w:bottom w:val="single" w:sz="4" w:space="0" w:color="auto"/>
              <w:right w:val="single" w:sz="4" w:space="0" w:color="auto"/>
            </w:tcBorders>
            <w:noWrap/>
            <w:vAlign w:val="center"/>
          </w:tcPr>
          <w:p w14:paraId="1483F67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511" w:type="pct"/>
            <w:tcBorders>
              <w:top w:val="nil"/>
              <w:left w:val="nil"/>
              <w:bottom w:val="single" w:sz="4" w:space="0" w:color="auto"/>
              <w:right w:val="single" w:sz="4" w:space="0" w:color="auto"/>
            </w:tcBorders>
            <w:noWrap/>
          </w:tcPr>
          <w:p w14:paraId="25939391" w14:textId="77777777" w:rsidR="00000000" w:rsidRDefault="00000000">
            <w:pPr>
              <w:spacing w:line="240" w:lineRule="auto"/>
              <w:jc w:val="center"/>
              <w:rPr>
                <w:rFonts w:ascii="Arial" w:hAnsi="Arial" w:cs="Arial"/>
                <w:snapToGrid w:val="0"/>
                <w:sz w:val="16"/>
              </w:rPr>
            </w:pPr>
            <w:r>
              <w:rPr>
                <w:rFonts w:ascii="Arial" w:hAnsi="Arial" w:cs="Arial" w:hint="eastAsia"/>
                <w:snapToGrid w:val="0"/>
                <w:sz w:val="16"/>
              </w:rPr>
              <w:t>17.77</w:t>
            </w:r>
          </w:p>
        </w:tc>
        <w:tc>
          <w:tcPr>
            <w:tcW w:w="1754" w:type="pct"/>
            <w:tcBorders>
              <w:top w:val="nil"/>
              <w:left w:val="nil"/>
              <w:bottom w:val="single" w:sz="4" w:space="0" w:color="auto"/>
              <w:right w:val="single" w:sz="4" w:space="0" w:color="auto"/>
            </w:tcBorders>
            <w:vAlign w:val="center"/>
          </w:tcPr>
          <w:p w14:paraId="2990F51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现值</w:t>
            </w:r>
            <w:r>
              <w:rPr>
                <w:rFonts w:ascii="Arial" w:hAnsi="Arial" w:cs="Arial"/>
                <w:snapToGrid w:val="0"/>
                <w:sz w:val="16"/>
              </w:rPr>
              <w:t>×</w:t>
            </w:r>
            <w:r>
              <w:rPr>
                <w:rFonts w:ascii="Arial" w:hAnsi="Arial" w:cs="Arial"/>
                <w:snapToGrid w:val="0"/>
                <w:sz w:val="16"/>
              </w:rPr>
              <w:t>保险费率</w:t>
            </w:r>
          </w:p>
        </w:tc>
        <w:tc>
          <w:tcPr>
            <w:tcW w:w="805" w:type="pct"/>
            <w:tcBorders>
              <w:top w:val="nil"/>
              <w:left w:val="nil"/>
              <w:bottom w:val="single" w:sz="4" w:space="0" w:color="auto"/>
              <w:right w:val="single" w:sz="4" w:space="0" w:color="auto"/>
            </w:tcBorders>
            <w:noWrap/>
            <w:vAlign w:val="center"/>
          </w:tcPr>
          <w:p w14:paraId="391693B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8" w:type="pct"/>
            <w:tcBorders>
              <w:top w:val="nil"/>
              <w:left w:val="nil"/>
              <w:bottom w:val="single" w:sz="4" w:space="0" w:color="auto"/>
              <w:right w:val="single" w:sz="8" w:space="0" w:color="auto"/>
            </w:tcBorders>
            <w:noWrap/>
            <w:vAlign w:val="center"/>
          </w:tcPr>
          <w:p w14:paraId="322EE8EB"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r>
              <w:rPr>
                <w:rFonts w:ascii="Arial" w:hAnsi="Arial" w:cs="Arial" w:hint="eastAsia"/>
                <w:snapToGrid w:val="0"/>
                <w:sz w:val="16"/>
              </w:rPr>
              <w:t>100</w:t>
            </w:r>
            <w:r>
              <w:rPr>
                <w:rFonts w:ascii="Arial" w:hAnsi="Arial" w:cs="Arial"/>
                <w:snapToGrid w:val="0"/>
                <w:sz w:val="16"/>
              </w:rPr>
              <w:t>%</w:t>
            </w:r>
          </w:p>
        </w:tc>
      </w:tr>
      <w:tr w:rsidR="00000000" w14:paraId="124529A8" w14:textId="77777777">
        <w:trPr>
          <w:trHeight w:val="360"/>
        </w:trPr>
        <w:tc>
          <w:tcPr>
            <w:tcW w:w="365" w:type="pct"/>
            <w:tcBorders>
              <w:top w:val="nil"/>
              <w:left w:val="single" w:sz="8" w:space="0" w:color="auto"/>
              <w:bottom w:val="double" w:sz="6" w:space="0" w:color="auto"/>
              <w:right w:val="single" w:sz="4" w:space="0" w:color="auto"/>
            </w:tcBorders>
            <w:noWrap/>
            <w:vAlign w:val="center"/>
          </w:tcPr>
          <w:p w14:paraId="3D5B67B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024" w:type="pct"/>
            <w:tcBorders>
              <w:top w:val="nil"/>
              <w:left w:val="nil"/>
              <w:bottom w:val="double" w:sz="6" w:space="0" w:color="auto"/>
              <w:right w:val="single" w:sz="4" w:space="0" w:color="auto"/>
            </w:tcBorders>
            <w:noWrap/>
            <w:vAlign w:val="center"/>
          </w:tcPr>
          <w:p w14:paraId="76A7444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1" w:type="pct"/>
            <w:tcBorders>
              <w:top w:val="nil"/>
              <w:left w:val="nil"/>
              <w:bottom w:val="double" w:sz="6" w:space="0" w:color="auto"/>
              <w:right w:val="single" w:sz="4" w:space="0" w:color="auto"/>
            </w:tcBorders>
            <w:noWrap/>
          </w:tcPr>
          <w:p w14:paraId="09F24ADB" w14:textId="77777777" w:rsidR="00000000" w:rsidRDefault="00000000">
            <w:pPr>
              <w:spacing w:line="240" w:lineRule="auto"/>
              <w:jc w:val="center"/>
              <w:rPr>
                <w:rFonts w:ascii="Arial" w:hAnsi="Arial" w:cs="Arial"/>
                <w:snapToGrid w:val="0"/>
                <w:sz w:val="16"/>
              </w:rPr>
            </w:pPr>
            <w:r>
              <w:rPr>
                <w:rFonts w:ascii="Arial" w:hAnsi="Arial" w:cs="Arial" w:hint="eastAsia"/>
                <w:snapToGrid w:val="0"/>
                <w:sz w:val="16"/>
              </w:rPr>
              <w:t>7.12</w:t>
            </w:r>
          </w:p>
        </w:tc>
        <w:tc>
          <w:tcPr>
            <w:tcW w:w="1754" w:type="pct"/>
            <w:tcBorders>
              <w:top w:val="nil"/>
              <w:left w:val="nil"/>
              <w:bottom w:val="double" w:sz="6" w:space="0" w:color="auto"/>
              <w:right w:val="single" w:sz="4" w:space="0" w:color="auto"/>
            </w:tcBorders>
            <w:vAlign w:val="center"/>
          </w:tcPr>
          <w:p w14:paraId="2F2E73E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p>
        </w:tc>
        <w:tc>
          <w:tcPr>
            <w:tcW w:w="805" w:type="pct"/>
            <w:tcBorders>
              <w:top w:val="nil"/>
              <w:left w:val="nil"/>
              <w:bottom w:val="double" w:sz="6" w:space="0" w:color="auto"/>
              <w:right w:val="single" w:sz="4" w:space="0" w:color="auto"/>
            </w:tcBorders>
            <w:noWrap/>
            <w:vAlign w:val="center"/>
          </w:tcPr>
          <w:p w14:paraId="2421FFB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538" w:type="pct"/>
            <w:tcBorders>
              <w:top w:val="nil"/>
              <w:left w:val="nil"/>
              <w:bottom w:val="double" w:sz="6" w:space="0" w:color="auto"/>
              <w:right w:val="single" w:sz="8" w:space="0" w:color="auto"/>
            </w:tcBorders>
            <w:noWrap/>
            <w:vAlign w:val="center"/>
          </w:tcPr>
          <w:p w14:paraId="475B3D22"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0.5</w:t>
            </w:r>
            <w:r>
              <w:rPr>
                <w:rFonts w:ascii="Arial" w:hAnsi="Arial" w:cs="Arial"/>
                <w:snapToGrid w:val="0"/>
                <w:sz w:val="16"/>
              </w:rPr>
              <w:t>%</w:t>
            </w:r>
          </w:p>
        </w:tc>
      </w:tr>
      <w:tr w:rsidR="00000000" w14:paraId="29DAD394" w14:textId="77777777">
        <w:trPr>
          <w:trHeight w:val="492"/>
        </w:trPr>
        <w:tc>
          <w:tcPr>
            <w:tcW w:w="365" w:type="pct"/>
            <w:tcBorders>
              <w:top w:val="nil"/>
              <w:left w:val="single" w:sz="8" w:space="0" w:color="auto"/>
              <w:bottom w:val="single" w:sz="4" w:space="0" w:color="auto"/>
              <w:right w:val="single" w:sz="4" w:space="0" w:color="auto"/>
            </w:tcBorders>
            <w:noWrap/>
            <w:vAlign w:val="center"/>
          </w:tcPr>
          <w:p w14:paraId="025BBF8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4" w:type="pct"/>
            <w:tcBorders>
              <w:top w:val="nil"/>
              <w:left w:val="nil"/>
              <w:bottom w:val="single" w:sz="4" w:space="0" w:color="auto"/>
              <w:right w:val="single" w:sz="4" w:space="0" w:color="auto"/>
            </w:tcBorders>
            <w:vAlign w:val="center"/>
          </w:tcPr>
          <w:p w14:paraId="14CEE83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511" w:type="pct"/>
            <w:tcBorders>
              <w:top w:val="nil"/>
              <w:left w:val="nil"/>
              <w:bottom w:val="single" w:sz="4" w:space="0" w:color="auto"/>
              <w:right w:val="single" w:sz="4" w:space="0" w:color="auto"/>
            </w:tcBorders>
            <w:noWrap/>
            <w:vAlign w:val="center"/>
          </w:tcPr>
          <w:p w14:paraId="60B082B1" w14:textId="77777777" w:rsidR="00000000" w:rsidRDefault="00000000">
            <w:pPr>
              <w:spacing w:line="240" w:lineRule="auto"/>
              <w:jc w:val="center"/>
              <w:rPr>
                <w:rFonts w:ascii="Arial" w:hAnsi="Arial" w:cs="Arial"/>
                <w:snapToGrid w:val="0"/>
                <w:sz w:val="16"/>
              </w:rPr>
            </w:pPr>
            <w:r>
              <w:rPr>
                <w:rFonts w:ascii="Arial" w:hAnsi="Arial" w:cs="Arial" w:hint="eastAsia"/>
                <w:snapToGrid w:val="0"/>
                <w:sz w:val="16"/>
              </w:rPr>
              <w:t>1070</w:t>
            </w:r>
          </w:p>
        </w:tc>
        <w:tc>
          <w:tcPr>
            <w:tcW w:w="1754" w:type="pct"/>
            <w:tcBorders>
              <w:top w:val="nil"/>
              <w:left w:val="nil"/>
              <w:bottom w:val="single" w:sz="4" w:space="0" w:color="auto"/>
              <w:right w:val="nil"/>
            </w:tcBorders>
            <w:vAlign w:val="center"/>
          </w:tcPr>
          <w:p w14:paraId="6E92ADE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年经营费用</w:t>
            </w:r>
          </w:p>
        </w:tc>
        <w:tc>
          <w:tcPr>
            <w:tcW w:w="805" w:type="pct"/>
            <w:tcBorders>
              <w:top w:val="nil"/>
              <w:left w:val="nil"/>
              <w:bottom w:val="single" w:sz="4" w:space="0" w:color="auto"/>
              <w:right w:val="nil"/>
            </w:tcBorders>
            <w:vAlign w:val="center"/>
          </w:tcPr>
          <w:p w14:paraId="0C27069D"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538" w:type="pct"/>
            <w:tcBorders>
              <w:top w:val="nil"/>
              <w:left w:val="nil"/>
              <w:bottom w:val="single" w:sz="4" w:space="0" w:color="auto"/>
              <w:right w:val="single" w:sz="8" w:space="0" w:color="auto"/>
            </w:tcBorders>
            <w:vAlign w:val="center"/>
          </w:tcPr>
          <w:p w14:paraId="50355A6C"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000000" w14:paraId="417454C3" w14:textId="77777777">
        <w:trPr>
          <w:trHeight w:val="360"/>
        </w:trPr>
        <w:tc>
          <w:tcPr>
            <w:tcW w:w="365" w:type="pct"/>
            <w:tcBorders>
              <w:top w:val="nil"/>
              <w:left w:val="single" w:sz="8" w:space="0" w:color="auto"/>
              <w:bottom w:val="nil"/>
              <w:right w:val="single" w:sz="4" w:space="0" w:color="auto"/>
            </w:tcBorders>
            <w:noWrap/>
            <w:vAlign w:val="center"/>
          </w:tcPr>
          <w:p w14:paraId="4AF38F4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24" w:type="pct"/>
            <w:tcBorders>
              <w:top w:val="nil"/>
              <w:left w:val="nil"/>
              <w:bottom w:val="nil"/>
              <w:right w:val="single" w:sz="4" w:space="0" w:color="auto"/>
            </w:tcBorders>
            <w:vAlign w:val="center"/>
          </w:tcPr>
          <w:p w14:paraId="7CCCB80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511" w:type="pct"/>
            <w:tcBorders>
              <w:top w:val="nil"/>
              <w:left w:val="nil"/>
              <w:bottom w:val="nil"/>
              <w:right w:val="single" w:sz="4" w:space="0" w:color="auto"/>
            </w:tcBorders>
            <w:noWrap/>
            <w:vAlign w:val="center"/>
          </w:tcPr>
          <w:p w14:paraId="54BD2D46" w14:textId="77777777" w:rsidR="00000000" w:rsidRDefault="00000000">
            <w:pPr>
              <w:spacing w:line="240" w:lineRule="auto"/>
              <w:jc w:val="center"/>
              <w:rPr>
                <w:rFonts w:ascii="Arial" w:hAnsi="Arial" w:cs="Arial"/>
                <w:snapToGrid w:val="0"/>
                <w:sz w:val="16"/>
              </w:rPr>
            </w:pPr>
            <w:r>
              <w:rPr>
                <w:rFonts w:ascii="Arial" w:hAnsi="Arial" w:cs="Arial" w:hint="eastAsia"/>
                <w:snapToGrid w:val="0"/>
                <w:sz w:val="16"/>
              </w:rPr>
              <w:t>22914</w:t>
            </w:r>
          </w:p>
        </w:tc>
        <w:tc>
          <w:tcPr>
            <w:tcW w:w="1754" w:type="pct"/>
            <w:tcBorders>
              <w:top w:val="nil"/>
              <w:left w:val="nil"/>
              <w:bottom w:val="nil"/>
              <w:right w:val="single" w:sz="4" w:space="0" w:color="auto"/>
            </w:tcBorders>
            <w:vAlign w:val="center"/>
          </w:tcPr>
          <w:p w14:paraId="787EC7F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r>
              <w:rPr>
                <w:rFonts w:ascii="Arial" w:hAnsi="Arial" w:cs="Arial"/>
                <w:snapToGrid w:val="0"/>
                <w:sz w:val="16"/>
              </w:rPr>
              <w:t>×</w:t>
            </w:r>
          </w:p>
        </w:tc>
        <w:tc>
          <w:tcPr>
            <w:tcW w:w="805" w:type="pct"/>
            <w:tcBorders>
              <w:top w:val="nil"/>
              <w:left w:val="nil"/>
              <w:bottom w:val="single" w:sz="4" w:space="0" w:color="auto"/>
              <w:right w:val="single" w:sz="4" w:space="0" w:color="auto"/>
            </w:tcBorders>
            <w:noWrap/>
            <w:vAlign w:val="center"/>
          </w:tcPr>
          <w:p w14:paraId="32C96FD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还原率（</w:t>
            </w:r>
            <w:r>
              <w:rPr>
                <w:rFonts w:ascii="Arial" w:hAnsi="Arial" w:cs="Arial"/>
                <w:snapToGrid w:val="0"/>
                <w:sz w:val="16"/>
              </w:rPr>
              <w:t>Y</w:t>
            </w:r>
            <w:r>
              <w:rPr>
                <w:rFonts w:ascii="Arial" w:hAnsi="Arial" w:cs="Arial"/>
                <w:snapToGrid w:val="0"/>
                <w:sz w:val="16"/>
              </w:rPr>
              <w:t>）</w:t>
            </w:r>
          </w:p>
        </w:tc>
        <w:tc>
          <w:tcPr>
            <w:tcW w:w="538" w:type="pct"/>
            <w:tcBorders>
              <w:top w:val="nil"/>
              <w:left w:val="nil"/>
              <w:bottom w:val="single" w:sz="4" w:space="0" w:color="auto"/>
              <w:right w:val="single" w:sz="8" w:space="0" w:color="auto"/>
            </w:tcBorders>
            <w:noWrap/>
            <w:vAlign w:val="center"/>
          </w:tcPr>
          <w:p w14:paraId="74D599A5"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5.0</w:t>
            </w:r>
            <w:r>
              <w:rPr>
                <w:rFonts w:ascii="Arial" w:hAnsi="Arial" w:cs="Arial"/>
                <w:snapToGrid w:val="0"/>
                <w:sz w:val="16"/>
              </w:rPr>
              <w:t>%</w:t>
            </w:r>
          </w:p>
        </w:tc>
      </w:tr>
      <w:tr w:rsidR="00000000" w14:paraId="10283FFC" w14:textId="77777777">
        <w:trPr>
          <w:trHeight w:val="360"/>
        </w:trPr>
        <w:tc>
          <w:tcPr>
            <w:tcW w:w="365" w:type="pct"/>
            <w:tcBorders>
              <w:top w:val="nil"/>
              <w:left w:val="single" w:sz="8" w:space="0" w:color="auto"/>
              <w:bottom w:val="nil"/>
              <w:right w:val="single" w:sz="4" w:space="0" w:color="auto"/>
            </w:tcBorders>
            <w:noWrap/>
            <w:vAlign w:val="center"/>
          </w:tcPr>
          <w:p w14:paraId="26E4A69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lastRenderedPageBreak/>
              <w:t xml:space="preserve">　</w:t>
            </w:r>
          </w:p>
        </w:tc>
        <w:tc>
          <w:tcPr>
            <w:tcW w:w="1024" w:type="pct"/>
            <w:tcBorders>
              <w:top w:val="nil"/>
              <w:left w:val="nil"/>
              <w:bottom w:val="nil"/>
              <w:right w:val="single" w:sz="4" w:space="0" w:color="auto"/>
            </w:tcBorders>
            <w:vAlign w:val="center"/>
          </w:tcPr>
          <w:p w14:paraId="2CD6C77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11" w:type="pct"/>
            <w:tcBorders>
              <w:top w:val="nil"/>
              <w:left w:val="nil"/>
              <w:bottom w:val="nil"/>
              <w:right w:val="single" w:sz="4" w:space="0" w:color="auto"/>
            </w:tcBorders>
            <w:noWrap/>
            <w:vAlign w:val="center"/>
          </w:tcPr>
          <w:p w14:paraId="46AF0250" w14:textId="77777777" w:rsidR="00000000" w:rsidRDefault="00000000">
            <w:pPr>
              <w:spacing w:line="240" w:lineRule="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nil"/>
              <w:right w:val="single" w:sz="4" w:space="0" w:color="auto"/>
            </w:tcBorders>
            <w:vAlign w:val="center"/>
          </w:tcPr>
          <w:p w14:paraId="42F887F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r>
              <w:rPr>
                <w:rFonts w:ascii="Arial" w:hAnsi="Arial" w:cs="Arial"/>
                <w:snapToGrid w:val="0"/>
                <w:sz w:val="16"/>
              </w:rPr>
              <w:t>(1+g)/(1+Y)</w:t>
            </w:r>
            <w:r>
              <w:rPr>
                <w:rFonts w:ascii="Arial" w:hAnsi="Arial" w:cs="Arial"/>
                <w:snapToGrid w:val="0"/>
                <w:sz w:val="16"/>
              </w:rPr>
              <w:t>）</w:t>
            </w:r>
            <w:r>
              <w:rPr>
                <w:rFonts w:ascii="Arial" w:hAnsi="Arial" w:cs="Arial"/>
                <w:snapToGrid w:val="0"/>
                <w:sz w:val="16"/>
              </w:rPr>
              <w:t xml:space="preserve"> ^n ]/(Y-g)</w:t>
            </w:r>
          </w:p>
        </w:tc>
        <w:tc>
          <w:tcPr>
            <w:tcW w:w="805" w:type="pct"/>
            <w:tcBorders>
              <w:top w:val="nil"/>
              <w:left w:val="nil"/>
              <w:bottom w:val="single" w:sz="4" w:space="0" w:color="auto"/>
              <w:right w:val="single" w:sz="4" w:space="0" w:color="auto"/>
            </w:tcBorders>
            <w:noWrap/>
            <w:vAlign w:val="center"/>
          </w:tcPr>
          <w:p w14:paraId="5385AEF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收益年期</w:t>
            </w:r>
            <w:r>
              <w:rPr>
                <w:rFonts w:ascii="Arial" w:hAnsi="Arial" w:cs="Arial"/>
                <w:snapToGrid w:val="0"/>
                <w:sz w:val="16"/>
              </w:rPr>
              <w:t>(n)</w:t>
            </w:r>
          </w:p>
        </w:tc>
        <w:tc>
          <w:tcPr>
            <w:tcW w:w="538" w:type="pct"/>
            <w:tcBorders>
              <w:top w:val="nil"/>
              <w:left w:val="nil"/>
              <w:bottom w:val="single" w:sz="4" w:space="0" w:color="auto"/>
              <w:right w:val="single" w:sz="8" w:space="0" w:color="auto"/>
            </w:tcBorders>
            <w:noWrap/>
            <w:vAlign w:val="center"/>
          </w:tcPr>
          <w:p w14:paraId="4A96A441"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50.00 </w:t>
            </w:r>
          </w:p>
        </w:tc>
      </w:tr>
      <w:tr w:rsidR="00000000" w14:paraId="3E0C7639" w14:textId="77777777">
        <w:trPr>
          <w:trHeight w:val="360"/>
        </w:trPr>
        <w:tc>
          <w:tcPr>
            <w:tcW w:w="365" w:type="pct"/>
            <w:tcBorders>
              <w:top w:val="nil"/>
              <w:left w:val="single" w:sz="8" w:space="0" w:color="auto"/>
              <w:bottom w:val="single" w:sz="4" w:space="0" w:color="auto"/>
              <w:right w:val="single" w:sz="4" w:space="0" w:color="auto"/>
            </w:tcBorders>
            <w:noWrap/>
            <w:vAlign w:val="center"/>
          </w:tcPr>
          <w:p w14:paraId="732B6F6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24" w:type="pct"/>
            <w:tcBorders>
              <w:top w:val="nil"/>
              <w:left w:val="nil"/>
              <w:bottom w:val="single" w:sz="4" w:space="0" w:color="auto"/>
              <w:right w:val="single" w:sz="4" w:space="0" w:color="auto"/>
            </w:tcBorders>
            <w:vAlign w:val="center"/>
          </w:tcPr>
          <w:p w14:paraId="645CA4F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11" w:type="pct"/>
            <w:tcBorders>
              <w:top w:val="nil"/>
              <w:left w:val="nil"/>
              <w:bottom w:val="single" w:sz="4" w:space="0" w:color="auto"/>
              <w:right w:val="single" w:sz="4" w:space="0" w:color="auto"/>
            </w:tcBorders>
            <w:noWrap/>
            <w:vAlign w:val="center"/>
          </w:tcPr>
          <w:p w14:paraId="51328C7F" w14:textId="77777777" w:rsidR="00000000" w:rsidRDefault="00000000">
            <w:pPr>
              <w:spacing w:line="240" w:lineRule="auto"/>
              <w:rPr>
                <w:rFonts w:ascii="Arial" w:hAnsi="Arial" w:cs="Arial"/>
                <w:snapToGrid w:val="0"/>
                <w:sz w:val="16"/>
              </w:rPr>
            </w:pPr>
            <w:r>
              <w:rPr>
                <w:rFonts w:ascii="Arial" w:hAnsi="Arial" w:cs="Arial"/>
                <w:snapToGrid w:val="0"/>
                <w:sz w:val="16"/>
              </w:rPr>
              <w:t xml:space="preserve">　</w:t>
            </w:r>
          </w:p>
        </w:tc>
        <w:tc>
          <w:tcPr>
            <w:tcW w:w="1754" w:type="pct"/>
            <w:tcBorders>
              <w:top w:val="nil"/>
              <w:left w:val="nil"/>
              <w:bottom w:val="single" w:sz="4" w:space="0" w:color="auto"/>
              <w:right w:val="single" w:sz="4" w:space="0" w:color="auto"/>
            </w:tcBorders>
            <w:vAlign w:val="center"/>
          </w:tcPr>
          <w:p w14:paraId="1B44D76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05" w:type="pct"/>
            <w:tcBorders>
              <w:top w:val="nil"/>
              <w:left w:val="nil"/>
              <w:bottom w:val="single" w:sz="4" w:space="0" w:color="auto"/>
              <w:right w:val="single" w:sz="4" w:space="0" w:color="auto"/>
            </w:tcBorders>
            <w:noWrap/>
            <w:vAlign w:val="center"/>
          </w:tcPr>
          <w:p w14:paraId="3B0765A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年增长比率</w:t>
            </w:r>
            <w:r>
              <w:rPr>
                <w:rFonts w:ascii="Arial" w:hAnsi="Arial" w:cs="Arial"/>
                <w:snapToGrid w:val="0"/>
                <w:sz w:val="16"/>
              </w:rPr>
              <w:t>(g)</w:t>
            </w:r>
          </w:p>
        </w:tc>
        <w:tc>
          <w:tcPr>
            <w:tcW w:w="538" w:type="pct"/>
            <w:tcBorders>
              <w:top w:val="nil"/>
              <w:left w:val="nil"/>
              <w:bottom w:val="single" w:sz="4" w:space="0" w:color="auto"/>
              <w:right w:val="single" w:sz="8" w:space="0" w:color="auto"/>
            </w:tcBorders>
            <w:noWrap/>
            <w:vAlign w:val="center"/>
          </w:tcPr>
          <w:p w14:paraId="25D3811A"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1.0%</w:t>
            </w:r>
          </w:p>
        </w:tc>
      </w:tr>
      <w:tr w:rsidR="00000000" w14:paraId="3E3938D4" w14:textId="77777777">
        <w:trPr>
          <w:trHeight w:val="360"/>
        </w:trPr>
        <w:tc>
          <w:tcPr>
            <w:tcW w:w="365" w:type="pct"/>
            <w:tcBorders>
              <w:top w:val="nil"/>
              <w:left w:val="single" w:sz="8" w:space="0" w:color="auto"/>
              <w:bottom w:val="single" w:sz="8" w:space="0" w:color="auto"/>
              <w:right w:val="single" w:sz="4" w:space="0" w:color="auto"/>
            </w:tcBorders>
            <w:noWrap/>
            <w:vAlign w:val="center"/>
          </w:tcPr>
          <w:p w14:paraId="7F202FE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24" w:type="pct"/>
            <w:tcBorders>
              <w:top w:val="nil"/>
              <w:left w:val="nil"/>
              <w:bottom w:val="single" w:sz="8" w:space="0" w:color="auto"/>
              <w:right w:val="single" w:sz="4" w:space="0" w:color="auto"/>
            </w:tcBorders>
            <w:noWrap/>
            <w:vAlign w:val="center"/>
          </w:tcPr>
          <w:p w14:paraId="10DA06B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单价</w:t>
            </w:r>
            <w:r>
              <w:rPr>
                <w:rFonts w:ascii="Arial" w:hAnsi="Arial" w:cs="Arial"/>
                <w:snapToGrid w:val="0"/>
                <w:sz w:val="16"/>
              </w:rPr>
              <w:t>(</w:t>
            </w:r>
            <w:r>
              <w:rPr>
                <w:rFonts w:ascii="Arial" w:hAnsi="Arial" w:cs="Arial"/>
                <w:snapToGrid w:val="0"/>
                <w:sz w:val="16"/>
              </w:rPr>
              <w:t>元</w:t>
            </w:r>
            <w:r>
              <w:rPr>
                <w:rFonts w:ascii="Arial" w:hAnsi="Arial" w:cs="Arial"/>
                <w:snapToGrid w:val="0"/>
                <w:sz w:val="16"/>
              </w:rPr>
              <w:t>/</w:t>
            </w:r>
            <w:r>
              <w:rPr>
                <w:rFonts w:ascii="Arial" w:hAnsi="Arial" w:cs="Arial"/>
                <w:snapToGrid w:val="0"/>
                <w:sz w:val="16"/>
              </w:rPr>
              <w:t>平方米</w:t>
            </w:r>
            <w:r>
              <w:rPr>
                <w:rFonts w:ascii="Arial" w:hAnsi="Arial" w:cs="Arial"/>
                <w:snapToGrid w:val="0"/>
                <w:sz w:val="16"/>
              </w:rPr>
              <w:t>)</w:t>
            </w:r>
          </w:p>
        </w:tc>
        <w:tc>
          <w:tcPr>
            <w:tcW w:w="511" w:type="pct"/>
            <w:tcBorders>
              <w:top w:val="nil"/>
              <w:left w:val="nil"/>
              <w:bottom w:val="single" w:sz="8" w:space="0" w:color="auto"/>
              <w:right w:val="single" w:sz="4" w:space="0" w:color="auto"/>
            </w:tcBorders>
            <w:noWrap/>
            <w:vAlign w:val="center"/>
          </w:tcPr>
          <w:p w14:paraId="17412A19" w14:textId="77777777" w:rsidR="00000000" w:rsidRDefault="00000000">
            <w:pPr>
              <w:spacing w:line="240" w:lineRule="auto"/>
              <w:rPr>
                <w:rFonts w:ascii="Arial" w:hAnsi="Arial" w:cs="Arial"/>
                <w:snapToGrid w:val="0"/>
                <w:sz w:val="16"/>
              </w:rPr>
            </w:pPr>
            <w:r>
              <w:rPr>
                <w:rFonts w:ascii="Arial" w:hAnsi="Arial" w:cs="Arial" w:hint="eastAsia"/>
                <w:snapToGrid w:val="0"/>
                <w:sz w:val="16"/>
              </w:rPr>
              <w:t>7356</w:t>
            </w:r>
          </w:p>
        </w:tc>
        <w:tc>
          <w:tcPr>
            <w:tcW w:w="1754" w:type="pct"/>
            <w:tcBorders>
              <w:top w:val="nil"/>
              <w:left w:val="nil"/>
              <w:bottom w:val="single" w:sz="8" w:space="0" w:color="auto"/>
              <w:right w:val="single" w:sz="4" w:space="0" w:color="auto"/>
            </w:tcBorders>
            <w:noWrap/>
            <w:vAlign w:val="center"/>
          </w:tcPr>
          <w:p w14:paraId="39F8C5B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收益价值</w:t>
            </w:r>
            <w:r>
              <w:rPr>
                <w:rFonts w:ascii="Arial" w:hAnsi="Arial" w:cs="Arial"/>
                <w:snapToGrid w:val="0"/>
                <w:sz w:val="16"/>
              </w:rPr>
              <w:t>÷</w:t>
            </w:r>
            <w:r>
              <w:rPr>
                <w:rFonts w:ascii="Arial" w:hAnsi="Arial" w:cs="Arial"/>
                <w:snapToGrid w:val="0"/>
                <w:sz w:val="16"/>
              </w:rPr>
              <w:t>建筑面积</w:t>
            </w:r>
          </w:p>
        </w:tc>
        <w:tc>
          <w:tcPr>
            <w:tcW w:w="805" w:type="pct"/>
            <w:tcBorders>
              <w:top w:val="nil"/>
              <w:left w:val="nil"/>
              <w:bottom w:val="single" w:sz="8" w:space="0" w:color="auto"/>
              <w:right w:val="single" w:sz="4" w:space="0" w:color="auto"/>
            </w:tcBorders>
            <w:noWrap/>
            <w:vAlign w:val="center"/>
          </w:tcPr>
          <w:p w14:paraId="17C5E60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538" w:type="pct"/>
            <w:tcBorders>
              <w:top w:val="nil"/>
              <w:left w:val="nil"/>
              <w:bottom w:val="single" w:sz="8" w:space="0" w:color="auto"/>
              <w:right w:val="single" w:sz="8" w:space="0" w:color="auto"/>
            </w:tcBorders>
            <w:noWrap/>
            <w:vAlign w:val="center"/>
          </w:tcPr>
          <w:p w14:paraId="1E159D1E"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31152.00</w:t>
            </w:r>
            <w:r>
              <w:rPr>
                <w:rFonts w:ascii="Arial" w:hAnsi="Arial" w:cs="Arial"/>
                <w:snapToGrid w:val="0"/>
                <w:sz w:val="16"/>
              </w:rPr>
              <w:t xml:space="preserve"> </w:t>
            </w:r>
          </w:p>
        </w:tc>
      </w:tr>
    </w:tbl>
    <w:p w14:paraId="3445E7F2" w14:textId="77777777" w:rsidR="00000000" w:rsidRDefault="00000000">
      <w:pPr>
        <w:spacing w:after="26" w:line="360" w:lineRule="auto"/>
        <w:ind w:firstLineChars="200" w:firstLine="560"/>
        <w:rPr>
          <w:rFonts w:ascii="Arial" w:hAnsi="Arial" w:cs="Arial"/>
          <w:sz w:val="28"/>
        </w:rPr>
      </w:pPr>
    </w:p>
    <w:p w14:paraId="78DFFAF7" w14:textId="77777777" w:rsidR="00000000" w:rsidRDefault="00000000">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）商业用房开发完成后不动产总价</w:t>
      </w:r>
    </w:p>
    <w:p w14:paraId="43ABBD95"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通过对昌平区马池口镇百泉庄村附近商业用房租赁市场的调查，选取近期同一供需圈及邻近地区实际成交的案例进行分析比较，咨询对象周边租金水平约</w:t>
      </w:r>
      <w:r>
        <w:rPr>
          <w:rFonts w:ascii="Arial" w:hAnsi="Arial" w:cs="Arial" w:hint="eastAsia"/>
          <w:sz w:val="28"/>
        </w:rPr>
        <w:t>50-65</w:t>
      </w:r>
      <w:r>
        <w:rPr>
          <w:rFonts w:ascii="Arial" w:hAnsi="Arial" w:cs="Arial" w:hint="eastAsia"/>
          <w:sz w:val="28"/>
        </w:rPr>
        <w:t>元</w:t>
      </w:r>
      <w:r>
        <w:rPr>
          <w:rFonts w:ascii="Arial" w:hAnsi="Arial" w:cs="Arial"/>
          <w:sz w:val="28"/>
        </w:rPr>
        <w:t>/</w:t>
      </w:r>
      <w:r>
        <w:rPr>
          <w:rFonts w:ascii="Arial" w:hAnsi="Arial" w:cs="Arial" w:hint="eastAsia"/>
          <w:sz w:val="28"/>
        </w:rPr>
        <w:t>平方米</w:t>
      </w:r>
      <w:r>
        <w:rPr>
          <w:rFonts w:ascii="Arial" w:hAnsi="Arial" w:cs="Arial" w:hint="eastAsia"/>
          <w:sz w:val="28"/>
        </w:rPr>
        <w:t>/</w:t>
      </w:r>
      <w:r>
        <w:rPr>
          <w:rFonts w:ascii="Arial" w:hAnsi="Arial" w:cs="Arial" w:hint="eastAsia"/>
          <w:sz w:val="28"/>
        </w:rPr>
        <w:t>月，结合咨询对象自身项目情况，最终估算咨询对象租金水平为</w:t>
      </w:r>
      <w:r>
        <w:rPr>
          <w:rFonts w:ascii="Arial" w:hAnsi="Arial" w:cs="Arial" w:hint="eastAsia"/>
          <w:sz w:val="28"/>
        </w:rPr>
        <w:t>60</w:t>
      </w:r>
      <w:r>
        <w:rPr>
          <w:rFonts w:ascii="Arial" w:hAnsi="Arial" w:cs="Arial" w:hint="eastAsia"/>
          <w:sz w:val="28"/>
        </w:rPr>
        <w:t>元</w:t>
      </w:r>
      <w:r>
        <w:rPr>
          <w:rFonts w:ascii="Arial" w:hAnsi="Arial" w:cs="Arial"/>
          <w:sz w:val="28"/>
        </w:rPr>
        <w:t>/</w:t>
      </w:r>
      <w:r>
        <w:rPr>
          <w:rFonts w:ascii="Arial" w:hAnsi="Arial" w:cs="Arial" w:hint="eastAsia"/>
          <w:sz w:val="28"/>
        </w:rPr>
        <w:t>平方米</w:t>
      </w:r>
      <w:r>
        <w:rPr>
          <w:rFonts w:ascii="Arial" w:hAnsi="Arial" w:cs="Arial" w:hint="eastAsia"/>
          <w:sz w:val="28"/>
        </w:rPr>
        <w:t>/</w:t>
      </w:r>
      <w:r>
        <w:rPr>
          <w:rFonts w:ascii="Arial" w:hAnsi="Arial" w:cs="Arial" w:hint="eastAsia"/>
          <w:sz w:val="28"/>
        </w:rPr>
        <w:t>月。</w:t>
      </w:r>
    </w:p>
    <w:tbl>
      <w:tblPr>
        <w:tblW w:w="5092" w:type="pct"/>
        <w:tblInd w:w="-176" w:type="dxa"/>
        <w:tblLayout w:type="fixed"/>
        <w:tblLook w:val="0000" w:firstRow="0" w:lastRow="0" w:firstColumn="0" w:lastColumn="0" w:noHBand="0" w:noVBand="0"/>
      </w:tblPr>
      <w:tblGrid>
        <w:gridCol w:w="601"/>
        <w:gridCol w:w="2066"/>
        <w:gridCol w:w="928"/>
        <w:gridCol w:w="3417"/>
        <w:gridCol w:w="1559"/>
        <w:gridCol w:w="879"/>
      </w:tblGrid>
      <w:tr w:rsidR="00000000" w14:paraId="57D07376" w14:textId="77777777">
        <w:trPr>
          <w:trHeight w:val="360"/>
        </w:trPr>
        <w:tc>
          <w:tcPr>
            <w:tcW w:w="318" w:type="pct"/>
            <w:tcBorders>
              <w:top w:val="single" w:sz="8" w:space="0" w:color="auto"/>
              <w:left w:val="single" w:sz="8" w:space="0" w:color="auto"/>
              <w:bottom w:val="single" w:sz="4" w:space="0" w:color="auto"/>
              <w:right w:val="single" w:sz="4" w:space="0" w:color="auto"/>
            </w:tcBorders>
            <w:noWrap/>
            <w:vAlign w:val="center"/>
          </w:tcPr>
          <w:p w14:paraId="2E94CDA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093" w:type="pct"/>
            <w:tcBorders>
              <w:top w:val="single" w:sz="8" w:space="0" w:color="auto"/>
              <w:left w:val="nil"/>
              <w:bottom w:val="single" w:sz="4" w:space="0" w:color="auto"/>
              <w:right w:val="single" w:sz="4" w:space="0" w:color="auto"/>
            </w:tcBorders>
            <w:noWrap/>
            <w:vAlign w:val="center"/>
          </w:tcPr>
          <w:p w14:paraId="1DA349C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491" w:type="pct"/>
            <w:tcBorders>
              <w:top w:val="single" w:sz="8" w:space="0" w:color="auto"/>
              <w:left w:val="nil"/>
              <w:bottom w:val="single" w:sz="4" w:space="0" w:color="auto"/>
              <w:right w:val="single" w:sz="4" w:space="0" w:color="auto"/>
            </w:tcBorders>
            <w:noWrap/>
            <w:vAlign w:val="center"/>
          </w:tcPr>
          <w:p w14:paraId="1C53232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808" w:type="pct"/>
            <w:tcBorders>
              <w:top w:val="single" w:sz="8" w:space="0" w:color="auto"/>
              <w:left w:val="nil"/>
              <w:bottom w:val="single" w:sz="4" w:space="0" w:color="auto"/>
              <w:right w:val="single" w:sz="4" w:space="0" w:color="auto"/>
            </w:tcBorders>
            <w:noWrap/>
            <w:vAlign w:val="center"/>
          </w:tcPr>
          <w:p w14:paraId="3C78554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825" w:type="pct"/>
            <w:tcBorders>
              <w:top w:val="single" w:sz="8" w:space="0" w:color="auto"/>
              <w:left w:val="nil"/>
              <w:bottom w:val="single" w:sz="4" w:space="0" w:color="auto"/>
              <w:right w:val="nil"/>
            </w:tcBorders>
            <w:noWrap/>
            <w:vAlign w:val="center"/>
          </w:tcPr>
          <w:p w14:paraId="6F6D456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取费标准</w:t>
            </w:r>
          </w:p>
        </w:tc>
        <w:tc>
          <w:tcPr>
            <w:tcW w:w="465" w:type="pct"/>
            <w:tcBorders>
              <w:top w:val="single" w:sz="8" w:space="0" w:color="auto"/>
              <w:left w:val="nil"/>
              <w:bottom w:val="single" w:sz="4" w:space="0" w:color="auto"/>
              <w:right w:val="single" w:sz="8" w:space="0" w:color="auto"/>
            </w:tcBorders>
            <w:noWrap/>
            <w:vAlign w:val="center"/>
          </w:tcPr>
          <w:p w14:paraId="4E0CB03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000000" w14:paraId="45B3598F" w14:textId="77777777">
        <w:trPr>
          <w:trHeight w:val="360"/>
        </w:trPr>
        <w:tc>
          <w:tcPr>
            <w:tcW w:w="318" w:type="pct"/>
            <w:tcBorders>
              <w:top w:val="nil"/>
              <w:left w:val="single" w:sz="8" w:space="0" w:color="auto"/>
              <w:bottom w:val="nil"/>
              <w:right w:val="single" w:sz="4" w:space="0" w:color="auto"/>
            </w:tcBorders>
            <w:noWrap/>
            <w:vAlign w:val="center"/>
          </w:tcPr>
          <w:p w14:paraId="72EA550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nil"/>
              <w:right w:val="single" w:sz="4" w:space="0" w:color="auto"/>
            </w:tcBorders>
            <w:vAlign w:val="center"/>
          </w:tcPr>
          <w:p w14:paraId="22CCBB3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491" w:type="pct"/>
            <w:tcBorders>
              <w:top w:val="nil"/>
              <w:left w:val="nil"/>
              <w:bottom w:val="nil"/>
              <w:right w:val="single" w:sz="4" w:space="0" w:color="auto"/>
            </w:tcBorders>
            <w:noWrap/>
            <w:vAlign w:val="center"/>
          </w:tcPr>
          <w:p w14:paraId="2338214D"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52</w:t>
            </w:r>
          </w:p>
        </w:tc>
        <w:tc>
          <w:tcPr>
            <w:tcW w:w="3098" w:type="pct"/>
            <w:gridSpan w:val="3"/>
            <w:tcBorders>
              <w:top w:val="single" w:sz="4" w:space="0" w:color="auto"/>
              <w:left w:val="nil"/>
              <w:bottom w:val="single" w:sz="4" w:space="0" w:color="auto"/>
              <w:right w:val="single" w:sz="4" w:space="0" w:color="auto"/>
            </w:tcBorders>
            <w:noWrap/>
            <w:vAlign w:val="center"/>
          </w:tcPr>
          <w:p w14:paraId="3B62506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年租金收入</w:t>
            </w:r>
            <w:r>
              <w:rPr>
                <w:rFonts w:ascii="Arial" w:hAnsi="Arial" w:cs="Arial"/>
                <w:snapToGrid w:val="0"/>
                <w:sz w:val="16"/>
              </w:rPr>
              <w:t>+</w:t>
            </w:r>
            <w:r>
              <w:rPr>
                <w:rFonts w:ascii="Arial" w:hAnsi="Arial" w:cs="Arial"/>
                <w:snapToGrid w:val="0"/>
                <w:sz w:val="16"/>
              </w:rPr>
              <w:t>押金利息收入</w:t>
            </w:r>
          </w:p>
        </w:tc>
      </w:tr>
      <w:tr w:rsidR="00000000" w14:paraId="7E8B2E1F" w14:textId="77777777">
        <w:trPr>
          <w:trHeight w:val="360"/>
        </w:trPr>
        <w:tc>
          <w:tcPr>
            <w:tcW w:w="318" w:type="pct"/>
            <w:vMerge w:val="restart"/>
            <w:tcBorders>
              <w:top w:val="single" w:sz="4" w:space="0" w:color="auto"/>
              <w:left w:val="single" w:sz="8" w:space="0" w:color="auto"/>
              <w:right w:val="single" w:sz="4" w:space="0" w:color="auto"/>
            </w:tcBorders>
            <w:noWrap/>
            <w:vAlign w:val="center"/>
          </w:tcPr>
          <w:p w14:paraId="0C7F8A2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p w14:paraId="13E30343" w14:textId="77777777" w:rsidR="00000000" w:rsidRDefault="00000000">
            <w:pPr>
              <w:spacing w:line="240" w:lineRule="auto"/>
              <w:rPr>
                <w:rFonts w:ascii="Arial" w:hAnsi="Arial" w:cs="Arial"/>
                <w:snapToGrid w:val="0"/>
                <w:sz w:val="16"/>
              </w:rPr>
            </w:pPr>
          </w:p>
        </w:tc>
        <w:tc>
          <w:tcPr>
            <w:tcW w:w="1093" w:type="pct"/>
            <w:vMerge w:val="restart"/>
            <w:tcBorders>
              <w:top w:val="single" w:sz="4" w:space="0" w:color="auto"/>
              <w:left w:val="single" w:sz="4" w:space="0" w:color="auto"/>
              <w:bottom w:val="single" w:sz="4" w:space="0" w:color="000000"/>
              <w:right w:val="single" w:sz="4" w:space="0" w:color="auto"/>
            </w:tcBorders>
          </w:tcPr>
          <w:p w14:paraId="0700CAB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491" w:type="pct"/>
            <w:tcBorders>
              <w:top w:val="single" w:sz="4" w:space="0" w:color="auto"/>
              <w:left w:val="nil"/>
              <w:bottom w:val="nil"/>
              <w:right w:val="single" w:sz="4" w:space="0" w:color="auto"/>
            </w:tcBorders>
            <w:noWrap/>
            <w:vAlign w:val="center"/>
          </w:tcPr>
          <w:p w14:paraId="446D190F"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52</w:t>
            </w:r>
          </w:p>
        </w:tc>
        <w:tc>
          <w:tcPr>
            <w:tcW w:w="1808" w:type="pct"/>
            <w:tcBorders>
              <w:top w:val="single" w:sz="4" w:space="0" w:color="auto"/>
              <w:left w:val="nil"/>
              <w:bottom w:val="nil"/>
              <w:right w:val="single" w:sz="4" w:space="0" w:color="auto"/>
            </w:tcBorders>
            <w:noWrap/>
            <w:vAlign w:val="center"/>
          </w:tcPr>
          <w:p w14:paraId="28671AB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租金</w:t>
            </w:r>
            <w:r>
              <w:rPr>
                <w:rFonts w:ascii="Arial" w:hAnsi="Arial" w:cs="Arial"/>
                <w:snapToGrid w:val="0"/>
                <w:sz w:val="16"/>
              </w:rPr>
              <w:t>×</w:t>
            </w:r>
            <w:r>
              <w:rPr>
                <w:rFonts w:ascii="Arial" w:hAnsi="Arial" w:cs="Arial"/>
                <w:snapToGrid w:val="0"/>
                <w:sz w:val="16"/>
              </w:rPr>
              <w:t>月数</w:t>
            </w:r>
            <w:r>
              <w:rPr>
                <w:rFonts w:ascii="Arial" w:hAnsi="Arial" w:cs="Arial"/>
                <w:snapToGrid w:val="0"/>
                <w:sz w:val="16"/>
              </w:rPr>
              <w:t>×</w:t>
            </w:r>
            <w:r>
              <w:rPr>
                <w:rFonts w:ascii="Arial" w:hAnsi="Arial" w:cs="Arial"/>
                <w:snapToGrid w:val="0"/>
                <w:sz w:val="16"/>
              </w:rPr>
              <w:t>（</w:t>
            </w:r>
            <w:r>
              <w:rPr>
                <w:rFonts w:ascii="Arial" w:hAnsi="Arial" w:cs="Arial"/>
                <w:snapToGrid w:val="0"/>
                <w:sz w:val="16"/>
              </w:rPr>
              <w:t>1-</w:t>
            </w:r>
            <w:r>
              <w:rPr>
                <w:rFonts w:ascii="Arial" w:hAnsi="Arial" w:cs="Arial"/>
                <w:snapToGrid w:val="0"/>
                <w:sz w:val="16"/>
              </w:rPr>
              <w:t>空置率）</w:t>
            </w:r>
          </w:p>
        </w:tc>
        <w:tc>
          <w:tcPr>
            <w:tcW w:w="825" w:type="pct"/>
            <w:tcBorders>
              <w:top w:val="single" w:sz="4" w:space="0" w:color="auto"/>
              <w:left w:val="nil"/>
              <w:bottom w:val="single" w:sz="4" w:space="0" w:color="auto"/>
              <w:right w:val="single" w:sz="4" w:space="0" w:color="auto"/>
            </w:tcBorders>
            <w:noWrap/>
            <w:vAlign w:val="center"/>
          </w:tcPr>
          <w:p w14:paraId="16796050" w14:textId="77777777" w:rsidR="00000000" w:rsidRDefault="00000000">
            <w:pPr>
              <w:spacing w:line="240" w:lineRule="auto"/>
              <w:rPr>
                <w:rFonts w:ascii="Arial" w:hAnsi="Arial" w:cs="Arial"/>
                <w:snapToGrid w:val="0"/>
                <w:sz w:val="16"/>
              </w:rPr>
            </w:pPr>
            <w:r>
              <w:rPr>
                <w:rFonts w:ascii="Arial" w:hAnsi="Arial" w:cs="Arial"/>
                <w:snapToGrid w:val="0"/>
                <w:sz w:val="16"/>
              </w:rPr>
              <w:t>租金（元</w:t>
            </w:r>
            <w:r>
              <w:rPr>
                <w:rFonts w:ascii="Arial" w:hAnsi="Arial" w:cs="Arial"/>
                <w:snapToGrid w:val="0"/>
                <w:sz w:val="16"/>
              </w:rPr>
              <w:t>/</w:t>
            </w:r>
            <w:r>
              <w:rPr>
                <w:rFonts w:ascii="Arial" w:hAnsi="Arial" w:cs="Arial" w:hint="eastAsia"/>
                <w:snapToGrid w:val="0"/>
                <w:sz w:val="16"/>
              </w:rPr>
              <w:t>平方米</w:t>
            </w:r>
            <w:r>
              <w:rPr>
                <w:rFonts w:ascii="Arial" w:hAnsi="Arial" w:cs="Arial"/>
                <w:snapToGrid w:val="0"/>
                <w:sz w:val="16"/>
              </w:rPr>
              <w:t>/</w:t>
            </w:r>
            <w:r>
              <w:rPr>
                <w:rFonts w:ascii="Arial" w:hAnsi="Arial" w:cs="Arial" w:hint="eastAsia"/>
                <w:snapToGrid w:val="0"/>
                <w:sz w:val="16"/>
              </w:rPr>
              <w:t>月</w:t>
            </w:r>
            <w:r>
              <w:rPr>
                <w:rFonts w:ascii="Arial" w:hAnsi="Arial" w:cs="Arial"/>
                <w:snapToGrid w:val="0"/>
                <w:sz w:val="16"/>
              </w:rPr>
              <w:t>）</w:t>
            </w:r>
          </w:p>
        </w:tc>
        <w:tc>
          <w:tcPr>
            <w:tcW w:w="465" w:type="pct"/>
            <w:tcBorders>
              <w:top w:val="single" w:sz="4" w:space="0" w:color="auto"/>
              <w:left w:val="nil"/>
              <w:bottom w:val="single" w:sz="4" w:space="0" w:color="auto"/>
              <w:right w:val="single" w:sz="8" w:space="0" w:color="auto"/>
            </w:tcBorders>
            <w:noWrap/>
            <w:vAlign w:val="center"/>
          </w:tcPr>
          <w:p w14:paraId="49709183"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60</w:t>
            </w:r>
          </w:p>
        </w:tc>
      </w:tr>
      <w:tr w:rsidR="00000000" w14:paraId="502756B2" w14:textId="77777777">
        <w:trPr>
          <w:trHeight w:val="447"/>
        </w:trPr>
        <w:tc>
          <w:tcPr>
            <w:tcW w:w="318" w:type="pct"/>
            <w:vMerge/>
            <w:tcBorders>
              <w:left w:val="single" w:sz="8" w:space="0" w:color="auto"/>
              <w:right w:val="single" w:sz="4" w:space="0" w:color="auto"/>
            </w:tcBorders>
            <w:noWrap/>
            <w:vAlign w:val="center"/>
          </w:tcPr>
          <w:p w14:paraId="3C754BCE" w14:textId="77777777" w:rsidR="00000000" w:rsidRDefault="00000000">
            <w:pPr>
              <w:spacing w:line="240" w:lineRule="auto"/>
              <w:rPr>
                <w:rFonts w:ascii="Arial" w:hAnsi="Arial" w:cs="Arial"/>
                <w:snapToGrid w:val="0"/>
                <w:sz w:val="16"/>
              </w:rPr>
            </w:pPr>
          </w:p>
        </w:tc>
        <w:tc>
          <w:tcPr>
            <w:tcW w:w="1093" w:type="pct"/>
            <w:vMerge/>
            <w:tcBorders>
              <w:top w:val="single" w:sz="4" w:space="0" w:color="auto"/>
              <w:left w:val="single" w:sz="4" w:space="0" w:color="auto"/>
              <w:bottom w:val="single" w:sz="4" w:space="0" w:color="000000"/>
              <w:right w:val="single" w:sz="4" w:space="0" w:color="auto"/>
            </w:tcBorders>
            <w:vAlign w:val="center"/>
          </w:tcPr>
          <w:p w14:paraId="7AE9F114" w14:textId="77777777" w:rsidR="00000000" w:rsidRDefault="00000000">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sz="4" w:space="0" w:color="auto"/>
            </w:tcBorders>
            <w:noWrap/>
            <w:vAlign w:val="center"/>
          </w:tcPr>
          <w:p w14:paraId="7BD284E6"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nil"/>
              <w:right w:val="single" w:sz="4" w:space="0" w:color="auto"/>
            </w:tcBorders>
            <w:noWrap/>
            <w:vAlign w:val="center"/>
          </w:tcPr>
          <w:p w14:paraId="5641567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single" w:sz="4" w:space="0" w:color="auto"/>
              <w:right w:val="single" w:sz="4" w:space="0" w:color="auto"/>
            </w:tcBorders>
            <w:noWrap/>
            <w:vAlign w:val="center"/>
          </w:tcPr>
          <w:p w14:paraId="239F67F4" w14:textId="77777777" w:rsidR="00000000" w:rsidRDefault="00000000">
            <w:pPr>
              <w:spacing w:line="240" w:lineRule="auto"/>
              <w:rPr>
                <w:rFonts w:ascii="Arial" w:hAnsi="Arial" w:cs="Arial"/>
                <w:snapToGrid w:val="0"/>
                <w:sz w:val="16"/>
              </w:rPr>
            </w:pPr>
            <w:r>
              <w:rPr>
                <w:rFonts w:ascii="Arial" w:hAnsi="Arial" w:cs="Arial" w:hint="eastAsia"/>
                <w:snapToGrid w:val="0"/>
                <w:sz w:val="16"/>
              </w:rPr>
              <w:t>面积</w:t>
            </w:r>
            <w:r>
              <w:rPr>
                <w:rFonts w:ascii="Arial" w:hAnsi="Arial" w:cs="Arial"/>
                <w:snapToGrid w:val="0"/>
                <w:sz w:val="16"/>
              </w:rPr>
              <w:t>（</w:t>
            </w:r>
            <w:r>
              <w:rPr>
                <w:rFonts w:ascii="Arial" w:hAnsi="Arial" w:cs="Arial" w:hint="eastAsia"/>
                <w:snapToGrid w:val="0"/>
                <w:sz w:val="16"/>
              </w:rPr>
              <w:t>平方米</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3563C91E"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796</w:t>
            </w:r>
          </w:p>
        </w:tc>
      </w:tr>
      <w:tr w:rsidR="00000000" w14:paraId="2D6F528C" w14:textId="77777777">
        <w:trPr>
          <w:trHeight w:val="360"/>
        </w:trPr>
        <w:tc>
          <w:tcPr>
            <w:tcW w:w="318" w:type="pct"/>
            <w:vMerge/>
            <w:tcBorders>
              <w:left w:val="single" w:sz="8" w:space="0" w:color="auto"/>
              <w:right w:val="single" w:sz="4" w:space="0" w:color="auto"/>
            </w:tcBorders>
            <w:noWrap/>
            <w:vAlign w:val="center"/>
          </w:tcPr>
          <w:p w14:paraId="1035B97E" w14:textId="77777777" w:rsidR="00000000" w:rsidRDefault="00000000">
            <w:pPr>
              <w:spacing w:line="240" w:lineRule="auto"/>
              <w:rPr>
                <w:rFonts w:ascii="Arial" w:hAnsi="Arial" w:cs="Arial"/>
                <w:snapToGrid w:val="0"/>
                <w:sz w:val="16"/>
              </w:rPr>
            </w:pPr>
          </w:p>
        </w:tc>
        <w:tc>
          <w:tcPr>
            <w:tcW w:w="1093" w:type="pct"/>
            <w:vMerge/>
            <w:tcBorders>
              <w:top w:val="single" w:sz="4" w:space="0" w:color="auto"/>
              <w:left w:val="single" w:sz="4" w:space="0" w:color="auto"/>
              <w:bottom w:val="single" w:sz="4" w:space="0" w:color="000000"/>
              <w:right w:val="single" w:sz="4" w:space="0" w:color="auto"/>
            </w:tcBorders>
            <w:vAlign w:val="center"/>
          </w:tcPr>
          <w:p w14:paraId="7819CD8B" w14:textId="77777777" w:rsidR="00000000" w:rsidRDefault="00000000">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sz="4" w:space="0" w:color="auto"/>
            </w:tcBorders>
            <w:noWrap/>
            <w:vAlign w:val="center"/>
          </w:tcPr>
          <w:p w14:paraId="10EF453C"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nil"/>
              <w:right w:val="single" w:sz="4" w:space="0" w:color="auto"/>
            </w:tcBorders>
            <w:noWrap/>
            <w:vAlign w:val="center"/>
          </w:tcPr>
          <w:p w14:paraId="463FCC7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single" w:sz="4" w:space="0" w:color="auto"/>
              <w:right w:val="single" w:sz="4" w:space="0" w:color="auto"/>
            </w:tcBorders>
            <w:noWrap/>
            <w:vAlign w:val="center"/>
          </w:tcPr>
          <w:p w14:paraId="1893B784" w14:textId="77777777" w:rsidR="00000000" w:rsidRDefault="00000000">
            <w:pPr>
              <w:spacing w:line="240" w:lineRule="auto"/>
              <w:rPr>
                <w:rFonts w:ascii="Arial" w:hAnsi="Arial" w:cs="Arial"/>
                <w:snapToGrid w:val="0"/>
                <w:sz w:val="16"/>
              </w:rPr>
            </w:pPr>
            <w:r>
              <w:rPr>
                <w:rFonts w:ascii="Arial" w:hAnsi="Arial" w:cs="Arial" w:hint="eastAsia"/>
                <w:snapToGrid w:val="0"/>
                <w:sz w:val="16"/>
              </w:rPr>
              <w:t>月</w:t>
            </w:r>
            <w:r>
              <w:rPr>
                <w:rFonts w:ascii="Arial" w:hAnsi="Arial" w:cs="Arial"/>
                <w:snapToGrid w:val="0"/>
                <w:sz w:val="16"/>
              </w:rPr>
              <w:t>（个）</w:t>
            </w:r>
          </w:p>
        </w:tc>
        <w:tc>
          <w:tcPr>
            <w:tcW w:w="465" w:type="pct"/>
            <w:tcBorders>
              <w:top w:val="nil"/>
              <w:left w:val="nil"/>
              <w:bottom w:val="single" w:sz="4" w:space="0" w:color="auto"/>
              <w:right w:val="single" w:sz="8" w:space="0" w:color="auto"/>
            </w:tcBorders>
            <w:noWrap/>
            <w:vAlign w:val="center"/>
          </w:tcPr>
          <w:p w14:paraId="75F404F6"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rsidR="00000000" w14:paraId="3F65678C" w14:textId="77777777">
        <w:trPr>
          <w:trHeight w:val="360"/>
        </w:trPr>
        <w:tc>
          <w:tcPr>
            <w:tcW w:w="318" w:type="pct"/>
            <w:vMerge/>
            <w:tcBorders>
              <w:left w:val="single" w:sz="8" w:space="0" w:color="auto"/>
              <w:bottom w:val="nil"/>
              <w:right w:val="single" w:sz="4" w:space="0" w:color="auto"/>
            </w:tcBorders>
            <w:noWrap/>
            <w:vAlign w:val="center"/>
          </w:tcPr>
          <w:p w14:paraId="22BE7E08" w14:textId="77777777" w:rsidR="00000000" w:rsidRDefault="00000000">
            <w:pPr>
              <w:widowControl/>
              <w:adjustRightInd/>
              <w:spacing w:line="240" w:lineRule="auto"/>
              <w:textAlignment w:val="auto"/>
              <w:rPr>
                <w:rFonts w:ascii="Arial" w:hAnsi="Arial" w:cs="Arial"/>
                <w:snapToGrid w:val="0"/>
                <w:sz w:val="16"/>
              </w:rPr>
            </w:pPr>
          </w:p>
        </w:tc>
        <w:tc>
          <w:tcPr>
            <w:tcW w:w="1093" w:type="pct"/>
            <w:vMerge/>
            <w:tcBorders>
              <w:top w:val="single" w:sz="4" w:space="0" w:color="auto"/>
              <w:left w:val="single" w:sz="4" w:space="0" w:color="auto"/>
              <w:bottom w:val="single" w:sz="4" w:space="0" w:color="000000"/>
              <w:right w:val="single" w:sz="4" w:space="0" w:color="auto"/>
            </w:tcBorders>
            <w:vAlign w:val="center"/>
          </w:tcPr>
          <w:p w14:paraId="00F5C317" w14:textId="77777777" w:rsidR="00000000" w:rsidRDefault="00000000">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sz="4" w:space="0" w:color="auto"/>
            </w:tcBorders>
            <w:noWrap/>
            <w:vAlign w:val="center"/>
          </w:tcPr>
          <w:p w14:paraId="6F49F616"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nil"/>
              <w:right w:val="single" w:sz="4" w:space="0" w:color="auto"/>
            </w:tcBorders>
            <w:noWrap/>
            <w:vAlign w:val="center"/>
          </w:tcPr>
          <w:p w14:paraId="037294B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single" w:sz="4" w:space="0" w:color="auto"/>
              <w:right w:val="single" w:sz="4" w:space="0" w:color="auto"/>
            </w:tcBorders>
            <w:noWrap/>
            <w:vAlign w:val="center"/>
          </w:tcPr>
          <w:p w14:paraId="5DBF227D" w14:textId="77777777" w:rsidR="00000000" w:rsidRDefault="00000000">
            <w:pPr>
              <w:spacing w:line="240" w:lineRule="auto"/>
              <w:rPr>
                <w:rFonts w:ascii="Arial" w:hAnsi="Arial" w:cs="Arial"/>
                <w:snapToGrid w:val="0"/>
                <w:sz w:val="16"/>
              </w:rPr>
            </w:pPr>
            <w:r>
              <w:rPr>
                <w:rFonts w:ascii="Arial" w:hAnsi="Arial" w:cs="Arial"/>
                <w:snapToGrid w:val="0"/>
                <w:sz w:val="16"/>
              </w:rPr>
              <w:t>空置率（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089B0D99"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1</w:t>
            </w:r>
            <w:r>
              <w:rPr>
                <w:rFonts w:ascii="Arial" w:hAnsi="Arial" w:cs="Arial" w:hint="eastAsia"/>
                <w:snapToGrid w:val="0"/>
                <w:sz w:val="16"/>
              </w:rPr>
              <w:t>0</w:t>
            </w:r>
            <w:r>
              <w:rPr>
                <w:rFonts w:ascii="Arial" w:hAnsi="Arial" w:cs="Arial"/>
                <w:snapToGrid w:val="0"/>
                <w:sz w:val="16"/>
              </w:rPr>
              <w:t>.0%</w:t>
            </w:r>
          </w:p>
        </w:tc>
      </w:tr>
      <w:tr w:rsidR="00000000" w14:paraId="0B49D5FA" w14:textId="77777777">
        <w:trPr>
          <w:trHeight w:val="360"/>
        </w:trPr>
        <w:tc>
          <w:tcPr>
            <w:tcW w:w="318" w:type="pct"/>
            <w:tcBorders>
              <w:top w:val="single" w:sz="4" w:space="0" w:color="auto"/>
              <w:left w:val="single" w:sz="8" w:space="0" w:color="auto"/>
              <w:bottom w:val="nil"/>
              <w:right w:val="single" w:sz="4" w:space="0" w:color="auto"/>
            </w:tcBorders>
            <w:noWrap/>
            <w:vAlign w:val="center"/>
          </w:tcPr>
          <w:p w14:paraId="30422BD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93" w:type="pct"/>
            <w:tcBorders>
              <w:top w:val="nil"/>
              <w:left w:val="nil"/>
              <w:bottom w:val="nil"/>
              <w:right w:val="single" w:sz="4" w:space="0" w:color="auto"/>
            </w:tcBorders>
            <w:vAlign w:val="center"/>
          </w:tcPr>
          <w:p w14:paraId="7598C9F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491" w:type="pct"/>
            <w:tcBorders>
              <w:top w:val="single" w:sz="4" w:space="0" w:color="auto"/>
              <w:left w:val="nil"/>
              <w:bottom w:val="single" w:sz="4" w:space="0" w:color="auto"/>
              <w:right w:val="single" w:sz="4" w:space="0" w:color="auto"/>
            </w:tcBorders>
            <w:noWrap/>
            <w:vAlign w:val="center"/>
          </w:tcPr>
          <w:p w14:paraId="01891A65"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0.05</w:t>
            </w:r>
          </w:p>
        </w:tc>
        <w:tc>
          <w:tcPr>
            <w:tcW w:w="1808" w:type="pct"/>
            <w:tcBorders>
              <w:top w:val="single" w:sz="4" w:space="0" w:color="auto"/>
              <w:left w:val="nil"/>
              <w:bottom w:val="nil"/>
              <w:right w:val="single" w:sz="4" w:space="0" w:color="auto"/>
            </w:tcBorders>
            <w:noWrap/>
            <w:vAlign w:val="center"/>
          </w:tcPr>
          <w:p w14:paraId="03C64C5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押金</w:t>
            </w:r>
            <w:r>
              <w:rPr>
                <w:rFonts w:ascii="Arial" w:hAnsi="Arial" w:cs="Arial"/>
                <w:snapToGrid w:val="0"/>
                <w:sz w:val="16"/>
              </w:rPr>
              <w:t>*</w:t>
            </w:r>
            <w:r>
              <w:rPr>
                <w:rFonts w:ascii="Arial" w:hAnsi="Arial" w:cs="Arial"/>
                <w:snapToGrid w:val="0"/>
                <w:sz w:val="16"/>
              </w:rPr>
              <w:t>一年期存款利率</w:t>
            </w:r>
          </w:p>
        </w:tc>
        <w:tc>
          <w:tcPr>
            <w:tcW w:w="825" w:type="pct"/>
            <w:tcBorders>
              <w:top w:val="nil"/>
              <w:left w:val="nil"/>
              <w:bottom w:val="nil"/>
              <w:right w:val="single" w:sz="4" w:space="0" w:color="auto"/>
            </w:tcBorders>
            <w:noWrap/>
            <w:vAlign w:val="center"/>
          </w:tcPr>
          <w:p w14:paraId="696C640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465" w:type="pct"/>
            <w:tcBorders>
              <w:top w:val="nil"/>
              <w:left w:val="nil"/>
              <w:bottom w:val="nil"/>
              <w:right w:val="single" w:sz="8" w:space="0" w:color="auto"/>
            </w:tcBorders>
            <w:noWrap/>
            <w:vAlign w:val="center"/>
          </w:tcPr>
          <w:p w14:paraId="7E472B02"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押一</w:t>
            </w:r>
          </w:p>
        </w:tc>
      </w:tr>
      <w:tr w:rsidR="00000000" w14:paraId="3C7A0811"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2AA2A12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93" w:type="pct"/>
            <w:tcBorders>
              <w:top w:val="single" w:sz="4" w:space="0" w:color="auto"/>
              <w:left w:val="nil"/>
              <w:bottom w:val="single" w:sz="4" w:space="0" w:color="auto"/>
              <w:right w:val="single" w:sz="4" w:space="0" w:color="auto"/>
            </w:tcBorders>
            <w:vAlign w:val="center"/>
          </w:tcPr>
          <w:p w14:paraId="3C0E0E85" w14:textId="77777777" w:rsidR="00000000" w:rsidRDefault="00000000">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491" w:type="pct"/>
            <w:tcBorders>
              <w:top w:val="nil"/>
              <w:left w:val="nil"/>
              <w:bottom w:val="single" w:sz="4" w:space="0" w:color="auto"/>
              <w:right w:val="single" w:sz="4" w:space="0" w:color="auto"/>
            </w:tcBorders>
            <w:noWrap/>
            <w:vAlign w:val="center"/>
          </w:tcPr>
          <w:p w14:paraId="024FCFA0"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single" w:sz="4" w:space="0" w:color="auto"/>
              <w:right w:val="single" w:sz="4" w:space="0" w:color="auto"/>
            </w:tcBorders>
            <w:noWrap/>
            <w:vAlign w:val="center"/>
          </w:tcPr>
          <w:p w14:paraId="4ADCCF4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single" w:sz="4" w:space="0" w:color="auto"/>
              <w:left w:val="nil"/>
              <w:bottom w:val="single" w:sz="4" w:space="0" w:color="auto"/>
              <w:right w:val="single" w:sz="4" w:space="0" w:color="auto"/>
            </w:tcBorders>
            <w:noWrap/>
            <w:vAlign w:val="center"/>
          </w:tcPr>
          <w:p w14:paraId="1409437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465" w:type="pct"/>
            <w:tcBorders>
              <w:top w:val="single" w:sz="4" w:space="0" w:color="auto"/>
              <w:left w:val="nil"/>
              <w:bottom w:val="single" w:sz="4" w:space="0" w:color="auto"/>
              <w:right w:val="single" w:sz="8" w:space="0" w:color="auto"/>
            </w:tcBorders>
            <w:noWrap/>
            <w:vAlign w:val="center"/>
          </w:tcPr>
          <w:p w14:paraId="426F220C"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000000" w14:paraId="03EFDB85" w14:textId="77777777">
        <w:trPr>
          <w:trHeight w:val="360"/>
        </w:trPr>
        <w:tc>
          <w:tcPr>
            <w:tcW w:w="318" w:type="pct"/>
            <w:tcBorders>
              <w:top w:val="single" w:sz="4" w:space="0" w:color="auto"/>
              <w:left w:val="single" w:sz="4" w:space="0" w:color="auto"/>
              <w:bottom w:val="single" w:sz="4" w:space="0" w:color="auto"/>
              <w:right w:val="single" w:sz="4" w:space="0" w:color="auto"/>
            </w:tcBorders>
            <w:noWrap/>
            <w:vAlign w:val="center"/>
          </w:tcPr>
          <w:p w14:paraId="3094489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single" w:sz="4" w:space="0" w:color="auto"/>
              <w:left w:val="nil"/>
              <w:bottom w:val="single" w:sz="4" w:space="0" w:color="auto"/>
              <w:right w:val="single" w:sz="4" w:space="0" w:color="auto"/>
            </w:tcBorders>
            <w:noWrap/>
            <w:vAlign w:val="center"/>
          </w:tcPr>
          <w:p w14:paraId="43B2CA7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491" w:type="pct"/>
            <w:tcBorders>
              <w:top w:val="single" w:sz="4" w:space="0" w:color="auto"/>
              <w:left w:val="nil"/>
              <w:bottom w:val="single" w:sz="4" w:space="0" w:color="auto"/>
              <w:right w:val="single" w:sz="4" w:space="0" w:color="auto"/>
            </w:tcBorders>
            <w:noWrap/>
            <w:vAlign w:val="center"/>
          </w:tcPr>
          <w:p w14:paraId="3D0CF9E3"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465</w:t>
            </w:r>
          </w:p>
        </w:tc>
        <w:tc>
          <w:tcPr>
            <w:tcW w:w="1808" w:type="pct"/>
            <w:tcBorders>
              <w:top w:val="single" w:sz="4" w:space="0" w:color="auto"/>
              <w:left w:val="nil"/>
              <w:bottom w:val="single" w:sz="4" w:space="0" w:color="auto"/>
              <w:right w:val="single" w:sz="4" w:space="0" w:color="auto"/>
            </w:tcBorders>
            <w:noWrap/>
            <w:vAlign w:val="center"/>
          </w:tcPr>
          <w:p w14:paraId="35DB531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成新度</w:t>
            </w:r>
          </w:p>
        </w:tc>
        <w:tc>
          <w:tcPr>
            <w:tcW w:w="825" w:type="pct"/>
            <w:tcBorders>
              <w:top w:val="single" w:sz="4" w:space="0" w:color="auto"/>
              <w:left w:val="nil"/>
              <w:bottom w:val="single" w:sz="4" w:space="0" w:color="auto"/>
              <w:right w:val="single" w:sz="4" w:space="0" w:color="auto"/>
            </w:tcBorders>
            <w:noWrap/>
            <w:vAlign w:val="center"/>
          </w:tcPr>
          <w:p w14:paraId="3A0F096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成新度（</w:t>
            </w:r>
            <w:r>
              <w:rPr>
                <w:rFonts w:ascii="Arial" w:hAnsi="Arial" w:cs="Arial"/>
                <w:snapToGrid w:val="0"/>
                <w:sz w:val="16"/>
              </w:rPr>
              <w:t>%</w:t>
            </w:r>
            <w:r>
              <w:rPr>
                <w:rFonts w:ascii="Arial" w:hAnsi="Arial" w:cs="Arial"/>
                <w:snapToGrid w:val="0"/>
                <w:sz w:val="16"/>
              </w:rPr>
              <w:t>）</w:t>
            </w:r>
          </w:p>
        </w:tc>
        <w:tc>
          <w:tcPr>
            <w:tcW w:w="465" w:type="pct"/>
            <w:tcBorders>
              <w:top w:val="single" w:sz="4" w:space="0" w:color="auto"/>
              <w:left w:val="nil"/>
              <w:bottom w:val="single" w:sz="4" w:space="0" w:color="auto"/>
              <w:right w:val="single" w:sz="4" w:space="0" w:color="auto"/>
            </w:tcBorders>
            <w:noWrap/>
            <w:vAlign w:val="center"/>
          </w:tcPr>
          <w:p w14:paraId="6DE84D71"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rsidR="00000000" w14:paraId="00EC1E75"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23C52D5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5E69735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491" w:type="pct"/>
            <w:tcBorders>
              <w:top w:val="nil"/>
              <w:left w:val="nil"/>
              <w:bottom w:val="single" w:sz="4" w:space="0" w:color="auto"/>
              <w:right w:val="nil"/>
            </w:tcBorders>
            <w:noWrap/>
            <w:vAlign w:val="center"/>
          </w:tcPr>
          <w:p w14:paraId="0E7BB44B"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328</w:t>
            </w:r>
          </w:p>
        </w:tc>
        <w:tc>
          <w:tcPr>
            <w:tcW w:w="3098" w:type="pct"/>
            <w:gridSpan w:val="3"/>
            <w:tcBorders>
              <w:top w:val="single" w:sz="4" w:space="0" w:color="auto"/>
              <w:left w:val="single" w:sz="4" w:space="0" w:color="auto"/>
              <w:bottom w:val="single" w:sz="4" w:space="0" w:color="auto"/>
              <w:right w:val="single" w:sz="4" w:space="0" w:color="auto"/>
            </w:tcBorders>
            <w:vAlign w:val="center"/>
          </w:tcPr>
          <w:p w14:paraId="3AC05E3D"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同前述</w:t>
            </w:r>
          </w:p>
        </w:tc>
      </w:tr>
      <w:tr w:rsidR="00000000" w14:paraId="1D486B3D"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7D592F3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617634F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491" w:type="pct"/>
            <w:tcBorders>
              <w:top w:val="nil"/>
              <w:left w:val="nil"/>
              <w:bottom w:val="single" w:sz="4" w:space="0" w:color="auto"/>
              <w:right w:val="single" w:sz="4" w:space="0" w:color="auto"/>
            </w:tcBorders>
            <w:noWrap/>
            <w:vAlign w:val="center"/>
          </w:tcPr>
          <w:p w14:paraId="0EDACC36"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16</w:t>
            </w:r>
          </w:p>
        </w:tc>
        <w:tc>
          <w:tcPr>
            <w:tcW w:w="1808" w:type="pct"/>
            <w:tcBorders>
              <w:top w:val="nil"/>
              <w:left w:val="nil"/>
              <w:bottom w:val="single" w:sz="4" w:space="0" w:color="auto"/>
              <w:right w:val="single" w:sz="4" w:space="0" w:color="auto"/>
            </w:tcBorders>
            <w:noWrap/>
            <w:vAlign w:val="center"/>
          </w:tcPr>
          <w:p w14:paraId="7AD8FD5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single" w:sz="4" w:space="0" w:color="auto"/>
              <w:right w:val="single" w:sz="4" w:space="0" w:color="auto"/>
            </w:tcBorders>
            <w:noWrap/>
            <w:vAlign w:val="center"/>
          </w:tcPr>
          <w:p w14:paraId="717C0EF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3F57905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000000" w14:paraId="576842B0" w14:textId="77777777">
        <w:trPr>
          <w:trHeight w:val="90"/>
        </w:trPr>
        <w:tc>
          <w:tcPr>
            <w:tcW w:w="318" w:type="pct"/>
            <w:tcBorders>
              <w:top w:val="nil"/>
              <w:left w:val="single" w:sz="8" w:space="0" w:color="auto"/>
              <w:bottom w:val="single" w:sz="4" w:space="0" w:color="auto"/>
              <w:right w:val="single" w:sz="4" w:space="0" w:color="auto"/>
            </w:tcBorders>
            <w:noWrap/>
            <w:vAlign w:val="center"/>
          </w:tcPr>
          <w:p w14:paraId="7E46C7A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7C65DF8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491" w:type="pct"/>
            <w:tcBorders>
              <w:top w:val="nil"/>
              <w:left w:val="nil"/>
              <w:bottom w:val="single" w:sz="4" w:space="0" w:color="auto"/>
              <w:right w:val="single" w:sz="4" w:space="0" w:color="auto"/>
            </w:tcBorders>
            <w:noWrap/>
            <w:vAlign w:val="center"/>
          </w:tcPr>
          <w:p w14:paraId="6B3D2F1C"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p>
        </w:tc>
        <w:tc>
          <w:tcPr>
            <w:tcW w:w="1808" w:type="pct"/>
            <w:tcBorders>
              <w:top w:val="nil"/>
              <w:left w:val="nil"/>
              <w:bottom w:val="single" w:sz="4" w:space="0" w:color="auto"/>
              <w:right w:val="single" w:sz="4" w:space="0" w:color="auto"/>
            </w:tcBorders>
            <w:noWrap/>
            <w:vAlign w:val="center"/>
          </w:tcPr>
          <w:p w14:paraId="254522C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single" w:sz="4" w:space="0" w:color="auto"/>
              <w:right w:val="single" w:sz="4" w:space="0" w:color="auto"/>
            </w:tcBorders>
            <w:noWrap/>
            <w:vAlign w:val="center"/>
          </w:tcPr>
          <w:p w14:paraId="6853415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5CFFABA2" w14:textId="77777777" w:rsidR="00000000" w:rsidRDefault="00000000">
            <w:pPr>
              <w:widowControl/>
              <w:adjustRightInd/>
              <w:spacing w:line="240" w:lineRule="auto"/>
              <w:textAlignment w:val="auto"/>
              <w:rPr>
                <w:rFonts w:ascii="Arial" w:hAnsi="Arial" w:cs="Arial" w:hint="eastAsia"/>
                <w:snapToGrid w:val="0"/>
                <w:sz w:val="16"/>
              </w:rPr>
            </w:pPr>
            <w:r>
              <w:rPr>
                <w:rFonts w:ascii="Arial" w:hAnsi="Arial" w:cs="Arial" w:hint="eastAsia"/>
                <w:snapToGrid w:val="0"/>
                <w:sz w:val="16"/>
              </w:rPr>
              <w:t>不计取</w:t>
            </w:r>
          </w:p>
        </w:tc>
      </w:tr>
      <w:tr w:rsidR="00000000" w14:paraId="1D180ADA"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55D335C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4</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22C3C77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491" w:type="pct"/>
            <w:tcBorders>
              <w:top w:val="nil"/>
              <w:left w:val="nil"/>
              <w:bottom w:val="single" w:sz="4" w:space="0" w:color="auto"/>
              <w:right w:val="single" w:sz="4" w:space="0" w:color="auto"/>
            </w:tcBorders>
            <w:noWrap/>
            <w:vAlign w:val="center"/>
          </w:tcPr>
          <w:p w14:paraId="4BC84A2B"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17</w:t>
            </w:r>
          </w:p>
        </w:tc>
        <w:tc>
          <w:tcPr>
            <w:tcW w:w="1808" w:type="pct"/>
            <w:tcBorders>
              <w:top w:val="nil"/>
              <w:left w:val="nil"/>
              <w:bottom w:val="single" w:sz="4" w:space="0" w:color="auto"/>
              <w:right w:val="single" w:sz="4" w:space="0" w:color="auto"/>
            </w:tcBorders>
            <w:noWrap/>
            <w:vAlign w:val="center"/>
          </w:tcPr>
          <w:p w14:paraId="5DD22BF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r>
              <w:rPr>
                <w:rFonts w:ascii="Arial" w:hAnsi="Arial" w:cs="Arial"/>
                <w:snapToGrid w:val="0"/>
                <w:sz w:val="16"/>
              </w:rPr>
              <w:t>×</w:t>
            </w:r>
            <w:r>
              <w:rPr>
                <w:rFonts w:ascii="Arial" w:hAnsi="Arial" w:cs="Arial"/>
                <w:snapToGrid w:val="0"/>
                <w:sz w:val="16"/>
              </w:rPr>
              <w:t>取费标准</w:t>
            </w:r>
          </w:p>
        </w:tc>
        <w:tc>
          <w:tcPr>
            <w:tcW w:w="825" w:type="pct"/>
            <w:tcBorders>
              <w:top w:val="nil"/>
              <w:left w:val="nil"/>
              <w:bottom w:val="single" w:sz="4" w:space="0" w:color="auto"/>
              <w:right w:val="single" w:sz="4" w:space="0" w:color="auto"/>
            </w:tcBorders>
            <w:noWrap/>
            <w:vAlign w:val="center"/>
          </w:tcPr>
          <w:p w14:paraId="62ED5C2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46F416B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200</w:t>
            </w:r>
          </w:p>
        </w:tc>
      </w:tr>
      <w:tr w:rsidR="00000000" w14:paraId="210BFE44"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3E6512A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5</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4689791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491" w:type="pct"/>
            <w:tcBorders>
              <w:top w:val="nil"/>
              <w:left w:val="nil"/>
              <w:bottom w:val="single" w:sz="4" w:space="0" w:color="auto"/>
              <w:right w:val="single" w:sz="4" w:space="0" w:color="auto"/>
            </w:tcBorders>
            <w:noWrap/>
            <w:vAlign w:val="center"/>
          </w:tcPr>
          <w:p w14:paraId="22F855AF"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7</w:t>
            </w:r>
          </w:p>
        </w:tc>
        <w:tc>
          <w:tcPr>
            <w:tcW w:w="1808" w:type="pct"/>
            <w:tcBorders>
              <w:top w:val="nil"/>
              <w:left w:val="nil"/>
              <w:bottom w:val="single" w:sz="4" w:space="0" w:color="auto"/>
              <w:right w:val="single" w:sz="4" w:space="0" w:color="auto"/>
            </w:tcBorders>
            <w:noWrap/>
            <w:vAlign w:val="center"/>
          </w:tcPr>
          <w:p w14:paraId="2BFBCFA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single" w:sz="4" w:space="0" w:color="auto"/>
              <w:right w:val="single" w:sz="4" w:space="0" w:color="auto"/>
            </w:tcBorders>
            <w:noWrap/>
            <w:vAlign w:val="center"/>
          </w:tcPr>
          <w:p w14:paraId="7658F7A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4E229DC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1.5%</w:t>
            </w:r>
          </w:p>
        </w:tc>
      </w:tr>
      <w:tr w:rsidR="00000000" w14:paraId="5AE9EF77"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64262CC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279193D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491" w:type="pct"/>
            <w:tcBorders>
              <w:top w:val="nil"/>
              <w:left w:val="nil"/>
              <w:bottom w:val="single" w:sz="4" w:space="0" w:color="auto"/>
              <w:right w:val="single" w:sz="4" w:space="0" w:color="auto"/>
            </w:tcBorders>
            <w:noWrap/>
            <w:vAlign w:val="center"/>
          </w:tcPr>
          <w:p w14:paraId="16E21B2B"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368</w:t>
            </w:r>
          </w:p>
        </w:tc>
        <w:tc>
          <w:tcPr>
            <w:tcW w:w="2633" w:type="pct"/>
            <w:gridSpan w:val="2"/>
            <w:tcBorders>
              <w:top w:val="single" w:sz="4" w:space="0" w:color="auto"/>
              <w:left w:val="single" w:sz="4" w:space="0" w:color="auto"/>
              <w:bottom w:val="single" w:sz="4" w:space="0" w:color="auto"/>
              <w:right w:val="nil"/>
            </w:tcBorders>
            <w:noWrap/>
            <w:vAlign w:val="center"/>
          </w:tcPr>
          <w:p w14:paraId="7B38F59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公共配套设施费用</w:t>
            </w:r>
            <w:r>
              <w:rPr>
                <w:rFonts w:ascii="Arial" w:hAnsi="Arial" w:cs="Arial"/>
                <w:snapToGrid w:val="0"/>
                <w:sz w:val="16"/>
              </w:rPr>
              <w:t>+</w:t>
            </w:r>
            <w:r>
              <w:rPr>
                <w:rFonts w:ascii="Arial" w:hAnsi="Arial" w:cs="Arial"/>
                <w:snapToGrid w:val="0"/>
                <w:sz w:val="16"/>
              </w:rPr>
              <w:t>基础设施建设费</w:t>
            </w:r>
            <w:r>
              <w:rPr>
                <w:rFonts w:ascii="Arial" w:hAnsi="Arial" w:cs="Arial"/>
                <w:snapToGrid w:val="0"/>
                <w:sz w:val="16"/>
              </w:rPr>
              <w:t>+</w:t>
            </w:r>
            <w:r>
              <w:rPr>
                <w:rFonts w:ascii="Arial" w:hAnsi="Arial" w:cs="Arial"/>
                <w:snapToGrid w:val="0"/>
                <w:sz w:val="16"/>
              </w:rPr>
              <w:t>相关税费</w:t>
            </w:r>
          </w:p>
        </w:tc>
        <w:tc>
          <w:tcPr>
            <w:tcW w:w="465" w:type="pct"/>
            <w:tcBorders>
              <w:top w:val="nil"/>
              <w:left w:val="nil"/>
              <w:bottom w:val="single" w:sz="4" w:space="0" w:color="auto"/>
              <w:right w:val="single" w:sz="8" w:space="0" w:color="auto"/>
            </w:tcBorders>
            <w:noWrap/>
            <w:vAlign w:val="center"/>
          </w:tcPr>
          <w:p w14:paraId="5332B22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000000" w14:paraId="2DFAB03D"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5B948BE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6CC74D4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491" w:type="pct"/>
            <w:tcBorders>
              <w:top w:val="nil"/>
              <w:left w:val="nil"/>
              <w:bottom w:val="single" w:sz="4" w:space="0" w:color="auto"/>
              <w:right w:val="single" w:sz="4" w:space="0" w:color="auto"/>
            </w:tcBorders>
            <w:noWrap/>
            <w:vAlign w:val="center"/>
          </w:tcPr>
          <w:p w14:paraId="34EC26AF"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7</w:t>
            </w:r>
          </w:p>
        </w:tc>
        <w:tc>
          <w:tcPr>
            <w:tcW w:w="1808" w:type="pct"/>
            <w:tcBorders>
              <w:top w:val="nil"/>
              <w:left w:val="nil"/>
              <w:bottom w:val="single" w:sz="4" w:space="0" w:color="auto"/>
              <w:right w:val="single" w:sz="4" w:space="0" w:color="auto"/>
            </w:tcBorders>
            <w:vAlign w:val="center"/>
          </w:tcPr>
          <w:p w14:paraId="6294E08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single" w:sz="4" w:space="0" w:color="auto"/>
              <w:right w:val="single" w:sz="4" w:space="0" w:color="auto"/>
            </w:tcBorders>
            <w:noWrap/>
            <w:vAlign w:val="center"/>
          </w:tcPr>
          <w:p w14:paraId="0475F2B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3BEDD46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hint="eastAsia"/>
                <w:snapToGrid w:val="0"/>
                <w:sz w:val="16"/>
              </w:rPr>
              <w:t>2</w:t>
            </w:r>
            <w:r>
              <w:rPr>
                <w:rFonts w:ascii="Arial" w:hAnsi="Arial" w:cs="Arial"/>
                <w:snapToGrid w:val="0"/>
                <w:sz w:val="16"/>
              </w:rPr>
              <w:t>.0%</w:t>
            </w:r>
          </w:p>
        </w:tc>
      </w:tr>
      <w:tr w:rsidR="00000000" w14:paraId="6433313D"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0547E3D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31FB594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491" w:type="pct"/>
            <w:tcBorders>
              <w:top w:val="nil"/>
              <w:left w:val="nil"/>
              <w:bottom w:val="single" w:sz="4" w:space="0" w:color="auto"/>
              <w:right w:val="single" w:sz="4" w:space="0" w:color="auto"/>
            </w:tcBorders>
            <w:noWrap/>
            <w:vAlign w:val="center"/>
          </w:tcPr>
          <w:p w14:paraId="129C29BF"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c>
          <w:tcPr>
            <w:tcW w:w="1808" w:type="pct"/>
            <w:tcBorders>
              <w:top w:val="nil"/>
              <w:left w:val="nil"/>
              <w:bottom w:val="single" w:sz="4" w:space="0" w:color="auto"/>
              <w:right w:val="single" w:sz="4" w:space="0" w:color="auto"/>
            </w:tcBorders>
            <w:vAlign w:val="center"/>
          </w:tcPr>
          <w:p w14:paraId="0BFA460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single" w:sz="4" w:space="0" w:color="auto"/>
              <w:right w:val="single" w:sz="4" w:space="0" w:color="auto"/>
            </w:tcBorders>
            <w:noWrap/>
            <w:vAlign w:val="center"/>
          </w:tcPr>
          <w:p w14:paraId="1B5D328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6167BFB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hint="eastAsia"/>
                <w:snapToGrid w:val="0"/>
                <w:sz w:val="16"/>
              </w:rPr>
              <w:t>3.0</w:t>
            </w:r>
            <w:r>
              <w:rPr>
                <w:rFonts w:ascii="Arial" w:hAnsi="Arial" w:cs="Arial"/>
                <w:snapToGrid w:val="0"/>
                <w:sz w:val="16"/>
              </w:rPr>
              <w:t>%</w:t>
            </w:r>
          </w:p>
        </w:tc>
      </w:tr>
      <w:tr w:rsidR="00000000" w14:paraId="12FBC971"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1AF4D5D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3DBD5DE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491" w:type="pct"/>
            <w:tcBorders>
              <w:top w:val="nil"/>
              <w:left w:val="nil"/>
              <w:bottom w:val="single" w:sz="4" w:space="0" w:color="auto"/>
              <w:right w:val="single" w:sz="4" w:space="0" w:color="auto"/>
            </w:tcBorders>
            <w:noWrap/>
            <w:vAlign w:val="center"/>
          </w:tcPr>
          <w:p w14:paraId="24C8EA06"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2633" w:type="pct"/>
            <w:gridSpan w:val="2"/>
            <w:tcBorders>
              <w:top w:val="single" w:sz="4" w:space="0" w:color="auto"/>
              <w:left w:val="single" w:sz="4" w:space="0" w:color="auto"/>
              <w:bottom w:val="single" w:sz="4" w:space="0" w:color="auto"/>
              <w:right w:val="nil"/>
            </w:tcBorders>
            <w:noWrap/>
            <w:vAlign w:val="center"/>
          </w:tcPr>
          <w:p w14:paraId="4AC6A00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465" w:type="pct"/>
            <w:tcBorders>
              <w:top w:val="nil"/>
              <w:left w:val="nil"/>
              <w:bottom w:val="single" w:sz="4" w:space="0" w:color="auto"/>
              <w:right w:val="single" w:sz="8" w:space="0" w:color="auto"/>
            </w:tcBorders>
            <w:noWrap/>
            <w:vAlign w:val="center"/>
          </w:tcPr>
          <w:p w14:paraId="40F5063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000000" w14:paraId="138E2906"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606BB1A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1E8AC64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）项产生的利息</w:t>
            </w:r>
          </w:p>
        </w:tc>
        <w:tc>
          <w:tcPr>
            <w:tcW w:w="491" w:type="pct"/>
            <w:tcBorders>
              <w:top w:val="nil"/>
              <w:left w:val="nil"/>
              <w:bottom w:val="single" w:sz="4" w:space="0" w:color="auto"/>
              <w:right w:val="single" w:sz="4" w:space="0" w:color="auto"/>
            </w:tcBorders>
            <w:noWrap/>
            <w:vAlign w:val="center"/>
          </w:tcPr>
          <w:p w14:paraId="4CE4981C"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12</w:t>
            </w:r>
          </w:p>
        </w:tc>
        <w:tc>
          <w:tcPr>
            <w:tcW w:w="1808" w:type="pct"/>
            <w:tcBorders>
              <w:top w:val="nil"/>
              <w:left w:val="nil"/>
              <w:bottom w:val="single" w:sz="4" w:space="0" w:color="auto"/>
              <w:right w:val="single" w:sz="4" w:space="0" w:color="auto"/>
            </w:tcBorders>
            <w:noWrap/>
            <w:vAlign w:val="center"/>
          </w:tcPr>
          <w:p w14:paraId="78AC449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825" w:type="pct"/>
            <w:tcBorders>
              <w:top w:val="nil"/>
              <w:left w:val="nil"/>
              <w:bottom w:val="single" w:sz="4" w:space="0" w:color="auto"/>
              <w:right w:val="single" w:sz="4" w:space="0" w:color="auto"/>
            </w:tcBorders>
            <w:noWrap/>
            <w:vAlign w:val="center"/>
          </w:tcPr>
          <w:p w14:paraId="03D0F7B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465" w:type="pct"/>
            <w:tcBorders>
              <w:top w:val="nil"/>
              <w:left w:val="nil"/>
              <w:bottom w:val="single" w:sz="4" w:space="0" w:color="auto"/>
              <w:right w:val="single" w:sz="8" w:space="0" w:color="auto"/>
            </w:tcBorders>
            <w:noWrap/>
            <w:vAlign w:val="center"/>
          </w:tcPr>
          <w:p w14:paraId="02BC798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w:t>
            </w:r>
          </w:p>
        </w:tc>
      </w:tr>
      <w:tr w:rsidR="00000000" w14:paraId="2398D8FE"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4FC898E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5D9DEE7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491" w:type="pct"/>
            <w:tcBorders>
              <w:top w:val="nil"/>
              <w:left w:val="nil"/>
              <w:bottom w:val="single" w:sz="4" w:space="0" w:color="auto"/>
              <w:right w:val="single" w:sz="4" w:space="0" w:color="auto"/>
            </w:tcBorders>
            <w:noWrap/>
            <w:vAlign w:val="center"/>
          </w:tcPr>
          <w:p w14:paraId="0ED144D0"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0.003</w:t>
            </w:r>
          </w:p>
        </w:tc>
        <w:tc>
          <w:tcPr>
            <w:tcW w:w="1808" w:type="pct"/>
            <w:tcBorders>
              <w:top w:val="nil"/>
              <w:left w:val="nil"/>
              <w:bottom w:val="single" w:sz="4" w:space="0" w:color="auto"/>
              <w:right w:val="single" w:sz="4" w:space="0" w:color="auto"/>
            </w:tcBorders>
            <w:noWrap/>
            <w:vAlign w:val="center"/>
          </w:tcPr>
          <w:p w14:paraId="0D49984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825" w:type="pct"/>
            <w:tcBorders>
              <w:top w:val="nil"/>
              <w:left w:val="nil"/>
              <w:bottom w:val="single" w:sz="4" w:space="0" w:color="auto"/>
              <w:right w:val="single" w:sz="4" w:space="0" w:color="auto"/>
            </w:tcBorders>
            <w:noWrap/>
            <w:vAlign w:val="center"/>
          </w:tcPr>
          <w:p w14:paraId="5B63EF4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利息（</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23DE561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hint="eastAsia"/>
                <w:snapToGrid w:val="0"/>
                <w:sz w:val="16"/>
              </w:rPr>
              <w:t>3.25</w:t>
            </w:r>
            <w:r>
              <w:rPr>
                <w:rFonts w:ascii="Arial" w:hAnsi="Arial" w:cs="Arial"/>
                <w:snapToGrid w:val="0"/>
                <w:sz w:val="16"/>
              </w:rPr>
              <w:t>%</w:t>
            </w:r>
          </w:p>
        </w:tc>
      </w:tr>
      <w:tr w:rsidR="00000000" w14:paraId="55A9BE92"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39C943B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5</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7936B8B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491" w:type="pct"/>
            <w:tcBorders>
              <w:top w:val="nil"/>
              <w:left w:val="nil"/>
              <w:bottom w:val="single" w:sz="4" w:space="0" w:color="auto"/>
              <w:right w:val="single" w:sz="4" w:space="0" w:color="auto"/>
            </w:tcBorders>
            <w:noWrap/>
            <w:vAlign w:val="center"/>
          </w:tcPr>
          <w:p w14:paraId="43590F09"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single" w:sz="4" w:space="0" w:color="auto"/>
              <w:right w:val="nil"/>
            </w:tcBorders>
            <w:noWrap/>
            <w:vAlign w:val="center"/>
          </w:tcPr>
          <w:p w14:paraId="4AA29BE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825" w:type="pct"/>
            <w:tcBorders>
              <w:top w:val="nil"/>
              <w:left w:val="nil"/>
              <w:bottom w:val="single" w:sz="4" w:space="0" w:color="auto"/>
              <w:right w:val="nil"/>
            </w:tcBorders>
            <w:noWrap/>
            <w:vAlign w:val="center"/>
          </w:tcPr>
          <w:p w14:paraId="5B44636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noWrap/>
            <w:vAlign w:val="center"/>
          </w:tcPr>
          <w:p w14:paraId="69A763B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000000" w14:paraId="3EECB66D"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6C00C55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74A0C1A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）项产生的利润</w:t>
            </w:r>
          </w:p>
        </w:tc>
        <w:tc>
          <w:tcPr>
            <w:tcW w:w="491" w:type="pct"/>
            <w:tcBorders>
              <w:top w:val="nil"/>
              <w:left w:val="nil"/>
              <w:bottom w:val="single" w:sz="4" w:space="0" w:color="auto"/>
              <w:right w:val="single" w:sz="4" w:space="0" w:color="auto"/>
            </w:tcBorders>
            <w:noWrap/>
            <w:vAlign w:val="center"/>
          </w:tcPr>
          <w:p w14:paraId="5631EC1F"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38</w:t>
            </w:r>
          </w:p>
        </w:tc>
        <w:tc>
          <w:tcPr>
            <w:tcW w:w="1808" w:type="pct"/>
            <w:tcBorders>
              <w:top w:val="nil"/>
              <w:left w:val="nil"/>
              <w:bottom w:val="single" w:sz="4" w:space="0" w:color="auto"/>
              <w:right w:val="single" w:sz="4" w:space="0" w:color="auto"/>
            </w:tcBorders>
            <w:vAlign w:val="center"/>
          </w:tcPr>
          <w:p w14:paraId="543C53F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利润率</w:t>
            </w:r>
          </w:p>
        </w:tc>
        <w:tc>
          <w:tcPr>
            <w:tcW w:w="825" w:type="pct"/>
            <w:tcBorders>
              <w:top w:val="nil"/>
              <w:left w:val="nil"/>
              <w:bottom w:val="nil"/>
              <w:right w:val="single" w:sz="4" w:space="0" w:color="auto"/>
            </w:tcBorders>
            <w:noWrap/>
            <w:vAlign w:val="center"/>
          </w:tcPr>
          <w:p w14:paraId="296E7B2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利润率（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0E7879F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10.0%</w:t>
            </w:r>
          </w:p>
        </w:tc>
      </w:tr>
      <w:tr w:rsidR="00000000" w14:paraId="1978A48B"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1A1F536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3ED0890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491" w:type="pct"/>
            <w:tcBorders>
              <w:top w:val="nil"/>
              <w:left w:val="nil"/>
              <w:bottom w:val="single" w:sz="4" w:space="0" w:color="auto"/>
              <w:right w:val="single" w:sz="4" w:space="0" w:color="auto"/>
            </w:tcBorders>
            <w:noWrap/>
            <w:vAlign w:val="center"/>
          </w:tcPr>
          <w:p w14:paraId="61252110"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0.003</w:t>
            </w:r>
          </w:p>
        </w:tc>
        <w:tc>
          <w:tcPr>
            <w:tcW w:w="1808" w:type="pct"/>
            <w:tcBorders>
              <w:top w:val="nil"/>
              <w:left w:val="nil"/>
              <w:bottom w:val="single" w:sz="4" w:space="0" w:color="auto"/>
              <w:right w:val="single" w:sz="4" w:space="0" w:color="auto"/>
            </w:tcBorders>
            <w:vAlign w:val="center"/>
          </w:tcPr>
          <w:p w14:paraId="68724F0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825" w:type="pct"/>
            <w:tcBorders>
              <w:top w:val="nil"/>
              <w:left w:val="nil"/>
              <w:bottom w:val="single" w:sz="4" w:space="0" w:color="auto"/>
              <w:right w:val="single" w:sz="4" w:space="0" w:color="auto"/>
            </w:tcBorders>
            <w:noWrap/>
            <w:vAlign w:val="center"/>
          </w:tcPr>
          <w:p w14:paraId="044DE4A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noWrap/>
            <w:vAlign w:val="center"/>
          </w:tcPr>
          <w:p w14:paraId="3B49CE3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000000" w14:paraId="0B5CDED7"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444D217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6</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5E08C7B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491" w:type="pct"/>
            <w:tcBorders>
              <w:top w:val="nil"/>
              <w:left w:val="nil"/>
              <w:bottom w:val="single" w:sz="4" w:space="0" w:color="auto"/>
              <w:right w:val="single" w:sz="4" w:space="0" w:color="auto"/>
            </w:tcBorders>
            <w:noWrap/>
            <w:vAlign w:val="center"/>
          </w:tcPr>
          <w:p w14:paraId="11E18A66"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0.0524</w:t>
            </w:r>
          </w:p>
        </w:tc>
        <w:tc>
          <w:tcPr>
            <w:tcW w:w="1808" w:type="pct"/>
            <w:tcBorders>
              <w:top w:val="nil"/>
              <w:left w:val="nil"/>
              <w:bottom w:val="single" w:sz="4" w:space="0" w:color="auto"/>
              <w:right w:val="single" w:sz="4" w:space="0" w:color="auto"/>
            </w:tcBorders>
            <w:vAlign w:val="center"/>
          </w:tcPr>
          <w:p w14:paraId="14872E4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825" w:type="pct"/>
            <w:tcBorders>
              <w:top w:val="nil"/>
              <w:left w:val="nil"/>
              <w:bottom w:val="single" w:sz="4" w:space="0" w:color="auto"/>
              <w:right w:val="single" w:sz="4" w:space="0" w:color="auto"/>
            </w:tcBorders>
            <w:noWrap/>
            <w:vAlign w:val="center"/>
          </w:tcPr>
          <w:p w14:paraId="2106BDE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1AB0CAB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000000" w14:paraId="0AE8EBE9" w14:textId="77777777">
        <w:trPr>
          <w:trHeight w:val="360"/>
        </w:trPr>
        <w:tc>
          <w:tcPr>
            <w:tcW w:w="318" w:type="pct"/>
            <w:tcBorders>
              <w:top w:val="nil"/>
              <w:left w:val="single" w:sz="8" w:space="0" w:color="auto"/>
              <w:bottom w:val="double" w:sz="6" w:space="0" w:color="auto"/>
              <w:right w:val="single" w:sz="4" w:space="0" w:color="auto"/>
            </w:tcBorders>
            <w:noWrap/>
            <w:vAlign w:val="center"/>
          </w:tcPr>
          <w:p w14:paraId="04DD9F3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lastRenderedPageBreak/>
              <w:t>（</w:t>
            </w:r>
            <w:r>
              <w:rPr>
                <w:rFonts w:ascii="Arial" w:hAnsi="Arial" w:cs="Arial"/>
                <w:snapToGrid w:val="0"/>
                <w:sz w:val="16"/>
              </w:rPr>
              <w:t>7</w:t>
            </w:r>
            <w:r>
              <w:rPr>
                <w:rFonts w:ascii="Arial" w:hAnsi="Arial" w:cs="Arial"/>
                <w:snapToGrid w:val="0"/>
                <w:sz w:val="16"/>
              </w:rPr>
              <w:t>）</w:t>
            </w:r>
          </w:p>
        </w:tc>
        <w:tc>
          <w:tcPr>
            <w:tcW w:w="1093" w:type="pct"/>
            <w:tcBorders>
              <w:top w:val="nil"/>
              <w:left w:val="nil"/>
              <w:bottom w:val="double" w:sz="6" w:space="0" w:color="auto"/>
              <w:right w:val="single" w:sz="4" w:space="0" w:color="auto"/>
            </w:tcBorders>
            <w:noWrap/>
            <w:vAlign w:val="center"/>
          </w:tcPr>
          <w:p w14:paraId="4531FB4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P</w:t>
            </w:r>
            <w:r>
              <w:rPr>
                <w:rFonts w:ascii="Arial" w:hAnsi="Arial" w:cs="Arial"/>
                <w:snapToGrid w:val="0"/>
                <w:sz w:val="16"/>
              </w:rPr>
              <w:t>建）</w:t>
            </w:r>
          </w:p>
        </w:tc>
        <w:tc>
          <w:tcPr>
            <w:tcW w:w="491" w:type="pct"/>
            <w:tcBorders>
              <w:top w:val="nil"/>
              <w:left w:val="nil"/>
              <w:bottom w:val="double" w:sz="6" w:space="0" w:color="auto"/>
              <w:right w:val="single" w:sz="4" w:space="0" w:color="auto"/>
            </w:tcBorders>
            <w:noWrap/>
            <w:vAlign w:val="center"/>
          </w:tcPr>
          <w:p w14:paraId="298123F7"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465</w:t>
            </w:r>
          </w:p>
        </w:tc>
        <w:tc>
          <w:tcPr>
            <w:tcW w:w="1808" w:type="pct"/>
            <w:tcBorders>
              <w:top w:val="nil"/>
              <w:left w:val="nil"/>
              <w:bottom w:val="double" w:sz="6" w:space="0" w:color="auto"/>
              <w:right w:val="single" w:sz="4" w:space="0" w:color="auto"/>
            </w:tcBorders>
            <w:vAlign w:val="center"/>
          </w:tcPr>
          <w:p w14:paraId="5A4D806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double" w:sz="6" w:space="0" w:color="auto"/>
              <w:right w:val="single" w:sz="4" w:space="0" w:color="auto"/>
            </w:tcBorders>
            <w:noWrap/>
            <w:vAlign w:val="center"/>
          </w:tcPr>
          <w:p w14:paraId="6A44397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double" w:sz="6" w:space="0" w:color="auto"/>
              <w:right w:val="single" w:sz="8" w:space="0" w:color="auto"/>
            </w:tcBorders>
            <w:noWrap/>
            <w:vAlign w:val="center"/>
          </w:tcPr>
          <w:p w14:paraId="565EB8E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000000" w14:paraId="6E3D09CE"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24AF09A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single" w:sz="4" w:space="0" w:color="auto"/>
              <w:right w:val="single" w:sz="4" w:space="0" w:color="auto"/>
            </w:tcBorders>
            <w:noWrap/>
            <w:vAlign w:val="center"/>
          </w:tcPr>
          <w:p w14:paraId="6A116A5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491" w:type="pct"/>
            <w:tcBorders>
              <w:top w:val="nil"/>
              <w:left w:val="nil"/>
              <w:bottom w:val="single" w:sz="4" w:space="0" w:color="auto"/>
              <w:right w:val="single" w:sz="4" w:space="0" w:color="auto"/>
            </w:tcBorders>
            <w:noWrap/>
            <w:vAlign w:val="center"/>
          </w:tcPr>
          <w:p w14:paraId="392940F5"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12</w:t>
            </w:r>
          </w:p>
        </w:tc>
        <w:tc>
          <w:tcPr>
            <w:tcW w:w="1808" w:type="pct"/>
            <w:tcBorders>
              <w:top w:val="nil"/>
              <w:left w:val="nil"/>
              <w:bottom w:val="single" w:sz="4" w:space="0" w:color="auto"/>
              <w:right w:val="nil"/>
            </w:tcBorders>
            <w:noWrap/>
            <w:vAlign w:val="center"/>
          </w:tcPr>
          <w:p w14:paraId="7EADB71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税费</w:t>
            </w:r>
            <w:r>
              <w:rPr>
                <w:rFonts w:ascii="Arial" w:hAnsi="Arial" w:cs="Arial"/>
                <w:snapToGrid w:val="0"/>
                <w:sz w:val="16"/>
              </w:rPr>
              <w:t>+</w:t>
            </w:r>
            <w:r>
              <w:rPr>
                <w:rFonts w:ascii="Arial" w:hAnsi="Arial" w:cs="Arial"/>
                <w:snapToGrid w:val="0"/>
                <w:sz w:val="16"/>
              </w:rPr>
              <w:t>维修费</w:t>
            </w:r>
            <w:r>
              <w:rPr>
                <w:rFonts w:ascii="Arial" w:hAnsi="Arial" w:cs="Arial"/>
                <w:snapToGrid w:val="0"/>
                <w:sz w:val="16"/>
              </w:rPr>
              <w:t>+</w:t>
            </w:r>
            <w:r>
              <w:rPr>
                <w:rFonts w:ascii="Arial" w:hAnsi="Arial" w:cs="Arial"/>
                <w:snapToGrid w:val="0"/>
                <w:sz w:val="16"/>
              </w:rPr>
              <w:t>保险费</w:t>
            </w:r>
            <w:r>
              <w:rPr>
                <w:rFonts w:ascii="Arial" w:hAnsi="Arial" w:cs="Arial"/>
                <w:snapToGrid w:val="0"/>
                <w:sz w:val="16"/>
              </w:rPr>
              <w:t>+</w:t>
            </w:r>
            <w:r>
              <w:rPr>
                <w:rFonts w:ascii="Arial" w:hAnsi="Arial" w:cs="Arial"/>
                <w:snapToGrid w:val="0"/>
                <w:sz w:val="16"/>
              </w:rPr>
              <w:t>管理费</w:t>
            </w:r>
          </w:p>
        </w:tc>
        <w:tc>
          <w:tcPr>
            <w:tcW w:w="825" w:type="pct"/>
            <w:tcBorders>
              <w:top w:val="nil"/>
              <w:left w:val="nil"/>
              <w:bottom w:val="single" w:sz="4" w:space="0" w:color="auto"/>
              <w:right w:val="nil"/>
            </w:tcBorders>
            <w:noWrap/>
            <w:vAlign w:val="center"/>
          </w:tcPr>
          <w:p w14:paraId="6954ECA0"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noWrap/>
            <w:vAlign w:val="center"/>
          </w:tcPr>
          <w:p w14:paraId="7A06B43A"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000000" w14:paraId="79B4F020"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36AE240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51A9656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税</w:t>
            </w:r>
            <w:r>
              <w:rPr>
                <w:rFonts w:ascii="Arial" w:hAnsi="Arial" w:cs="Arial"/>
                <w:snapToGrid w:val="0"/>
                <w:sz w:val="16"/>
              </w:rPr>
              <w:t xml:space="preserve">  </w:t>
            </w:r>
            <w:r>
              <w:rPr>
                <w:rFonts w:ascii="Arial" w:hAnsi="Arial" w:cs="Arial"/>
                <w:snapToGrid w:val="0"/>
                <w:sz w:val="16"/>
              </w:rPr>
              <w:t>费</w:t>
            </w:r>
          </w:p>
        </w:tc>
        <w:tc>
          <w:tcPr>
            <w:tcW w:w="491" w:type="pct"/>
            <w:tcBorders>
              <w:top w:val="nil"/>
              <w:left w:val="nil"/>
              <w:bottom w:val="single" w:sz="4" w:space="0" w:color="auto"/>
              <w:right w:val="single" w:sz="4" w:space="0" w:color="auto"/>
            </w:tcBorders>
            <w:noWrap/>
            <w:vAlign w:val="center"/>
          </w:tcPr>
          <w:p w14:paraId="6AA31A98"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8.71</w:t>
            </w:r>
          </w:p>
        </w:tc>
        <w:tc>
          <w:tcPr>
            <w:tcW w:w="1808" w:type="pct"/>
            <w:tcBorders>
              <w:top w:val="nil"/>
              <w:left w:val="nil"/>
              <w:bottom w:val="single" w:sz="4" w:space="0" w:color="auto"/>
              <w:right w:val="nil"/>
            </w:tcBorders>
            <w:vAlign w:val="center"/>
          </w:tcPr>
          <w:p w14:paraId="0E4029B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两税一费</w:t>
            </w:r>
            <w:r>
              <w:rPr>
                <w:rFonts w:ascii="Arial" w:hAnsi="Arial" w:cs="Arial"/>
                <w:snapToGrid w:val="0"/>
                <w:sz w:val="16"/>
              </w:rPr>
              <w:t>+</w:t>
            </w:r>
            <w:r>
              <w:rPr>
                <w:rFonts w:ascii="Arial" w:hAnsi="Arial" w:cs="Arial"/>
                <w:snapToGrid w:val="0"/>
                <w:sz w:val="16"/>
              </w:rPr>
              <w:t>房产税</w:t>
            </w:r>
            <w:r>
              <w:rPr>
                <w:rFonts w:ascii="Arial" w:hAnsi="Arial" w:cs="Arial"/>
                <w:snapToGrid w:val="0"/>
                <w:sz w:val="16"/>
              </w:rPr>
              <w:t>+</w:t>
            </w:r>
            <w:r>
              <w:rPr>
                <w:rFonts w:ascii="Arial" w:hAnsi="Arial" w:cs="Arial"/>
                <w:snapToGrid w:val="0"/>
                <w:sz w:val="16"/>
              </w:rPr>
              <w:t>城镇土地使用税</w:t>
            </w:r>
          </w:p>
        </w:tc>
        <w:tc>
          <w:tcPr>
            <w:tcW w:w="825" w:type="pct"/>
            <w:tcBorders>
              <w:top w:val="nil"/>
              <w:left w:val="single" w:sz="4" w:space="0" w:color="auto"/>
              <w:bottom w:val="single" w:sz="4" w:space="0" w:color="auto"/>
              <w:right w:val="single" w:sz="4" w:space="0" w:color="auto"/>
            </w:tcBorders>
            <w:vAlign w:val="center"/>
          </w:tcPr>
          <w:p w14:paraId="4E8C111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465" w:type="pct"/>
            <w:tcBorders>
              <w:top w:val="nil"/>
              <w:left w:val="nil"/>
              <w:bottom w:val="single" w:sz="4" w:space="0" w:color="auto"/>
              <w:right w:val="single" w:sz="8" w:space="0" w:color="auto"/>
            </w:tcBorders>
            <w:vAlign w:val="center"/>
          </w:tcPr>
          <w:p w14:paraId="6E7781A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p>
        </w:tc>
      </w:tr>
      <w:tr w:rsidR="00000000" w14:paraId="0E0D1C10"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2D6CF88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48874B7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491" w:type="pct"/>
            <w:tcBorders>
              <w:top w:val="nil"/>
              <w:left w:val="nil"/>
              <w:bottom w:val="single" w:sz="4" w:space="0" w:color="auto"/>
              <w:right w:val="single" w:sz="4" w:space="0" w:color="auto"/>
            </w:tcBorders>
            <w:noWrap/>
            <w:vAlign w:val="center"/>
          </w:tcPr>
          <w:p w14:paraId="09667703"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2.72</w:t>
            </w:r>
          </w:p>
        </w:tc>
        <w:tc>
          <w:tcPr>
            <w:tcW w:w="1808" w:type="pct"/>
            <w:tcBorders>
              <w:top w:val="nil"/>
              <w:left w:val="nil"/>
              <w:bottom w:val="single" w:sz="4" w:space="0" w:color="auto"/>
              <w:right w:val="single" w:sz="4" w:space="0" w:color="auto"/>
            </w:tcBorders>
            <w:vAlign w:val="center"/>
          </w:tcPr>
          <w:p w14:paraId="3AF067B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825" w:type="pct"/>
            <w:tcBorders>
              <w:top w:val="nil"/>
              <w:left w:val="nil"/>
              <w:bottom w:val="single" w:sz="4" w:space="0" w:color="auto"/>
              <w:right w:val="single" w:sz="4" w:space="0" w:color="auto"/>
            </w:tcBorders>
            <w:noWrap/>
            <w:vAlign w:val="center"/>
          </w:tcPr>
          <w:p w14:paraId="33C77EB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07561FC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000000" w14:paraId="596274D0"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27FA495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47DC329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491" w:type="pct"/>
            <w:tcBorders>
              <w:top w:val="nil"/>
              <w:left w:val="nil"/>
              <w:bottom w:val="single" w:sz="4" w:space="0" w:color="auto"/>
              <w:right w:val="single" w:sz="4" w:space="0" w:color="auto"/>
            </w:tcBorders>
            <w:noWrap/>
            <w:vAlign w:val="center"/>
          </w:tcPr>
          <w:p w14:paraId="658CEC12"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5.94</w:t>
            </w:r>
          </w:p>
        </w:tc>
        <w:tc>
          <w:tcPr>
            <w:tcW w:w="1808" w:type="pct"/>
            <w:tcBorders>
              <w:top w:val="nil"/>
              <w:left w:val="nil"/>
              <w:bottom w:val="single" w:sz="4" w:space="0" w:color="auto"/>
              <w:right w:val="single" w:sz="4" w:space="0" w:color="auto"/>
            </w:tcBorders>
            <w:vAlign w:val="center"/>
          </w:tcPr>
          <w:p w14:paraId="6A4950F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825" w:type="pct"/>
            <w:tcBorders>
              <w:top w:val="nil"/>
              <w:left w:val="nil"/>
              <w:bottom w:val="single" w:sz="4" w:space="0" w:color="auto"/>
              <w:right w:val="single" w:sz="4" w:space="0" w:color="auto"/>
            </w:tcBorders>
            <w:noWrap/>
            <w:vAlign w:val="center"/>
          </w:tcPr>
          <w:p w14:paraId="19B5140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52CE8F7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hint="eastAsia"/>
                <w:snapToGrid w:val="0"/>
                <w:sz w:val="16"/>
              </w:rPr>
              <w:t>12</w:t>
            </w:r>
            <w:r>
              <w:rPr>
                <w:rFonts w:ascii="Arial" w:hAnsi="Arial" w:cs="Arial"/>
                <w:snapToGrid w:val="0"/>
                <w:sz w:val="16"/>
              </w:rPr>
              <w:t>.0%</w:t>
            </w:r>
          </w:p>
        </w:tc>
      </w:tr>
      <w:tr w:rsidR="00000000" w14:paraId="710F0966" w14:textId="77777777">
        <w:trPr>
          <w:trHeight w:val="360"/>
        </w:trPr>
        <w:tc>
          <w:tcPr>
            <w:tcW w:w="318" w:type="pct"/>
            <w:tcBorders>
              <w:top w:val="nil"/>
              <w:left w:val="single" w:sz="8" w:space="0" w:color="auto"/>
              <w:bottom w:val="nil"/>
              <w:right w:val="single" w:sz="4" w:space="0" w:color="auto"/>
            </w:tcBorders>
            <w:noWrap/>
            <w:vAlign w:val="center"/>
          </w:tcPr>
          <w:p w14:paraId="31282C5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093" w:type="pct"/>
            <w:tcBorders>
              <w:top w:val="nil"/>
              <w:left w:val="nil"/>
              <w:bottom w:val="nil"/>
              <w:right w:val="single" w:sz="4" w:space="0" w:color="auto"/>
            </w:tcBorders>
            <w:noWrap/>
            <w:vAlign w:val="center"/>
          </w:tcPr>
          <w:p w14:paraId="6D39410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491" w:type="pct"/>
            <w:tcBorders>
              <w:top w:val="nil"/>
              <w:left w:val="nil"/>
              <w:bottom w:val="nil"/>
              <w:right w:val="single" w:sz="4" w:space="0" w:color="auto"/>
            </w:tcBorders>
            <w:noWrap/>
            <w:vAlign w:val="center"/>
          </w:tcPr>
          <w:p w14:paraId="48813B7B"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0.05</w:t>
            </w:r>
          </w:p>
        </w:tc>
        <w:tc>
          <w:tcPr>
            <w:tcW w:w="1808" w:type="pct"/>
            <w:tcBorders>
              <w:top w:val="nil"/>
              <w:left w:val="nil"/>
              <w:bottom w:val="nil"/>
              <w:right w:val="single" w:sz="4" w:space="0" w:color="auto"/>
            </w:tcBorders>
            <w:vAlign w:val="center"/>
          </w:tcPr>
          <w:p w14:paraId="20D3BA8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r>
              <w:rPr>
                <w:rFonts w:ascii="Arial" w:hAnsi="Arial" w:cs="Arial"/>
                <w:snapToGrid w:val="0"/>
                <w:sz w:val="16"/>
              </w:rPr>
              <w:t>×</w:t>
            </w:r>
            <w:r>
              <w:rPr>
                <w:rFonts w:ascii="Arial" w:hAnsi="Arial" w:cs="Arial"/>
                <w:snapToGrid w:val="0"/>
                <w:sz w:val="16"/>
              </w:rPr>
              <w:t>取费标准</w:t>
            </w:r>
          </w:p>
        </w:tc>
        <w:tc>
          <w:tcPr>
            <w:tcW w:w="825" w:type="pct"/>
            <w:tcBorders>
              <w:top w:val="nil"/>
              <w:left w:val="nil"/>
              <w:bottom w:val="single" w:sz="4" w:space="0" w:color="auto"/>
              <w:right w:val="single" w:sz="4" w:space="0" w:color="auto"/>
            </w:tcBorders>
            <w:noWrap/>
            <w:vAlign w:val="center"/>
          </w:tcPr>
          <w:p w14:paraId="75A75C2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30881EB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1.5</w:t>
            </w:r>
          </w:p>
        </w:tc>
      </w:tr>
      <w:tr w:rsidR="00000000" w14:paraId="775357F7"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68E893B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93" w:type="pct"/>
            <w:tcBorders>
              <w:top w:val="nil"/>
              <w:left w:val="nil"/>
              <w:bottom w:val="single" w:sz="4" w:space="0" w:color="auto"/>
              <w:right w:val="single" w:sz="4" w:space="0" w:color="auto"/>
            </w:tcBorders>
            <w:noWrap/>
            <w:vAlign w:val="center"/>
          </w:tcPr>
          <w:p w14:paraId="3D78223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91" w:type="pct"/>
            <w:tcBorders>
              <w:top w:val="nil"/>
              <w:left w:val="nil"/>
              <w:bottom w:val="single" w:sz="4" w:space="0" w:color="auto"/>
              <w:right w:val="single" w:sz="4" w:space="0" w:color="auto"/>
            </w:tcBorders>
            <w:noWrap/>
            <w:vAlign w:val="center"/>
          </w:tcPr>
          <w:p w14:paraId="44C52AB6"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single" w:sz="4" w:space="0" w:color="auto"/>
              <w:right w:val="single" w:sz="4" w:space="0" w:color="auto"/>
            </w:tcBorders>
            <w:vAlign w:val="center"/>
          </w:tcPr>
          <w:p w14:paraId="5B0471B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single" w:sz="4" w:space="0" w:color="auto"/>
              <w:right w:val="single" w:sz="4" w:space="0" w:color="auto"/>
            </w:tcBorders>
            <w:noWrap/>
            <w:vAlign w:val="center"/>
          </w:tcPr>
          <w:p w14:paraId="548A6A8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465" w:type="pct"/>
            <w:tcBorders>
              <w:top w:val="nil"/>
              <w:left w:val="nil"/>
              <w:bottom w:val="single" w:sz="4" w:space="0" w:color="auto"/>
              <w:right w:val="single" w:sz="8" w:space="0" w:color="auto"/>
            </w:tcBorders>
            <w:noWrap/>
            <w:vAlign w:val="center"/>
          </w:tcPr>
          <w:p w14:paraId="5D253446"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346.13</w:t>
            </w:r>
          </w:p>
        </w:tc>
      </w:tr>
      <w:tr w:rsidR="00000000" w14:paraId="17684D86"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5362863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05C3734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491" w:type="pct"/>
            <w:tcBorders>
              <w:top w:val="nil"/>
              <w:left w:val="nil"/>
              <w:bottom w:val="single" w:sz="4" w:space="0" w:color="auto"/>
              <w:right w:val="single" w:sz="4" w:space="0" w:color="auto"/>
            </w:tcBorders>
            <w:noWrap/>
            <w:vAlign w:val="center"/>
          </w:tcPr>
          <w:p w14:paraId="3629297B"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2.33</w:t>
            </w:r>
          </w:p>
        </w:tc>
        <w:tc>
          <w:tcPr>
            <w:tcW w:w="1808" w:type="pct"/>
            <w:tcBorders>
              <w:top w:val="nil"/>
              <w:left w:val="nil"/>
              <w:bottom w:val="single" w:sz="4" w:space="0" w:color="auto"/>
              <w:right w:val="single" w:sz="4" w:space="0" w:color="auto"/>
            </w:tcBorders>
            <w:vAlign w:val="center"/>
          </w:tcPr>
          <w:p w14:paraId="6429153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维修费率</w:t>
            </w:r>
          </w:p>
        </w:tc>
        <w:tc>
          <w:tcPr>
            <w:tcW w:w="825" w:type="pct"/>
            <w:tcBorders>
              <w:top w:val="nil"/>
              <w:left w:val="nil"/>
              <w:bottom w:val="single" w:sz="4" w:space="0" w:color="auto"/>
              <w:right w:val="single" w:sz="4" w:space="0" w:color="auto"/>
            </w:tcBorders>
            <w:noWrap/>
            <w:vAlign w:val="center"/>
          </w:tcPr>
          <w:p w14:paraId="1720E94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64A1348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hint="eastAsia"/>
                <w:snapToGrid w:val="0"/>
                <w:sz w:val="16"/>
              </w:rPr>
              <w:t>0.50</w:t>
            </w:r>
            <w:r>
              <w:rPr>
                <w:rFonts w:ascii="Arial" w:hAnsi="Arial" w:cs="Arial"/>
                <w:snapToGrid w:val="0"/>
                <w:sz w:val="16"/>
              </w:rPr>
              <w:t>%</w:t>
            </w:r>
          </w:p>
        </w:tc>
      </w:tr>
      <w:tr w:rsidR="00000000" w14:paraId="3C5362AE"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1772CF8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093" w:type="pct"/>
            <w:tcBorders>
              <w:top w:val="nil"/>
              <w:left w:val="nil"/>
              <w:bottom w:val="single" w:sz="4" w:space="0" w:color="auto"/>
              <w:right w:val="single" w:sz="4" w:space="0" w:color="auto"/>
            </w:tcBorders>
            <w:noWrap/>
            <w:vAlign w:val="center"/>
          </w:tcPr>
          <w:p w14:paraId="2A90D46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491" w:type="pct"/>
            <w:tcBorders>
              <w:top w:val="nil"/>
              <w:left w:val="nil"/>
              <w:bottom w:val="single" w:sz="4" w:space="0" w:color="auto"/>
              <w:right w:val="single" w:sz="4" w:space="0" w:color="auto"/>
            </w:tcBorders>
            <w:noWrap/>
            <w:vAlign w:val="center"/>
          </w:tcPr>
          <w:p w14:paraId="1130284A"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0.47</w:t>
            </w:r>
          </w:p>
        </w:tc>
        <w:tc>
          <w:tcPr>
            <w:tcW w:w="1808" w:type="pct"/>
            <w:tcBorders>
              <w:top w:val="nil"/>
              <w:left w:val="nil"/>
              <w:bottom w:val="single" w:sz="4" w:space="0" w:color="auto"/>
              <w:right w:val="single" w:sz="4" w:space="0" w:color="auto"/>
            </w:tcBorders>
            <w:vAlign w:val="center"/>
          </w:tcPr>
          <w:p w14:paraId="7F86684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现值</w:t>
            </w:r>
            <w:r>
              <w:rPr>
                <w:rFonts w:ascii="Arial" w:hAnsi="Arial" w:cs="Arial"/>
                <w:snapToGrid w:val="0"/>
                <w:sz w:val="16"/>
              </w:rPr>
              <w:t>×</w:t>
            </w:r>
            <w:r>
              <w:rPr>
                <w:rFonts w:ascii="Arial" w:hAnsi="Arial" w:cs="Arial"/>
                <w:snapToGrid w:val="0"/>
                <w:sz w:val="16"/>
              </w:rPr>
              <w:t>保险费率</w:t>
            </w:r>
          </w:p>
        </w:tc>
        <w:tc>
          <w:tcPr>
            <w:tcW w:w="825" w:type="pct"/>
            <w:tcBorders>
              <w:top w:val="nil"/>
              <w:left w:val="nil"/>
              <w:bottom w:val="single" w:sz="4" w:space="0" w:color="auto"/>
              <w:right w:val="single" w:sz="4" w:space="0" w:color="auto"/>
            </w:tcBorders>
            <w:noWrap/>
            <w:vAlign w:val="center"/>
          </w:tcPr>
          <w:p w14:paraId="625C9F3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1654552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0.</w:t>
            </w:r>
            <w:r>
              <w:rPr>
                <w:rFonts w:ascii="Arial" w:hAnsi="Arial" w:cs="Arial" w:hint="eastAsia"/>
                <w:snapToGrid w:val="0"/>
                <w:sz w:val="16"/>
              </w:rPr>
              <w:t>100</w:t>
            </w:r>
            <w:r>
              <w:rPr>
                <w:rFonts w:ascii="Arial" w:hAnsi="Arial" w:cs="Arial"/>
                <w:snapToGrid w:val="0"/>
                <w:sz w:val="16"/>
              </w:rPr>
              <w:t>%</w:t>
            </w:r>
          </w:p>
        </w:tc>
      </w:tr>
      <w:tr w:rsidR="00000000" w14:paraId="4BAA2B2B" w14:textId="77777777">
        <w:trPr>
          <w:trHeight w:val="360"/>
        </w:trPr>
        <w:tc>
          <w:tcPr>
            <w:tcW w:w="318" w:type="pct"/>
            <w:tcBorders>
              <w:top w:val="nil"/>
              <w:left w:val="single" w:sz="8" w:space="0" w:color="auto"/>
              <w:bottom w:val="double" w:sz="6" w:space="0" w:color="auto"/>
              <w:right w:val="single" w:sz="4" w:space="0" w:color="auto"/>
            </w:tcBorders>
            <w:noWrap/>
            <w:vAlign w:val="center"/>
          </w:tcPr>
          <w:p w14:paraId="65FD78D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093" w:type="pct"/>
            <w:tcBorders>
              <w:top w:val="nil"/>
              <w:left w:val="nil"/>
              <w:bottom w:val="double" w:sz="6" w:space="0" w:color="auto"/>
              <w:right w:val="single" w:sz="4" w:space="0" w:color="auto"/>
            </w:tcBorders>
            <w:noWrap/>
            <w:vAlign w:val="center"/>
          </w:tcPr>
          <w:p w14:paraId="4810A7F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491" w:type="pct"/>
            <w:tcBorders>
              <w:top w:val="nil"/>
              <w:left w:val="nil"/>
              <w:bottom w:val="double" w:sz="6" w:space="0" w:color="auto"/>
              <w:right w:val="single" w:sz="4" w:space="0" w:color="auto"/>
            </w:tcBorders>
            <w:noWrap/>
            <w:vAlign w:val="center"/>
          </w:tcPr>
          <w:p w14:paraId="420897DB"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0.26</w:t>
            </w:r>
          </w:p>
        </w:tc>
        <w:tc>
          <w:tcPr>
            <w:tcW w:w="1808" w:type="pct"/>
            <w:tcBorders>
              <w:top w:val="nil"/>
              <w:left w:val="nil"/>
              <w:bottom w:val="double" w:sz="6" w:space="0" w:color="auto"/>
              <w:right w:val="single" w:sz="4" w:space="0" w:color="auto"/>
            </w:tcBorders>
            <w:vAlign w:val="center"/>
          </w:tcPr>
          <w:p w14:paraId="5EB6805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p>
        </w:tc>
        <w:tc>
          <w:tcPr>
            <w:tcW w:w="825" w:type="pct"/>
            <w:tcBorders>
              <w:top w:val="nil"/>
              <w:left w:val="nil"/>
              <w:bottom w:val="double" w:sz="6" w:space="0" w:color="auto"/>
              <w:right w:val="single" w:sz="4" w:space="0" w:color="auto"/>
            </w:tcBorders>
            <w:noWrap/>
            <w:vAlign w:val="center"/>
          </w:tcPr>
          <w:p w14:paraId="1A65F33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5" w:type="pct"/>
            <w:tcBorders>
              <w:top w:val="nil"/>
              <w:left w:val="nil"/>
              <w:bottom w:val="double" w:sz="6" w:space="0" w:color="auto"/>
              <w:right w:val="single" w:sz="8" w:space="0" w:color="auto"/>
            </w:tcBorders>
            <w:noWrap/>
            <w:vAlign w:val="center"/>
          </w:tcPr>
          <w:p w14:paraId="542FDFD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hint="eastAsia"/>
                <w:snapToGrid w:val="0"/>
                <w:sz w:val="16"/>
              </w:rPr>
              <w:t>.50</w:t>
            </w:r>
            <w:r>
              <w:rPr>
                <w:rFonts w:ascii="Arial" w:hAnsi="Arial" w:cs="Arial"/>
                <w:snapToGrid w:val="0"/>
                <w:sz w:val="16"/>
              </w:rPr>
              <w:t>%</w:t>
            </w:r>
          </w:p>
        </w:tc>
      </w:tr>
      <w:tr w:rsidR="00000000" w14:paraId="4664132D" w14:textId="77777777">
        <w:trPr>
          <w:trHeight w:val="492"/>
        </w:trPr>
        <w:tc>
          <w:tcPr>
            <w:tcW w:w="318" w:type="pct"/>
            <w:tcBorders>
              <w:top w:val="nil"/>
              <w:left w:val="single" w:sz="8" w:space="0" w:color="auto"/>
              <w:bottom w:val="single" w:sz="4" w:space="0" w:color="auto"/>
              <w:right w:val="single" w:sz="4" w:space="0" w:color="auto"/>
            </w:tcBorders>
            <w:noWrap/>
            <w:vAlign w:val="center"/>
          </w:tcPr>
          <w:p w14:paraId="5A46ED1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93" w:type="pct"/>
            <w:tcBorders>
              <w:top w:val="nil"/>
              <w:left w:val="nil"/>
              <w:bottom w:val="single" w:sz="4" w:space="0" w:color="auto"/>
              <w:right w:val="single" w:sz="4" w:space="0" w:color="auto"/>
            </w:tcBorders>
            <w:vAlign w:val="center"/>
          </w:tcPr>
          <w:p w14:paraId="6E021E0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491" w:type="pct"/>
            <w:tcBorders>
              <w:top w:val="nil"/>
              <w:left w:val="nil"/>
              <w:bottom w:val="single" w:sz="4" w:space="0" w:color="auto"/>
              <w:right w:val="single" w:sz="4" w:space="0" w:color="auto"/>
            </w:tcBorders>
            <w:noWrap/>
            <w:vAlign w:val="center"/>
          </w:tcPr>
          <w:p w14:paraId="62463BB2"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40</w:t>
            </w:r>
          </w:p>
        </w:tc>
        <w:tc>
          <w:tcPr>
            <w:tcW w:w="1808" w:type="pct"/>
            <w:tcBorders>
              <w:top w:val="nil"/>
              <w:left w:val="nil"/>
              <w:bottom w:val="single" w:sz="4" w:space="0" w:color="auto"/>
              <w:right w:val="nil"/>
            </w:tcBorders>
            <w:vAlign w:val="center"/>
          </w:tcPr>
          <w:p w14:paraId="3B6CF70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年经营费用</w:t>
            </w:r>
          </w:p>
        </w:tc>
        <w:tc>
          <w:tcPr>
            <w:tcW w:w="825" w:type="pct"/>
            <w:tcBorders>
              <w:top w:val="nil"/>
              <w:left w:val="nil"/>
              <w:bottom w:val="single" w:sz="4" w:space="0" w:color="auto"/>
              <w:right w:val="nil"/>
            </w:tcBorders>
            <w:vAlign w:val="center"/>
          </w:tcPr>
          <w:p w14:paraId="5E4CA4F2"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465" w:type="pct"/>
            <w:tcBorders>
              <w:top w:val="nil"/>
              <w:left w:val="nil"/>
              <w:bottom w:val="single" w:sz="4" w:space="0" w:color="auto"/>
              <w:right w:val="single" w:sz="8" w:space="0" w:color="auto"/>
            </w:tcBorders>
            <w:vAlign w:val="center"/>
          </w:tcPr>
          <w:p w14:paraId="3D60D1F9"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000000" w14:paraId="34F863DF" w14:textId="77777777">
        <w:trPr>
          <w:trHeight w:val="360"/>
        </w:trPr>
        <w:tc>
          <w:tcPr>
            <w:tcW w:w="318" w:type="pct"/>
            <w:tcBorders>
              <w:top w:val="nil"/>
              <w:left w:val="single" w:sz="8" w:space="0" w:color="auto"/>
              <w:bottom w:val="nil"/>
              <w:right w:val="single" w:sz="4" w:space="0" w:color="auto"/>
            </w:tcBorders>
            <w:noWrap/>
            <w:vAlign w:val="center"/>
          </w:tcPr>
          <w:p w14:paraId="0840776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93" w:type="pct"/>
            <w:tcBorders>
              <w:top w:val="nil"/>
              <w:left w:val="nil"/>
              <w:bottom w:val="nil"/>
              <w:right w:val="single" w:sz="4" w:space="0" w:color="auto"/>
            </w:tcBorders>
            <w:vAlign w:val="center"/>
          </w:tcPr>
          <w:p w14:paraId="2C31339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491" w:type="pct"/>
            <w:tcBorders>
              <w:top w:val="nil"/>
              <w:left w:val="nil"/>
              <w:bottom w:val="nil"/>
              <w:right w:val="single" w:sz="4" w:space="0" w:color="auto"/>
            </w:tcBorders>
            <w:noWrap/>
            <w:vAlign w:val="center"/>
          </w:tcPr>
          <w:p w14:paraId="7693D4EE"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684</w:t>
            </w:r>
          </w:p>
        </w:tc>
        <w:tc>
          <w:tcPr>
            <w:tcW w:w="1808" w:type="pct"/>
            <w:tcBorders>
              <w:top w:val="nil"/>
              <w:left w:val="nil"/>
              <w:bottom w:val="nil"/>
              <w:right w:val="single" w:sz="4" w:space="0" w:color="auto"/>
            </w:tcBorders>
            <w:vAlign w:val="center"/>
          </w:tcPr>
          <w:p w14:paraId="205CA27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r>
              <w:rPr>
                <w:rFonts w:ascii="Arial" w:hAnsi="Arial" w:cs="Arial"/>
                <w:snapToGrid w:val="0"/>
                <w:sz w:val="16"/>
              </w:rPr>
              <w:t>×</w:t>
            </w:r>
          </w:p>
        </w:tc>
        <w:tc>
          <w:tcPr>
            <w:tcW w:w="825" w:type="pct"/>
            <w:tcBorders>
              <w:top w:val="nil"/>
              <w:left w:val="nil"/>
              <w:bottom w:val="single" w:sz="4" w:space="0" w:color="auto"/>
              <w:right w:val="single" w:sz="4" w:space="0" w:color="auto"/>
            </w:tcBorders>
            <w:noWrap/>
            <w:vAlign w:val="center"/>
          </w:tcPr>
          <w:p w14:paraId="1CD0F68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还原率（</w:t>
            </w:r>
            <w:r>
              <w:rPr>
                <w:rFonts w:ascii="Arial" w:hAnsi="Arial" w:cs="Arial"/>
                <w:snapToGrid w:val="0"/>
                <w:sz w:val="16"/>
              </w:rPr>
              <w:t>Y</w:t>
            </w:r>
            <w:r>
              <w:rPr>
                <w:rFonts w:ascii="Arial" w:hAnsi="Arial" w:cs="Arial"/>
                <w:snapToGrid w:val="0"/>
                <w:sz w:val="16"/>
              </w:rPr>
              <w:t>）</w:t>
            </w:r>
          </w:p>
        </w:tc>
        <w:tc>
          <w:tcPr>
            <w:tcW w:w="465" w:type="pct"/>
            <w:tcBorders>
              <w:top w:val="nil"/>
              <w:left w:val="nil"/>
              <w:bottom w:val="single" w:sz="4" w:space="0" w:color="auto"/>
              <w:right w:val="single" w:sz="8" w:space="0" w:color="auto"/>
            </w:tcBorders>
            <w:noWrap/>
            <w:vAlign w:val="center"/>
          </w:tcPr>
          <w:p w14:paraId="178DC62D"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6</w:t>
            </w:r>
            <w:r>
              <w:rPr>
                <w:rFonts w:ascii="Arial" w:hAnsi="Arial" w:cs="Arial"/>
                <w:snapToGrid w:val="0"/>
                <w:sz w:val="16"/>
              </w:rPr>
              <w:t>.0%</w:t>
            </w:r>
          </w:p>
        </w:tc>
      </w:tr>
      <w:tr w:rsidR="00000000" w14:paraId="4FF70A74" w14:textId="77777777">
        <w:trPr>
          <w:trHeight w:val="360"/>
        </w:trPr>
        <w:tc>
          <w:tcPr>
            <w:tcW w:w="318" w:type="pct"/>
            <w:tcBorders>
              <w:top w:val="nil"/>
              <w:left w:val="single" w:sz="8" w:space="0" w:color="auto"/>
              <w:bottom w:val="nil"/>
              <w:right w:val="single" w:sz="4" w:space="0" w:color="auto"/>
            </w:tcBorders>
            <w:noWrap/>
            <w:vAlign w:val="center"/>
          </w:tcPr>
          <w:p w14:paraId="381C2C5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93" w:type="pct"/>
            <w:tcBorders>
              <w:top w:val="nil"/>
              <w:left w:val="nil"/>
              <w:bottom w:val="nil"/>
              <w:right w:val="single" w:sz="4" w:space="0" w:color="auto"/>
            </w:tcBorders>
            <w:vAlign w:val="center"/>
          </w:tcPr>
          <w:p w14:paraId="2BDDE6A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91" w:type="pct"/>
            <w:tcBorders>
              <w:top w:val="nil"/>
              <w:left w:val="nil"/>
              <w:bottom w:val="nil"/>
              <w:right w:val="single" w:sz="4" w:space="0" w:color="auto"/>
            </w:tcBorders>
            <w:noWrap/>
            <w:vAlign w:val="center"/>
          </w:tcPr>
          <w:p w14:paraId="7AE5DDAB"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nil"/>
              <w:right w:val="single" w:sz="4" w:space="0" w:color="auto"/>
            </w:tcBorders>
            <w:vAlign w:val="center"/>
          </w:tcPr>
          <w:p w14:paraId="5F75DCE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r>
              <w:rPr>
                <w:rFonts w:ascii="Arial" w:hAnsi="Arial" w:cs="Arial"/>
                <w:snapToGrid w:val="0"/>
                <w:sz w:val="16"/>
              </w:rPr>
              <w:t>(1+g)/(1+Y)</w:t>
            </w:r>
            <w:r>
              <w:rPr>
                <w:rFonts w:ascii="Arial" w:hAnsi="Arial" w:cs="Arial"/>
                <w:snapToGrid w:val="0"/>
                <w:sz w:val="16"/>
              </w:rPr>
              <w:t>）</w:t>
            </w:r>
            <w:r>
              <w:rPr>
                <w:rFonts w:ascii="Arial" w:hAnsi="Arial" w:cs="Arial"/>
                <w:snapToGrid w:val="0"/>
                <w:sz w:val="16"/>
              </w:rPr>
              <w:t xml:space="preserve"> ^n ]/(Y-g)</w:t>
            </w:r>
          </w:p>
        </w:tc>
        <w:tc>
          <w:tcPr>
            <w:tcW w:w="825" w:type="pct"/>
            <w:tcBorders>
              <w:top w:val="nil"/>
              <w:left w:val="nil"/>
              <w:bottom w:val="single" w:sz="4" w:space="0" w:color="auto"/>
              <w:right w:val="single" w:sz="4" w:space="0" w:color="auto"/>
            </w:tcBorders>
            <w:noWrap/>
            <w:vAlign w:val="center"/>
          </w:tcPr>
          <w:p w14:paraId="47A7BC5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收益年期</w:t>
            </w:r>
            <w:r>
              <w:rPr>
                <w:rFonts w:ascii="Arial" w:hAnsi="Arial" w:cs="Arial"/>
                <w:snapToGrid w:val="0"/>
                <w:sz w:val="16"/>
              </w:rPr>
              <w:t>(n)</w:t>
            </w:r>
          </w:p>
        </w:tc>
        <w:tc>
          <w:tcPr>
            <w:tcW w:w="465" w:type="pct"/>
            <w:tcBorders>
              <w:top w:val="nil"/>
              <w:left w:val="nil"/>
              <w:bottom w:val="single" w:sz="4" w:space="0" w:color="auto"/>
              <w:right w:val="single" w:sz="8" w:space="0" w:color="auto"/>
            </w:tcBorders>
            <w:noWrap/>
            <w:vAlign w:val="center"/>
          </w:tcPr>
          <w:p w14:paraId="08F23C11"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40.00 </w:t>
            </w:r>
          </w:p>
        </w:tc>
      </w:tr>
      <w:tr w:rsidR="00000000" w14:paraId="0751DC57" w14:textId="77777777">
        <w:trPr>
          <w:trHeight w:val="360"/>
        </w:trPr>
        <w:tc>
          <w:tcPr>
            <w:tcW w:w="318" w:type="pct"/>
            <w:tcBorders>
              <w:top w:val="nil"/>
              <w:left w:val="single" w:sz="8" w:space="0" w:color="auto"/>
              <w:bottom w:val="single" w:sz="4" w:space="0" w:color="auto"/>
              <w:right w:val="single" w:sz="4" w:space="0" w:color="auto"/>
            </w:tcBorders>
            <w:noWrap/>
            <w:vAlign w:val="center"/>
          </w:tcPr>
          <w:p w14:paraId="5358D96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093" w:type="pct"/>
            <w:tcBorders>
              <w:top w:val="nil"/>
              <w:left w:val="nil"/>
              <w:bottom w:val="single" w:sz="4" w:space="0" w:color="auto"/>
              <w:right w:val="single" w:sz="4" w:space="0" w:color="auto"/>
            </w:tcBorders>
            <w:vAlign w:val="center"/>
          </w:tcPr>
          <w:p w14:paraId="12995FB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91" w:type="pct"/>
            <w:tcBorders>
              <w:top w:val="nil"/>
              <w:left w:val="nil"/>
              <w:bottom w:val="single" w:sz="4" w:space="0" w:color="auto"/>
              <w:right w:val="single" w:sz="4" w:space="0" w:color="auto"/>
            </w:tcBorders>
            <w:noWrap/>
            <w:vAlign w:val="center"/>
          </w:tcPr>
          <w:p w14:paraId="20FAEA9F"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1808" w:type="pct"/>
            <w:tcBorders>
              <w:top w:val="nil"/>
              <w:left w:val="nil"/>
              <w:bottom w:val="single" w:sz="4" w:space="0" w:color="auto"/>
              <w:right w:val="single" w:sz="4" w:space="0" w:color="auto"/>
            </w:tcBorders>
            <w:vAlign w:val="center"/>
          </w:tcPr>
          <w:p w14:paraId="55078D2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825" w:type="pct"/>
            <w:tcBorders>
              <w:top w:val="nil"/>
              <w:left w:val="nil"/>
              <w:bottom w:val="single" w:sz="4" w:space="0" w:color="auto"/>
              <w:right w:val="single" w:sz="4" w:space="0" w:color="auto"/>
            </w:tcBorders>
            <w:noWrap/>
            <w:vAlign w:val="center"/>
          </w:tcPr>
          <w:p w14:paraId="1DBE341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年增长比率</w:t>
            </w:r>
            <w:r>
              <w:rPr>
                <w:rFonts w:ascii="Arial" w:hAnsi="Arial" w:cs="Arial"/>
                <w:snapToGrid w:val="0"/>
                <w:sz w:val="16"/>
              </w:rPr>
              <w:t>(g)</w:t>
            </w:r>
          </w:p>
        </w:tc>
        <w:tc>
          <w:tcPr>
            <w:tcW w:w="465" w:type="pct"/>
            <w:tcBorders>
              <w:top w:val="nil"/>
              <w:left w:val="nil"/>
              <w:bottom w:val="single" w:sz="4" w:space="0" w:color="auto"/>
              <w:right w:val="single" w:sz="8" w:space="0" w:color="auto"/>
            </w:tcBorders>
            <w:noWrap/>
            <w:vAlign w:val="center"/>
          </w:tcPr>
          <w:p w14:paraId="24E1D916"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1.0%</w:t>
            </w:r>
          </w:p>
        </w:tc>
      </w:tr>
      <w:tr w:rsidR="00000000" w14:paraId="75180878" w14:textId="77777777">
        <w:trPr>
          <w:trHeight w:val="360"/>
        </w:trPr>
        <w:tc>
          <w:tcPr>
            <w:tcW w:w="318" w:type="pct"/>
            <w:tcBorders>
              <w:top w:val="nil"/>
              <w:left w:val="single" w:sz="8" w:space="0" w:color="auto"/>
              <w:bottom w:val="single" w:sz="8" w:space="0" w:color="auto"/>
              <w:right w:val="single" w:sz="4" w:space="0" w:color="auto"/>
            </w:tcBorders>
            <w:noWrap/>
            <w:vAlign w:val="center"/>
          </w:tcPr>
          <w:p w14:paraId="6A7EA3A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93" w:type="pct"/>
            <w:tcBorders>
              <w:top w:val="nil"/>
              <w:left w:val="nil"/>
              <w:bottom w:val="single" w:sz="8" w:space="0" w:color="auto"/>
              <w:right w:val="single" w:sz="4" w:space="0" w:color="auto"/>
            </w:tcBorders>
            <w:noWrap/>
            <w:vAlign w:val="center"/>
          </w:tcPr>
          <w:p w14:paraId="175A659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单价</w:t>
            </w:r>
            <w:r>
              <w:rPr>
                <w:rFonts w:ascii="Arial" w:hAnsi="Arial" w:cs="Arial"/>
                <w:snapToGrid w:val="0"/>
                <w:sz w:val="16"/>
              </w:rPr>
              <w:t>(</w:t>
            </w:r>
            <w:r>
              <w:rPr>
                <w:rFonts w:ascii="Arial" w:hAnsi="Arial" w:cs="Arial"/>
                <w:snapToGrid w:val="0"/>
                <w:sz w:val="16"/>
              </w:rPr>
              <w:t>元</w:t>
            </w:r>
            <w:r>
              <w:rPr>
                <w:rFonts w:ascii="Arial" w:hAnsi="Arial" w:cs="Arial"/>
                <w:snapToGrid w:val="0"/>
                <w:sz w:val="16"/>
              </w:rPr>
              <w:t>/</w:t>
            </w:r>
            <w:r>
              <w:rPr>
                <w:rFonts w:ascii="Arial" w:hAnsi="Arial" w:cs="Arial"/>
                <w:snapToGrid w:val="0"/>
                <w:sz w:val="16"/>
              </w:rPr>
              <w:t>平方米</w:t>
            </w:r>
            <w:r>
              <w:rPr>
                <w:rFonts w:ascii="Arial" w:hAnsi="Arial" w:cs="Arial"/>
                <w:snapToGrid w:val="0"/>
                <w:sz w:val="16"/>
              </w:rPr>
              <w:t>)</w:t>
            </w:r>
          </w:p>
        </w:tc>
        <w:tc>
          <w:tcPr>
            <w:tcW w:w="491" w:type="pct"/>
            <w:tcBorders>
              <w:top w:val="nil"/>
              <w:left w:val="nil"/>
              <w:bottom w:val="single" w:sz="8" w:space="0" w:color="auto"/>
              <w:right w:val="single" w:sz="4" w:space="0" w:color="auto"/>
            </w:tcBorders>
            <w:noWrap/>
            <w:vAlign w:val="center"/>
          </w:tcPr>
          <w:p w14:paraId="01F9073D"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8593</w:t>
            </w:r>
          </w:p>
        </w:tc>
        <w:tc>
          <w:tcPr>
            <w:tcW w:w="1808" w:type="pct"/>
            <w:tcBorders>
              <w:top w:val="nil"/>
              <w:left w:val="nil"/>
              <w:bottom w:val="single" w:sz="8" w:space="0" w:color="auto"/>
              <w:right w:val="single" w:sz="4" w:space="0" w:color="auto"/>
            </w:tcBorders>
            <w:noWrap/>
            <w:vAlign w:val="center"/>
          </w:tcPr>
          <w:p w14:paraId="4997626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收益价值</w:t>
            </w:r>
            <w:r>
              <w:rPr>
                <w:rFonts w:ascii="Arial" w:hAnsi="Arial" w:cs="Arial"/>
                <w:snapToGrid w:val="0"/>
                <w:sz w:val="16"/>
              </w:rPr>
              <w:t>÷</w:t>
            </w:r>
            <w:r>
              <w:rPr>
                <w:rFonts w:ascii="Arial" w:hAnsi="Arial" w:cs="Arial"/>
                <w:snapToGrid w:val="0"/>
                <w:sz w:val="16"/>
              </w:rPr>
              <w:t>建筑面积</w:t>
            </w:r>
          </w:p>
        </w:tc>
        <w:tc>
          <w:tcPr>
            <w:tcW w:w="825" w:type="pct"/>
            <w:tcBorders>
              <w:top w:val="nil"/>
              <w:left w:val="nil"/>
              <w:bottom w:val="single" w:sz="8" w:space="0" w:color="auto"/>
              <w:right w:val="single" w:sz="4" w:space="0" w:color="auto"/>
            </w:tcBorders>
            <w:noWrap/>
            <w:vAlign w:val="center"/>
          </w:tcPr>
          <w:p w14:paraId="4FA7394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465" w:type="pct"/>
            <w:tcBorders>
              <w:top w:val="nil"/>
              <w:left w:val="nil"/>
              <w:bottom w:val="single" w:sz="8" w:space="0" w:color="auto"/>
              <w:right w:val="single" w:sz="8" w:space="0" w:color="auto"/>
            </w:tcBorders>
            <w:noWrap/>
            <w:vAlign w:val="center"/>
          </w:tcPr>
          <w:p w14:paraId="5D4D2F2F"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796</w:t>
            </w:r>
          </w:p>
        </w:tc>
      </w:tr>
    </w:tbl>
    <w:p w14:paraId="3609E119" w14:textId="77777777" w:rsidR="00000000" w:rsidRDefault="00000000">
      <w:pPr>
        <w:pStyle w:val="af5"/>
        <w:ind w:firstLine="560"/>
        <w:jc w:val="both"/>
        <w:rPr>
          <w:rFonts w:ascii="Arial" w:hAnsi="Arial" w:cs="Arial"/>
          <w:sz w:val="28"/>
          <w:szCs w:val="20"/>
        </w:rPr>
      </w:pPr>
    </w:p>
    <w:p w14:paraId="340D5F83" w14:textId="77777777" w:rsidR="00000000" w:rsidRDefault="00000000">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w:t>
      </w:r>
      <w:r>
        <w:rPr>
          <w:rFonts w:ascii="Arial" w:hAnsi="Arial" w:cs="Arial" w:hint="eastAsia"/>
          <w:sz w:val="28"/>
        </w:rPr>
        <w:t>地下</w:t>
      </w:r>
      <w:r>
        <w:rPr>
          <w:rFonts w:ascii="Arial" w:hAnsi="Arial" w:cs="Arial"/>
          <w:sz w:val="28"/>
        </w:rPr>
        <w:t>车库用房开发完成后不动产总价</w:t>
      </w:r>
    </w:p>
    <w:p w14:paraId="0015FFDB" w14:textId="77777777" w:rsidR="00000000" w:rsidRDefault="00000000">
      <w:pPr>
        <w:spacing w:line="360" w:lineRule="auto"/>
        <w:ind w:firstLineChars="200" w:firstLine="560"/>
        <w:jc w:val="both"/>
        <w:rPr>
          <w:rFonts w:ascii="Arial" w:hAnsi="Arial" w:cs="Arial" w:hint="eastAsia"/>
          <w:sz w:val="28"/>
        </w:rPr>
      </w:pPr>
      <w:r>
        <w:rPr>
          <w:rFonts w:ascii="Arial" w:hAnsi="Arial" w:cs="Arial" w:hint="eastAsia"/>
          <w:sz w:val="28"/>
        </w:rPr>
        <w:t>通过对昌平区马池口镇百泉庄村附近地下车库用房租赁市场的调查，选取近期同一供需圈及邻近地区实际成交的案例进行分析比较，咨询对象周边租金水平约</w:t>
      </w:r>
      <w:r>
        <w:rPr>
          <w:rFonts w:ascii="Arial" w:hAnsi="Arial" w:cs="Arial" w:hint="eastAsia"/>
          <w:sz w:val="28"/>
        </w:rPr>
        <w:t>250-350</w:t>
      </w:r>
      <w:r>
        <w:rPr>
          <w:rFonts w:ascii="Arial" w:hAnsi="Arial" w:cs="Arial" w:hint="eastAsia"/>
          <w:sz w:val="28"/>
        </w:rPr>
        <w:t>元</w:t>
      </w:r>
      <w:r>
        <w:rPr>
          <w:rFonts w:ascii="Arial" w:hAnsi="Arial" w:cs="Arial" w:hint="eastAsia"/>
          <w:sz w:val="28"/>
        </w:rPr>
        <w:t>/</w:t>
      </w:r>
      <w:r>
        <w:rPr>
          <w:rFonts w:ascii="Arial" w:hAnsi="Arial" w:cs="Arial" w:hint="eastAsia"/>
          <w:sz w:val="28"/>
        </w:rPr>
        <w:t>个</w:t>
      </w:r>
      <w:r>
        <w:rPr>
          <w:rFonts w:ascii="Arial" w:hAnsi="Arial" w:cs="Arial" w:hint="eastAsia"/>
          <w:sz w:val="28"/>
        </w:rPr>
        <w:t>/</w:t>
      </w:r>
      <w:r>
        <w:rPr>
          <w:rFonts w:ascii="Arial" w:hAnsi="Arial" w:cs="Arial" w:hint="eastAsia"/>
          <w:sz w:val="28"/>
        </w:rPr>
        <w:t>月，根据委托方提供的《估价委托书》中的规划条件及介绍，最终估算咨询对象租金水平为</w:t>
      </w:r>
      <w:r>
        <w:rPr>
          <w:rFonts w:ascii="Arial" w:hAnsi="Arial" w:cs="Arial" w:hint="eastAsia"/>
          <w:sz w:val="28"/>
        </w:rPr>
        <w:t>300</w:t>
      </w:r>
      <w:r>
        <w:rPr>
          <w:rFonts w:ascii="Arial" w:hAnsi="Arial" w:cs="Arial" w:hint="eastAsia"/>
          <w:sz w:val="28"/>
        </w:rPr>
        <w:t>元</w:t>
      </w:r>
      <w:r>
        <w:rPr>
          <w:rFonts w:ascii="Arial" w:hAnsi="Arial" w:cs="Arial" w:hint="eastAsia"/>
          <w:sz w:val="28"/>
        </w:rPr>
        <w:t>/</w:t>
      </w:r>
      <w:r>
        <w:rPr>
          <w:rFonts w:ascii="Arial" w:hAnsi="Arial" w:cs="Arial" w:hint="eastAsia"/>
          <w:sz w:val="28"/>
        </w:rPr>
        <w:t>个</w:t>
      </w:r>
      <w:r>
        <w:rPr>
          <w:rFonts w:ascii="Arial" w:hAnsi="Arial" w:cs="Arial" w:hint="eastAsia"/>
          <w:sz w:val="28"/>
        </w:rPr>
        <w:t>/</w:t>
      </w:r>
      <w:r>
        <w:rPr>
          <w:rFonts w:ascii="Arial" w:hAnsi="Arial" w:cs="Arial" w:hint="eastAsia"/>
          <w:sz w:val="28"/>
        </w:rPr>
        <w:t>月。</w:t>
      </w:r>
    </w:p>
    <w:tbl>
      <w:tblPr>
        <w:tblW w:w="5091" w:type="pct"/>
        <w:tblInd w:w="-176" w:type="dxa"/>
        <w:tblLayout w:type="fixed"/>
        <w:tblLook w:val="0000" w:firstRow="0" w:lastRow="0" w:firstColumn="0" w:lastColumn="0" w:noHBand="0" w:noVBand="0"/>
      </w:tblPr>
      <w:tblGrid>
        <w:gridCol w:w="606"/>
        <w:gridCol w:w="2090"/>
        <w:gridCol w:w="1034"/>
        <w:gridCol w:w="3363"/>
        <w:gridCol w:w="1476"/>
        <w:gridCol w:w="879"/>
      </w:tblGrid>
      <w:tr w:rsidR="00000000" w14:paraId="42C4F120" w14:textId="77777777">
        <w:trPr>
          <w:trHeight w:val="360"/>
        </w:trPr>
        <w:tc>
          <w:tcPr>
            <w:tcW w:w="320" w:type="pct"/>
            <w:tcBorders>
              <w:top w:val="single" w:sz="8" w:space="0" w:color="auto"/>
              <w:left w:val="single" w:sz="8" w:space="0" w:color="auto"/>
              <w:bottom w:val="single" w:sz="4" w:space="0" w:color="auto"/>
              <w:right w:val="single" w:sz="4" w:space="0" w:color="auto"/>
            </w:tcBorders>
            <w:noWrap/>
            <w:vAlign w:val="center"/>
          </w:tcPr>
          <w:p w14:paraId="6705312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105" w:type="pct"/>
            <w:tcBorders>
              <w:top w:val="single" w:sz="8" w:space="0" w:color="auto"/>
              <w:left w:val="nil"/>
              <w:bottom w:val="single" w:sz="4" w:space="0" w:color="auto"/>
              <w:right w:val="single" w:sz="4" w:space="0" w:color="auto"/>
            </w:tcBorders>
            <w:noWrap/>
            <w:vAlign w:val="center"/>
          </w:tcPr>
          <w:p w14:paraId="4D3C632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547" w:type="pct"/>
            <w:tcBorders>
              <w:top w:val="single" w:sz="8" w:space="0" w:color="auto"/>
              <w:left w:val="nil"/>
              <w:bottom w:val="single" w:sz="4" w:space="0" w:color="auto"/>
              <w:right w:val="single" w:sz="4" w:space="0" w:color="auto"/>
            </w:tcBorders>
            <w:noWrap/>
            <w:vAlign w:val="center"/>
          </w:tcPr>
          <w:p w14:paraId="20B5253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779" w:type="pct"/>
            <w:tcBorders>
              <w:top w:val="single" w:sz="8" w:space="0" w:color="auto"/>
              <w:left w:val="nil"/>
              <w:bottom w:val="single" w:sz="4" w:space="0" w:color="auto"/>
              <w:right w:val="single" w:sz="4" w:space="0" w:color="auto"/>
            </w:tcBorders>
            <w:noWrap/>
            <w:vAlign w:val="center"/>
          </w:tcPr>
          <w:p w14:paraId="60626CF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781" w:type="pct"/>
            <w:tcBorders>
              <w:top w:val="single" w:sz="8" w:space="0" w:color="auto"/>
              <w:left w:val="nil"/>
              <w:bottom w:val="single" w:sz="4" w:space="0" w:color="auto"/>
              <w:right w:val="nil"/>
            </w:tcBorders>
            <w:noWrap/>
            <w:vAlign w:val="center"/>
          </w:tcPr>
          <w:p w14:paraId="3AFB882A" w14:textId="77777777" w:rsidR="00000000" w:rsidRDefault="00000000">
            <w:pPr>
              <w:widowControl/>
              <w:adjustRightInd/>
              <w:spacing w:line="240" w:lineRule="auto"/>
              <w:jc w:val="right"/>
              <w:textAlignment w:val="auto"/>
              <w:rPr>
                <w:rFonts w:ascii="Arial" w:hAnsi="Arial" w:cs="Arial"/>
                <w:snapToGrid w:val="0"/>
                <w:sz w:val="16"/>
              </w:rPr>
            </w:pPr>
            <w:r>
              <w:rPr>
                <w:rFonts w:ascii="Arial" w:hAnsi="Arial" w:cs="Arial"/>
                <w:snapToGrid w:val="0"/>
                <w:sz w:val="16"/>
              </w:rPr>
              <w:t>取费标准</w:t>
            </w:r>
          </w:p>
        </w:tc>
        <w:tc>
          <w:tcPr>
            <w:tcW w:w="464" w:type="pct"/>
            <w:tcBorders>
              <w:top w:val="single" w:sz="8" w:space="0" w:color="auto"/>
              <w:left w:val="nil"/>
              <w:bottom w:val="single" w:sz="4" w:space="0" w:color="auto"/>
              <w:right w:val="single" w:sz="8" w:space="0" w:color="auto"/>
            </w:tcBorders>
            <w:noWrap/>
            <w:vAlign w:val="center"/>
          </w:tcPr>
          <w:p w14:paraId="5EA388D3"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000000" w14:paraId="1ECE56E3" w14:textId="77777777">
        <w:trPr>
          <w:trHeight w:val="360"/>
        </w:trPr>
        <w:tc>
          <w:tcPr>
            <w:tcW w:w="320" w:type="pct"/>
            <w:tcBorders>
              <w:top w:val="nil"/>
              <w:left w:val="single" w:sz="8" w:space="0" w:color="auto"/>
              <w:bottom w:val="nil"/>
              <w:right w:val="single" w:sz="4" w:space="0" w:color="auto"/>
            </w:tcBorders>
            <w:noWrap/>
            <w:vAlign w:val="center"/>
          </w:tcPr>
          <w:p w14:paraId="186336B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5" w:type="pct"/>
            <w:tcBorders>
              <w:top w:val="nil"/>
              <w:left w:val="nil"/>
              <w:bottom w:val="nil"/>
              <w:right w:val="single" w:sz="4" w:space="0" w:color="auto"/>
            </w:tcBorders>
            <w:vAlign w:val="center"/>
          </w:tcPr>
          <w:p w14:paraId="3137A98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547" w:type="pct"/>
            <w:tcBorders>
              <w:top w:val="nil"/>
              <w:left w:val="nil"/>
              <w:bottom w:val="nil"/>
              <w:right w:val="single" w:sz="4" w:space="0" w:color="auto"/>
            </w:tcBorders>
            <w:noWrap/>
            <w:vAlign w:val="center"/>
          </w:tcPr>
          <w:p w14:paraId="3F6F9B13"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75</w:t>
            </w:r>
          </w:p>
        </w:tc>
        <w:tc>
          <w:tcPr>
            <w:tcW w:w="3025" w:type="pct"/>
            <w:gridSpan w:val="3"/>
            <w:tcBorders>
              <w:top w:val="single" w:sz="4" w:space="0" w:color="auto"/>
              <w:left w:val="nil"/>
              <w:bottom w:val="single" w:sz="4" w:space="0" w:color="auto"/>
              <w:right w:val="single" w:sz="4" w:space="0" w:color="auto"/>
            </w:tcBorders>
            <w:noWrap/>
            <w:vAlign w:val="center"/>
          </w:tcPr>
          <w:p w14:paraId="379D0B7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年租金收入</w:t>
            </w:r>
            <w:r>
              <w:rPr>
                <w:rFonts w:ascii="Arial" w:hAnsi="Arial" w:cs="Arial"/>
                <w:snapToGrid w:val="0"/>
                <w:sz w:val="16"/>
              </w:rPr>
              <w:t>+</w:t>
            </w:r>
            <w:r>
              <w:rPr>
                <w:rFonts w:ascii="Arial" w:hAnsi="Arial" w:cs="Arial"/>
                <w:snapToGrid w:val="0"/>
                <w:sz w:val="16"/>
              </w:rPr>
              <w:t>押金利息收入</w:t>
            </w:r>
          </w:p>
        </w:tc>
      </w:tr>
      <w:tr w:rsidR="00000000" w14:paraId="0B7DFA79" w14:textId="77777777">
        <w:trPr>
          <w:trHeight w:val="360"/>
        </w:trPr>
        <w:tc>
          <w:tcPr>
            <w:tcW w:w="320" w:type="pct"/>
            <w:vMerge w:val="restart"/>
            <w:tcBorders>
              <w:top w:val="single" w:sz="4" w:space="0" w:color="auto"/>
              <w:left w:val="single" w:sz="8" w:space="0" w:color="auto"/>
              <w:right w:val="single" w:sz="4" w:space="0" w:color="auto"/>
            </w:tcBorders>
            <w:noWrap/>
            <w:vAlign w:val="center"/>
          </w:tcPr>
          <w:p w14:paraId="6CE7F6D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p w14:paraId="19F56EAC" w14:textId="77777777" w:rsidR="00000000" w:rsidRDefault="00000000">
            <w:pPr>
              <w:spacing w:line="240" w:lineRule="auto"/>
              <w:rPr>
                <w:rFonts w:ascii="Arial" w:hAnsi="Arial" w:cs="Arial"/>
                <w:snapToGrid w:val="0"/>
                <w:sz w:val="16"/>
              </w:rPr>
            </w:pPr>
          </w:p>
        </w:tc>
        <w:tc>
          <w:tcPr>
            <w:tcW w:w="1105" w:type="pct"/>
            <w:vMerge w:val="restart"/>
            <w:tcBorders>
              <w:top w:val="single" w:sz="4" w:space="0" w:color="auto"/>
              <w:left w:val="single" w:sz="4" w:space="0" w:color="auto"/>
              <w:bottom w:val="single" w:sz="4" w:space="0" w:color="000000"/>
              <w:right w:val="single" w:sz="4" w:space="0" w:color="auto"/>
            </w:tcBorders>
          </w:tcPr>
          <w:p w14:paraId="77A38AE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547" w:type="pct"/>
            <w:tcBorders>
              <w:top w:val="single" w:sz="4" w:space="0" w:color="auto"/>
              <w:left w:val="nil"/>
              <w:bottom w:val="nil"/>
              <w:right w:val="single" w:sz="4" w:space="0" w:color="auto"/>
            </w:tcBorders>
            <w:noWrap/>
            <w:vAlign w:val="center"/>
          </w:tcPr>
          <w:p w14:paraId="5815D37B"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75</w:t>
            </w:r>
          </w:p>
        </w:tc>
        <w:tc>
          <w:tcPr>
            <w:tcW w:w="1779" w:type="pct"/>
            <w:tcBorders>
              <w:top w:val="single" w:sz="4" w:space="0" w:color="auto"/>
              <w:left w:val="nil"/>
              <w:bottom w:val="nil"/>
              <w:right w:val="single" w:sz="4" w:space="0" w:color="auto"/>
            </w:tcBorders>
            <w:noWrap/>
            <w:vAlign w:val="center"/>
          </w:tcPr>
          <w:p w14:paraId="585EFBC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租金</w:t>
            </w:r>
            <w:r>
              <w:rPr>
                <w:rFonts w:ascii="Arial" w:hAnsi="Arial" w:cs="Arial"/>
                <w:snapToGrid w:val="0"/>
                <w:sz w:val="16"/>
              </w:rPr>
              <w:t>×</w:t>
            </w:r>
            <w:r>
              <w:rPr>
                <w:rFonts w:ascii="Arial" w:hAnsi="Arial" w:cs="Arial"/>
                <w:snapToGrid w:val="0"/>
                <w:sz w:val="16"/>
              </w:rPr>
              <w:t>月数</w:t>
            </w:r>
            <w:r>
              <w:rPr>
                <w:rFonts w:ascii="Arial" w:hAnsi="Arial" w:cs="Arial"/>
                <w:snapToGrid w:val="0"/>
                <w:sz w:val="16"/>
              </w:rPr>
              <w:t>×</w:t>
            </w:r>
            <w:r>
              <w:rPr>
                <w:rFonts w:ascii="Arial" w:hAnsi="Arial" w:cs="Arial"/>
                <w:snapToGrid w:val="0"/>
                <w:sz w:val="16"/>
              </w:rPr>
              <w:t>（</w:t>
            </w:r>
            <w:r>
              <w:rPr>
                <w:rFonts w:ascii="Arial" w:hAnsi="Arial" w:cs="Arial"/>
                <w:snapToGrid w:val="0"/>
                <w:sz w:val="16"/>
              </w:rPr>
              <w:t>1-</w:t>
            </w:r>
            <w:r>
              <w:rPr>
                <w:rFonts w:ascii="Arial" w:hAnsi="Arial" w:cs="Arial"/>
                <w:snapToGrid w:val="0"/>
                <w:sz w:val="16"/>
              </w:rPr>
              <w:t>空置率）</w:t>
            </w:r>
          </w:p>
        </w:tc>
        <w:tc>
          <w:tcPr>
            <w:tcW w:w="781" w:type="pct"/>
            <w:tcBorders>
              <w:top w:val="single" w:sz="4" w:space="0" w:color="auto"/>
              <w:left w:val="nil"/>
              <w:bottom w:val="single" w:sz="4" w:space="0" w:color="auto"/>
              <w:right w:val="single" w:sz="4" w:space="0" w:color="auto"/>
            </w:tcBorders>
            <w:noWrap/>
            <w:vAlign w:val="center"/>
          </w:tcPr>
          <w:p w14:paraId="4EEF2424" w14:textId="77777777" w:rsidR="00000000" w:rsidRDefault="00000000">
            <w:pPr>
              <w:rPr>
                <w:rFonts w:ascii="Arial" w:hAnsi="Arial" w:cs="Arial"/>
                <w:snapToGrid w:val="0"/>
                <w:sz w:val="16"/>
              </w:rPr>
            </w:pPr>
            <w:r>
              <w:rPr>
                <w:rFonts w:ascii="Arial" w:hAnsi="Arial" w:cs="Arial"/>
                <w:snapToGrid w:val="0"/>
                <w:sz w:val="16"/>
              </w:rPr>
              <w:t>租金（元</w:t>
            </w:r>
            <w:r>
              <w:rPr>
                <w:rFonts w:ascii="Arial" w:hAnsi="Arial" w:cs="Arial"/>
                <w:snapToGrid w:val="0"/>
                <w:sz w:val="16"/>
              </w:rPr>
              <w:t>/</w:t>
            </w:r>
            <w:r>
              <w:rPr>
                <w:rFonts w:ascii="Arial" w:hAnsi="Arial" w:cs="Arial" w:hint="eastAsia"/>
                <w:snapToGrid w:val="0"/>
                <w:sz w:val="16"/>
              </w:rPr>
              <w:t>个</w:t>
            </w:r>
            <w:r>
              <w:rPr>
                <w:rFonts w:ascii="Arial" w:hAnsi="Arial" w:cs="Arial"/>
                <w:snapToGrid w:val="0"/>
                <w:sz w:val="16"/>
              </w:rPr>
              <w:t>/</w:t>
            </w:r>
            <w:r>
              <w:rPr>
                <w:rFonts w:ascii="Arial" w:hAnsi="Arial" w:cs="Arial" w:hint="eastAsia"/>
                <w:snapToGrid w:val="0"/>
                <w:sz w:val="16"/>
              </w:rPr>
              <w:t>月</w:t>
            </w:r>
            <w:r>
              <w:rPr>
                <w:rFonts w:ascii="Arial" w:hAnsi="Arial" w:cs="Arial"/>
                <w:snapToGrid w:val="0"/>
                <w:sz w:val="16"/>
              </w:rPr>
              <w:t>）</w:t>
            </w:r>
          </w:p>
        </w:tc>
        <w:tc>
          <w:tcPr>
            <w:tcW w:w="464" w:type="pct"/>
            <w:tcBorders>
              <w:top w:val="single" w:sz="4" w:space="0" w:color="auto"/>
              <w:left w:val="nil"/>
              <w:bottom w:val="single" w:sz="4" w:space="0" w:color="auto"/>
              <w:right w:val="single" w:sz="8" w:space="0" w:color="auto"/>
            </w:tcBorders>
            <w:noWrap/>
            <w:vAlign w:val="center"/>
          </w:tcPr>
          <w:p w14:paraId="474A6127"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300</w:t>
            </w:r>
          </w:p>
        </w:tc>
      </w:tr>
      <w:tr w:rsidR="00000000" w14:paraId="665FAAB0" w14:textId="77777777">
        <w:trPr>
          <w:trHeight w:val="90"/>
        </w:trPr>
        <w:tc>
          <w:tcPr>
            <w:tcW w:w="320" w:type="pct"/>
            <w:vMerge/>
            <w:tcBorders>
              <w:left w:val="single" w:sz="8" w:space="0" w:color="auto"/>
              <w:right w:val="single" w:sz="4" w:space="0" w:color="auto"/>
            </w:tcBorders>
            <w:noWrap/>
            <w:vAlign w:val="center"/>
          </w:tcPr>
          <w:p w14:paraId="7AFEBD9C" w14:textId="77777777" w:rsidR="00000000" w:rsidRDefault="00000000">
            <w:pPr>
              <w:spacing w:line="240" w:lineRule="auto"/>
              <w:rPr>
                <w:rFonts w:ascii="Arial" w:hAnsi="Arial" w:cs="Arial"/>
                <w:snapToGrid w:val="0"/>
                <w:sz w:val="16"/>
              </w:rPr>
            </w:pPr>
          </w:p>
        </w:tc>
        <w:tc>
          <w:tcPr>
            <w:tcW w:w="1105" w:type="pct"/>
            <w:vMerge/>
            <w:tcBorders>
              <w:top w:val="single" w:sz="4" w:space="0" w:color="auto"/>
              <w:left w:val="single" w:sz="4" w:space="0" w:color="auto"/>
              <w:bottom w:val="single" w:sz="4" w:space="0" w:color="000000"/>
              <w:right w:val="single" w:sz="4" w:space="0" w:color="auto"/>
            </w:tcBorders>
            <w:vAlign w:val="center"/>
          </w:tcPr>
          <w:p w14:paraId="19BCF8B8" w14:textId="77777777" w:rsidR="00000000" w:rsidRDefault="00000000">
            <w:pPr>
              <w:widowControl/>
              <w:adjustRightInd/>
              <w:spacing w:line="240" w:lineRule="auto"/>
              <w:textAlignment w:val="auto"/>
              <w:rPr>
                <w:rFonts w:ascii="Arial" w:hAnsi="Arial" w:cs="Arial"/>
                <w:snapToGrid w:val="0"/>
                <w:sz w:val="16"/>
              </w:rPr>
            </w:pPr>
          </w:p>
        </w:tc>
        <w:tc>
          <w:tcPr>
            <w:tcW w:w="547" w:type="pct"/>
            <w:tcBorders>
              <w:top w:val="nil"/>
              <w:left w:val="nil"/>
              <w:bottom w:val="nil"/>
              <w:right w:val="single" w:sz="4" w:space="0" w:color="auto"/>
            </w:tcBorders>
            <w:noWrap/>
            <w:vAlign w:val="center"/>
          </w:tcPr>
          <w:p w14:paraId="019E65D1" w14:textId="77777777" w:rsidR="00000000" w:rsidRDefault="00000000">
            <w:pPr>
              <w:widowControl/>
              <w:adjustRightInd/>
              <w:spacing w:line="240" w:lineRule="auto"/>
              <w:jc w:val="center"/>
              <w:textAlignment w:val="auto"/>
              <w:rPr>
                <w:rFonts w:ascii="Arial" w:hAnsi="Arial" w:cs="Arial"/>
                <w:snapToGrid w:val="0"/>
                <w:sz w:val="16"/>
              </w:rPr>
            </w:pPr>
          </w:p>
        </w:tc>
        <w:tc>
          <w:tcPr>
            <w:tcW w:w="1779" w:type="pct"/>
            <w:tcBorders>
              <w:top w:val="nil"/>
              <w:left w:val="nil"/>
              <w:bottom w:val="nil"/>
              <w:right w:val="single" w:sz="4" w:space="0" w:color="auto"/>
            </w:tcBorders>
            <w:noWrap/>
            <w:vAlign w:val="center"/>
          </w:tcPr>
          <w:p w14:paraId="34B4B48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1" w:type="pct"/>
            <w:tcBorders>
              <w:top w:val="nil"/>
              <w:left w:val="nil"/>
              <w:bottom w:val="single" w:sz="4" w:space="0" w:color="auto"/>
              <w:right w:val="single" w:sz="4" w:space="0" w:color="auto"/>
            </w:tcBorders>
            <w:noWrap/>
            <w:vAlign w:val="center"/>
          </w:tcPr>
          <w:p w14:paraId="137E8254" w14:textId="77777777" w:rsidR="00000000" w:rsidRDefault="00000000">
            <w:pPr>
              <w:rPr>
                <w:rFonts w:ascii="Arial" w:hAnsi="Arial" w:cs="Arial"/>
                <w:snapToGrid w:val="0"/>
                <w:sz w:val="16"/>
              </w:rPr>
            </w:pPr>
            <w:r>
              <w:rPr>
                <w:rFonts w:ascii="Arial" w:hAnsi="Arial" w:cs="Arial" w:hint="eastAsia"/>
                <w:snapToGrid w:val="0"/>
                <w:sz w:val="16"/>
              </w:rPr>
              <w:t>个数</w:t>
            </w:r>
            <w:r>
              <w:rPr>
                <w:rFonts w:ascii="Arial" w:hAnsi="Arial" w:cs="Arial"/>
                <w:snapToGrid w:val="0"/>
                <w:sz w:val="16"/>
              </w:rPr>
              <w:t>（</w:t>
            </w:r>
            <w:r>
              <w:rPr>
                <w:rFonts w:ascii="Arial" w:hAnsi="Arial" w:cs="Arial" w:hint="eastAsia"/>
                <w:snapToGrid w:val="0"/>
                <w:sz w:val="16"/>
              </w:rPr>
              <w:t>个</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775A82FA"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218</w:t>
            </w:r>
          </w:p>
        </w:tc>
      </w:tr>
      <w:tr w:rsidR="00000000" w14:paraId="725FF8FF" w14:textId="77777777">
        <w:trPr>
          <w:trHeight w:val="360"/>
        </w:trPr>
        <w:tc>
          <w:tcPr>
            <w:tcW w:w="320" w:type="pct"/>
            <w:vMerge/>
            <w:tcBorders>
              <w:left w:val="single" w:sz="8" w:space="0" w:color="auto"/>
              <w:right w:val="single" w:sz="4" w:space="0" w:color="auto"/>
            </w:tcBorders>
            <w:noWrap/>
            <w:vAlign w:val="center"/>
          </w:tcPr>
          <w:p w14:paraId="7F241FE3" w14:textId="77777777" w:rsidR="00000000" w:rsidRDefault="00000000">
            <w:pPr>
              <w:spacing w:line="240" w:lineRule="auto"/>
              <w:rPr>
                <w:rFonts w:ascii="Arial" w:hAnsi="Arial" w:cs="Arial"/>
                <w:snapToGrid w:val="0"/>
                <w:sz w:val="16"/>
              </w:rPr>
            </w:pPr>
          </w:p>
        </w:tc>
        <w:tc>
          <w:tcPr>
            <w:tcW w:w="1105" w:type="pct"/>
            <w:vMerge/>
            <w:tcBorders>
              <w:top w:val="single" w:sz="4" w:space="0" w:color="auto"/>
              <w:left w:val="single" w:sz="4" w:space="0" w:color="auto"/>
              <w:bottom w:val="single" w:sz="4" w:space="0" w:color="000000"/>
              <w:right w:val="single" w:sz="4" w:space="0" w:color="auto"/>
            </w:tcBorders>
            <w:vAlign w:val="center"/>
          </w:tcPr>
          <w:p w14:paraId="27E854A2" w14:textId="77777777" w:rsidR="00000000" w:rsidRDefault="00000000">
            <w:pPr>
              <w:widowControl/>
              <w:adjustRightInd/>
              <w:spacing w:line="240" w:lineRule="auto"/>
              <w:textAlignment w:val="auto"/>
              <w:rPr>
                <w:rFonts w:ascii="Arial" w:hAnsi="Arial" w:cs="Arial"/>
                <w:snapToGrid w:val="0"/>
                <w:sz w:val="16"/>
              </w:rPr>
            </w:pPr>
          </w:p>
        </w:tc>
        <w:tc>
          <w:tcPr>
            <w:tcW w:w="547" w:type="pct"/>
            <w:tcBorders>
              <w:top w:val="nil"/>
              <w:left w:val="nil"/>
              <w:bottom w:val="nil"/>
              <w:right w:val="single" w:sz="4" w:space="0" w:color="auto"/>
            </w:tcBorders>
            <w:noWrap/>
            <w:vAlign w:val="center"/>
          </w:tcPr>
          <w:p w14:paraId="1703866C" w14:textId="77777777" w:rsidR="00000000" w:rsidRDefault="00000000">
            <w:pPr>
              <w:widowControl/>
              <w:adjustRightInd/>
              <w:spacing w:line="240" w:lineRule="auto"/>
              <w:jc w:val="center"/>
              <w:textAlignment w:val="auto"/>
              <w:rPr>
                <w:rFonts w:ascii="Arial" w:hAnsi="Arial" w:cs="Arial"/>
                <w:snapToGrid w:val="0"/>
                <w:sz w:val="16"/>
              </w:rPr>
            </w:pPr>
          </w:p>
        </w:tc>
        <w:tc>
          <w:tcPr>
            <w:tcW w:w="1779" w:type="pct"/>
            <w:tcBorders>
              <w:top w:val="nil"/>
              <w:left w:val="nil"/>
              <w:bottom w:val="nil"/>
              <w:right w:val="single" w:sz="4" w:space="0" w:color="auto"/>
            </w:tcBorders>
            <w:noWrap/>
            <w:vAlign w:val="center"/>
          </w:tcPr>
          <w:p w14:paraId="7D48A03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1" w:type="pct"/>
            <w:tcBorders>
              <w:top w:val="nil"/>
              <w:left w:val="nil"/>
              <w:bottom w:val="single" w:sz="4" w:space="0" w:color="auto"/>
              <w:right w:val="single" w:sz="4" w:space="0" w:color="auto"/>
            </w:tcBorders>
            <w:noWrap/>
            <w:vAlign w:val="center"/>
          </w:tcPr>
          <w:p w14:paraId="66376D04" w14:textId="77777777" w:rsidR="00000000" w:rsidRDefault="00000000">
            <w:pPr>
              <w:rPr>
                <w:rFonts w:ascii="Arial" w:hAnsi="Arial" w:cs="Arial"/>
                <w:snapToGrid w:val="0"/>
                <w:sz w:val="16"/>
              </w:rPr>
            </w:pPr>
            <w:r>
              <w:rPr>
                <w:rFonts w:ascii="Arial" w:hAnsi="Arial" w:cs="Arial" w:hint="eastAsia"/>
                <w:snapToGrid w:val="0"/>
                <w:sz w:val="16"/>
              </w:rPr>
              <w:t>月</w:t>
            </w:r>
            <w:r>
              <w:rPr>
                <w:rFonts w:ascii="Arial" w:hAnsi="Arial" w:cs="Arial"/>
                <w:snapToGrid w:val="0"/>
                <w:sz w:val="16"/>
              </w:rPr>
              <w:t>（个）</w:t>
            </w:r>
          </w:p>
        </w:tc>
        <w:tc>
          <w:tcPr>
            <w:tcW w:w="464" w:type="pct"/>
            <w:tcBorders>
              <w:top w:val="nil"/>
              <w:left w:val="nil"/>
              <w:bottom w:val="single" w:sz="4" w:space="0" w:color="auto"/>
              <w:right w:val="single" w:sz="8" w:space="0" w:color="auto"/>
            </w:tcBorders>
            <w:noWrap/>
            <w:vAlign w:val="center"/>
          </w:tcPr>
          <w:p w14:paraId="775E2936"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rsidR="00000000" w14:paraId="3A1B8889" w14:textId="77777777">
        <w:trPr>
          <w:trHeight w:val="360"/>
        </w:trPr>
        <w:tc>
          <w:tcPr>
            <w:tcW w:w="320" w:type="pct"/>
            <w:vMerge/>
            <w:tcBorders>
              <w:left w:val="single" w:sz="8" w:space="0" w:color="auto"/>
              <w:bottom w:val="nil"/>
              <w:right w:val="single" w:sz="4" w:space="0" w:color="auto"/>
            </w:tcBorders>
            <w:noWrap/>
            <w:vAlign w:val="center"/>
          </w:tcPr>
          <w:p w14:paraId="66E03C8E" w14:textId="77777777" w:rsidR="00000000" w:rsidRDefault="00000000">
            <w:pPr>
              <w:widowControl/>
              <w:adjustRightInd/>
              <w:spacing w:line="240" w:lineRule="auto"/>
              <w:textAlignment w:val="auto"/>
              <w:rPr>
                <w:rFonts w:ascii="Arial" w:hAnsi="Arial" w:cs="Arial"/>
                <w:snapToGrid w:val="0"/>
                <w:sz w:val="16"/>
              </w:rPr>
            </w:pPr>
          </w:p>
        </w:tc>
        <w:tc>
          <w:tcPr>
            <w:tcW w:w="1105" w:type="pct"/>
            <w:vMerge/>
            <w:tcBorders>
              <w:top w:val="single" w:sz="4" w:space="0" w:color="auto"/>
              <w:left w:val="single" w:sz="4" w:space="0" w:color="auto"/>
              <w:bottom w:val="single" w:sz="4" w:space="0" w:color="000000"/>
              <w:right w:val="single" w:sz="4" w:space="0" w:color="auto"/>
            </w:tcBorders>
            <w:vAlign w:val="center"/>
          </w:tcPr>
          <w:p w14:paraId="437FFF68" w14:textId="77777777" w:rsidR="00000000" w:rsidRDefault="00000000">
            <w:pPr>
              <w:widowControl/>
              <w:adjustRightInd/>
              <w:spacing w:line="240" w:lineRule="auto"/>
              <w:textAlignment w:val="auto"/>
              <w:rPr>
                <w:rFonts w:ascii="Arial" w:hAnsi="Arial" w:cs="Arial"/>
                <w:snapToGrid w:val="0"/>
                <w:sz w:val="16"/>
              </w:rPr>
            </w:pPr>
          </w:p>
        </w:tc>
        <w:tc>
          <w:tcPr>
            <w:tcW w:w="547" w:type="pct"/>
            <w:tcBorders>
              <w:top w:val="nil"/>
              <w:left w:val="nil"/>
              <w:bottom w:val="nil"/>
              <w:right w:val="single" w:sz="4" w:space="0" w:color="auto"/>
            </w:tcBorders>
            <w:noWrap/>
            <w:vAlign w:val="center"/>
          </w:tcPr>
          <w:p w14:paraId="2076213C" w14:textId="77777777" w:rsidR="00000000" w:rsidRDefault="00000000">
            <w:pPr>
              <w:widowControl/>
              <w:adjustRightInd/>
              <w:spacing w:line="240" w:lineRule="auto"/>
              <w:jc w:val="center"/>
              <w:textAlignment w:val="auto"/>
              <w:rPr>
                <w:rFonts w:ascii="Arial" w:hAnsi="Arial" w:cs="Arial"/>
                <w:snapToGrid w:val="0"/>
                <w:sz w:val="16"/>
              </w:rPr>
            </w:pPr>
          </w:p>
        </w:tc>
        <w:tc>
          <w:tcPr>
            <w:tcW w:w="1779" w:type="pct"/>
            <w:tcBorders>
              <w:top w:val="nil"/>
              <w:left w:val="nil"/>
              <w:bottom w:val="nil"/>
              <w:right w:val="single" w:sz="4" w:space="0" w:color="auto"/>
            </w:tcBorders>
            <w:noWrap/>
            <w:vAlign w:val="center"/>
          </w:tcPr>
          <w:p w14:paraId="6EE5B63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1" w:type="pct"/>
            <w:tcBorders>
              <w:top w:val="nil"/>
              <w:left w:val="nil"/>
              <w:bottom w:val="single" w:sz="4" w:space="0" w:color="auto"/>
              <w:right w:val="single" w:sz="4" w:space="0" w:color="auto"/>
            </w:tcBorders>
            <w:noWrap/>
            <w:vAlign w:val="center"/>
          </w:tcPr>
          <w:p w14:paraId="7D8C3764" w14:textId="77777777" w:rsidR="00000000" w:rsidRDefault="00000000">
            <w:pPr>
              <w:rPr>
                <w:rFonts w:ascii="Arial" w:hAnsi="Arial" w:cs="Arial"/>
                <w:snapToGrid w:val="0"/>
                <w:sz w:val="16"/>
              </w:rPr>
            </w:pPr>
            <w:r>
              <w:rPr>
                <w:rFonts w:ascii="Arial" w:hAnsi="Arial" w:cs="Arial"/>
                <w:snapToGrid w:val="0"/>
                <w:sz w:val="16"/>
              </w:rPr>
              <w:t>空置率（</w:t>
            </w:r>
            <w:r>
              <w:rPr>
                <w:rFonts w:ascii="Arial" w:hAnsi="Arial" w:cs="Arial"/>
                <w:snapToGrid w:val="0"/>
                <w:sz w:val="16"/>
              </w:rPr>
              <w:t>%</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0735E840"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000000" w14:paraId="6726BF1F" w14:textId="77777777">
        <w:trPr>
          <w:trHeight w:val="360"/>
        </w:trPr>
        <w:tc>
          <w:tcPr>
            <w:tcW w:w="320" w:type="pct"/>
            <w:tcBorders>
              <w:top w:val="single" w:sz="4" w:space="0" w:color="auto"/>
              <w:left w:val="single" w:sz="8" w:space="0" w:color="auto"/>
              <w:bottom w:val="nil"/>
              <w:right w:val="single" w:sz="4" w:space="0" w:color="auto"/>
            </w:tcBorders>
            <w:noWrap/>
            <w:vAlign w:val="center"/>
          </w:tcPr>
          <w:p w14:paraId="4D51CCD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105" w:type="pct"/>
            <w:tcBorders>
              <w:top w:val="nil"/>
              <w:left w:val="nil"/>
              <w:bottom w:val="nil"/>
              <w:right w:val="single" w:sz="4" w:space="0" w:color="auto"/>
            </w:tcBorders>
            <w:vAlign w:val="center"/>
          </w:tcPr>
          <w:p w14:paraId="562BD1C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547" w:type="pct"/>
            <w:tcBorders>
              <w:top w:val="single" w:sz="4" w:space="0" w:color="auto"/>
              <w:left w:val="nil"/>
              <w:bottom w:val="single" w:sz="4" w:space="0" w:color="auto"/>
              <w:right w:val="single" w:sz="4" w:space="0" w:color="auto"/>
            </w:tcBorders>
            <w:noWrap/>
            <w:vAlign w:val="center"/>
          </w:tcPr>
          <w:p w14:paraId="6A1BCDA8"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r>
              <w:rPr>
                <w:rFonts w:ascii="Arial" w:hAnsi="Arial" w:cs="Arial" w:hint="eastAsia"/>
                <w:snapToGrid w:val="0"/>
                <w:sz w:val="16"/>
              </w:rPr>
              <w:t>.09</w:t>
            </w:r>
          </w:p>
        </w:tc>
        <w:tc>
          <w:tcPr>
            <w:tcW w:w="1779" w:type="pct"/>
            <w:tcBorders>
              <w:top w:val="single" w:sz="4" w:space="0" w:color="auto"/>
              <w:left w:val="nil"/>
              <w:bottom w:val="nil"/>
              <w:right w:val="single" w:sz="4" w:space="0" w:color="auto"/>
            </w:tcBorders>
            <w:noWrap/>
            <w:vAlign w:val="center"/>
          </w:tcPr>
          <w:p w14:paraId="47AD845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押金</w:t>
            </w:r>
            <w:r>
              <w:rPr>
                <w:rFonts w:ascii="Arial" w:hAnsi="Arial" w:cs="Arial"/>
                <w:snapToGrid w:val="0"/>
                <w:sz w:val="16"/>
              </w:rPr>
              <w:t>*</w:t>
            </w:r>
            <w:r>
              <w:rPr>
                <w:rFonts w:ascii="Arial" w:hAnsi="Arial" w:cs="Arial"/>
                <w:snapToGrid w:val="0"/>
                <w:sz w:val="16"/>
              </w:rPr>
              <w:t>一年期存款利率</w:t>
            </w:r>
          </w:p>
        </w:tc>
        <w:tc>
          <w:tcPr>
            <w:tcW w:w="781" w:type="pct"/>
            <w:tcBorders>
              <w:top w:val="nil"/>
              <w:left w:val="nil"/>
              <w:bottom w:val="nil"/>
              <w:right w:val="single" w:sz="4" w:space="0" w:color="auto"/>
            </w:tcBorders>
            <w:noWrap/>
            <w:vAlign w:val="center"/>
          </w:tcPr>
          <w:p w14:paraId="66BBD7E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464" w:type="pct"/>
            <w:tcBorders>
              <w:top w:val="nil"/>
              <w:left w:val="nil"/>
              <w:bottom w:val="nil"/>
              <w:right w:val="single" w:sz="8" w:space="0" w:color="auto"/>
            </w:tcBorders>
            <w:noWrap/>
            <w:vAlign w:val="center"/>
          </w:tcPr>
          <w:p w14:paraId="4F576767"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押一</w:t>
            </w:r>
          </w:p>
        </w:tc>
      </w:tr>
      <w:tr w:rsidR="00000000" w14:paraId="789E46AB"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547EE6E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105" w:type="pct"/>
            <w:tcBorders>
              <w:top w:val="single" w:sz="4" w:space="0" w:color="auto"/>
              <w:left w:val="nil"/>
              <w:bottom w:val="single" w:sz="4" w:space="0" w:color="auto"/>
              <w:right w:val="single" w:sz="4" w:space="0" w:color="auto"/>
            </w:tcBorders>
            <w:vAlign w:val="center"/>
          </w:tcPr>
          <w:p w14:paraId="236CC8D8" w14:textId="77777777" w:rsidR="00000000" w:rsidRDefault="00000000">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547" w:type="pct"/>
            <w:tcBorders>
              <w:top w:val="nil"/>
              <w:left w:val="nil"/>
              <w:bottom w:val="single" w:sz="4" w:space="0" w:color="auto"/>
              <w:right w:val="single" w:sz="4" w:space="0" w:color="auto"/>
            </w:tcBorders>
            <w:noWrap/>
            <w:vAlign w:val="center"/>
          </w:tcPr>
          <w:p w14:paraId="1F61BE4B" w14:textId="77777777" w:rsidR="00000000" w:rsidRDefault="00000000">
            <w:pPr>
              <w:widowControl/>
              <w:adjustRightInd/>
              <w:spacing w:line="240" w:lineRule="auto"/>
              <w:jc w:val="center"/>
              <w:textAlignment w:val="auto"/>
              <w:rPr>
                <w:rFonts w:ascii="Arial" w:hAnsi="Arial" w:cs="Arial"/>
                <w:snapToGrid w:val="0"/>
                <w:sz w:val="16"/>
              </w:rPr>
            </w:pPr>
          </w:p>
        </w:tc>
        <w:tc>
          <w:tcPr>
            <w:tcW w:w="1779" w:type="pct"/>
            <w:tcBorders>
              <w:top w:val="nil"/>
              <w:left w:val="nil"/>
              <w:bottom w:val="single" w:sz="4" w:space="0" w:color="auto"/>
              <w:right w:val="single" w:sz="4" w:space="0" w:color="auto"/>
            </w:tcBorders>
            <w:noWrap/>
            <w:vAlign w:val="center"/>
          </w:tcPr>
          <w:p w14:paraId="03CE031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1" w:type="pct"/>
            <w:tcBorders>
              <w:top w:val="single" w:sz="4" w:space="0" w:color="auto"/>
              <w:left w:val="nil"/>
              <w:bottom w:val="single" w:sz="4" w:space="0" w:color="auto"/>
              <w:right w:val="single" w:sz="4" w:space="0" w:color="auto"/>
            </w:tcBorders>
            <w:noWrap/>
            <w:vAlign w:val="center"/>
          </w:tcPr>
          <w:p w14:paraId="1159338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464" w:type="pct"/>
            <w:tcBorders>
              <w:top w:val="single" w:sz="4" w:space="0" w:color="auto"/>
              <w:left w:val="nil"/>
              <w:bottom w:val="single" w:sz="4" w:space="0" w:color="auto"/>
              <w:right w:val="single" w:sz="8" w:space="0" w:color="auto"/>
            </w:tcBorders>
            <w:noWrap/>
            <w:vAlign w:val="center"/>
          </w:tcPr>
          <w:p w14:paraId="261B1917"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000000" w14:paraId="782C9D4C" w14:textId="77777777">
        <w:trPr>
          <w:trHeight w:val="360"/>
        </w:trPr>
        <w:tc>
          <w:tcPr>
            <w:tcW w:w="320" w:type="pct"/>
            <w:tcBorders>
              <w:top w:val="single" w:sz="4" w:space="0" w:color="auto"/>
              <w:left w:val="single" w:sz="4" w:space="0" w:color="auto"/>
              <w:bottom w:val="single" w:sz="4" w:space="0" w:color="auto"/>
              <w:right w:val="single" w:sz="4" w:space="0" w:color="auto"/>
            </w:tcBorders>
            <w:noWrap/>
            <w:vAlign w:val="center"/>
          </w:tcPr>
          <w:p w14:paraId="6B09FA9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5" w:type="pct"/>
            <w:tcBorders>
              <w:top w:val="single" w:sz="4" w:space="0" w:color="auto"/>
              <w:left w:val="nil"/>
              <w:bottom w:val="single" w:sz="4" w:space="0" w:color="auto"/>
              <w:right w:val="single" w:sz="4" w:space="0" w:color="auto"/>
            </w:tcBorders>
            <w:noWrap/>
            <w:vAlign w:val="center"/>
          </w:tcPr>
          <w:p w14:paraId="78E059D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547" w:type="pct"/>
            <w:tcBorders>
              <w:top w:val="single" w:sz="4" w:space="0" w:color="auto"/>
              <w:left w:val="nil"/>
              <w:bottom w:val="single" w:sz="4" w:space="0" w:color="auto"/>
              <w:right w:val="single" w:sz="4" w:space="0" w:color="auto"/>
            </w:tcBorders>
            <w:noWrap/>
            <w:vAlign w:val="center"/>
          </w:tcPr>
          <w:p w14:paraId="51E349DF"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2522</w:t>
            </w:r>
          </w:p>
        </w:tc>
        <w:tc>
          <w:tcPr>
            <w:tcW w:w="1779" w:type="pct"/>
            <w:tcBorders>
              <w:top w:val="single" w:sz="4" w:space="0" w:color="auto"/>
              <w:left w:val="nil"/>
              <w:bottom w:val="single" w:sz="4" w:space="0" w:color="auto"/>
              <w:right w:val="single" w:sz="4" w:space="0" w:color="auto"/>
            </w:tcBorders>
            <w:noWrap/>
            <w:vAlign w:val="center"/>
          </w:tcPr>
          <w:p w14:paraId="1795D5D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成新度</w:t>
            </w:r>
          </w:p>
        </w:tc>
        <w:tc>
          <w:tcPr>
            <w:tcW w:w="781" w:type="pct"/>
            <w:tcBorders>
              <w:top w:val="single" w:sz="4" w:space="0" w:color="auto"/>
              <w:left w:val="nil"/>
              <w:bottom w:val="single" w:sz="4" w:space="0" w:color="auto"/>
              <w:right w:val="single" w:sz="4" w:space="0" w:color="auto"/>
            </w:tcBorders>
            <w:noWrap/>
            <w:vAlign w:val="center"/>
          </w:tcPr>
          <w:p w14:paraId="6A396D2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成新度（</w:t>
            </w:r>
            <w:r>
              <w:rPr>
                <w:rFonts w:ascii="Arial" w:hAnsi="Arial" w:cs="Arial"/>
                <w:snapToGrid w:val="0"/>
                <w:sz w:val="16"/>
              </w:rPr>
              <w:t>%</w:t>
            </w:r>
            <w:r>
              <w:rPr>
                <w:rFonts w:ascii="Arial" w:hAnsi="Arial" w:cs="Arial"/>
                <w:snapToGrid w:val="0"/>
                <w:sz w:val="16"/>
              </w:rPr>
              <w:t>）</w:t>
            </w:r>
          </w:p>
        </w:tc>
        <w:tc>
          <w:tcPr>
            <w:tcW w:w="464" w:type="pct"/>
            <w:tcBorders>
              <w:top w:val="single" w:sz="4" w:space="0" w:color="auto"/>
              <w:left w:val="nil"/>
              <w:bottom w:val="single" w:sz="4" w:space="0" w:color="auto"/>
              <w:right w:val="single" w:sz="4" w:space="0" w:color="auto"/>
            </w:tcBorders>
            <w:noWrap/>
            <w:vAlign w:val="center"/>
          </w:tcPr>
          <w:p w14:paraId="381E298B"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rsidR="00000000" w14:paraId="75BA561F" w14:textId="77777777">
        <w:trPr>
          <w:trHeight w:val="360"/>
        </w:trPr>
        <w:tc>
          <w:tcPr>
            <w:tcW w:w="320" w:type="pct"/>
            <w:tcBorders>
              <w:top w:val="single" w:sz="4" w:space="0" w:color="auto"/>
              <w:left w:val="single" w:sz="8" w:space="0" w:color="auto"/>
              <w:bottom w:val="single" w:sz="4" w:space="0" w:color="auto"/>
              <w:right w:val="single" w:sz="4" w:space="0" w:color="auto"/>
            </w:tcBorders>
            <w:noWrap/>
            <w:vAlign w:val="center"/>
          </w:tcPr>
          <w:p w14:paraId="629B6AB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105" w:type="pct"/>
            <w:tcBorders>
              <w:top w:val="single" w:sz="4" w:space="0" w:color="auto"/>
              <w:left w:val="nil"/>
              <w:bottom w:val="single" w:sz="4" w:space="0" w:color="auto"/>
              <w:right w:val="single" w:sz="4" w:space="0" w:color="auto"/>
            </w:tcBorders>
            <w:noWrap/>
            <w:vAlign w:val="center"/>
          </w:tcPr>
          <w:p w14:paraId="7F59BCE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547" w:type="pct"/>
            <w:tcBorders>
              <w:top w:val="single" w:sz="4" w:space="0" w:color="auto"/>
              <w:left w:val="nil"/>
              <w:bottom w:val="single" w:sz="4" w:space="0" w:color="auto"/>
              <w:right w:val="nil"/>
            </w:tcBorders>
            <w:noWrap/>
            <w:vAlign w:val="center"/>
          </w:tcPr>
          <w:p w14:paraId="30B1D71F" w14:textId="77777777" w:rsidR="00000000" w:rsidRDefault="00000000">
            <w:pPr>
              <w:jc w:val="center"/>
              <w:rPr>
                <w:rFonts w:ascii="Arial" w:hAnsi="Arial" w:cs="Arial"/>
                <w:snapToGrid w:val="0"/>
                <w:sz w:val="16"/>
              </w:rPr>
            </w:pPr>
            <w:r>
              <w:rPr>
                <w:rFonts w:ascii="Arial" w:hAnsi="Arial" w:cs="Arial" w:hint="eastAsia"/>
                <w:snapToGrid w:val="0"/>
                <w:sz w:val="16"/>
              </w:rPr>
              <w:t>1846</w:t>
            </w:r>
          </w:p>
        </w:tc>
        <w:tc>
          <w:tcPr>
            <w:tcW w:w="3025" w:type="pct"/>
            <w:gridSpan w:val="3"/>
            <w:tcBorders>
              <w:top w:val="single" w:sz="4" w:space="0" w:color="auto"/>
              <w:left w:val="single" w:sz="4" w:space="0" w:color="auto"/>
              <w:bottom w:val="single" w:sz="4" w:space="0" w:color="auto"/>
              <w:right w:val="single" w:sz="4" w:space="0" w:color="auto"/>
            </w:tcBorders>
            <w:vAlign w:val="center"/>
          </w:tcPr>
          <w:p w14:paraId="31968007"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同前述</w:t>
            </w:r>
          </w:p>
        </w:tc>
      </w:tr>
      <w:tr w:rsidR="00000000" w14:paraId="0135E9EF"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0886CB5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3633879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547" w:type="pct"/>
            <w:tcBorders>
              <w:top w:val="nil"/>
              <w:left w:val="nil"/>
              <w:bottom w:val="single" w:sz="4" w:space="0" w:color="auto"/>
              <w:right w:val="single" w:sz="4" w:space="0" w:color="auto"/>
            </w:tcBorders>
            <w:noWrap/>
            <w:vAlign w:val="center"/>
          </w:tcPr>
          <w:p w14:paraId="71E6AF62" w14:textId="77777777" w:rsidR="00000000" w:rsidRDefault="00000000">
            <w:pPr>
              <w:jc w:val="center"/>
              <w:rPr>
                <w:rFonts w:ascii="Arial" w:hAnsi="Arial" w:cs="Arial"/>
                <w:snapToGrid w:val="0"/>
                <w:sz w:val="16"/>
              </w:rPr>
            </w:pPr>
            <w:r>
              <w:rPr>
                <w:rFonts w:ascii="Arial" w:hAnsi="Arial" w:cs="Arial" w:hint="eastAsia"/>
                <w:snapToGrid w:val="0"/>
                <w:sz w:val="16"/>
              </w:rPr>
              <w:t>92</w:t>
            </w:r>
          </w:p>
        </w:tc>
        <w:tc>
          <w:tcPr>
            <w:tcW w:w="1779" w:type="pct"/>
            <w:tcBorders>
              <w:top w:val="nil"/>
              <w:left w:val="nil"/>
              <w:bottom w:val="single" w:sz="4" w:space="0" w:color="auto"/>
              <w:right w:val="single" w:sz="4" w:space="0" w:color="auto"/>
            </w:tcBorders>
            <w:noWrap/>
            <w:vAlign w:val="center"/>
          </w:tcPr>
          <w:p w14:paraId="39E32D8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781" w:type="pct"/>
            <w:tcBorders>
              <w:top w:val="nil"/>
              <w:left w:val="nil"/>
              <w:bottom w:val="single" w:sz="4" w:space="0" w:color="auto"/>
              <w:right w:val="single" w:sz="4" w:space="0" w:color="auto"/>
            </w:tcBorders>
            <w:noWrap/>
            <w:vAlign w:val="center"/>
          </w:tcPr>
          <w:p w14:paraId="5B564F4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192D7D8B"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w:t>
            </w:r>
            <w:r>
              <w:rPr>
                <w:rFonts w:ascii="Arial" w:hAnsi="Arial" w:cs="Arial"/>
                <w:snapToGrid w:val="0"/>
                <w:sz w:val="16"/>
              </w:rPr>
              <w:t>.0%</w:t>
            </w:r>
          </w:p>
        </w:tc>
      </w:tr>
      <w:tr w:rsidR="00000000" w14:paraId="1E43451A"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0C5C1E4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4502B3A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547" w:type="pct"/>
            <w:tcBorders>
              <w:top w:val="nil"/>
              <w:left w:val="nil"/>
              <w:bottom w:val="single" w:sz="4" w:space="0" w:color="auto"/>
              <w:right w:val="single" w:sz="4" w:space="0" w:color="auto"/>
            </w:tcBorders>
            <w:noWrap/>
            <w:vAlign w:val="center"/>
          </w:tcPr>
          <w:p w14:paraId="13B310E8" w14:textId="77777777" w:rsidR="00000000" w:rsidRDefault="00000000">
            <w:pPr>
              <w:jc w:val="center"/>
              <w:rPr>
                <w:rFonts w:ascii="Arial" w:hAnsi="Arial" w:cs="Arial"/>
                <w:snapToGrid w:val="0"/>
                <w:sz w:val="16"/>
              </w:rPr>
            </w:pPr>
            <w:r>
              <w:rPr>
                <w:rFonts w:ascii="Arial" w:hAnsi="Arial" w:cs="Arial"/>
                <w:snapToGrid w:val="0"/>
                <w:sz w:val="16"/>
              </w:rPr>
              <w:t>0</w:t>
            </w:r>
          </w:p>
        </w:tc>
        <w:tc>
          <w:tcPr>
            <w:tcW w:w="1779" w:type="pct"/>
            <w:tcBorders>
              <w:top w:val="nil"/>
              <w:left w:val="nil"/>
              <w:bottom w:val="single" w:sz="4" w:space="0" w:color="auto"/>
              <w:right w:val="single" w:sz="4" w:space="0" w:color="auto"/>
            </w:tcBorders>
            <w:noWrap/>
            <w:vAlign w:val="center"/>
          </w:tcPr>
          <w:p w14:paraId="579C606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781" w:type="pct"/>
            <w:tcBorders>
              <w:top w:val="nil"/>
              <w:left w:val="nil"/>
              <w:bottom w:val="single" w:sz="4" w:space="0" w:color="auto"/>
              <w:right w:val="single" w:sz="4" w:space="0" w:color="auto"/>
            </w:tcBorders>
            <w:noWrap/>
            <w:vAlign w:val="center"/>
          </w:tcPr>
          <w:p w14:paraId="252B649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0CBF343A"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0.0%</w:t>
            </w:r>
          </w:p>
        </w:tc>
      </w:tr>
      <w:tr w:rsidR="00000000" w14:paraId="4E07426D"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15BEBA7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lastRenderedPageBreak/>
              <w:t>4</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5104D7D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547" w:type="pct"/>
            <w:tcBorders>
              <w:top w:val="nil"/>
              <w:left w:val="nil"/>
              <w:bottom w:val="single" w:sz="4" w:space="0" w:color="auto"/>
              <w:right w:val="single" w:sz="4" w:space="0" w:color="auto"/>
            </w:tcBorders>
            <w:noWrap/>
            <w:vAlign w:val="center"/>
          </w:tcPr>
          <w:p w14:paraId="41D89D02" w14:textId="77777777" w:rsidR="00000000" w:rsidRDefault="00000000">
            <w:pPr>
              <w:jc w:val="center"/>
              <w:rPr>
                <w:rFonts w:ascii="Arial" w:hAnsi="Arial" w:cs="Arial"/>
                <w:snapToGrid w:val="0"/>
                <w:sz w:val="16"/>
              </w:rPr>
            </w:pPr>
            <w:r>
              <w:rPr>
                <w:rFonts w:ascii="Arial" w:hAnsi="Arial" w:cs="Arial" w:hint="eastAsia"/>
                <w:snapToGrid w:val="0"/>
                <w:sz w:val="16"/>
              </w:rPr>
              <w:t>1155</w:t>
            </w:r>
          </w:p>
        </w:tc>
        <w:tc>
          <w:tcPr>
            <w:tcW w:w="1779" w:type="pct"/>
            <w:tcBorders>
              <w:top w:val="nil"/>
              <w:left w:val="nil"/>
              <w:bottom w:val="single" w:sz="4" w:space="0" w:color="auto"/>
              <w:right w:val="single" w:sz="4" w:space="0" w:color="auto"/>
            </w:tcBorders>
            <w:noWrap/>
            <w:vAlign w:val="center"/>
          </w:tcPr>
          <w:p w14:paraId="2E0C2A0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r>
              <w:rPr>
                <w:rFonts w:ascii="Arial" w:hAnsi="Arial" w:cs="Arial"/>
                <w:snapToGrid w:val="0"/>
                <w:sz w:val="16"/>
              </w:rPr>
              <w:t>×</w:t>
            </w:r>
            <w:r>
              <w:rPr>
                <w:rFonts w:ascii="Arial" w:hAnsi="Arial" w:cs="Arial"/>
                <w:snapToGrid w:val="0"/>
                <w:sz w:val="16"/>
              </w:rPr>
              <w:t>取费标准</w:t>
            </w:r>
          </w:p>
        </w:tc>
        <w:tc>
          <w:tcPr>
            <w:tcW w:w="781" w:type="pct"/>
            <w:tcBorders>
              <w:top w:val="nil"/>
              <w:left w:val="nil"/>
              <w:bottom w:val="single" w:sz="4" w:space="0" w:color="auto"/>
              <w:right w:val="single" w:sz="4" w:space="0" w:color="auto"/>
            </w:tcBorders>
            <w:noWrap/>
            <w:vAlign w:val="center"/>
          </w:tcPr>
          <w:p w14:paraId="23B4E8E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r>
              <w:rPr>
                <w:rFonts w:ascii="Arial" w:hAnsi="Arial" w:cs="Arial"/>
                <w:snapToGrid w:val="0"/>
                <w:sz w:val="16"/>
              </w:rPr>
              <w:t>/</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6E5856CF"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200</w:t>
            </w:r>
          </w:p>
        </w:tc>
      </w:tr>
      <w:tr w:rsidR="00000000" w14:paraId="5733362A"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078C39E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5</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2996E2E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547" w:type="pct"/>
            <w:tcBorders>
              <w:top w:val="nil"/>
              <w:left w:val="nil"/>
              <w:bottom w:val="single" w:sz="4" w:space="0" w:color="auto"/>
              <w:right w:val="single" w:sz="4" w:space="0" w:color="auto"/>
            </w:tcBorders>
            <w:noWrap/>
            <w:vAlign w:val="center"/>
          </w:tcPr>
          <w:p w14:paraId="1C8BC5C2" w14:textId="77777777" w:rsidR="00000000" w:rsidRDefault="00000000">
            <w:pPr>
              <w:jc w:val="center"/>
              <w:rPr>
                <w:rFonts w:ascii="Arial" w:hAnsi="Arial" w:cs="Arial"/>
                <w:snapToGrid w:val="0"/>
                <w:sz w:val="16"/>
              </w:rPr>
            </w:pPr>
            <w:r>
              <w:rPr>
                <w:rFonts w:ascii="Arial" w:hAnsi="Arial" w:cs="Arial" w:hint="eastAsia"/>
                <w:snapToGrid w:val="0"/>
                <w:sz w:val="16"/>
              </w:rPr>
              <w:t>37</w:t>
            </w:r>
          </w:p>
        </w:tc>
        <w:tc>
          <w:tcPr>
            <w:tcW w:w="1779" w:type="pct"/>
            <w:tcBorders>
              <w:top w:val="nil"/>
              <w:left w:val="nil"/>
              <w:bottom w:val="single" w:sz="4" w:space="0" w:color="auto"/>
              <w:right w:val="single" w:sz="4" w:space="0" w:color="auto"/>
            </w:tcBorders>
            <w:noWrap/>
            <w:vAlign w:val="center"/>
          </w:tcPr>
          <w:p w14:paraId="392E776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费率</w:t>
            </w:r>
          </w:p>
        </w:tc>
        <w:tc>
          <w:tcPr>
            <w:tcW w:w="781" w:type="pct"/>
            <w:tcBorders>
              <w:top w:val="nil"/>
              <w:left w:val="nil"/>
              <w:bottom w:val="single" w:sz="4" w:space="0" w:color="auto"/>
              <w:right w:val="single" w:sz="4" w:space="0" w:color="auto"/>
            </w:tcBorders>
            <w:noWrap/>
            <w:vAlign w:val="center"/>
          </w:tcPr>
          <w:p w14:paraId="46A7485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1A8E111D"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000000" w14:paraId="0BA083AC"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62B1BEA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57ECCF6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547" w:type="pct"/>
            <w:tcBorders>
              <w:top w:val="nil"/>
              <w:left w:val="nil"/>
              <w:bottom w:val="single" w:sz="4" w:space="0" w:color="auto"/>
              <w:right w:val="single" w:sz="4" w:space="0" w:color="auto"/>
            </w:tcBorders>
            <w:noWrap/>
            <w:vAlign w:val="center"/>
          </w:tcPr>
          <w:p w14:paraId="32DCC8F4" w14:textId="77777777" w:rsidR="00000000" w:rsidRDefault="00000000">
            <w:pPr>
              <w:jc w:val="center"/>
              <w:rPr>
                <w:rFonts w:ascii="Arial" w:hAnsi="Arial" w:cs="Arial"/>
                <w:snapToGrid w:val="0"/>
                <w:sz w:val="16"/>
              </w:rPr>
            </w:pPr>
            <w:r>
              <w:rPr>
                <w:rFonts w:ascii="Arial" w:hAnsi="Arial" w:cs="Arial" w:hint="eastAsia"/>
                <w:snapToGrid w:val="0"/>
                <w:sz w:val="16"/>
              </w:rPr>
              <w:t>2090</w:t>
            </w:r>
          </w:p>
        </w:tc>
        <w:tc>
          <w:tcPr>
            <w:tcW w:w="2560" w:type="pct"/>
            <w:gridSpan w:val="2"/>
            <w:tcBorders>
              <w:top w:val="single" w:sz="4" w:space="0" w:color="auto"/>
              <w:left w:val="single" w:sz="4" w:space="0" w:color="auto"/>
              <w:bottom w:val="single" w:sz="4" w:space="0" w:color="auto"/>
              <w:right w:val="nil"/>
            </w:tcBorders>
            <w:noWrap/>
            <w:vAlign w:val="center"/>
          </w:tcPr>
          <w:p w14:paraId="5B16172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r>
              <w:rPr>
                <w:rFonts w:ascii="Arial" w:hAnsi="Arial" w:cs="Arial"/>
                <w:snapToGrid w:val="0"/>
                <w:sz w:val="16"/>
              </w:rPr>
              <w:t>+</w:t>
            </w:r>
            <w:r>
              <w:rPr>
                <w:rFonts w:ascii="Arial" w:hAnsi="Arial" w:cs="Arial"/>
                <w:snapToGrid w:val="0"/>
                <w:sz w:val="16"/>
              </w:rPr>
              <w:t>公共配套设施费用</w:t>
            </w:r>
            <w:r>
              <w:rPr>
                <w:rFonts w:ascii="Arial" w:hAnsi="Arial" w:cs="Arial"/>
                <w:snapToGrid w:val="0"/>
                <w:sz w:val="16"/>
              </w:rPr>
              <w:t>+</w:t>
            </w:r>
            <w:r>
              <w:rPr>
                <w:rFonts w:ascii="Arial" w:hAnsi="Arial" w:cs="Arial"/>
                <w:snapToGrid w:val="0"/>
                <w:sz w:val="16"/>
              </w:rPr>
              <w:t>基础设施建设费</w:t>
            </w:r>
            <w:r>
              <w:rPr>
                <w:rFonts w:ascii="Arial" w:hAnsi="Arial" w:cs="Arial"/>
                <w:snapToGrid w:val="0"/>
                <w:sz w:val="16"/>
              </w:rPr>
              <w:t>+</w:t>
            </w:r>
            <w:r>
              <w:rPr>
                <w:rFonts w:ascii="Arial" w:hAnsi="Arial" w:cs="Arial"/>
                <w:snapToGrid w:val="0"/>
                <w:sz w:val="16"/>
              </w:rPr>
              <w:t>相关税费</w:t>
            </w:r>
          </w:p>
        </w:tc>
        <w:tc>
          <w:tcPr>
            <w:tcW w:w="464" w:type="pct"/>
            <w:tcBorders>
              <w:top w:val="nil"/>
              <w:left w:val="nil"/>
              <w:bottom w:val="single" w:sz="4" w:space="0" w:color="auto"/>
              <w:right w:val="single" w:sz="8" w:space="0" w:color="auto"/>
            </w:tcBorders>
            <w:noWrap/>
            <w:vAlign w:val="center"/>
          </w:tcPr>
          <w:p w14:paraId="79820256"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000000" w14:paraId="77BA883B" w14:textId="77777777">
        <w:trPr>
          <w:trHeight w:val="403"/>
        </w:trPr>
        <w:tc>
          <w:tcPr>
            <w:tcW w:w="320" w:type="pct"/>
            <w:tcBorders>
              <w:top w:val="nil"/>
              <w:left w:val="single" w:sz="8" w:space="0" w:color="auto"/>
              <w:bottom w:val="single" w:sz="4" w:space="0" w:color="auto"/>
              <w:right w:val="single" w:sz="4" w:space="0" w:color="auto"/>
            </w:tcBorders>
            <w:noWrap/>
            <w:vAlign w:val="center"/>
          </w:tcPr>
          <w:p w14:paraId="27E81CA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0E9FEAD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47" w:type="pct"/>
            <w:tcBorders>
              <w:top w:val="nil"/>
              <w:left w:val="nil"/>
              <w:bottom w:val="single" w:sz="4" w:space="0" w:color="auto"/>
              <w:right w:val="single" w:sz="4" w:space="0" w:color="auto"/>
            </w:tcBorders>
            <w:noWrap/>
            <w:vAlign w:val="center"/>
          </w:tcPr>
          <w:p w14:paraId="280202F8" w14:textId="77777777" w:rsidR="00000000" w:rsidRDefault="00000000">
            <w:pPr>
              <w:jc w:val="center"/>
              <w:rPr>
                <w:rFonts w:ascii="Arial" w:hAnsi="Arial" w:cs="Arial"/>
                <w:snapToGrid w:val="0"/>
                <w:sz w:val="16"/>
              </w:rPr>
            </w:pPr>
            <w:r>
              <w:rPr>
                <w:rFonts w:ascii="Arial" w:hAnsi="Arial" w:cs="Arial" w:hint="eastAsia"/>
                <w:snapToGrid w:val="0"/>
                <w:sz w:val="16"/>
              </w:rPr>
              <w:t>42</w:t>
            </w:r>
          </w:p>
        </w:tc>
        <w:tc>
          <w:tcPr>
            <w:tcW w:w="1779" w:type="pct"/>
            <w:tcBorders>
              <w:top w:val="nil"/>
              <w:left w:val="nil"/>
              <w:bottom w:val="single" w:sz="4" w:space="0" w:color="auto"/>
              <w:right w:val="single" w:sz="4" w:space="0" w:color="auto"/>
            </w:tcBorders>
            <w:vAlign w:val="center"/>
          </w:tcPr>
          <w:p w14:paraId="7038A00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费率</w:t>
            </w:r>
          </w:p>
        </w:tc>
        <w:tc>
          <w:tcPr>
            <w:tcW w:w="781" w:type="pct"/>
            <w:tcBorders>
              <w:top w:val="nil"/>
              <w:left w:val="nil"/>
              <w:bottom w:val="single" w:sz="4" w:space="0" w:color="auto"/>
              <w:right w:val="single" w:sz="4" w:space="0" w:color="auto"/>
            </w:tcBorders>
            <w:noWrap/>
            <w:vAlign w:val="center"/>
          </w:tcPr>
          <w:p w14:paraId="47605F1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572D163A"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2</w:t>
            </w:r>
            <w:r>
              <w:rPr>
                <w:rFonts w:ascii="Arial" w:hAnsi="Arial" w:cs="Arial"/>
                <w:snapToGrid w:val="0"/>
                <w:sz w:val="16"/>
              </w:rPr>
              <w:t>.0%</w:t>
            </w:r>
          </w:p>
        </w:tc>
      </w:tr>
      <w:tr w:rsidR="00000000" w14:paraId="26D67E1F"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4A09457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60BB57D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547" w:type="pct"/>
            <w:tcBorders>
              <w:top w:val="nil"/>
              <w:left w:val="nil"/>
              <w:bottom w:val="single" w:sz="4" w:space="0" w:color="auto"/>
              <w:right w:val="single" w:sz="4" w:space="0" w:color="auto"/>
            </w:tcBorders>
            <w:noWrap/>
            <w:vAlign w:val="center"/>
          </w:tcPr>
          <w:p w14:paraId="0E26FE33" w14:textId="77777777" w:rsidR="00000000" w:rsidRDefault="00000000">
            <w:pPr>
              <w:jc w:val="center"/>
              <w:rPr>
                <w:rFonts w:ascii="Arial" w:hAnsi="Arial" w:cs="Arial"/>
                <w:snapToGrid w:val="0"/>
                <w:sz w:val="16"/>
              </w:rPr>
            </w:pPr>
            <w:r>
              <w:rPr>
                <w:rFonts w:ascii="Arial" w:hAnsi="Arial" w:cs="Arial"/>
                <w:snapToGrid w:val="0"/>
                <w:sz w:val="16"/>
              </w:rPr>
              <w:t>——</w:t>
            </w:r>
          </w:p>
        </w:tc>
        <w:tc>
          <w:tcPr>
            <w:tcW w:w="1779" w:type="pct"/>
            <w:tcBorders>
              <w:top w:val="nil"/>
              <w:left w:val="nil"/>
              <w:bottom w:val="single" w:sz="4" w:space="0" w:color="auto"/>
              <w:right w:val="single" w:sz="4" w:space="0" w:color="auto"/>
            </w:tcBorders>
            <w:vAlign w:val="center"/>
          </w:tcPr>
          <w:p w14:paraId="08F2AB7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p>
        </w:tc>
        <w:tc>
          <w:tcPr>
            <w:tcW w:w="781" w:type="pct"/>
            <w:tcBorders>
              <w:top w:val="nil"/>
              <w:left w:val="nil"/>
              <w:bottom w:val="single" w:sz="4" w:space="0" w:color="auto"/>
              <w:right w:val="single" w:sz="4" w:space="0" w:color="auto"/>
            </w:tcBorders>
            <w:noWrap/>
            <w:vAlign w:val="center"/>
          </w:tcPr>
          <w:p w14:paraId="60A9C6C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r>
              <w:rPr>
                <w:rFonts w:ascii="Arial" w:hAnsi="Arial" w:cs="Arial"/>
                <w:snapToGrid w:val="0"/>
                <w:sz w:val="16"/>
              </w:rPr>
              <w:t>%</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6C3ACCFA"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0.0%</w:t>
            </w:r>
          </w:p>
        </w:tc>
      </w:tr>
      <w:tr w:rsidR="00000000" w14:paraId="54BCD8BD"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0DB122F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5F96031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547" w:type="pct"/>
            <w:tcBorders>
              <w:top w:val="nil"/>
              <w:left w:val="nil"/>
              <w:bottom w:val="single" w:sz="4" w:space="0" w:color="auto"/>
              <w:right w:val="single" w:sz="4" w:space="0" w:color="auto"/>
            </w:tcBorders>
            <w:noWrap/>
            <w:vAlign w:val="center"/>
          </w:tcPr>
          <w:p w14:paraId="19016226" w14:textId="77777777" w:rsidR="00000000" w:rsidRDefault="00000000">
            <w:pPr>
              <w:jc w:val="center"/>
              <w:rPr>
                <w:rFonts w:ascii="Arial" w:hAnsi="Arial" w:cs="Arial"/>
                <w:snapToGrid w:val="0"/>
                <w:sz w:val="16"/>
              </w:rPr>
            </w:pPr>
            <w:r>
              <w:rPr>
                <w:rFonts w:ascii="Arial" w:hAnsi="Arial" w:cs="Arial"/>
                <w:snapToGrid w:val="0"/>
                <w:sz w:val="16"/>
              </w:rPr>
              <w:t xml:space="preserve">　</w:t>
            </w:r>
          </w:p>
        </w:tc>
        <w:tc>
          <w:tcPr>
            <w:tcW w:w="2560" w:type="pct"/>
            <w:gridSpan w:val="2"/>
            <w:tcBorders>
              <w:top w:val="single" w:sz="4" w:space="0" w:color="auto"/>
              <w:left w:val="single" w:sz="4" w:space="0" w:color="auto"/>
              <w:bottom w:val="single" w:sz="4" w:space="0" w:color="auto"/>
              <w:right w:val="nil"/>
            </w:tcBorders>
            <w:noWrap/>
            <w:vAlign w:val="center"/>
          </w:tcPr>
          <w:p w14:paraId="651F08A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464" w:type="pct"/>
            <w:tcBorders>
              <w:top w:val="nil"/>
              <w:left w:val="nil"/>
              <w:bottom w:val="single" w:sz="4" w:space="0" w:color="auto"/>
              <w:right w:val="single" w:sz="8" w:space="0" w:color="auto"/>
            </w:tcBorders>
            <w:noWrap/>
            <w:vAlign w:val="center"/>
          </w:tcPr>
          <w:p w14:paraId="729B8EA9"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000000" w14:paraId="71A9C14D"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6BD3A18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30E7995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）项产生的利息</w:t>
            </w:r>
          </w:p>
        </w:tc>
        <w:tc>
          <w:tcPr>
            <w:tcW w:w="547" w:type="pct"/>
            <w:tcBorders>
              <w:top w:val="nil"/>
              <w:left w:val="nil"/>
              <w:bottom w:val="single" w:sz="4" w:space="0" w:color="auto"/>
              <w:right w:val="single" w:sz="4" w:space="0" w:color="auto"/>
            </w:tcBorders>
            <w:noWrap/>
            <w:vAlign w:val="center"/>
          </w:tcPr>
          <w:p w14:paraId="3FF2A9E6" w14:textId="77777777" w:rsidR="00000000" w:rsidRDefault="00000000">
            <w:pPr>
              <w:jc w:val="center"/>
              <w:rPr>
                <w:rFonts w:ascii="Arial" w:hAnsi="Arial" w:cs="Arial"/>
                <w:snapToGrid w:val="0"/>
                <w:sz w:val="16"/>
              </w:rPr>
            </w:pPr>
            <w:r>
              <w:rPr>
                <w:rFonts w:ascii="Arial" w:hAnsi="Arial" w:cs="Arial" w:hint="eastAsia"/>
                <w:snapToGrid w:val="0"/>
                <w:sz w:val="16"/>
              </w:rPr>
              <w:t>69</w:t>
            </w:r>
          </w:p>
        </w:tc>
        <w:tc>
          <w:tcPr>
            <w:tcW w:w="1779" w:type="pct"/>
            <w:tcBorders>
              <w:top w:val="nil"/>
              <w:left w:val="nil"/>
              <w:bottom w:val="single" w:sz="4" w:space="0" w:color="auto"/>
              <w:right w:val="single" w:sz="4" w:space="0" w:color="auto"/>
            </w:tcBorders>
            <w:noWrap/>
            <w:vAlign w:val="center"/>
          </w:tcPr>
          <w:p w14:paraId="5B6CA9B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781" w:type="pct"/>
            <w:tcBorders>
              <w:top w:val="nil"/>
              <w:left w:val="nil"/>
              <w:bottom w:val="single" w:sz="4" w:space="0" w:color="auto"/>
              <w:right w:val="single" w:sz="4" w:space="0" w:color="auto"/>
            </w:tcBorders>
            <w:noWrap/>
            <w:vAlign w:val="center"/>
          </w:tcPr>
          <w:p w14:paraId="72B8483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464" w:type="pct"/>
            <w:tcBorders>
              <w:top w:val="nil"/>
              <w:left w:val="nil"/>
              <w:bottom w:val="single" w:sz="4" w:space="0" w:color="auto"/>
              <w:right w:val="single" w:sz="8" w:space="0" w:color="auto"/>
            </w:tcBorders>
            <w:noWrap/>
            <w:vAlign w:val="center"/>
          </w:tcPr>
          <w:p w14:paraId="22B76BA8"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2</w:t>
            </w:r>
          </w:p>
        </w:tc>
      </w:tr>
      <w:tr w:rsidR="00000000" w14:paraId="2A8126EE"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1869ACC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2916D17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547" w:type="pct"/>
            <w:tcBorders>
              <w:top w:val="nil"/>
              <w:left w:val="nil"/>
              <w:bottom w:val="single" w:sz="4" w:space="0" w:color="auto"/>
              <w:right w:val="single" w:sz="4" w:space="0" w:color="auto"/>
            </w:tcBorders>
            <w:noWrap/>
            <w:vAlign w:val="center"/>
          </w:tcPr>
          <w:p w14:paraId="6B6ECDBF" w14:textId="77777777" w:rsidR="00000000" w:rsidRDefault="00000000">
            <w:pPr>
              <w:jc w:val="center"/>
              <w:rPr>
                <w:rFonts w:ascii="Arial" w:hAnsi="Arial" w:cs="Arial"/>
                <w:snapToGrid w:val="0"/>
                <w:sz w:val="16"/>
              </w:rPr>
            </w:pPr>
            <w:r>
              <w:rPr>
                <w:rFonts w:ascii="Arial" w:hAnsi="Arial" w:cs="Arial"/>
                <w:snapToGrid w:val="0"/>
                <w:sz w:val="16"/>
              </w:rPr>
              <w:t>0</w:t>
            </w:r>
            <w:r>
              <w:rPr>
                <w:rFonts w:ascii="Arial" w:hAnsi="Arial" w:cs="Arial" w:hint="eastAsia"/>
                <w:snapToGrid w:val="0"/>
                <w:sz w:val="16"/>
              </w:rPr>
              <w:t>.001</w:t>
            </w:r>
          </w:p>
        </w:tc>
        <w:tc>
          <w:tcPr>
            <w:tcW w:w="1779" w:type="pct"/>
            <w:tcBorders>
              <w:top w:val="nil"/>
              <w:left w:val="nil"/>
              <w:bottom w:val="single" w:sz="4" w:space="0" w:color="auto"/>
              <w:right w:val="single" w:sz="4" w:space="0" w:color="auto"/>
            </w:tcBorders>
            <w:noWrap/>
            <w:vAlign w:val="center"/>
          </w:tcPr>
          <w:p w14:paraId="14D7FA7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×((1+</w:t>
            </w:r>
            <w:r>
              <w:rPr>
                <w:rFonts w:ascii="Arial" w:hAnsi="Arial" w:cs="Arial"/>
                <w:snapToGrid w:val="0"/>
                <w:sz w:val="16"/>
              </w:rPr>
              <w:t>利率</w:t>
            </w:r>
            <w:r>
              <w:rPr>
                <w:rFonts w:ascii="Arial" w:hAnsi="Arial" w:cs="Arial"/>
                <w:snapToGrid w:val="0"/>
                <w:sz w:val="16"/>
              </w:rPr>
              <w:t>)^(</w:t>
            </w:r>
            <w:r>
              <w:rPr>
                <w:rFonts w:ascii="Arial" w:hAnsi="Arial" w:cs="Arial"/>
                <w:snapToGrid w:val="0"/>
                <w:sz w:val="16"/>
              </w:rPr>
              <w:t>建设周期</w:t>
            </w:r>
            <w:r>
              <w:rPr>
                <w:rFonts w:ascii="Arial" w:hAnsi="Arial" w:cs="Arial"/>
                <w:snapToGrid w:val="0"/>
                <w:sz w:val="16"/>
              </w:rPr>
              <w:t>÷2)-1)</w:t>
            </w:r>
          </w:p>
        </w:tc>
        <w:tc>
          <w:tcPr>
            <w:tcW w:w="781" w:type="pct"/>
            <w:tcBorders>
              <w:top w:val="nil"/>
              <w:left w:val="nil"/>
              <w:bottom w:val="single" w:sz="4" w:space="0" w:color="auto"/>
              <w:right w:val="single" w:sz="4" w:space="0" w:color="auto"/>
            </w:tcBorders>
            <w:noWrap/>
            <w:vAlign w:val="center"/>
          </w:tcPr>
          <w:p w14:paraId="3CB09E9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利息（</w:t>
            </w:r>
            <w:r>
              <w:rPr>
                <w:rFonts w:ascii="Arial" w:hAnsi="Arial" w:cs="Arial"/>
                <w:snapToGrid w:val="0"/>
                <w:sz w:val="16"/>
              </w:rPr>
              <w:t>%</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5EC0EE41"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3.25</w:t>
            </w:r>
            <w:r>
              <w:rPr>
                <w:rFonts w:ascii="Arial" w:hAnsi="Arial" w:cs="Arial"/>
                <w:snapToGrid w:val="0"/>
                <w:sz w:val="16"/>
              </w:rPr>
              <w:t>%</w:t>
            </w:r>
          </w:p>
        </w:tc>
      </w:tr>
      <w:tr w:rsidR="00000000" w14:paraId="287EBDC7"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37BF40D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5</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3F2763C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547" w:type="pct"/>
            <w:tcBorders>
              <w:top w:val="nil"/>
              <w:left w:val="nil"/>
              <w:bottom w:val="single" w:sz="4" w:space="0" w:color="auto"/>
              <w:right w:val="single" w:sz="4" w:space="0" w:color="auto"/>
            </w:tcBorders>
            <w:noWrap/>
            <w:vAlign w:val="center"/>
          </w:tcPr>
          <w:p w14:paraId="652BA3CE" w14:textId="77777777" w:rsidR="00000000" w:rsidRDefault="00000000">
            <w:pPr>
              <w:jc w:val="center"/>
              <w:rPr>
                <w:rFonts w:ascii="Arial" w:hAnsi="Arial" w:cs="Arial"/>
                <w:snapToGrid w:val="0"/>
                <w:sz w:val="16"/>
              </w:rPr>
            </w:pPr>
            <w:r>
              <w:rPr>
                <w:rFonts w:ascii="Arial" w:hAnsi="Arial" w:cs="Arial"/>
                <w:snapToGrid w:val="0"/>
                <w:sz w:val="16"/>
              </w:rPr>
              <w:t xml:space="preserve">　</w:t>
            </w:r>
          </w:p>
        </w:tc>
        <w:tc>
          <w:tcPr>
            <w:tcW w:w="1779" w:type="pct"/>
            <w:tcBorders>
              <w:top w:val="nil"/>
              <w:left w:val="nil"/>
              <w:bottom w:val="single" w:sz="4" w:space="0" w:color="auto"/>
              <w:right w:val="nil"/>
            </w:tcBorders>
            <w:noWrap/>
            <w:vAlign w:val="center"/>
          </w:tcPr>
          <w:p w14:paraId="5637FFD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781" w:type="pct"/>
            <w:tcBorders>
              <w:top w:val="nil"/>
              <w:left w:val="nil"/>
              <w:bottom w:val="single" w:sz="4" w:space="0" w:color="auto"/>
              <w:right w:val="nil"/>
            </w:tcBorders>
            <w:noWrap/>
            <w:vAlign w:val="center"/>
          </w:tcPr>
          <w:p w14:paraId="3D5F7596"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c>
          <w:tcPr>
            <w:tcW w:w="464" w:type="pct"/>
            <w:tcBorders>
              <w:top w:val="nil"/>
              <w:left w:val="nil"/>
              <w:bottom w:val="single" w:sz="4" w:space="0" w:color="auto"/>
              <w:right w:val="single" w:sz="8" w:space="0" w:color="auto"/>
            </w:tcBorders>
            <w:noWrap/>
            <w:vAlign w:val="center"/>
          </w:tcPr>
          <w:p w14:paraId="122ECD18"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000000" w14:paraId="5F20E91E"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21434DA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2E0657F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）及（</w:t>
            </w:r>
            <w:r>
              <w:rPr>
                <w:rFonts w:ascii="Arial" w:hAnsi="Arial" w:cs="Arial"/>
                <w:snapToGrid w:val="0"/>
                <w:sz w:val="16"/>
              </w:rPr>
              <w:t>2</w:t>
            </w:r>
            <w:r>
              <w:rPr>
                <w:rFonts w:ascii="Arial" w:hAnsi="Arial" w:cs="Arial"/>
                <w:snapToGrid w:val="0"/>
                <w:sz w:val="16"/>
              </w:rPr>
              <w:t>）项产生的利润</w:t>
            </w:r>
          </w:p>
        </w:tc>
        <w:tc>
          <w:tcPr>
            <w:tcW w:w="547" w:type="pct"/>
            <w:tcBorders>
              <w:top w:val="nil"/>
              <w:left w:val="nil"/>
              <w:bottom w:val="single" w:sz="4" w:space="0" w:color="auto"/>
              <w:right w:val="single" w:sz="4" w:space="0" w:color="auto"/>
            </w:tcBorders>
            <w:noWrap/>
            <w:vAlign w:val="center"/>
          </w:tcPr>
          <w:p w14:paraId="44692181" w14:textId="77777777" w:rsidR="00000000" w:rsidRDefault="00000000">
            <w:pPr>
              <w:jc w:val="center"/>
              <w:rPr>
                <w:rFonts w:ascii="Arial" w:hAnsi="Arial" w:cs="Arial"/>
                <w:snapToGrid w:val="0"/>
                <w:sz w:val="16"/>
              </w:rPr>
            </w:pPr>
            <w:r>
              <w:rPr>
                <w:rFonts w:ascii="Arial" w:hAnsi="Arial" w:cs="Arial" w:hint="eastAsia"/>
                <w:snapToGrid w:val="0"/>
                <w:sz w:val="16"/>
              </w:rPr>
              <w:t>107</w:t>
            </w:r>
          </w:p>
        </w:tc>
        <w:tc>
          <w:tcPr>
            <w:tcW w:w="1779" w:type="pct"/>
            <w:tcBorders>
              <w:top w:val="nil"/>
              <w:left w:val="nil"/>
              <w:bottom w:val="single" w:sz="4" w:space="0" w:color="auto"/>
              <w:right w:val="single" w:sz="4" w:space="0" w:color="auto"/>
            </w:tcBorders>
            <w:vAlign w:val="center"/>
          </w:tcPr>
          <w:p w14:paraId="103720F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r>
              <w:rPr>
                <w:rFonts w:ascii="Arial" w:hAnsi="Arial" w:cs="Arial"/>
                <w:snapToGrid w:val="0"/>
                <w:sz w:val="16"/>
              </w:rPr>
              <w:t>+</w:t>
            </w:r>
            <w:r>
              <w:rPr>
                <w:rFonts w:ascii="Arial" w:hAnsi="Arial" w:cs="Arial"/>
                <w:snapToGrid w:val="0"/>
                <w:sz w:val="16"/>
              </w:rPr>
              <w:t>管理费用）</w:t>
            </w:r>
            <w:r>
              <w:rPr>
                <w:rFonts w:ascii="Arial" w:hAnsi="Arial" w:cs="Arial"/>
                <w:snapToGrid w:val="0"/>
                <w:sz w:val="16"/>
              </w:rPr>
              <w:t>×</w:t>
            </w:r>
            <w:r>
              <w:rPr>
                <w:rFonts w:ascii="Arial" w:hAnsi="Arial" w:cs="Arial"/>
                <w:snapToGrid w:val="0"/>
                <w:sz w:val="16"/>
              </w:rPr>
              <w:t>利润率</w:t>
            </w:r>
          </w:p>
        </w:tc>
        <w:tc>
          <w:tcPr>
            <w:tcW w:w="781" w:type="pct"/>
            <w:tcBorders>
              <w:top w:val="nil"/>
              <w:left w:val="nil"/>
              <w:bottom w:val="nil"/>
              <w:right w:val="single" w:sz="4" w:space="0" w:color="auto"/>
            </w:tcBorders>
            <w:noWrap/>
            <w:vAlign w:val="center"/>
          </w:tcPr>
          <w:p w14:paraId="2DF95C8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利润率（</w:t>
            </w:r>
            <w:r>
              <w:rPr>
                <w:rFonts w:ascii="Arial" w:hAnsi="Arial" w:cs="Arial"/>
                <w:snapToGrid w:val="0"/>
                <w:sz w:val="16"/>
              </w:rPr>
              <w:t>%</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52609AD6"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5.0%</w:t>
            </w:r>
          </w:p>
        </w:tc>
      </w:tr>
      <w:tr w:rsidR="00000000" w14:paraId="093AA58D"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0C9C1AE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5BC03B0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547" w:type="pct"/>
            <w:tcBorders>
              <w:top w:val="nil"/>
              <w:left w:val="nil"/>
              <w:bottom w:val="single" w:sz="4" w:space="0" w:color="auto"/>
              <w:right w:val="single" w:sz="4" w:space="0" w:color="auto"/>
            </w:tcBorders>
            <w:noWrap/>
            <w:vAlign w:val="center"/>
          </w:tcPr>
          <w:p w14:paraId="78A536BC" w14:textId="77777777" w:rsidR="00000000" w:rsidRDefault="00000000">
            <w:pPr>
              <w:jc w:val="center"/>
              <w:rPr>
                <w:rFonts w:ascii="Arial" w:hAnsi="Arial" w:cs="Arial"/>
                <w:snapToGrid w:val="0"/>
                <w:sz w:val="16"/>
              </w:rPr>
            </w:pPr>
            <w:r>
              <w:rPr>
                <w:rFonts w:ascii="Arial" w:hAnsi="Arial" w:cs="Arial"/>
                <w:snapToGrid w:val="0"/>
                <w:sz w:val="16"/>
              </w:rPr>
              <w:t>0</w:t>
            </w:r>
            <w:r>
              <w:rPr>
                <w:rFonts w:ascii="Arial" w:hAnsi="Arial" w:cs="Arial" w:hint="eastAsia"/>
                <w:snapToGrid w:val="0"/>
                <w:sz w:val="16"/>
              </w:rPr>
              <w:t>.0015</w:t>
            </w:r>
          </w:p>
        </w:tc>
        <w:tc>
          <w:tcPr>
            <w:tcW w:w="1779" w:type="pct"/>
            <w:tcBorders>
              <w:top w:val="nil"/>
              <w:left w:val="nil"/>
              <w:bottom w:val="single" w:sz="4" w:space="0" w:color="auto"/>
              <w:right w:val="single" w:sz="4" w:space="0" w:color="auto"/>
            </w:tcBorders>
            <w:vAlign w:val="center"/>
          </w:tcPr>
          <w:p w14:paraId="7531B72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r>
              <w:rPr>
                <w:rFonts w:ascii="Arial" w:hAnsi="Arial" w:cs="Arial"/>
                <w:snapToGrid w:val="0"/>
                <w:sz w:val="16"/>
              </w:rPr>
              <w:t>×</w:t>
            </w:r>
            <w:r>
              <w:rPr>
                <w:rFonts w:ascii="Arial" w:hAnsi="Arial" w:cs="Arial"/>
                <w:snapToGrid w:val="0"/>
                <w:sz w:val="16"/>
              </w:rPr>
              <w:t>利润率</w:t>
            </w:r>
          </w:p>
        </w:tc>
        <w:tc>
          <w:tcPr>
            <w:tcW w:w="781" w:type="pct"/>
            <w:tcBorders>
              <w:top w:val="nil"/>
              <w:left w:val="nil"/>
              <w:bottom w:val="single" w:sz="4" w:space="0" w:color="auto"/>
              <w:right w:val="single" w:sz="4" w:space="0" w:color="auto"/>
            </w:tcBorders>
            <w:noWrap/>
            <w:vAlign w:val="center"/>
          </w:tcPr>
          <w:p w14:paraId="0F4CC39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4" w:type="pct"/>
            <w:tcBorders>
              <w:top w:val="nil"/>
              <w:left w:val="nil"/>
              <w:bottom w:val="single" w:sz="4" w:space="0" w:color="auto"/>
              <w:right w:val="single" w:sz="8" w:space="0" w:color="auto"/>
            </w:tcBorders>
            <w:noWrap/>
            <w:vAlign w:val="center"/>
          </w:tcPr>
          <w:p w14:paraId="0EF93388"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000000" w14:paraId="27BFD807"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29EDCE1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6</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2308273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547" w:type="pct"/>
            <w:tcBorders>
              <w:top w:val="nil"/>
              <w:left w:val="nil"/>
              <w:bottom w:val="single" w:sz="4" w:space="0" w:color="auto"/>
              <w:right w:val="single" w:sz="4" w:space="0" w:color="auto"/>
            </w:tcBorders>
            <w:noWrap/>
            <w:vAlign w:val="center"/>
          </w:tcPr>
          <w:p w14:paraId="0AD5412D" w14:textId="77777777" w:rsidR="00000000" w:rsidRDefault="00000000">
            <w:pPr>
              <w:jc w:val="center"/>
              <w:rPr>
                <w:rFonts w:ascii="Arial" w:hAnsi="Arial" w:cs="Arial"/>
                <w:snapToGrid w:val="0"/>
                <w:sz w:val="16"/>
              </w:rPr>
            </w:pPr>
            <w:r>
              <w:rPr>
                <w:rFonts w:ascii="Arial" w:hAnsi="Arial" w:cs="Arial"/>
                <w:snapToGrid w:val="0"/>
                <w:sz w:val="16"/>
              </w:rPr>
              <w:t>0.0</w:t>
            </w:r>
            <w:r>
              <w:rPr>
                <w:rFonts w:ascii="Arial" w:hAnsi="Arial" w:cs="Arial" w:hint="eastAsia"/>
                <w:snapToGrid w:val="0"/>
                <w:sz w:val="16"/>
              </w:rPr>
              <w:t>524</w:t>
            </w:r>
          </w:p>
        </w:tc>
        <w:tc>
          <w:tcPr>
            <w:tcW w:w="1779" w:type="pct"/>
            <w:tcBorders>
              <w:top w:val="nil"/>
              <w:left w:val="nil"/>
              <w:bottom w:val="single" w:sz="4" w:space="0" w:color="auto"/>
              <w:right w:val="single" w:sz="4" w:space="0" w:color="auto"/>
            </w:tcBorders>
            <w:vAlign w:val="center"/>
          </w:tcPr>
          <w:p w14:paraId="323206C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781" w:type="pct"/>
            <w:tcBorders>
              <w:top w:val="nil"/>
              <w:left w:val="nil"/>
              <w:bottom w:val="single" w:sz="4" w:space="0" w:color="auto"/>
              <w:right w:val="single" w:sz="4" w:space="0" w:color="auto"/>
            </w:tcBorders>
            <w:noWrap/>
            <w:vAlign w:val="center"/>
          </w:tcPr>
          <w:p w14:paraId="443BF42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4B12B53E"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000000" w14:paraId="3DA81521" w14:textId="77777777">
        <w:trPr>
          <w:trHeight w:val="360"/>
        </w:trPr>
        <w:tc>
          <w:tcPr>
            <w:tcW w:w="320" w:type="pct"/>
            <w:tcBorders>
              <w:top w:val="nil"/>
              <w:left w:val="single" w:sz="8" w:space="0" w:color="auto"/>
              <w:bottom w:val="double" w:sz="6" w:space="0" w:color="auto"/>
              <w:right w:val="single" w:sz="4" w:space="0" w:color="auto"/>
            </w:tcBorders>
            <w:noWrap/>
            <w:vAlign w:val="center"/>
          </w:tcPr>
          <w:p w14:paraId="05CF497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7</w:t>
            </w:r>
            <w:r>
              <w:rPr>
                <w:rFonts w:ascii="Arial" w:hAnsi="Arial" w:cs="Arial"/>
                <w:snapToGrid w:val="0"/>
                <w:sz w:val="16"/>
              </w:rPr>
              <w:t>）</w:t>
            </w:r>
          </w:p>
        </w:tc>
        <w:tc>
          <w:tcPr>
            <w:tcW w:w="1105" w:type="pct"/>
            <w:tcBorders>
              <w:top w:val="nil"/>
              <w:left w:val="nil"/>
              <w:bottom w:val="double" w:sz="6" w:space="0" w:color="auto"/>
              <w:right w:val="single" w:sz="4" w:space="0" w:color="auto"/>
            </w:tcBorders>
            <w:noWrap/>
            <w:vAlign w:val="center"/>
          </w:tcPr>
          <w:p w14:paraId="7C42AB5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P</w:t>
            </w:r>
            <w:r>
              <w:rPr>
                <w:rFonts w:ascii="Arial" w:hAnsi="Arial" w:cs="Arial"/>
                <w:snapToGrid w:val="0"/>
                <w:sz w:val="16"/>
              </w:rPr>
              <w:t>建）</w:t>
            </w:r>
          </w:p>
        </w:tc>
        <w:tc>
          <w:tcPr>
            <w:tcW w:w="547" w:type="pct"/>
            <w:tcBorders>
              <w:top w:val="nil"/>
              <w:left w:val="nil"/>
              <w:bottom w:val="double" w:sz="6" w:space="0" w:color="auto"/>
              <w:right w:val="single" w:sz="4" w:space="0" w:color="auto"/>
            </w:tcBorders>
            <w:noWrap/>
            <w:vAlign w:val="center"/>
          </w:tcPr>
          <w:p w14:paraId="24B49A53" w14:textId="77777777" w:rsidR="00000000" w:rsidRDefault="00000000">
            <w:pPr>
              <w:jc w:val="center"/>
              <w:rPr>
                <w:rFonts w:ascii="Arial" w:hAnsi="Arial" w:cs="Arial"/>
                <w:snapToGrid w:val="0"/>
                <w:sz w:val="16"/>
              </w:rPr>
            </w:pPr>
            <w:r>
              <w:rPr>
                <w:rFonts w:ascii="Arial" w:hAnsi="Arial" w:cs="Arial" w:hint="eastAsia"/>
                <w:snapToGrid w:val="0"/>
                <w:sz w:val="16"/>
              </w:rPr>
              <w:t>2522</w:t>
            </w:r>
          </w:p>
        </w:tc>
        <w:tc>
          <w:tcPr>
            <w:tcW w:w="1779" w:type="pct"/>
            <w:tcBorders>
              <w:top w:val="nil"/>
              <w:left w:val="nil"/>
              <w:bottom w:val="double" w:sz="6" w:space="0" w:color="auto"/>
              <w:right w:val="single" w:sz="4" w:space="0" w:color="auto"/>
            </w:tcBorders>
            <w:vAlign w:val="center"/>
          </w:tcPr>
          <w:p w14:paraId="3F913B1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1" w:type="pct"/>
            <w:tcBorders>
              <w:top w:val="nil"/>
              <w:left w:val="nil"/>
              <w:bottom w:val="double" w:sz="6" w:space="0" w:color="auto"/>
              <w:right w:val="single" w:sz="4" w:space="0" w:color="auto"/>
            </w:tcBorders>
            <w:noWrap/>
            <w:vAlign w:val="center"/>
          </w:tcPr>
          <w:p w14:paraId="4194D27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4" w:type="pct"/>
            <w:tcBorders>
              <w:top w:val="nil"/>
              <w:left w:val="nil"/>
              <w:bottom w:val="double" w:sz="6" w:space="0" w:color="auto"/>
              <w:right w:val="single" w:sz="8" w:space="0" w:color="auto"/>
            </w:tcBorders>
            <w:noWrap/>
            <w:vAlign w:val="center"/>
          </w:tcPr>
          <w:p w14:paraId="055C369F"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 xml:space="preserve">　</w:t>
            </w:r>
          </w:p>
        </w:tc>
      </w:tr>
      <w:tr w:rsidR="00000000" w14:paraId="32D082AF"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743F62A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5" w:type="pct"/>
            <w:tcBorders>
              <w:top w:val="nil"/>
              <w:left w:val="nil"/>
              <w:bottom w:val="single" w:sz="4" w:space="0" w:color="auto"/>
              <w:right w:val="single" w:sz="4" w:space="0" w:color="auto"/>
            </w:tcBorders>
            <w:noWrap/>
            <w:vAlign w:val="center"/>
          </w:tcPr>
          <w:p w14:paraId="3EB7E44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547" w:type="pct"/>
            <w:tcBorders>
              <w:top w:val="nil"/>
              <w:left w:val="nil"/>
              <w:bottom w:val="single" w:sz="4" w:space="0" w:color="auto"/>
              <w:right w:val="single" w:sz="4" w:space="0" w:color="auto"/>
            </w:tcBorders>
            <w:noWrap/>
            <w:vAlign w:val="center"/>
          </w:tcPr>
          <w:p w14:paraId="2FBD4259" w14:textId="77777777" w:rsidR="00000000" w:rsidRDefault="00000000">
            <w:pPr>
              <w:jc w:val="center"/>
              <w:rPr>
                <w:rFonts w:ascii="Arial" w:hAnsi="Arial" w:cs="Arial"/>
                <w:snapToGrid w:val="0"/>
                <w:sz w:val="16"/>
              </w:rPr>
            </w:pPr>
            <w:r>
              <w:rPr>
                <w:rFonts w:ascii="Arial" w:hAnsi="Arial" w:cs="Arial" w:hint="eastAsia"/>
                <w:snapToGrid w:val="0"/>
                <w:sz w:val="16"/>
              </w:rPr>
              <w:t>28</w:t>
            </w:r>
          </w:p>
        </w:tc>
        <w:tc>
          <w:tcPr>
            <w:tcW w:w="1779" w:type="pct"/>
            <w:tcBorders>
              <w:top w:val="nil"/>
              <w:left w:val="nil"/>
              <w:bottom w:val="single" w:sz="4" w:space="0" w:color="auto"/>
              <w:right w:val="nil"/>
            </w:tcBorders>
            <w:noWrap/>
            <w:vAlign w:val="center"/>
          </w:tcPr>
          <w:p w14:paraId="0AA71FE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税费</w:t>
            </w:r>
            <w:r>
              <w:rPr>
                <w:rFonts w:ascii="Arial" w:hAnsi="Arial" w:cs="Arial"/>
                <w:snapToGrid w:val="0"/>
                <w:sz w:val="16"/>
              </w:rPr>
              <w:t>+</w:t>
            </w:r>
            <w:r>
              <w:rPr>
                <w:rFonts w:ascii="Arial" w:hAnsi="Arial" w:cs="Arial"/>
                <w:snapToGrid w:val="0"/>
                <w:sz w:val="16"/>
              </w:rPr>
              <w:t>维修费</w:t>
            </w:r>
            <w:r>
              <w:rPr>
                <w:rFonts w:ascii="Arial" w:hAnsi="Arial" w:cs="Arial"/>
                <w:snapToGrid w:val="0"/>
                <w:sz w:val="16"/>
              </w:rPr>
              <w:t>+</w:t>
            </w:r>
            <w:r>
              <w:rPr>
                <w:rFonts w:ascii="Arial" w:hAnsi="Arial" w:cs="Arial"/>
                <w:snapToGrid w:val="0"/>
                <w:sz w:val="16"/>
              </w:rPr>
              <w:t>保险费</w:t>
            </w:r>
            <w:r>
              <w:rPr>
                <w:rFonts w:ascii="Arial" w:hAnsi="Arial" w:cs="Arial"/>
                <w:snapToGrid w:val="0"/>
                <w:sz w:val="16"/>
              </w:rPr>
              <w:t>+</w:t>
            </w:r>
            <w:r>
              <w:rPr>
                <w:rFonts w:ascii="Arial" w:hAnsi="Arial" w:cs="Arial"/>
                <w:snapToGrid w:val="0"/>
                <w:sz w:val="16"/>
              </w:rPr>
              <w:t>管理费</w:t>
            </w:r>
          </w:p>
        </w:tc>
        <w:tc>
          <w:tcPr>
            <w:tcW w:w="781" w:type="pct"/>
            <w:tcBorders>
              <w:top w:val="nil"/>
              <w:left w:val="nil"/>
              <w:bottom w:val="single" w:sz="4" w:space="0" w:color="auto"/>
              <w:right w:val="nil"/>
            </w:tcBorders>
            <w:noWrap/>
            <w:vAlign w:val="center"/>
          </w:tcPr>
          <w:p w14:paraId="487FDD6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4" w:type="pct"/>
            <w:tcBorders>
              <w:top w:val="nil"/>
              <w:left w:val="nil"/>
              <w:bottom w:val="single" w:sz="4" w:space="0" w:color="auto"/>
              <w:right w:val="single" w:sz="8" w:space="0" w:color="auto"/>
            </w:tcBorders>
            <w:noWrap/>
            <w:vAlign w:val="center"/>
          </w:tcPr>
          <w:p w14:paraId="6C5C7A6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000000" w14:paraId="66F57932"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04322F2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1</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1447616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税</w:t>
            </w:r>
            <w:r>
              <w:rPr>
                <w:rFonts w:ascii="Arial" w:hAnsi="Arial" w:cs="Arial"/>
                <w:snapToGrid w:val="0"/>
                <w:sz w:val="16"/>
              </w:rPr>
              <w:t xml:space="preserve">  </w:t>
            </w:r>
            <w:r>
              <w:rPr>
                <w:rFonts w:ascii="Arial" w:hAnsi="Arial" w:cs="Arial"/>
                <w:snapToGrid w:val="0"/>
                <w:sz w:val="16"/>
              </w:rPr>
              <w:t>费</w:t>
            </w:r>
          </w:p>
        </w:tc>
        <w:tc>
          <w:tcPr>
            <w:tcW w:w="547" w:type="pct"/>
            <w:tcBorders>
              <w:top w:val="nil"/>
              <w:left w:val="nil"/>
              <w:bottom w:val="single" w:sz="4" w:space="0" w:color="auto"/>
              <w:right w:val="single" w:sz="4" w:space="0" w:color="auto"/>
            </w:tcBorders>
            <w:noWrap/>
            <w:vAlign w:val="center"/>
          </w:tcPr>
          <w:p w14:paraId="11717B47" w14:textId="77777777" w:rsidR="00000000" w:rsidRDefault="00000000">
            <w:pPr>
              <w:jc w:val="center"/>
              <w:rPr>
                <w:rFonts w:ascii="Arial" w:hAnsi="Arial" w:cs="Arial"/>
                <w:snapToGrid w:val="0"/>
                <w:sz w:val="16"/>
              </w:rPr>
            </w:pPr>
            <w:r>
              <w:rPr>
                <w:rFonts w:ascii="Arial" w:hAnsi="Arial" w:cs="Arial" w:hint="eastAsia"/>
                <w:snapToGrid w:val="0"/>
                <w:sz w:val="16"/>
              </w:rPr>
              <w:t>12.86</w:t>
            </w:r>
          </w:p>
        </w:tc>
        <w:tc>
          <w:tcPr>
            <w:tcW w:w="1779" w:type="pct"/>
            <w:tcBorders>
              <w:top w:val="nil"/>
              <w:left w:val="nil"/>
              <w:bottom w:val="single" w:sz="4" w:space="0" w:color="auto"/>
              <w:right w:val="nil"/>
            </w:tcBorders>
            <w:vAlign w:val="center"/>
          </w:tcPr>
          <w:p w14:paraId="4992FCC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两税一费</w:t>
            </w:r>
            <w:r>
              <w:rPr>
                <w:rFonts w:ascii="Arial" w:hAnsi="Arial" w:cs="Arial"/>
                <w:snapToGrid w:val="0"/>
                <w:sz w:val="16"/>
              </w:rPr>
              <w:t>+</w:t>
            </w:r>
            <w:r>
              <w:rPr>
                <w:rFonts w:ascii="Arial" w:hAnsi="Arial" w:cs="Arial"/>
                <w:snapToGrid w:val="0"/>
                <w:sz w:val="16"/>
              </w:rPr>
              <w:t>房产税</w:t>
            </w:r>
            <w:r>
              <w:rPr>
                <w:rFonts w:ascii="Arial" w:hAnsi="Arial" w:cs="Arial"/>
                <w:snapToGrid w:val="0"/>
                <w:sz w:val="16"/>
              </w:rPr>
              <w:t>+</w:t>
            </w:r>
            <w:r>
              <w:rPr>
                <w:rFonts w:ascii="Arial" w:hAnsi="Arial" w:cs="Arial"/>
                <w:snapToGrid w:val="0"/>
                <w:sz w:val="16"/>
              </w:rPr>
              <w:t>城镇土地使用税</w:t>
            </w:r>
          </w:p>
        </w:tc>
        <w:tc>
          <w:tcPr>
            <w:tcW w:w="781" w:type="pct"/>
            <w:tcBorders>
              <w:top w:val="nil"/>
              <w:left w:val="single" w:sz="4" w:space="0" w:color="auto"/>
              <w:bottom w:val="single" w:sz="4" w:space="0" w:color="auto"/>
              <w:right w:val="single" w:sz="4" w:space="0" w:color="auto"/>
            </w:tcBorders>
            <w:vAlign w:val="center"/>
          </w:tcPr>
          <w:p w14:paraId="26F7472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464" w:type="pct"/>
            <w:tcBorders>
              <w:top w:val="nil"/>
              <w:left w:val="nil"/>
              <w:bottom w:val="single" w:sz="4" w:space="0" w:color="auto"/>
              <w:right w:val="single" w:sz="8" w:space="0" w:color="auto"/>
            </w:tcBorders>
            <w:vAlign w:val="center"/>
          </w:tcPr>
          <w:p w14:paraId="7771E1EF"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r>
      <w:tr w:rsidR="00000000" w14:paraId="0A04C84C"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7237583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50411DA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547" w:type="pct"/>
            <w:tcBorders>
              <w:top w:val="nil"/>
              <w:left w:val="nil"/>
              <w:bottom w:val="single" w:sz="4" w:space="0" w:color="auto"/>
              <w:right w:val="single" w:sz="4" w:space="0" w:color="auto"/>
            </w:tcBorders>
            <w:noWrap/>
            <w:vAlign w:val="center"/>
          </w:tcPr>
          <w:p w14:paraId="6D1ACB42" w14:textId="77777777" w:rsidR="00000000" w:rsidRDefault="00000000">
            <w:pPr>
              <w:jc w:val="center"/>
              <w:rPr>
                <w:rFonts w:ascii="Arial" w:hAnsi="Arial" w:cs="Arial"/>
                <w:snapToGrid w:val="0"/>
                <w:sz w:val="16"/>
              </w:rPr>
            </w:pPr>
            <w:r>
              <w:rPr>
                <w:rFonts w:ascii="Arial" w:hAnsi="Arial" w:cs="Arial" w:hint="eastAsia"/>
                <w:snapToGrid w:val="0"/>
                <w:sz w:val="16"/>
              </w:rPr>
              <w:t>3.93</w:t>
            </w:r>
          </w:p>
        </w:tc>
        <w:tc>
          <w:tcPr>
            <w:tcW w:w="1779" w:type="pct"/>
            <w:tcBorders>
              <w:top w:val="nil"/>
              <w:left w:val="nil"/>
              <w:bottom w:val="single" w:sz="4" w:space="0" w:color="auto"/>
              <w:right w:val="single" w:sz="4" w:space="0" w:color="auto"/>
            </w:tcBorders>
            <w:vAlign w:val="center"/>
          </w:tcPr>
          <w:p w14:paraId="37F4830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r>
              <w:rPr>
                <w:rFonts w:ascii="Arial" w:hAnsi="Arial" w:cs="Arial"/>
                <w:snapToGrid w:val="0"/>
                <w:sz w:val="16"/>
              </w:rPr>
              <w:t>/(1+5%)</w:t>
            </w:r>
          </w:p>
        </w:tc>
        <w:tc>
          <w:tcPr>
            <w:tcW w:w="781" w:type="pct"/>
            <w:tcBorders>
              <w:top w:val="nil"/>
              <w:left w:val="nil"/>
              <w:bottom w:val="single" w:sz="4" w:space="0" w:color="auto"/>
              <w:right w:val="single" w:sz="4" w:space="0" w:color="auto"/>
            </w:tcBorders>
            <w:noWrap/>
            <w:vAlign w:val="center"/>
          </w:tcPr>
          <w:p w14:paraId="3A53C50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3AB9EEA3"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5.5</w:t>
            </w:r>
            <w:r>
              <w:rPr>
                <w:rFonts w:ascii="Arial" w:hAnsi="Arial" w:cs="Arial"/>
                <w:snapToGrid w:val="0"/>
                <w:sz w:val="16"/>
              </w:rPr>
              <w:t>%</w:t>
            </w:r>
          </w:p>
        </w:tc>
      </w:tr>
      <w:tr w:rsidR="00000000" w14:paraId="697B2B63"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7484C05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2</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23D45E7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547" w:type="pct"/>
            <w:tcBorders>
              <w:top w:val="nil"/>
              <w:left w:val="nil"/>
              <w:bottom w:val="single" w:sz="4" w:space="0" w:color="auto"/>
              <w:right w:val="single" w:sz="4" w:space="0" w:color="auto"/>
            </w:tcBorders>
            <w:noWrap/>
            <w:vAlign w:val="center"/>
          </w:tcPr>
          <w:p w14:paraId="2538DB5E" w14:textId="77777777" w:rsidR="00000000" w:rsidRDefault="00000000">
            <w:pPr>
              <w:jc w:val="center"/>
              <w:rPr>
                <w:rFonts w:ascii="Arial" w:hAnsi="Arial" w:cs="Arial"/>
                <w:snapToGrid w:val="0"/>
                <w:sz w:val="16"/>
              </w:rPr>
            </w:pPr>
            <w:r>
              <w:rPr>
                <w:rFonts w:ascii="Arial" w:hAnsi="Arial" w:cs="Arial" w:hint="eastAsia"/>
                <w:snapToGrid w:val="0"/>
                <w:sz w:val="16"/>
              </w:rPr>
              <w:t>8.57</w:t>
            </w:r>
          </w:p>
        </w:tc>
        <w:tc>
          <w:tcPr>
            <w:tcW w:w="1779" w:type="pct"/>
            <w:tcBorders>
              <w:top w:val="nil"/>
              <w:left w:val="nil"/>
              <w:bottom w:val="single" w:sz="4" w:space="0" w:color="auto"/>
              <w:right w:val="single" w:sz="4" w:space="0" w:color="auto"/>
            </w:tcBorders>
            <w:vAlign w:val="center"/>
          </w:tcPr>
          <w:p w14:paraId="11445A5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781" w:type="pct"/>
            <w:tcBorders>
              <w:top w:val="nil"/>
              <w:left w:val="nil"/>
              <w:bottom w:val="single" w:sz="4" w:space="0" w:color="auto"/>
              <w:right w:val="single" w:sz="4" w:space="0" w:color="auto"/>
            </w:tcBorders>
            <w:noWrap/>
            <w:vAlign w:val="center"/>
          </w:tcPr>
          <w:p w14:paraId="064AE0D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019FC5FD"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hint="eastAsia"/>
                <w:snapToGrid w:val="0"/>
                <w:sz w:val="16"/>
              </w:rPr>
              <w:t>12</w:t>
            </w:r>
            <w:r>
              <w:rPr>
                <w:rFonts w:ascii="Arial" w:hAnsi="Arial" w:cs="Arial"/>
                <w:snapToGrid w:val="0"/>
                <w:sz w:val="16"/>
              </w:rPr>
              <w:t>.0%</w:t>
            </w:r>
          </w:p>
        </w:tc>
      </w:tr>
      <w:tr w:rsidR="00000000" w14:paraId="1B896029" w14:textId="77777777">
        <w:trPr>
          <w:trHeight w:val="360"/>
        </w:trPr>
        <w:tc>
          <w:tcPr>
            <w:tcW w:w="320" w:type="pct"/>
            <w:tcBorders>
              <w:top w:val="nil"/>
              <w:left w:val="single" w:sz="8" w:space="0" w:color="auto"/>
              <w:bottom w:val="nil"/>
              <w:right w:val="single" w:sz="4" w:space="0" w:color="auto"/>
            </w:tcBorders>
            <w:noWrap/>
            <w:vAlign w:val="center"/>
          </w:tcPr>
          <w:p w14:paraId="353C62D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3</w:t>
            </w:r>
            <w:r>
              <w:rPr>
                <w:rFonts w:ascii="Arial" w:hAnsi="Arial" w:cs="Arial"/>
                <w:snapToGrid w:val="0"/>
                <w:sz w:val="16"/>
              </w:rPr>
              <w:t>）</w:t>
            </w:r>
          </w:p>
        </w:tc>
        <w:tc>
          <w:tcPr>
            <w:tcW w:w="1105" w:type="pct"/>
            <w:tcBorders>
              <w:top w:val="nil"/>
              <w:left w:val="nil"/>
              <w:bottom w:val="nil"/>
              <w:right w:val="single" w:sz="4" w:space="0" w:color="auto"/>
            </w:tcBorders>
            <w:noWrap/>
            <w:vAlign w:val="center"/>
          </w:tcPr>
          <w:p w14:paraId="68A78F7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547" w:type="pct"/>
            <w:tcBorders>
              <w:top w:val="nil"/>
              <w:left w:val="nil"/>
              <w:bottom w:val="nil"/>
              <w:right w:val="single" w:sz="4" w:space="0" w:color="auto"/>
            </w:tcBorders>
            <w:noWrap/>
            <w:vAlign w:val="center"/>
          </w:tcPr>
          <w:p w14:paraId="7F36BFA2" w14:textId="77777777" w:rsidR="00000000" w:rsidRDefault="00000000">
            <w:pPr>
              <w:jc w:val="center"/>
              <w:rPr>
                <w:rFonts w:ascii="Arial" w:hAnsi="Arial" w:cs="Arial"/>
                <w:snapToGrid w:val="0"/>
                <w:sz w:val="16"/>
              </w:rPr>
            </w:pPr>
            <w:r>
              <w:rPr>
                <w:rFonts w:ascii="Arial" w:hAnsi="Arial" w:cs="Arial" w:hint="eastAsia"/>
                <w:snapToGrid w:val="0"/>
                <w:sz w:val="16"/>
              </w:rPr>
              <w:t>0.36</w:t>
            </w:r>
          </w:p>
        </w:tc>
        <w:tc>
          <w:tcPr>
            <w:tcW w:w="1779" w:type="pct"/>
            <w:tcBorders>
              <w:top w:val="nil"/>
              <w:left w:val="nil"/>
              <w:bottom w:val="nil"/>
              <w:right w:val="single" w:sz="4" w:space="0" w:color="auto"/>
            </w:tcBorders>
            <w:vAlign w:val="center"/>
          </w:tcPr>
          <w:p w14:paraId="7262A50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r>
              <w:rPr>
                <w:rFonts w:ascii="Arial" w:hAnsi="Arial" w:cs="Arial"/>
                <w:snapToGrid w:val="0"/>
                <w:sz w:val="16"/>
              </w:rPr>
              <w:t>×</w:t>
            </w:r>
            <w:r>
              <w:rPr>
                <w:rFonts w:ascii="Arial" w:hAnsi="Arial" w:cs="Arial"/>
                <w:snapToGrid w:val="0"/>
                <w:sz w:val="16"/>
              </w:rPr>
              <w:t>取费标准</w:t>
            </w:r>
          </w:p>
        </w:tc>
        <w:tc>
          <w:tcPr>
            <w:tcW w:w="781" w:type="pct"/>
            <w:tcBorders>
              <w:top w:val="nil"/>
              <w:left w:val="nil"/>
              <w:bottom w:val="single" w:sz="4" w:space="0" w:color="auto"/>
              <w:right w:val="single" w:sz="4" w:space="0" w:color="auto"/>
            </w:tcBorders>
            <w:noWrap/>
            <w:vAlign w:val="center"/>
          </w:tcPr>
          <w:p w14:paraId="4D62156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r>
              <w:rPr>
                <w:rFonts w:ascii="Arial" w:hAnsi="Arial" w:cs="Arial"/>
                <w:snapToGrid w:val="0"/>
                <w:sz w:val="16"/>
              </w:rPr>
              <w:t>/</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46DCB144" w14:textId="77777777" w:rsidR="00000000" w:rsidRDefault="00000000">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rsidR="00000000" w14:paraId="3B4B6619"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003AD24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105" w:type="pct"/>
            <w:tcBorders>
              <w:top w:val="nil"/>
              <w:left w:val="nil"/>
              <w:bottom w:val="single" w:sz="4" w:space="0" w:color="auto"/>
              <w:right w:val="single" w:sz="4" w:space="0" w:color="auto"/>
            </w:tcBorders>
            <w:noWrap/>
            <w:vAlign w:val="center"/>
          </w:tcPr>
          <w:p w14:paraId="6BA2796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47" w:type="pct"/>
            <w:tcBorders>
              <w:top w:val="nil"/>
              <w:left w:val="nil"/>
              <w:bottom w:val="single" w:sz="4" w:space="0" w:color="auto"/>
              <w:right w:val="single" w:sz="4" w:space="0" w:color="auto"/>
            </w:tcBorders>
            <w:noWrap/>
            <w:vAlign w:val="center"/>
          </w:tcPr>
          <w:p w14:paraId="531990A2" w14:textId="77777777" w:rsidR="00000000" w:rsidRDefault="00000000">
            <w:pPr>
              <w:jc w:val="center"/>
              <w:rPr>
                <w:rFonts w:ascii="Arial" w:hAnsi="Arial" w:cs="Arial"/>
                <w:snapToGrid w:val="0"/>
                <w:sz w:val="16"/>
              </w:rPr>
            </w:pPr>
            <w:r>
              <w:rPr>
                <w:rFonts w:ascii="Arial" w:hAnsi="Arial" w:cs="Arial"/>
                <w:snapToGrid w:val="0"/>
                <w:sz w:val="16"/>
              </w:rPr>
              <w:t xml:space="preserve">　</w:t>
            </w:r>
          </w:p>
        </w:tc>
        <w:tc>
          <w:tcPr>
            <w:tcW w:w="1779" w:type="pct"/>
            <w:tcBorders>
              <w:top w:val="nil"/>
              <w:left w:val="nil"/>
              <w:bottom w:val="single" w:sz="4" w:space="0" w:color="auto"/>
              <w:right w:val="single" w:sz="4" w:space="0" w:color="auto"/>
            </w:tcBorders>
            <w:vAlign w:val="center"/>
          </w:tcPr>
          <w:p w14:paraId="16CE821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1" w:type="pct"/>
            <w:tcBorders>
              <w:top w:val="nil"/>
              <w:left w:val="nil"/>
              <w:bottom w:val="single" w:sz="4" w:space="0" w:color="auto"/>
              <w:right w:val="single" w:sz="4" w:space="0" w:color="auto"/>
            </w:tcBorders>
            <w:noWrap/>
            <w:vAlign w:val="center"/>
          </w:tcPr>
          <w:p w14:paraId="0B60E9F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464" w:type="pct"/>
            <w:tcBorders>
              <w:top w:val="nil"/>
              <w:left w:val="nil"/>
              <w:bottom w:val="single" w:sz="4" w:space="0" w:color="auto"/>
              <w:right w:val="single" w:sz="8" w:space="0" w:color="auto"/>
            </w:tcBorders>
            <w:noWrap/>
            <w:vAlign w:val="center"/>
          </w:tcPr>
          <w:p w14:paraId="1FFCAB7C"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hint="eastAsia"/>
                <w:snapToGrid w:val="0"/>
                <w:sz w:val="16"/>
              </w:rPr>
              <w:t>2415.92</w:t>
            </w:r>
          </w:p>
        </w:tc>
      </w:tr>
      <w:tr w:rsidR="00000000" w14:paraId="22E82FDC"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5698B3C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2</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3B36E72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547" w:type="pct"/>
            <w:tcBorders>
              <w:top w:val="nil"/>
              <w:left w:val="nil"/>
              <w:bottom w:val="single" w:sz="4" w:space="0" w:color="auto"/>
              <w:right w:val="single" w:sz="4" w:space="0" w:color="auto"/>
            </w:tcBorders>
            <w:noWrap/>
            <w:vAlign w:val="center"/>
          </w:tcPr>
          <w:p w14:paraId="444EFD5D" w14:textId="77777777" w:rsidR="00000000" w:rsidRDefault="00000000">
            <w:pPr>
              <w:jc w:val="center"/>
              <w:rPr>
                <w:rFonts w:ascii="Arial" w:hAnsi="Arial" w:cs="Arial"/>
                <w:snapToGrid w:val="0"/>
                <w:sz w:val="16"/>
              </w:rPr>
            </w:pPr>
            <w:r>
              <w:rPr>
                <w:rFonts w:ascii="Arial" w:hAnsi="Arial" w:cs="Arial" w:hint="eastAsia"/>
                <w:snapToGrid w:val="0"/>
                <w:sz w:val="16"/>
              </w:rPr>
              <w:t>12.61</w:t>
            </w:r>
          </w:p>
        </w:tc>
        <w:tc>
          <w:tcPr>
            <w:tcW w:w="1779" w:type="pct"/>
            <w:tcBorders>
              <w:top w:val="nil"/>
              <w:left w:val="nil"/>
              <w:bottom w:val="single" w:sz="4" w:space="0" w:color="auto"/>
              <w:right w:val="single" w:sz="4" w:space="0" w:color="auto"/>
            </w:tcBorders>
            <w:vAlign w:val="center"/>
          </w:tcPr>
          <w:p w14:paraId="255AC11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w:t>
            </w:r>
            <w:r>
              <w:rPr>
                <w:rFonts w:ascii="Arial" w:hAnsi="Arial" w:cs="Arial"/>
                <w:snapToGrid w:val="0"/>
                <w:sz w:val="16"/>
              </w:rPr>
              <w:t>×</w:t>
            </w:r>
            <w:r>
              <w:rPr>
                <w:rFonts w:ascii="Arial" w:hAnsi="Arial" w:cs="Arial"/>
                <w:snapToGrid w:val="0"/>
                <w:sz w:val="16"/>
              </w:rPr>
              <w:t>维修费率</w:t>
            </w:r>
          </w:p>
        </w:tc>
        <w:tc>
          <w:tcPr>
            <w:tcW w:w="781" w:type="pct"/>
            <w:tcBorders>
              <w:top w:val="nil"/>
              <w:left w:val="nil"/>
              <w:bottom w:val="single" w:sz="4" w:space="0" w:color="auto"/>
              <w:right w:val="single" w:sz="4" w:space="0" w:color="auto"/>
            </w:tcBorders>
            <w:noWrap/>
            <w:vAlign w:val="center"/>
          </w:tcPr>
          <w:p w14:paraId="25AE3CD7"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2860C16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hint="eastAsia"/>
                <w:snapToGrid w:val="0"/>
                <w:sz w:val="16"/>
              </w:rPr>
              <w:t>0.50</w:t>
            </w:r>
            <w:r>
              <w:rPr>
                <w:rFonts w:ascii="Arial" w:hAnsi="Arial" w:cs="Arial"/>
                <w:snapToGrid w:val="0"/>
                <w:sz w:val="16"/>
              </w:rPr>
              <w:t>%</w:t>
            </w:r>
          </w:p>
        </w:tc>
      </w:tr>
      <w:tr w:rsidR="00000000" w14:paraId="431A88A6"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4080E18A"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3</w:t>
            </w:r>
            <w:r>
              <w:rPr>
                <w:rFonts w:ascii="Arial" w:hAnsi="Arial" w:cs="Arial"/>
                <w:snapToGrid w:val="0"/>
                <w:sz w:val="16"/>
              </w:rPr>
              <w:t>）</w:t>
            </w:r>
          </w:p>
        </w:tc>
        <w:tc>
          <w:tcPr>
            <w:tcW w:w="1105" w:type="pct"/>
            <w:tcBorders>
              <w:top w:val="nil"/>
              <w:left w:val="nil"/>
              <w:bottom w:val="single" w:sz="4" w:space="0" w:color="auto"/>
              <w:right w:val="single" w:sz="4" w:space="0" w:color="auto"/>
            </w:tcBorders>
            <w:noWrap/>
            <w:vAlign w:val="center"/>
          </w:tcPr>
          <w:p w14:paraId="2B59441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547" w:type="pct"/>
            <w:tcBorders>
              <w:top w:val="nil"/>
              <w:left w:val="nil"/>
              <w:bottom w:val="single" w:sz="4" w:space="0" w:color="auto"/>
              <w:right w:val="single" w:sz="4" w:space="0" w:color="auto"/>
            </w:tcBorders>
            <w:noWrap/>
            <w:vAlign w:val="center"/>
          </w:tcPr>
          <w:p w14:paraId="1A9557AF" w14:textId="77777777" w:rsidR="00000000" w:rsidRDefault="00000000">
            <w:pPr>
              <w:jc w:val="center"/>
              <w:rPr>
                <w:rFonts w:ascii="Arial" w:hAnsi="Arial" w:cs="Arial"/>
                <w:snapToGrid w:val="0"/>
                <w:sz w:val="16"/>
              </w:rPr>
            </w:pPr>
            <w:r>
              <w:rPr>
                <w:rFonts w:ascii="Arial" w:hAnsi="Arial" w:cs="Arial" w:hint="eastAsia"/>
                <w:snapToGrid w:val="0"/>
                <w:sz w:val="16"/>
              </w:rPr>
              <w:t>2.52</w:t>
            </w:r>
          </w:p>
        </w:tc>
        <w:tc>
          <w:tcPr>
            <w:tcW w:w="1779" w:type="pct"/>
            <w:tcBorders>
              <w:top w:val="nil"/>
              <w:left w:val="nil"/>
              <w:bottom w:val="single" w:sz="4" w:space="0" w:color="auto"/>
              <w:right w:val="single" w:sz="4" w:space="0" w:color="auto"/>
            </w:tcBorders>
            <w:vAlign w:val="center"/>
          </w:tcPr>
          <w:p w14:paraId="6E5192B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现值</w:t>
            </w:r>
            <w:r>
              <w:rPr>
                <w:rFonts w:ascii="Arial" w:hAnsi="Arial" w:cs="Arial"/>
                <w:snapToGrid w:val="0"/>
                <w:sz w:val="16"/>
              </w:rPr>
              <w:t>×</w:t>
            </w:r>
            <w:r>
              <w:rPr>
                <w:rFonts w:ascii="Arial" w:hAnsi="Arial" w:cs="Arial"/>
                <w:snapToGrid w:val="0"/>
                <w:sz w:val="16"/>
              </w:rPr>
              <w:t>保险费率</w:t>
            </w:r>
          </w:p>
        </w:tc>
        <w:tc>
          <w:tcPr>
            <w:tcW w:w="781" w:type="pct"/>
            <w:tcBorders>
              <w:top w:val="nil"/>
              <w:left w:val="nil"/>
              <w:bottom w:val="single" w:sz="4" w:space="0" w:color="auto"/>
              <w:right w:val="single" w:sz="4" w:space="0" w:color="auto"/>
            </w:tcBorders>
            <w:noWrap/>
            <w:vAlign w:val="center"/>
          </w:tcPr>
          <w:p w14:paraId="4A755A0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130BB48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0.</w:t>
            </w:r>
            <w:r>
              <w:rPr>
                <w:rFonts w:ascii="Arial" w:hAnsi="Arial" w:cs="Arial" w:hint="eastAsia"/>
                <w:snapToGrid w:val="0"/>
                <w:sz w:val="16"/>
              </w:rPr>
              <w:t>100</w:t>
            </w:r>
            <w:r>
              <w:rPr>
                <w:rFonts w:ascii="Arial" w:hAnsi="Arial" w:cs="Arial"/>
                <w:snapToGrid w:val="0"/>
                <w:sz w:val="16"/>
              </w:rPr>
              <w:t>%</w:t>
            </w:r>
          </w:p>
        </w:tc>
      </w:tr>
      <w:tr w:rsidR="00000000" w14:paraId="53239A54" w14:textId="77777777">
        <w:trPr>
          <w:trHeight w:val="360"/>
        </w:trPr>
        <w:tc>
          <w:tcPr>
            <w:tcW w:w="320" w:type="pct"/>
            <w:tcBorders>
              <w:top w:val="nil"/>
              <w:left w:val="single" w:sz="8" w:space="0" w:color="auto"/>
              <w:bottom w:val="double" w:sz="6" w:space="0" w:color="auto"/>
              <w:right w:val="single" w:sz="4" w:space="0" w:color="auto"/>
            </w:tcBorders>
            <w:noWrap/>
            <w:vAlign w:val="center"/>
          </w:tcPr>
          <w:p w14:paraId="6BF912B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w:t>
            </w:r>
            <w:r>
              <w:rPr>
                <w:rFonts w:ascii="Arial" w:hAnsi="Arial" w:cs="Arial"/>
                <w:snapToGrid w:val="0"/>
                <w:sz w:val="16"/>
              </w:rPr>
              <w:t>4</w:t>
            </w:r>
            <w:r>
              <w:rPr>
                <w:rFonts w:ascii="Arial" w:hAnsi="Arial" w:cs="Arial"/>
                <w:snapToGrid w:val="0"/>
                <w:sz w:val="16"/>
              </w:rPr>
              <w:t>）</w:t>
            </w:r>
          </w:p>
        </w:tc>
        <w:tc>
          <w:tcPr>
            <w:tcW w:w="1105" w:type="pct"/>
            <w:tcBorders>
              <w:top w:val="nil"/>
              <w:left w:val="nil"/>
              <w:bottom w:val="double" w:sz="6" w:space="0" w:color="auto"/>
              <w:right w:val="single" w:sz="4" w:space="0" w:color="auto"/>
            </w:tcBorders>
            <w:noWrap/>
            <w:vAlign w:val="center"/>
          </w:tcPr>
          <w:p w14:paraId="4D4F91C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47" w:type="pct"/>
            <w:tcBorders>
              <w:top w:val="nil"/>
              <w:left w:val="nil"/>
              <w:bottom w:val="double" w:sz="6" w:space="0" w:color="auto"/>
              <w:right w:val="single" w:sz="4" w:space="0" w:color="auto"/>
            </w:tcBorders>
            <w:noWrap/>
            <w:vAlign w:val="center"/>
          </w:tcPr>
          <w:p w14:paraId="00977774" w14:textId="77777777" w:rsidR="00000000" w:rsidRDefault="00000000">
            <w:pPr>
              <w:jc w:val="center"/>
              <w:rPr>
                <w:rFonts w:ascii="Arial" w:hAnsi="Arial" w:cs="Arial"/>
                <w:snapToGrid w:val="0"/>
                <w:sz w:val="16"/>
              </w:rPr>
            </w:pPr>
            <w:r>
              <w:rPr>
                <w:rFonts w:ascii="Arial" w:hAnsi="Arial" w:cs="Arial" w:hint="eastAsia"/>
                <w:snapToGrid w:val="0"/>
                <w:sz w:val="16"/>
              </w:rPr>
              <w:t>0.38</w:t>
            </w:r>
          </w:p>
        </w:tc>
        <w:tc>
          <w:tcPr>
            <w:tcW w:w="1779" w:type="pct"/>
            <w:tcBorders>
              <w:top w:val="nil"/>
              <w:left w:val="nil"/>
              <w:bottom w:val="double" w:sz="6" w:space="0" w:color="auto"/>
              <w:right w:val="single" w:sz="4" w:space="0" w:color="auto"/>
            </w:tcBorders>
            <w:vAlign w:val="center"/>
          </w:tcPr>
          <w:p w14:paraId="4DCE448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费率</w:t>
            </w:r>
          </w:p>
        </w:tc>
        <w:tc>
          <w:tcPr>
            <w:tcW w:w="781" w:type="pct"/>
            <w:tcBorders>
              <w:top w:val="nil"/>
              <w:left w:val="nil"/>
              <w:bottom w:val="double" w:sz="6" w:space="0" w:color="auto"/>
              <w:right w:val="single" w:sz="4" w:space="0" w:color="auto"/>
            </w:tcBorders>
            <w:noWrap/>
            <w:vAlign w:val="center"/>
          </w:tcPr>
          <w:p w14:paraId="7D28C3E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费率（</w:t>
            </w:r>
            <w:r>
              <w:rPr>
                <w:rFonts w:ascii="Arial" w:hAnsi="Arial" w:cs="Arial"/>
                <w:snapToGrid w:val="0"/>
                <w:sz w:val="16"/>
              </w:rPr>
              <w:t>%</w:t>
            </w:r>
            <w:r>
              <w:rPr>
                <w:rFonts w:ascii="Arial" w:hAnsi="Arial" w:cs="Arial"/>
                <w:snapToGrid w:val="0"/>
                <w:sz w:val="16"/>
              </w:rPr>
              <w:t>）</w:t>
            </w:r>
          </w:p>
        </w:tc>
        <w:tc>
          <w:tcPr>
            <w:tcW w:w="464" w:type="pct"/>
            <w:tcBorders>
              <w:top w:val="nil"/>
              <w:left w:val="nil"/>
              <w:bottom w:val="double" w:sz="6" w:space="0" w:color="auto"/>
              <w:right w:val="single" w:sz="8" w:space="0" w:color="auto"/>
            </w:tcBorders>
            <w:noWrap/>
            <w:vAlign w:val="center"/>
          </w:tcPr>
          <w:p w14:paraId="1FEFF20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hint="eastAsia"/>
                <w:snapToGrid w:val="0"/>
                <w:sz w:val="16"/>
              </w:rPr>
              <w:t>0.50</w:t>
            </w:r>
            <w:r>
              <w:rPr>
                <w:rFonts w:ascii="Arial" w:hAnsi="Arial" w:cs="Arial"/>
                <w:snapToGrid w:val="0"/>
                <w:sz w:val="16"/>
              </w:rPr>
              <w:t>%</w:t>
            </w:r>
          </w:p>
        </w:tc>
      </w:tr>
      <w:tr w:rsidR="00000000" w14:paraId="1FE25FA5" w14:textId="77777777">
        <w:trPr>
          <w:trHeight w:val="492"/>
        </w:trPr>
        <w:tc>
          <w:tcPr>
            <w:tcW w:w="320" w:type="pct"/>
            <w:tcBorders>
              <w:top w:val="nil"/>
              <w:left w:val="single" w:sz="8" w:space="0" w:color="auto"/>
              <w:bottom w:val="single" w:sz="4" w:space="0" w:color="auto"/>
              <w:right w:val="single" w:sz="4" w:space="0" w:color="auto"/>
            </w:tcBorders>
            <w:noWrap/>
            <w:vAlign w:val="center"/>
          </w:tcPr>
          <w:p w14:paraId="17E4686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105" w:type="pct"/>
            <w:tcBorders>
              <w:top w:val="nil"/>
              <w:left w:val="nil"/>
              <w:bottom w:val="single" w:sz="4" w:space="0" w:color="auto"/>
              <w:right w:val="single" w:sz="4" w:space="0" w:color="auto"/>
            </w:tcBorders>
            <w:vAlign w:val="center"/>
          </w:tcPr>
          <w:p w14:paraId="3086E44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547" w:type="pct"/>
            <w:tcBorders>
              <w:top w:val="nil"/>
              <w:left w:val="nil"/>
              <w:bottom w:val="single" w:sz="4" w:space="0" w:color="auto"/>
              <w:right w:val="single" w:sz="4" w:space="0" w:color="auto"/>
            </w:tcBorders>
            <w:noWrap/>
            <w:vAlign w:val="center"/>
          </w:tcPr>
          <w:p w14:paraId="41EF7678" w14:textId="77777777" w:rsidR="00000000" w:rsidRDefault="00000000">
            <w:pPr>
              <w:jc w:val="center"/>
              <w:rPr>
                <w:rFonts w:ascii="Arial" w:hAnsi="Arial" w:cs="Arial"/>
                <w:snapToGrid w:val="0"/>
                <w:sz w:val="16"/>
              </w:rPr>
            </w:pPr>
            <w:r>
              <w:rPr>
                <w:rFonts w:ascii="Arial" w:hAnsi="Arial" w:cs="Arial" w:hint="eastAsia"/>
                <w:snapToGrid w:val="0"/>
                <w:sz w:val="16"/>
              </w:rPr>
              <w:t>47</w:t>
            </w:r>
          </w:p>
        </w:tc>
        <w:tc>
          <w:tcPr>
            <w:tcW w:w="1779" w:type="pct"/>
            <w:tcBorders>
              <w:top w:val="nil"/>
              <w:left w:val="nil"/>
              <w:bottom w:val="single" w:sz="4" w:space="0" w:color="auto"/>
              <w:right w:val="nil"/>
            </w:tcBorders>
            <w:vAlign w:val="center"/>
          </w:tcPr>
          <w:p w14:paraId="1AA09FC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年总收益</w:t>
            </w:r>
            <w:r>
              <w:rPr>
                <w:rFonts w:ascii="Arial" w:hAnsi="Arial" w:cs="Arial"/>
                <w:snapToGrid w:val="0"/>
                <w:sz w:val="16"/>
              </w:rPr>
              <w:t>-</w:t>
            </w:r>
            <w:r>
              <w:rPr>
                <w:rFonts w:ascii="Arial" w:hAnsi="Arial" w:cs="Arial"/>
                <w:snapToGrid w:val="0"/>
                <w:sz w:val="16"/>
              </w:rPr>
              <w:t>年经营费用</w:t>
            </w:r>
          </w:p>
        </w:tc>
        <w:tc>
          <w:tcPr>
            <w:tcW w:w="781" w:type="pct"/>
            <w:tcBorders>
              <w:top w:val="nil"/>
              <w:left w:val="nil"/>
              <w:bottom w:val="single" w:sz="4" w:space="0" w:color="auto"/>
              <w:right w:val="nil"/>
            </w:tcBorders>
            <w:vAlign w:val="center"/>
          </w:tcPr>
          <w:p w14:paraId="1F1F5CE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464" w:type="pct"/>
            <w:tcBorders>
              <w:top w:val="nil"/>
              <w:left w:val="nil"/>
              <w:bottom w:val="single" w:sz="4" w:space="0" w:color="auto"/>
              <w:right w:val="single" w:sz="8" w:space="0" w:color="auto"/>
            </w:tcBorders>
            <w:vAlign w:val="center"/>
          </w:tcPr>
          <w:p w14:paraId="113B02AD"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r>
      <w:tr w:rsidR="00000000" w14:paraId="173A28C2" w14:textId="77777777">
        <w:trPr>
          <w:trHeight w:val="360"/>
        </w:trPr>
        <w:tc>
          <w:tcPr>
            <w:tcW w:w="320" w:type="pct"/>
            <w:tcBorders>
              <w:top w:val="nil"/>
              <w:left w:val="single" w:sz="8" w:space="0" w:color="auto"/>
              <w:bottom w:val="nil"/>
              <w:right w:val="single" w:sz="4" w:space="0" w:color="auto"/>
            </w:tcBorders>
            <w:noWrap/>
            <w:vAlign w:val="center"/>
          </w:tcPr>
          <w:p w14:paraId="4A7C0AA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105" w:type="pct"/>
            <w:tcBorders>
              <w:top w:val="nil"/>
              <w:left w:val="nil"/>
              <w:bottom w:val="nil"/>
              <w:right w:val="single" w:sz="4" w:space="0" w:color="auto"/>
            </w:tcBorders>
            <w:vAlign w:val="center"/>
          </w:tcPr>
          <w:p w14:paraId="13B11D4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547" w:type="pct"/>
            <w:tcBorders>
              <w:top w:val="nil"/>
              <w:left w:val="nil"/>
              <w:bottom w:val="nil"/>
              <w:right w:val="single" w:sz="4" w:space="0" w:color="auto"/>
            </w:tcBorders>
            <w:noWrap/>
            <w:vAlign w:val="center"/>
          </w:tcPr>
          <w:p w14:paraId="0CBD159F" w14:textId="77777777" w:rsidR="00000000" w:rsidRDefault="00000000">
            <w:pPr>
              <w:jc w:val="center"/>
              <w:rPr>
                <w:rFonts w:ascii="Arial" w:hAnsi="Arial" w:cs="Arial"/>
                <w:snapToGrid w:val="0"/>
                <w:sz w:val="16"/>
              </w:rPr>
            </w:pPr>
            <w:r>
              <w:rPr>
                <w:rFonts w:ascii="Arial" w:hAnsi="Arial" w:cs="Arial" w:hint="eastAsia"/>
                <w:snapToGrid w:val="0"/>
                <w:sz w:val="16"/>
              </w:rPr>
              <w:t>928</w:t>
            </w:r>
          </w:p>
        </w:tc>
        <w:tc>
          <w:tcPr>
            <w:tcW w:w="1779" w:type="pct"/>
            <w:tcBorders>
              <w:top w:val="nil"/>
              <w:left w:val="nil"/>
              <w:bottom w:val="nil"/>
              <w:right w:val="single" w:sz="4" w:space="0" w:color="auto"/>
            </w:tcBorders>
            <w:vAlign w:val="center"/>
          </w:tcPr>
          <w:p w14:paraId="4CF32CA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r>
              <w:rPr>
                <w:rFonts w:ascii="Arial" w:hAnsi="Arial" w:cs="Arial"/>
                <w:snapToGrid w:val="0"/>
                <w:sz w:val="16"/>
              </w:rPr>
              <w:t>×</w:t>
            </w:r>
          </w:p>
        </w:tc>
        <w:tc>
          <w:tcPr>
            <w:tcW w:w="781" w:type="pct"/>
            <w:tcBorders>
              <w:top w:val="nil"/>
              <w:left w:val="nil"/>
              <w:bottom w:val="single" w:sz="4" w:space="0" w:color="auto"/>
              <w:right w:val="single" w:sz="4" w:space="0" w:color="auto"/>
            </w:tcBorders>
            <w:noWrap/>
            <w:vAlign w:val="center"/>
          </w:tcPr>
          <w:p w14:paraId="2805163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还原率（</w:t>
            </w:r>
            <w:r>
              <w:rPr>
                <w:rFonts w:ascii="Arial" w:hAnsi="Arial" w:cs="Arial"/>
                <w:snapToGrid w:val="0"/>
                <w:sz w:val="16"/>
              </w:rPr>
              <w:t>Y</w:t>
            </w:r>
            <w:r>
              <w:rPr>
                <w:rFonts w:ascii="Arial" w:hAnsi="Arial" w:cs="Arial"/>
                <w:snapToGrid w:val="0"/>
                <w:sz w:val="16"/>
              </w:rPr>
              <w:t>）</w:t>
            </w:r>
          </w:p>
        </w:tc>
        <w:tc>
          <w:tcPr>
            <w:tcW w:w="464" w:type="pct"/>
            <w:tcBorders>
              <w:top w:val="nil"/>
              <w:left w:val="nil"/>
              <w:bottom w:val="single" w:sz="4" w:space="0" w:color="auto"/>
              <w:right w:val="single" w:sz="8" w:space="0" w:color="auto"/>
            </w:tcBorders>
            <w:noWrap/>
            <w:vAlign w:val="center"/>
          </w:tcPr>
          <w:p w14:paraId="66319551"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hint="eastAsia"/>
                <w:snapToGrid w:val="0"/>
                <w:sz w:val="16"/>
              </w:rPr>
              <w:t>5.0</w:t>
            </w:r>
            <w:r>
              <w:rPr>
                <w:rFonts w:ascii="Arial" w:hAnsi="Arial" w:cs="Arial"/>
                <w:snapToGrid w:val="0"/>
                <w:sz w:val="16"/>
              </w:rPr>
              <w:t>%</w:t>
            </w:r>
          </w:p>
        </w:tc>
      </w:tr>
      <w:tr w:rsidR="00000000" w14:paraId="439E364B" w14:textId="77777777">
        <w:trPr>
          <w:trHeight w:val="360"/>
        </w:trPr>
        <w:tc>
          <w:tcPr>
            <w:tcW w:w="320" w:type="pct"/>
            <w:tcBorders>
              <w:top w:val="nil"/>
              <w:left w:val="single" w:sz="8" w:space="0" w:color="auto"/>
              <w:bottom w:val="nil"/>
              <w:right w:val="single" w:sz="4" w:space="0" w:color="auto"/>
            </w:tcBorders>
            <w:noWrap/>
            <w:vAlign w:val="center"/>
          </w:tcPr>
          <w:p w14:paraId="2D3A564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105" w:type="pct"/>
            <w:tcBorders>
              <w:top w:val="nil"/>
              <w:left w:val="nil"/>
              <w:bottom w:val="nil"/>
              <w:right w:val="single" w:sz="4" w:space="0" w:color="auto"/>
            </w:tcBorders>
            <w:vAlign w:val="center"/>
          </w:tcPr>
          <w:p w14:paraId="320C6CF5"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47" w:type="pct"/>
            <w:tcBorders>
              <w:top w:val="nil"/>
              <w:left w:val="nil"/>
              <w:bottom w:val="nil"/>
              <w:right w:val="single" w:sz="4" w:space="0" w:color="auto"/>
            </w:tcBorders>
            <w:noWrap/>
            <w:vAlign w:val="center"/>
          </w:tcPr>
          <w:p w14:paraId="21BCCF51" w14:textId="77777777" w:rsidR="00000000" w:rsidRDefault="00000000">
            <w:pPr>
              <w:jc w:val="center"/>
              <w:rPr>
                <w:rFonts w:ascii="Arial" w:hAnsi="Arial" w:cs="Arial"/>
                <w:snapToGrid w:val="0"/>
                <w:sz w:val="16"/>
              </w:rPr>
            </w:pPr>
            <w:r>
              <w:rPr>
                <w:rFonts w:ascii="Arial" w:hAnsi="Arial" w:cs="Arial"/>
                <w:snapToGrid w:val="0"/>
                <w:sz w:val="16"/>
              </w:rPr>
              <w:t xml:space="preserve">　</w:t>
            </w:r>
          </w:p>
        </w:tc>
        <w:tc>
          <w:tcPr>
            <w:tcW w:w="1779" w:type="pct"/>
            <w:tcBorders>
              <w:top w:val="nil"/>
              <w:left w:val="nil"/>
              <w:bottom w:val="nil"/>
              <w:right w:val="single" w:sz="4" w:space="0" w:color="auto"/>
            </w:tcBorders>
            <w:vAlign w:val="center"/>
          </w:tcPr>
          <w:p w14:paraId="636A27D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w:t>
            </w:r>
            <w:r>
              <w:rPr>
                <w:rFonts w:ascii="Arial" w:hAnsi="Arial" w:cs="Arial"/>
                <w:snapToGrid w:val="0"/>
                <w:sz w:val="16"/>
              </w:rPr>
              <w:t>（</w:t>
            </w:r>
            <w:r>
              <w:rPr>
                <w:rFonts w:ascii="Arial" w:hAnsi="Arial" w:cs="Arial"/>
                <w:snapToGrid w:val="0"/>
                <w:sz w:val="16"/>
              </w:rPr>
              <w:t>(1+g)/(1+Y)</w:t>
            </w:r>
            <w:r>
              <w:rPr>
                <w:rFonts w:ascii="Arial" w:hAnsi="Arial" w:cs="Arial"/>
                <w:snapToGrid w:val="0"/>
                <w:sz w:val="16"/>
              </w:rPr>
              <w:t>）</w:t>
            </w:r>
            <w:r>
              <w:rPr>
                <w:rFonts w:ascii="Arial" w:hAnsi="Arial" w:cs="Arial"/>
                <w:snapToGrid w:val="0"/>
                <w:sz w:val="16"/>
              </w:rPr>
              <w:t xml:space="preserve"> ^n ]/(Y-g)</w:t>
            </w:r>
          </w:p>
        </w:tc>
        <w:tc>
          <w:tcPr>
            <w:tcW w:w="781" w:type="pct"/>
            <w:tcBorders>
              <w:top w:val="nil"/>
              <w:left w:val="nil"/>
              <w:bottom w:val="single" w:sz="4" w:space="0" w:color="auto"/>
              <w:right w:val="single" w:sz="4" w:space="0" w:color="auto"/>
            </w:tcBorders>
            <w:noWrap/>
            <w:vAlign w:val="center"/>
          </w:tcPr>
          <w:p w14:paraId="7A8880DB"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收益年期</w:t>
            </w:r>
            <w:r>
              <w:rPr>
                <w:rFonts w:ascii="Arial" w:hAnsi="Arial" w:cs="Arial"/>
                <w:snapToGrid w:val="0"/>
                <w:sz w:val="16"/>
              </w:rPr>
              <w:t>(n)</w:t>
            </w:r>
          </w:p>
        </w:tc>
        <w:tc>
          <w:tcPr>
            <w:tcW w:w="464" w:type="pct"/>
            <w:tcBorders>
              <w:top w:val="nil"/>
              <w:left w:val="nil"/>
              <w:bottom w:val="single" w:sz="4" w:space="0" w:color="auto"/>
              <w:right w:val="single" w:sz="8" w:space="0" w:color="auto"/>
            </w:tcBorders>
            <w:noWrap/>
            <w:vAlign w:val="center"/>
          </w:tcPr>
          <w:p w14:paraId="61C4528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50.00 </w:t>
            </w:r>
          </w:p>
        </w:tc>
      </w:tr>
      <w:tr w:rsidR="00000000" w14:paraId="57FA5EF6" w14:textId="77777777">
        <w:trPr>
          <w:trHeight w:val="360"/>
        </w:trPr>
        <w:tc>
          <w:tcPr>
            <w:tcW w:w="320" w:type="pct"/>
            <w:tcBorders>
              <w:top w:val="nil"/>
              <w:left w:val="single" w:sz="8" w:space="0" w:color="auto"/>
              <w:bottom w:val="single" w:sz="4" w:space="0" w:color="auto"/>
              <w:right w:val="single" w:sz="4" w:space="0" w:color="auto"/>
            </w:tcBorders>
            <w:noWrap/>
            <w:vAlign w:val="center"/>
          </w:tcPr>
          <w:p w14:paraId="2795B8C2"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1105" w:type="pct"/>
            <w:tcBorders>
              <w:top w:val="nil"/>
              <w:left w:val="nil"/>
              <w:bottom w:val="single" w:sz="4" w:space="0" w:color="auto"/>
              <w:right w:val="single" w:sz="4" w:space="0" w:color="auto"/>
            </w:tcBorders>
            <w:vAlign w:val="center"/>
          </w:tcPr>
          <w:p w14:paraId="35DDB854"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547" w:type="pct"/>
            <w:tcBorders>
              <w:top w:val="nil"/>
              <w:left w:val="nil"/>
              <w:bottom w:val="single" w:sz="4" w:space="0" w:color="auto"/>
              <w:right w:val="single" w:sz="4" w:space="0" w:color="auto"/>
            </w:tcBorders>
            <w:noWrap/>
            <w:vAlign w:val="center"/>
          </w:tcPr>
          <w:p w14:paraId="15F53DCB" w14:textId="77777777" w:rsidR="00000000" w:rsidRDefault="00000000">
            <w:pPr>
              <w:jc w:val="center"/>
              <w:rPr>
                <w:rFonts w:ascii="Arial" w:hAnsi="Arial" w:cs="Arial"/>
                <w:snapToGrid w:val="0"/>
                <w:sz w:val="16"/>
              </w:rPr>
            </w:pPr>
            <w:r>
              <w:rPr>
                <w:rFonts w:ascii="Arial" w:hAnsi="Arial" w:cs="Arial"/>
                <w:snapToGrid w:val="0"/>
                <w:sz w:val="16"/>
              </w:rPr>
              <w:t xml:space="preserve">　</w:t>
            </w:r>
          </w:p>
        </w:tc>
        <w:tc>
          <w:tcPr>
            <w:tcW w:w="1779" w:type="pct"/>
            <w:tcBorders>
              <w:top w:val="nil"/>
              <w:left w:val="nil"/>
              <w:bottom w:val="single" w:sz="4" w:space="0" w:color="auto"/>
              <w:right w:val="single" w:sz="4" w:space="0" w:color="auto"/>
            </w:tcBorders>
            <w:vAlign w:val="center"/>
          </w:tcPr>
          <w:p w14:paraId="7C504EF6"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 xml:space="preserve">　</w:t>
            </w:r>
          </w:p>
        </w:tc>
        <w:tc>
          <w:tcPr>
            <w:tcW w:w="781" w:type="pct"/>
            <w:tcBorders>
              <w:top w:val="nil"/>
              <w:left w:val="nil"/>
              <w:bottom w:val="single" w:sz="4" w:space="0" w:color="auto"/>
              <w:right w:val="single" w:sz="4" w:space="0" w:color="auto"/>
            </w:tcBorders>
            <w:noWrap/>
            <w:vAlign w:val="center"/>
          </w:tcPr>
          <w:p w14:paraId="2FF238BE"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年增长比率</w:t>
            </w:r>
            <w:r>
              <w:rPr>
                <w:rFonts w:ascii="Arial" w:hAnsi="Arial" w:cs="Arial"/>
                <w:snapToGrid w:val="0"/>
                <w:sz w:val="16"/>
              </w:rPr>
              <w:t>(g)</w:t>
            </w:r>
          </w:p>
        </w:tc>
        <w:tc>
          <w:tcPr>
            <w:tcW w:w="464" w:type="pct"/>
            <w:tcBorders>
              <w:top w:val="nil"/>
              <w:left w:val="nil"/>
              <w:bottom w:val="single" w:sz="4" w:space="0" w:color="auto"/>
              <w:right w:val="single" w:sz="8" w:space="0" w:color="auto"/>
            </w:tcBorders>
            <w:noWrap/>
            <w:vAlign w:val="center"/>
          </w:tcPr>
          <w:p w14:paraId="7A7790C9"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1.0%</w:t>
            </w:r>
          </w:p>
        </w:tc>
      </w:tr>
      <w:tr w:rsidR="00000000" w14:paraId="707A205A" w14:textId="77777777">
        <w:trPr>
          <w:trHeight w:val="360"/>
        </w:trPr>
        <w:tc>
          <w:tcPr>
            <w:tcW w:w="320" w:type="pct"/>
            <w:tcBorders>
              <w:top w:val="nil"/>
              <w:left w:val="single" w:sz="8" w:space="0" w:color="auto"/>
              <w:bottom w:val="single" w:sz="8" w:space="0" w:color="auto"/>
              <w:right w:val="single" w:sz="4" w:space="0" w:color="auto"/>
            </w:tcBorders>
            <w:noWrap/>
            <w:vAlign w:val="center"/>
          </w:tcPr>
          <w:p w14:paraId="3B19EB9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105" w:type="pct"/>
            <w:tcBorders>
              <w:top w:val="nil"/>
              <w:left w:val="nil"/>
              <w:bottom w:val="single" w:sz="8" w:space="0" w:color="auto"/>
              <w:right w:val="single" w:sz="4" w:space="0" w:color="auto"/>
            </w:tcBorders>
            <w:noWrap/>
            <w:vAlign w:val="center"/>
          </w:tcPr>
          <w:p w14:paraId="6C6FF318"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单价</w:t>
            </w:r>
            <w:r>
              <w:rPr>
                <w:rFonts w:ascii="Arial" w:hAnsi="Arial" w:cs="Arial"/>
                <w:snapToGrid w:val="0"/>
                <w:sz w:val="16"/>
              </w:rPr>
              <w:t>(</w:t>
            </w:r>
            <w:r>
              <w:rPr>
                <w:rFonts w:ascii="Arial" w:hAnsi="Arial" w:cs="Arial"/>
                <w:snapToGrid w:val="0"/>
                <w:sz w:val="16"/>
              </w:rPr>
              <w:t>元</w:t>
            </w:r>
            <w:r>
              <w:rPr>
                <w:rFonts w:ascii="Arial" w:hAnsi="Arial" w:cs="Arial"/>
                <w:snapToGrid w:val="0"/>
                <w:sz w:val="16"/>
              </w:rPr>
              <w:t>/</w:t>
            </w:r>
            <w:r>
              <w:rPr>
                <w:rFonts w:ascii="Arial" w:hAnsi="Arial" w:cs="Arial"/>
                <w:snapToGrid w:val="0"/>
                <w:sz w:val="16"/>
              </w:rPr>
              <w:t>平方米</w:t>
            </w:r>
            <w:r>
              <w:rPr>
                <w:rFonts w:ascii="Arial" w:hAnsi="Arial" w:cs="Arial"/>
                <w:snapToGrid w:val="0"/>
                <w:sz w:val="16"/>
              </w:rPr>
              <w:t>)</w:t>
            </w:r>
          </w:p>
        </w:tc>
        <w:tc>
          <w:tcPr>
            <w:tcW w:w="547" w:type="pct"/>
            <w:tcBorders>
              <w:top w:val="nil"/>
              <w:left w:val="nil"/>
              <w:bottom w:val="single" w:sz="8" w:space="0" w:color="auto"/>
              <w:right w:val="single" w:sz="4" w:space="0" w:color="auto"/>
            </w:tcBorders>
            <w:noWrap/>
            <w:vAlign w:val="center"/>
          </w:tcPr>
          <w:p w14:paraId="1DCDC77F" w14:textId="77777777" w:rsidR="00000000" w:rsidRDefault="00000000">
            <w:pPr>
              <w:jc w:val="center"/>
              <w:rPr>
                <w:rFonts w:ascii="Arial" w:hAnsi="Arial" w:cs="Arial"/>
                <w:snapToGrid w:val="0"/>
                <w:sz w:val="16"/>
              </w:rPr>
            </w:pPr>
            <w:r>
              <w:rPr>
                <w:rFonts w:ascii="Arial" w:hAnsi="Arial" w:cs="Arial" w:hint="eastAsia"/>
                <w:snapToGrid w:val="0"/>
                <w:sz w:val="16"/>
              </w:rPr>
              <w:t>1670</w:t>
            </w:r>
          </w:p>
        </w:tc>
        <w:tc>
          <w:tcPr>
            <w:tcW w:w="1779" w:type="pct"/>
            <w:tcBorders>
              <w:top w:val="nil"/>
              <w:left w:val="nil"/>
              <w:bottom w:val="single" w:sz="8" w:space="0" w:color="auto"/>
              <w:right w:val="single" w:sz="4" w:space="0" w:color="auto"/>
            </w:tcBorders>
            <w:noWrap/>
            <w:vAlign w:val="center"/>
          </w:tcPr>
          <w:p w14:paraId="7A6B1CA3"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收益价值</w:t>
            </w:r>
            <w:r>
              <w:rPr>
                <w:rFonts w:ascii="Arial" w:hAnsi="Arial" w:cs="Arial"/>
                <w:snapToGrid w:val="0"/>
                <w:sz w:val="16"/>
              </w:rPr>
              <w:t>÷</w:t>
            </w:r>
            <w:r>
              <w:rPr>
                <w:rFonts w:ascii="Arial" w:hAnsi="Arial" w:cs="Arial"/>
                <w:snapToGrid w:val="0"/>
                <w:sz w:val="16"/>
              </w:rPr>
              <w:t>建筑面积</w:t>
            </w:r>
          </w:p>
        </w:tc>
        <w:tc>
          <w:tcPr>
            <w:tcW w:w="781" w:type="pct"/>
            <w:tcBorders>
              <w:top w:val="nil"/>
              <w:left w:val="nil"/>
              <w:bottom w:val="single" w:sz="8" w:space="0" w:color="auto"/>
              <w:right w:val="single" w:sz="4" w:space="0" w:color="auto"/>
            </w:tcBorders>
            <w:noWrap/>
            <w:vAlign w:val="center"/>
          </w:tcPr>
          <w:p w14:paraId="7A36A0AF"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464" w:type="pct"/>
            <w:tcBorders>
              <w:top w:val="nil"/>
              <w:left w:val="nil"/>
              <w:bottom w:val="single" w:sz="8" w:space="0" w:color="auto"/>
              <w:right w:val="single" w:sz="8" w:space="0" w:color="auto"/>
            </w:tcBorders>
            <w:noWrap/>
            <w:vAlign w:val="center"/>
          </w:tcPr>
          <w:p w14:paraId="1CBF4300" w14:textId="77777777" w:rsidR="00000000" w:rsidRDefault="00000000">
            <w:pPr>
              <w:widowControl/>
              <w:adjustRightInd/>
              <w:spacing w:line="240" w:lineRule="auto"/>
              <w:textAlignment w:val="auto"/>
              <w:rPr>
                <w:rFonts w:ascii="Arial" w:hAnsi="Arial" w:cs="Arial"/>
                <w:snapToGrid w:val="0"/>
                <w:sz w:val="16"/>
              </w:rPr>
            </w:pPr>
            <w:r>
              <w:rPr>
                <w:rFonts w:ascii="Arial" w:hAnsi="Arial" w:cs="Arial" w:hint="eastAsia"/>
                <w:snapToGrid w:val="0"/>
                <w:sz w:val="16"/>
              </w:rPr>
              <w:t>5556</w:t>
            </w:r>
          </w:p>
        </w:tc>
      </w:tr>
    </w:tbl>
    <w:p w14:paraId="1838163B" w14:textId="77777777" w:rsidR="00000000" w:rsidRDefault="00000000">
      <w:pPr>
        <w:pStyle w:val="af5"/>
        <w:ind w:firstLine="560"/>
        <w:jc w:val="both"/>
        <w:rPr>
          <w:rFonts w:ascii="Arial" w:hAnsi="Arial" w:cs="Arial"/>
          <w:sz w:val="28"/>
          <w:szCs w:val="20"/>
        </w:rPr>
      </w:pPr>
    </w:p>
    <w:p w14:paraId="3AB9A0E3" w14:textId="77777777" w:rsidR="00000000" w:rsidRDefault="00000000">
      <w:pPr>
        <w:spacing w:line="360" w:lineRule="auto"/>
        <w:ind w:firstLineChars="200" w:firstLine="560"/>
        <w:jc w:val="both"/>
        <w:rPr>
          <w:rFonts w:ascii="Arial" w:hAnsi="Arial" w:cs="Arial"/>
          <w:bCs/>
          <w:sz w:val="28"/>
        </w:rPr>
      </w:pPr>
      <w:r>
        <w:rPr>
          <w:rFonts w:ascii="Arial" w:hAnsi="Arial" w:cs="Arial"/>
          <w:sz w:val="28"/>
        </w:rPr>
        <w:t>4</w:t>
      </w:r>
      <w:r>
        <w:rPr>
          <w:rFonts w:ascii="Arial" w:hAnsi="Arial" w:cs="Arial"/>
          <w:sz w:val="28"/>
        </w:rPr>
        <w:t>）开发完成后不动产总价</w:t>
      </w:r>
    </w:p>
    <w:p w14:paraId="7E5DFAEE"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咨询</w:t>
      </w:r>
      <w:r>
        <w:rPr>
          <w:rFonts w:ascii="Arial" w:hAnsi="Arial" w:cs="Arial"/>
          <w:sz w:val="28"/>
        </w:rPr>
        <w:t>对象开发完成后不动产总价为前述各用途用房开发完成后的不动产总价之和。则有：</w:t>
      </w:r>
    </w:p>
    <w:p w14:paraId="76706DD3" w14:textId="77777777" w:rsidR="00000000" w:rsidRDefault="00000000">
      <w:pPr>
        <w:spacing w:line="360" w:lineRule="auto"/>
        <w:ind w:firstLineChars="200" w:firstLine="560"/>
        <w:jc w:val="both"/>
        <w:rPr>
          <w:rFonts w:ascii="Arial" w:hAnsi="Arial" w:cs="Arial"/>
          <w:sz w:val="28"/>
        </w:rPr>
      </w:pPr>
      <w:r>
        <w:rPr>
          <w:rFonts w:ascii="Arial" w:hAnsi="Arial" w:cs="Arial"/>
          <w:sz w:val="28"/>
        </w:rPr>
        <w:t>开发完成后不动产总价＝</w:t>
      </w:r>
      <w:r>
        <w:rPr>
          <w:rFonts w:ascii="Arial" w:hAnsi="Arial" w:cs="Arial" w:hint="eastAsia"/>
          <w:sz w:val="28"/>
        </w:rPr>
        <w:t>22914</w:t>
      </w:r>
      <w:r>
        <w:rPr>
          <w:rFonts w:ascii="Arial" w:hAnsi="Arial" w:cs="Arial"/>
          <w:sz w:val="28"/>
        </w:rPr>
        <w:t>+</w:t>
      </w:r>
      <w:r>
        <w:rPr>
          <w:rFonts w:ascii="Arial" w:hAnsi="Arial" w:cs="Arial" w:hint="eastAsia"/>
          <w:sz w:val="28"/>
        </w:rPr>
        <w:t>684</w:t>
      </w:r>
      <w:r>
        <w:rPr>
          <w:rFonts w:ascii="Arial" w:hAnsi="Arial" w:cs="Arial"/>
          <w:sz w:val="28"/>
        </w:rPr>
        <w:t>+</w:t>
      </w:r>
      <w:r>
        <w:rPr>
          <w:rFonts w:ascii="Arial" w:hAnsi="Arial" w:cs="Arial" w:hint="eastAsia"/>
          <w:sz w:val="28"/>
        </w:rPr>
        <w:t>928</w:t>
      </w:r>
      <w:r>
        <w:rPr>
          <w:rFonts w:ascii="Arial" w:hAnsi="Arial" w:cs="Arial"/>
          <w:sz w:val="28"/>
        </w:rPr>
        <w:t>＝</w:t>
      </w:r>
      <w:r>
        <w:rPr>
          <w:rFonts w:ascii="Arial" w:hAnsi="Arial" w:cs="Arial" w:hint="eastAsia"/>
          <w:sz w:val="28"/>
        </w:rPr>
        <w:t>24526</w:t>
      </w:r>
      <w:r>
        <w:rPr>
          <w:rFonts w:ascii="Arial" w:hAnsi="Arial" w:cs="Arial"/>
          <w:sz w:val="28"/>
        </w:rPr>
        <w:t>(</w:t>
      </w:r>
      <w:r>
        <w:rPr>
          <w:rFonts w:ascii="Arial" w:hAnsi="Arial" w:cs="Arial"/>
          <w:sz w:val="28"/>
        </w:rPr>
        <w:t>万元</w:t>
      </w:r>
      <w:r>
        <w:rPr>
          <w:rFonts w:ascii="Arial" w:hAnsi="Arial" w:cs="Arial"/>
          <w:sz w:val="28"/>
        </w:rPr>
        <w:t>)</w:t>
      </w:r>
    </w:p>
    <w:p w14:paraId="5232311C" w14:textId="77777777" w:rsidR="00000000" w:rsidRDefault="00000000">
      <w:pPr>
        <w:spacing w:line="360" w:lineRule="auto"/>
        <w:ind w:firstLineChars="200" w:firstLine="560"/>
        <w:jc w:val="both"/>
        <w:rPr>
          <w:rFonts w:ascii="Arial" w:hAnsi="Arial" w:cs="Arial"/>
          <w:sz w:val="28"/>
        </w:rPr>
      </w:pPr>
      <w:r>
        <w:rPr>
          <w:rFonts w:ascii="Arial" w:hAnsi="Arial" w:cs="Arial"/>
          <w:sz w:val="28"/>
        </w:rPr>
        <w:lastRenderedPageBreak/>
        <w:t>（</w:t>
      </w:r>
      <w:r>
        <w:rPr>
          <w:rFonts w:ascii="Arial" w:hAnsi="Arial" w:cs="Arial"/>
          <w:sz w:val="28"/>
        </w:rPr>
        <w:t>3</w:t>
      </w:r>
      <w:r>
        <w:rPr>
          <w:rFonts w:ascii="Arial" w:hAnsi="Arial" w:cs="Arial"/>
          <w:sz w:val="28"/>
        </w:rPr>
        <w:t>）求取土地使用权价格</w:t>
      </w:r>
    </w:p>
    <w:tbl>
      <w:tblPr>
        <w:tblW w:w="5000" w:type="pct"/>
        <w:jc w:val="cente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000" w:firstRow="0" w:lastRow="0" w:firstColumn="0" w:lastColumn="0" w:noHBand="0" w:noVBand="0"/>
      </w:tblPr>
      <w:tblGrid>
        <w:gridCol w:w="543"/>
        <w:gridCol w:w="3017"/>
        <w:gridCol w:w="1217"/>
        <w:gridCol w:w="1158"/>
        <w:gridCol w:w="812"/>
        <w:gridCol w:w="2546"/>
      </w:tblGrid>
      <w:tr w:rsidR="00000000" w14:paraId="2F5D4C72" w14:textId="77777777">
        <w:trPr>
          <w:cantSplit/>
          <w:tblHeader/>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6A92E9F1"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序号</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2125BC89"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项目名称</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3FBEA285"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总额</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0F6D9E7D"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面积</w:t>
            </w: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7B65D089"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相关系数</w:t>
            </w:r>
          </w:p>
        </w:tc>
        <w:tc>
          <w:tcPr>
            <w:tcW w:w="1401" w:type="pct"/>
            <w:tcBorders>
              <w:top w:val="single" w:sz="2" w:space="0" w:color="404040"/>
              <w:left w:val="single" w:sz="2" w:space="0" w:color="404040"/>
              <w:bottom w:val="single" w:sz="2" w:space="0" w:color="404040"/>
              <w:right w:val="single" w:sz="2" w:space="0" w:color="404040"/>
            </w:tcBorders>
          </w:tcPr>
          <w:p w14:paraId="0BFE21A4"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备注</w:t>
            </w:r>
          </w:p>
        </w:tc>
      </w:tr>
      <w:tr w:rsidR="00000000" w14:paraId="2072BBF2"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294A9046"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1</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2C8DA59F"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开发完成后不动产总价</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51179695" w14:textId="77777777" w:rsidR="00000000" w:rsidRDefault="00000000">
            <w:pPr>
              <w:widowControl/>
              <w:adjustRightInd/>
              <w:spacing w:line="240" w:lineRule="auto"/>
              <w:rPr>
                <w:rFonts w:ascii="Arial" w:hAnsi="Arial" w:cs="Arial"/>
                <w:bCs/>
                <w:sz w:val="18"/>
                <w:szCs w:val="18"/>
              </w:rPr>
            </w:pPr>
            <w:r>
              <w:rPr>
                <w:rFonts w:ascii="Arial" w:hAnsi="Arial" w:cs="Arial" w:hint="eastAsia"/>
                <w:bCs/>
                <w:sz w:val="18"/>
                <w:szCs w:val="18"/>
              </w:rPr>
              <w:t>24526</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10F8B975" w14:textId="77777777" w:rsidR="00000000" w:rsidRDefault="00000000">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30EF837D" w14:textId="77777777" w:rsidR="00000000" w:rsidRDefault="00000000">
            <w:pPr>
              <w:widowControl/>
              <w:adjustRightInd/>
              <w:spacing w:line="240" w:lineRule="auto"/>
              <w:rPr>
                <w:rFonts w:ascii="Arial" w:hAnsi="Arial" w:cs="Arial"/>
                <w:bCs/>
                <w:sz w:val="18"/>
                <w:szCs w:val="18"/>
              </w:rPr>
            </w:pPr>
          </w:p>
        </w:tc>
        <w:tc>
          <w:tcPr>
            <w:tcW w:w="1401" w:type="pct"/>
            <w:tcBorders>
              <w:top w:val="single" w:sz="2" w:space="0" w:color="404040"/>
              <w:left w:val="single" w:sz="2" w:space="0" w:color="404040"/>
              <w:bottom w:val="single" w:sz="2" w:space="0" w:color="404040"/>
              <w:right w:val="single" w:sz="2" w:space="0" w:color="404040"/>
            </w:tcBorders>
          </w:tcPr>
          <w:p w14:paraId="6F941EE9" w14:textId="77777777" w:rsidR="00000000" w:rsidRDefault="00000000">
            <w:pPr>
              <w:widowControl/>
              <w:adjustRightInd/>
              <w:spacing w:line="240" w:lineRule="auto"/>
              <w:rPr>
                <w:rFonts w:ascii="Arial" w:hAnsi="Arial" w:cs="Arial"/>
                <w:bCs/>
                <w:sz w:val="18"/>
                <w:szCs w:val="18"/>
              </w:rPr>
            </w:pPr>
          </w:p>
        </w:tc>
      </w:tr>
      <w:tr w:rsidR="00000000" w14:paraId="61CC8F57"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vAlign w:val="center"/>
          </w:tcPr>
          <w:p w14:paraId="6CA0EA95"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2</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745454C1"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开发成本</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62446F6A" w14:textId="77777777" w:rsidR="00000000" w:rsidRDefault="00000000">
            <w:pPr>
              <w:widowControl/>
              <w:adjustRightInd/>
              <w:spacing w:line="240" w:lineRule="auto"/>
              <w:rPr>
                <w:rFonts w:ascii="Arial" w:hAnsi="Arial" w:cs="Arial"/>
                <w:bCs/>
                <w:sz w:val="18"/>
                <w:szCs w:val="18"/>
              </w:rPr>
            </w:pPr>
            <w:r>
              <w:rPr>
                <w:rFonts w:ascii="Arial" w:hAnsi="Arial" w:cs="Arial" w:hint="eastAsia"/>
                <w:bCs/>
                <w:sz w:val="18"/>
                <w:szCs w:val="18"/>
              </w:rPr>
              <w:t>21197</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767326B9" w14:textId="77777777" w:rsidR="00000000" w:rsidRDefault="00000000">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3AA172A8" w14:textId="77777777" w:rsidR="00000000" w:rsidRDefault="00000000">
            <w:pPr>
              <w:widowControl/>
              <w:adjustRightInd/>
              <w:spacing w:line="240" w:lineRule="auto"/>
              <w:rPr>
                <w:rFonts w:ascii="Arial" w:hAnsi="Arial" w:cs="Arial"/>
                <w:bCs/>
                <w:sz w:val="18"/>
                <w:szCs w:val="18"/>
              </w:rPr>
            </w:pPr>
          </w:p>
        </w:tc>
        <w:tc>
          <w:tcPr>
            <w:tcW w:w="1401" w:type="pct"/>
            <w:tcBorders>
              <w:top w:val="single" w:sz="2" w:space="0" w:color="404040"/>
              <w:left w:val="single" w:sz="2" w:space="0" w:color="404040"/>
              <w:bottom w:val="single" w:sz="2" w:space="0" w:color="404040"/>
              <w:right w:val="single" w:sz="2" w:space="0" w:color="404040"/>
            </w:tcBorders>
          </w:tcPr>
          <w:p w14:paraId="5EB85CCA"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1</w:t>
            </w:r>
            <w:r>
              <w:rPr>
                <w:rFonts w:ascii="Arial" w:hAnsi="Arial" w:cs="Arial"/>
                <w:bCs/>
                <w:sz w:val="18"/>
                <w:szCs w:val="18"/>
              </w:rPr>
              <w:t>）</w:t>
            </w:r>
            <w:r>
              <w:rPr>
                <w:rFonts w:ascii="Arial" w:hAnsi="Arial" w:cs="Arial"/>
                <w:bCs/>
                <w:sz w:val="18"/>
                <w:szCs w:val="18"/>
              </w:rPr>
              <w:t>-</w:t>
            </w:r>
            <w:r>
              <w:rPr>
                <w:rFonts w:ascii="Arial" w:hAnsi="Arial" w:cs="Arial"/>
                <w:bCs/>
                <w:sz w:val="18"/>
                <w:szCs w:val="18"/>
              </w:rPr>
              <w:t>（</w:t>
            </w:r>
            <w:r>
              <w:rPr>
                <w:rFonts w:ascii="Arial" w:hAnsi="Arial" w:cs="Arial"/>
                <w:bCs/>
                <w:sz w:val="18"/>
                <w:szCs w:val="18"/>
              </w:rPr>
              <w:t>8</w:t>
            </w:r>
            <w:r>
              <w:rPr>
                <w:rFonts w:ascii="Arial" w:hAnsi="Arial" w:cs="Arial"/>
                <w:bCs/>
                <w:sz w:val="18"/>
                <w:szCs w:val="18"/>
              </w:rPr>
              <w:t>）之和</w:t>
            </w:r>
          </w:p>
        </w:tc>
      </w:tr>
      <w:tr w:rsidR="00000000" w14:paraId="5C8C56DA"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7FA3F443"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1</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4FDEB19D"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房屋建造成本</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2D50B6DE" w14:textId="77777777" w:rsidR="00000000" w:rsidRDefault="00000000">
            <w:pPr>
              <w:widowControl/>
              <w:adjustRightInd/>
              <w:spacing w:line="240" w:lineRule="auto"/>
              <w:rPr>
                <w:rFonts w:ascii="Arial" w:hAnsi="Arial" w:cs="Arial"/>
                <w:bCs/>
                <w:sz w:val="18"/>
                <w:szCs w:val="18"/>
              </w:rPr>
            </w:pPr>
            <w:r>
              <w:rPr>
                <w:rFonts w:ascii="Arial" w:hAnsi="Arial" w:cs="Arial" w:hint="eastAsia"/>
                <w:bCs/>
                <w:sz w:val="18"/>
                <w:szCs w:val="18"/>
              </w:rPr>
              <w:t>17501</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0C842C88" w14:textId="77777777" w:rsidR="00000000" w:rsidRDefault="00000000">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45AD14A1" w14:textId="77777777" w:rsidR="00000000" w:rsidRDefault="00000000">
            <w:pPr>
              <w:widowControl/>
              <w:adjustRightInd/>
              <w:spacing w:line="240" w:lineRule="auto"/>
              <w:rPr>
                <w:rFonts w:ascii="Arial" w:hAnsi="Arial" w:cs="Arial"/>
                <w:bCs/>
                <w:sz w:val="18"/>
                <w:szCs w:val="18"/>
              </w:rPr>
            </w:pPr>
          </w:p>
        </w:tc>
        <w:tc>
          <w:tcPr>
            <w:tcW w:w="1401" w:type="pct"/>
            <w:tcBorders>
              <w:top w:val="single" w:sz="2" w:space="0" w:color="404040"/>
              <w:left w:val="single" w:sz="2" w:space="0" w:color="404040"/>
              <w:bottom w:val="single" w:sz="2" w:space="0" w:color="404040"/>
              <w:right w:val="single" w:sz="2" w:space="0" w:color="404040"/>
            </w:tcBorders>
          </w:tcPr>
          <w:p w14:paraId="1BFD394F"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下述</w:t>
            </w:r>
            <w:r>
              <w:rPr>
                <w:rFonts w:ascii="Arial" w:hAnsi="Arial" w:cs="Arial"/>
                <w:sz w:val="18"/>
                <w:szCs w:val="18"/>
              </w:rPr>
              <w:t>5</w:t>
            </w:r>
            <w:r>
              <w:rPr>
                <w:rFonts w:ascii="Arial" w:hAnsi="Arial" w:cs="Arial"/>
                <w:sz w:val="18"/>
                <w:szCs w:val="18"/>
              </w:rPr>
              <w:t>项之和</w:t>
            </w:r>
          </w:p>
        </w:tc>
      </w:tr>
      <w:tr w:rsidR="00000000" w14:paraId="1A12FC90"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0EECCA28" w14:textId="77777777" w:rsidR="00000000" w:rsidRDefault="00000000">
            <w:pPr>
              <w:widowControl/>
              <w:adjustRightInd/>
              <w:spacing w:line="240" w:lineRule="auto"/>
              <w:jc w:val="right"/>
              <w:rPr>
                <w:rFonts w:ascii="Arial" w:hAnsi="Arial" w:cs="Arial"/>
                <w:sz w:val="18"/>
                <w:szCs w:val="18"/>
              </w:rPr>
            </w:pPr>
            <w:r>
              <w:rPr>
                <w:rFonts w:ascii="Arial" w:hAnsi="Arial" w:cs="Arial"/>
                <w:sz w:val="18"/>
                <w:szCs w:val="18"/>
              </w:rPr>
              <w:t>1</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2D1415A8"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建安费用</w:t>
            </w:r>
          </w:p>
        </w:tc>
        <w:tc>
          <w:tcPr>
            <w:tcW w:w="540" w:type="pct"/>
            <w:tcBorders>
              <w:top w:val="single" w:sz="2" w:space="0" w:color="404040"/>
              <w:left w:val="single" w:sz="2" w:space="0" w:color="404040"/>
              <w:bottom w:val="single" w:sz="2" w:space="0" w:color="404040"/>
              <w:right w:val="single" w:sz="2" w:space="0" w:color="404040"/>
            </w:tcBorders>
            <w:noWrap/>
          </w:tcPr>
          <w:p w14:paraId="768F9F8D" w14:textId="77777777" w:rsidR="00000000" w:rsidRDefault="00000000">
            <w:pPr>
              <w:spacing w:line="240" w:lineRule="auto"/>
              <w:rPr>
                <w:rFonts w:ascii="Arial" w:hAnsi="Arial" w:cs="Arial"/>
                <w:bCs/>
                <w:sz w:val="18"/>
                <w:szCs w:val="18"/>
              </w:rPr>
            </w:pPr>
            <w:r>
              <w:rPr>
                <w:rFonts w:ascii="Arial" w:hAnsi="Arial" w:cs="Arial" w:hint="eastAsia"/>
                <w:bCs/>
                <w:sz w:val="18"/>
                <w:szCs w:val="18"/>
              </w:rPr>
              <w:t>15018</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7EE8D609" w14:textId="77777777" w:rsidR="00000000" w:rsidRDefault="00000000">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4568142D" w14:textId="77777777" w:rsidR="00000000" w:rsidRDefault="00000000">
            <w:pPr>
              <w:widowControl/>
              <w:adjustRightInd/>
              <w:spacing w:line="240" w:lineRule="auto"/>
              <w:rPr>
                <w:rFonts w:ascii="Arial" w:hAnsi="Arial" w:cs="Arial"/>
                <w:sz w:val="18"/>
                <w:szCs w:val="18"/>
              </w:rPr>
            </w:pPr>
          </w:p>
        </w:tc>
        <w:tc>
          <w:tcPr>
            <w:tcW w:w="1401" w:type="pct"/>
            <w:tcBorders>
              <w:top w:val="single" w:sz="2" w:space="0" w:color="404040"/>
              <w:left w:val="single" w:sz="2" w:space="0" w:color="404040"/>
              <w:bottom w:val="single" w:sz="2" w:space="0" w:color="404040"/>
              <w:right w:val="single" w:sz="2" w:space="0" w:color="404040"/>
            </w:tcBorders>
          </w:tcPr>
          <w:p w14:paraId="44DAD465" w14:textId="77777777" w:rsidR="00000000" w:rsidRDefault="00000000">
            <w:pPr>
              <w:widowControl/>
              <w:adjustRightInd/>
              <w:spacing w:line="240" w:lineRule="auto"/>
              <w:rPr>
                <w:rFonts w:ascii="Arial" w:hAnsi="Arial" w:cs="Arial"/>
                <w:bCs/>
                <w:sz w:val="18"/>
                <w:szCs w:val="18"/>
              </w:rPr>
            </w:pPr>
          </w:p>
        </w:tc>
      </w:tr>
      <w:tr w:rsidR="00000000" w14:paraId="5C6A63A3"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656FD9EE" w14:textId="77777777" w:rsidR="00000000" w:rsidRDefault="00000000">
            <w:pPr>
              <w:widowControl/>
              <w:adjustRightInd/>
              <w:spacing w:line="240" w:lineRule="auto"/>
              <w:jc w:val="right"/>
              <w:rPr>
                <w:rFonts w:ascii="Arial" w:hAnsi="Arial" w:cs="Arial"/>
                <w:sz w:val="18"/>
                <w:szCs w:val="18"/>
              </w:rPr>
            </w:pPr>
            <w:r>
              <w:rPr>
                <w:rFonts w:ascii="Arial" w:hAnsi="Arial" w:cs="Arial"/>
                <w:sz w:val="18"/>
                <w:szCs w:val="18"/>
              </w:rPr>
              <w:t>2</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0F087374"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勘察设计和前期工程费</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5241E382" w14:textId="77777777" w:rsidR="00000000" w:rsidRDefault="00000000">
            <w:pPr>
              <w:spacing w:line="240" w:lineRule="auto"/>
              <w:rPr>
                <w:rFonts w:ascii="Arial" w:hAnsi="Arial" w:cs="Arial"/>
                <w:bCs/>
                <w:sz w:val="18"/>
                <w:szCs w:val="18"/>
              </w:rPr>
            </w:pPr>
            <w:r>
              <w:rPr>
                <w:rFonts w:ascii="Arial" w:hAnsi="Arial" w:cs="Arial" w:hint="eastAsia"/>
                <w:bCs/>
                <w:sz w:val="18"/>
                <w:szCs w:val="18"/>
              </w:rPr>
              <w:t>751</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44C1DF2C" w14:textId="77777777" w:rsidR="00000000" w:rsidRDefault="00000000">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5C9B78DE" w14:textId="77777777" w:rsidR="00000000" w:rsidRDefault="00000000">
            <w:pPr>
              <w:widowControl/>
              <w:adjustRightInd/>
              <w:spacing w:line="240" w:lineRule="auto"/>
              <w:rPr>
                <w:rFonts w:ascii="Arial" w:hAnsi="Arial" w:cs="Arial"/>
                <w:sz w:val="18"/>
                <w:szCs w:val="18"/>
              </w:rPr>
            </w:pPr>
            <w:r>
              <w:rPr>
                <w:rFonts w:ascii="Arial" w:hAnsi="Arial" w:cs="Arial" w:hint="eastAsia"/>
                <w:sz w:val="18"/>
                <w:szCs w:val="18"/>
              </w:rPr>
              <w:t>5</w:t>
            </w:r>
            <w:r>
              <w:rPr>
                <w:rFonts w:ascii="Arial" w:hAnsi="Arial" w:cs="Arial"/>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14:paraId="5378CD57"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以建安费用为基数计取</w:t>
            </w:r>
          </w:p>
        </w:tc>
      </w:tr>
      <w:tr w:rsidR="00000000" w14:paraId="6F71693E"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787D46AB" w14:textId="77777777" w:rsidR="00000000" w:rsidRDefault="00000000">
            <w:pPr>
              <w:widowControl/>
              <w:adjustRightInd/>
              <w:spacing w:line="240" w:lineRule="auto"/>
              <w:jc w:val="right"/>
              <w:rPr>
                <w:rFonts w:ascii="Arial" w:hAnsi="Arial" w:cs="Arial"/>
                <w:sz w:val="18"/>
                <w:szCs w:val="18"/>
              </w:rPr>
            </w:pPr>
            <w:r>
              <w:rPr>
                <w:rFonts w:ascii="Arial" w:hAnsi="Arial" w:cs="Arial"/>
                <w:sz w:val="18"/>
                <w:szCs w:val="18"/>
              </w:rPr>
              <w:t>3</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790D01E2"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公共配套设施费用</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030E2D5F" w14:textId="77777777" w:rsidR="00000000" w:rsidRDefault="00000000">
            <w:pPr>
              <w:spacing w:line="240" w:lineRule="auto"/>
              <w:rPr>
                <w:rFonts w:ascii="Arial" w:hAnsi="Arial" w:cs="Arial"/>
                <w:bCs/>
                <w:sz w:val="18"/>
                <w:szCs w:val="18"/>
              </w:rPr>
            </w:pPr>
            <w:r>
              <w:rPr>
                <w:rFonts w:ascii="Arial" w:hAnsi="Arial" w:cs="Arial" w:hint="eastAsia"/>
                <w:bCs/>
                <w:sz w:val="18"/>
                <w:szCs w:val="18"/>
              </w:rPr>
              <w:t>623</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51EF4923" w14:textId="77777777" w:rsidR="00000000" w:rsidRDefault="00000000">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63D5A353" w14:textId="77777777" w:rsidR="00000000" w:rsidRDefault="00000000">
            <w:pPr>
              <w:widowControl/>
              <w:adjustRightInd/>
              <w:spacing w:line="240" w:lineRule="auto"/>
              <w:rPr>
                <w:rFonts w:ascii="Arial" w:hAnsi="Arial" w:cs="Arial"/>
                <w:sz w:val="18"/>
                <w:szCs w:val="18"/>
              </w:rPr>
            </w:pPr>
            <w:r>
              <w:rPr>
                <w:rFonts w:ascii="Arial" w:hAnsi="Arial" w:cs="Arial" w:hint="eastAsia"/>
                <w:sz w:val="18"/>
                <w:szCs w:val="18"/>
              </w:rPr>
              <w:t>5</w:t>
            </w:r>
            <w:r>
              <w:rPr>
                <w:rFonts w:ascii="Arial" w:hAnsi="Arial" w:cs="Arial"/>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14:paraId="15E78F4E"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以住宅用房建安费用为基数计取</w:t>
            </w:r>
          </w:p>
        </w:tc>
      </w:tr>
      <w:tr w:rsidR="00000000" w14:paraId="57B77EEB"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6CDF5B6B" w14:textId="77777777" w:rsidR="00000000" w:rsidRDefault="00000000">
            <w:pPr>
              <w:widowControl/>
              <w:adjustRightInd/>
              <w:spacing w:line="240" w:lineRule="auto"/>
              <w:jc w:val="right"/>
              <w:rPr>
                <w:rFonts w:ascii="Arial" w:hAnsi="Arial" w:cs="Arial"/>
                <w:sz w:val="18"/>
                <w:szCs w:val="18"/>
              </w:rPr>
            </w:pPr>
            <w:r>
              <w:rPr>
                <w:rFonts w:ascii="Arial" w:hAnsi="Arial" w:cs="Arial"/>
                <w:sz w:val="18"/>
                <w:szCs w:val="18"/>
              </w:rPr>
              <w:t>4</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4FC3074A"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红线内市政费用</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07FB7F9F" w14:textId="77777777" w:rsidR="00000000" w:rsidRDefault="00000000">
            <w:pPr>
              <w:spacing w:line="240" w:lineRule="auto"/>
              <w:rPr>
                <w:rFonts w:ascii="Arial" w:hAnsi="Arial" w:cs="Arial"/>
                <w:bCs/>
                <w:sz w:val="18"/>
                <w:szCs w:val="18"/>
              </w:rPr>
            </w:pPr>
            <w:r>
              <w:rPr>
                <w:rFonts w:ascii="Arial" w:hAnsi="Arial" w:cs="Arial" w:hint="eastAsia"/>
                <w:bCs/>
                <w:sz w:val="18"/>
                <w:szCs w:val="18"/>
              </w:rPr>
              <w:t>809</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565BB327" w14:textId="77777777" w:rsidR="00000000" w:rsidRDefault="00000000">
            <w:pPr>
              <w:widowControl/>
              <w:adjustRightInd/>
              <w:spacing w:line="240" w:lineRule="auto"/>
              <w:rPr>
                <w:rFonts w:ascii="Arial" w:hAnsi="Arial" w:cs="Arial"/>
                <w:sz w:val="18"/>
                <w:szCs w:val="18"/>
              </w:rPr>
            </w:pPr>
            <w:r>
              <w:rPr>
                <w:rFonts w:ascii="Arial" w:hAnsi="Arial" w:cs="Arial" w:hint="eastAsia"/>
                <w:bCs/>
                <w:sz w:val="18"/>
                <w:szCs w:val="18"/>
              </w:rPr>
              <w:t>40463</w:t>
            </w: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16F4C872"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200</w:t>
            </w:r>
          </w:p>
        </w:tc>
        <w:tc>
          <w:tcPr>
            <w:tcW w:w="1401" w:type="pct"/>
            <w:tcBorders>
              <w:top w:val="single" w:sz="2" w:space="0" w:color="404040"/>
              <w:left w:val="single" w:sz="2" w:space="0" w:color="404040"/>
              <w:bottom w:val="single" w:sz="2" w:space="0" w:color="404040"/>
              <w:right w:val="single" w:sz="2" w:space="0" w:color="404040"/>
            </w:tcBorders>
          </w:tcPr>
          <w:p w14:paraId="47BA78C2" w14:textId="77777777" w:rsidR="00000000" w:rsidRDefault="00000000">
            <w:pPr>
              <w:widowControl/>
              <w:adjustRightInd/>
              <w:spacing w:line="240" w:lineRule="auto"/>
              <w:rPr>
                <w:rFonts w:ascii="Arial" w:hAnsi="Arial" w:cs="Arial"/>
                <w:bCs/>
                <w:sz w:val="18"/>
                <w:szCs w:val="18"/>
              </w:rPr>
            </w:pPr>
          </w:p>
        </w:tc>
      </w:tr>
      <w:tr w:rsidR="00000000" w14:paraId="32EA7034"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358CF269" w14:textId="77777777" w:rsidR="00000000" w:rsidRDefault="00000000">
            <w:pPr>
              <w:widowControl/>
              <w:adjustRightInd/>
              <w:spacing w:line="240" w:lineRule="auto"/>
              <w:jc w:val="right"/>
              <w:rPr>
                <w:rFonts w:ascii="Arial" w:hAnsi="Arial" w:cs="Arial"/>
                <w:sz w:val="18"/>
                <w:szCs w:val="18"/>
              </w:rPr>
            </w:pPr>
            <w:r>
              <w:rPr>
                <w:rFonts w:ascii="Arial" w:hAnsi="Arial" w:cs="Arial"/>
                <w:sz w:val="18"/>
                <w:szCs w:val="18"/>
              </w:rPr>
              <w:t>5</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7B3C7557"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相关税费</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596E8A95" w14:textId="77777777" w:rsidR="00000000" w:rsidRDefault="00000000">
            <w:pPr>
              <w:spacing w:line="240" w:lineRule="auto"/>
              <w:rPr>
                <w:rFonts w:ascii="Arial" w:hAnsi="Arial" w:cs="Arial"/>
                <w:bCs/>
                <w:sz w:val="18"/>
                <w:szCs w:val="18"/>
              </w:rPr>
            </w:pPr>
            <w:r>
              <w:rPr>
                <w:rFonts w:ascii="Arial" w:hAnsi="Arial" w:cs="Arial" w:hint="eastAsia"/>
                <w:bCs/>
                <w:sz w:val="18"/>
                <w:szCs w:val="18"/>
              </w:rPr>
              <w:t>300</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00C75943" w14:textId="77777777" w:rsidR="00000000" w:rsidRDefault="00000000">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7AB81EBA"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1.5%</w:t>
            </w:r>
          </w:p>
        </w:tc>
        <w:tc>
          <w:tcPr>
            <w:tcW w:w="1401" w:type="pct"/>
            <w:tcBorders>
              <w:top w:val="single" w:sz="2" w:space="0" w:color="404040"/>
              <w:left w:val="single" w:sz="2" w:space="0" w:color="404040"/>
              <w:bottom w:val="single" w:sz="2" w:space="0" w:color="404040"/>
              <w:right w:val="single" w:sz="2" w:space="0" w:color="404040"/>
            </w:tcBorders>
            <w:vAlign w:val="center"/>
          </w:tcPr>
          <w:p w14:paraId="047FB90A"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以建安费用为基数计取</w:t>
            </w:r>
          </w:p>
        </w:tc>
      </w:tr>
      <w:tr w:rsidR="00000000" w14:paraId="0031992A"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66DF3DE0"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2</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1D55A30D"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红线外市政费用（土地开发费用）</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795CFA0B"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7EF16D68" w14:textId="77777777" w:rsidR="00000000" w:rsidRDefault="00000000">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0EFF20E6"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不计取</w:t>
            </w:r>
          </w:p>
        </w:tc>
        <w:tc>
          <w:tcPr>
            <w:tcW w:w="1401" w:type="pct"/>
            <w:tcBorders>
              <w:top w:val="single" w:sz="2" w:space="0" w:color="404040"/>
              <w:left w:val="single" w:sz="2" w:space="0" w:color="404040"/>
              <w:bottom w:val="single" w:sz="2" w:space="0" w:color="404040"/>
              <w:right w:val="single" w:sz="2" w:space="0" w:color="404040"/>
            </w:tcBorders>
          </w:tcPr>
          <w:p w14:paraId="6C9DE39B" w14:textId="77777777" w:rsidR="00000000" w:rsidRDefault="00000000">
            <w:pPr>
              <w:widowControl/>
              <w:adjustRightInd/>
              <w:spacing w:line="240" w:lineRule="auto"/>
              <w:rPr>
                <w:rFonts w:ascii="Arial" w:hAnsi="Arial" w:cs="Arial"/>
                <w:bCs/>
                <w:sz w:val="18"/>
                <w:szCs w:val="18"/>
              </w:rPr>
            </w:pPr>
          </w:p>
        </w:tc>
      </w:tr>
      <w:tr w:rsidR="00000000" w14:paraId="3AE84D5A"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09CD8A72"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3</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2D44F502"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城市基础设施建设费（行政收费）</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49781B6B" w14:textId="77777777" w:rsidR="00000000" w:rsidRDefault="00000000">
            <w:pPr>
              <w:widowControl/>
              <w:adjustRightInd/>
              <w:spacing w:line="240" w:lineRule="auto"/>
              <w:rPr>
                <w:rFonts w:ascii="Arial" w:hAnsi="Arial" w:cs="Arial"/>
                <w:bCs/>
                <w:sz w:val="18"/>
                <w:szCs w:val="18"/>
              </w:rPr>
            </w:pPr>
            <w:r>
              <w:rPr>
                <w:rFonts w:ascii="Arial" w:hAnsi="Arial" w:cs="Arial" w:hint="eastAsia"/>
                <w:bCs/>
                <w:sz w:val="18"/>
                <w:szCs w:val="18"/>
              </w:rPr>
              <w:t>684</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1FC0B054" w14:textId="77777777" w:rsidR="00000000" w:rsidRDefault="00000000">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3E393738" w14:textId="77777777" w:rsidR="00000000" w:rsidRDefault="00000000">
            <w:pPr>
              <w:widowControl/>
              <w:adjustRightInd/>
              <w:spacing w:line="240" w:lineRule="auto"/>
              <w:rPr>
                <w:rFonts w:ascii="Arial" w:hAnsi="Arial" w:cs="Arial"/>
                <w:bCs/>
                <w:sz w:val="18"/>
                <w:szCs w:val="18"/>
              </w:rPr>
            </w:pPr>
          </w:p>
        </w:tc>
        <w:tc>
          <w:tcPr>
            <w:tcW w:w="1401" w:type="pct"/>
            <w:tcBorders>
              <w:top w:val="single" w:sz="2" w:space="0" w:color="404040"/>
              <w:left w:val="single" w:sz="2" w:space="0" w:color="404040"/>
              <w:bottom w:val="single" w:sz="2" w:space="0" w:color="404040"/>
              <w:right w:val="single" w:sz="2" w:space="0" w:color="404040"/>
            </w:tcBorders>
          </w:tcPr>
          <w:p w14:paraId="34083BBB" w14:textId="77777777" w:rsidR="00000000" w:rsidRDefault="00000000">
            <w:pPr>
              <w:widowControl/>
              <w:adjustRightInd/>
              <w:spacing w:line="240" w:lineRule="auto"/>
              <w:rPr>
                <w:rFonts w:ascii="Arial" w:hAnsi="Arial" w:cs="Arial"/>
                <w:bCs/>
                <w:sz w:val="18"/>
                <w:szCs w:val="18"/>
              </w:rPr>
            </w:pPr>
          </w:p>
        </w:tc>
      </w:tr>
      <w:tr w:rsidR="00000000" w14:paraId="4FF54A80"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7CEC360E" w14:textId="77777777" w:rsidR="00000000" w:rsidRDefault="00000000">
            <w:pPr>
              <w:widowControl/>
              <w:adjustRightInd/>
              <w:spacing w:line="240" w:lineRule="auto"/>
              <w:jc w:val="right"/>
              <w:rPr>
                <w:rFonts w:ascii="Arial" w:hAnsi="Arial" w:cs="Arial"/>
                <w:sz w:val="18"/>
                <w:szCs w:val="18"/>
              </w:rPr>
            </w:pPr>
            <w:r>
              <w:rPr>
                <w:rFonts w:ascii="Arial" w:hAnsi="Arial" w:cs="Arial"/>
                <w:sz w:val="18"/>
                <w:szCs w:val="18"/>
              </w:rPr>
              <w:t>1</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0CE2B86A"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住宅</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70C981C3" w14:textId="77777777" w:rsidR="00000000" w:rsidRDefault="00000000">
            <w:pPr>
              <w:widowControl/>
              <w:adjustRightInd/>
              <w:spacing w:line="240" w:lineRule="auto"/>
              <w:rPr>
                <w:rFonts w:ascii="Arial" w:hAnsi="Arial" w:cs="Arial"/>
                <w:sz w:val="18"/>
                <w:szCs w:val="18"/>
              </w:rPr>
            </w:pPr>
            <w:r>
              <w:rPr>
                <w:rFonts w:ascii="Arial" w:hAnsi="Arial" w:cs="Arial" w:hint="eastAsia"/>
                <w:sz w:val="18"/>
                <w:szCs w:val="18"/>
              </w:rPr>
              <w:t>498</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7D840C13" w14:textId="77777777" w:rsidR="00000000" w:rsidRDefault="00000000">
            <w:pPr>
              <w:widowControl/>
              <w:adjustRightInd/>
              <w:spacing w:line="240" w:lineRule="auto"/>
              <w:rPr>
                <w:rFonts w:ascii="Arial" w:hAnsi="Arial" w:cs="Arial"/>
                <w:sz w:val="18"/>
                <w:szCs w:val="18"/>
              </w:rPr>
            </w:pPr>
            <w:r>
              <w:rPr>
                <w:rFonts w:ascii="Arial" w:hAnsi="Arial" w:cs="Arial" w:hint="eastAsia"/>
                <w:sz w:val="18"/>
                <w:szCs w:val="18"/>
              </w:rPr>
              <w:t>31152</w:t>
            </w: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4DD02705" w14:textId="77777777" w:rsidR="00000000" w:rsidRDefault="00000000">
            <w:pPr>
              <w:widowControl/>
              <w:adjustRightInd/>
              <w:spacing w:line="240" w:lineRule="auto"/>
              <w:rPr>
                <w:rFonts w:ascii="Arial" w:hAnsi="Arial" w:cs="Arial"/>
                <w:sz w:val="18"/>
                <w:szCs w:val="18"/>
              </w:rPr>
            </w:pPr>
            <w:r>
              <w:rPr>
                <w:rFonts w:ascii="Arial" w:hAnsi="Arial" w:cs="Arial" w:hint="eastAsia"/>
                <w:sz w:val="18"/>
                <w:szCs w:val="18"/>
              </w:rPr>
              <w:t>160</w:t>
            </w:r>
          </w:p>
        </w:tc>
        <w:tc>
          <w:tcPr>
            <w:tcW w:w="1401" w:type="pct"/>
            <w:tcBorders>
              <w:top w:val="single" w:sz="2" w:space="0" w:color="404040"/>
              <w:left w:val="single" w:sz="2" w:space="0" w:color="404040"/>
              <w:bottom w:val="single" w:sz="2" w:space="0" w:color="404040"/>
              <w:right w:val="single" w:sz="2" w:space="0" w:color="404040"/>
            </w:tcBorders>
          </w:tcPr>
          <w:p w14:paraId="4575B6DE" w14:textId="77777777" w:rsidR="00000000" w:rsidRDefault="00000000">
            <w:pPr>
              <w:widowControl/>
              <w:adjustRightInd/>
              <w:spacing w:line="240" w:lineRule="auto"/>
              <w:rPr>
                <w:rFonts w:ascii="Arial" w:hAnsi="Arial" w:cs="Arial"/>
                <w:sz w:val="18"/>
                <w:szCs w:val="18"/>
              </w:rPr>
            </w:pPr>
          </w:p>
        </w:tc>
      </w:tr>
      <w:tr w:rsidR="00000000" w14:paraId="2EAEE727"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1037E0E7" w14:textId="77777777" w:rsidR="00000000" w:rsidRDefault="00000000">
            <w:pPr>
              <w:widowControl/>
              <w:adjustRightInd/>
              <w:spacing w:line="240" w:lineRule="auto"/>
              <w:jc w:val="right"/>
              <w:rPr>
                <w:rFonts w:ascii="Arial" w:hAnsi="Arial" w:cs="Arial"/>
                <w:sz w:val="18"/>
                <w:szCs w:val="18"/>
              </w:rPr>
            </w:pPr>
            <w:r>
              <w:rPr>
                <w:rFonts w:ascii="Arial" w:hAnsi="Arial" w:cs="Arial"/>
                <w:sz w:val="18"/>
                <w:szCs w:val="18"/>
              </w:rPr>
              <w:t>2</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4ABBAD92"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非住宅</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1CFEA7F6" w14:textId="77777777" w:rsidR="00000000" w:rsidRDefault="00000000">
            <w:pPr>
              <w:widowControl/>
              <w:adjustRightInd/>
              <w:spacing w:line="240" w:lineRule="auto"/>
              <w:rPr>
                <w:rFonts w:ascii="Arial" w:hAnsi="Arial" w:cs="Arial"/>
                <w:sz w:val="18"/>
                <w:szCs w:val="18"/>
              </w:rPr>
            </w:pPr>
            <w:r>
              <w:rPr>
                <w:rFonts w:ascii="Arial" w:hAnsi="Arial" w:cs="Arial" w:hint="eastAsia"/>
                <w:bCs/>
                <w:sz w:val="18"/>
                <w:szCs w:val="18"/>
              </w:rPr>
              <w:t>186</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707E4DC0" w14:textId="77777777" w:rsidR="00000000" w:rsidRDefault="00000000">
            <w:pPr>
              <w:widowControl/>
              <w:adjustRightInd/>
              <w:spacing w:line="240" w:lineRule="auto"/>
              <w:rPr>
                <w:rFonts w:ascii="Arial" w:hAnsi="Arial" w:cs="Arial"/>
                <w:sz w:val="18"/>
                <w:szCs w:val="18"/>
              </w:rPr>
            </w:pPr>
            <w:r>
              <w:rPr>
                <w:rFonts w:ascii="Arial" w:hAnsi="Arial" w:cs="Arial" w:hint="eastAsia"/>
                <w:sz w:val="18"/>
                <w:szCs w:val="18"/>
              </w:rPr>
              <w:t>9311</w:t>
            </w: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3879A03C"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200</w:t>
            </w:r>
          </w:p>
        </w:tc>
        <w:tc>
          <w:tcPr>
            <w:tcW w:w="1401" w:type="pct"/>
            <w:tcBorders>
              <w:top w:val="single" w:sz="2" w:space="0" w:color="404040"/>
              <w:left w:val="single" w:sz="2" w:space="0" w:color="404040"/>
              <w:bottom w:val="single" w:sz="2" w:space="0" w:color="404040"/>
              <w:right w:val="single" w:sz="2" w:space="0" w:color="404040"/>
            </w:tcBorders>
          </w:tcPr>
          <w:p w14:paraId="2D04DD6A" w14:textId="77777777" w:rsidR="00000000" w:rsidRDefault="00000000">
            <w:pPr>
              <w:widowControl/>
              <w:adjustRightInd/>
              <w:spacing w:line="240" w:lineRule="auto"/>
              <w:rPr>
                <w:rFonts w:ascii="Arial" w:hAnsi="Arial" w:cs="Arial"/>
                <w:sz w:val="18"/>
                <w:szCs w:val="18"/>
              </w:rPr>
            </w:pPr>
          </w:p>
        </w:tc>
      </w:tr>
      <w:tr w:rsidR="00000000" w14:paraId="74C4DCB1"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06E68D20"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4</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55C0C2D1"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管理费用</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5EFE9C9F" w14:textId="77777777" w:rsidR="00000000" w:rsidRDefault="00000000">
            <w:pPr>
              <w:widowControl/>
              <w:adjustRightInd/>
              <w:spacing w:line="240" w:lineRule="auto"/>
              <w:rPr>
                <w:rFonts w:ascii="Arial" w:hAnsi="Arial" w:cs="Arial"/>
                <w:bCs/>
                <w:sz w:val="18"/>
                <w:szCs w:val="18"/>
              </w:rPr>
            </w:pPr>
            <w:r>
              <w:rPr>
                <w:rFonts w:ascii="Arial" w:hAnsi="Arial" w:cs="Arial" w:hint="eastAsia"/>
                <w:bCs/>
                <w:sz w:val="18"/>
                <w:szCs w:val="18"/>
              </w:rPr>
              <w:t>364</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68CB71A7" w14:textId="77777777" w:rsidR="00000000" w:rsidRDefault="00000000">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5FD3F11A" w14:textId="77777777" w:rsidR="00000000" w:rsidRDefault="00000000">
            <w:pPr>
              <w:widowControl/>
              <w:adjustRightInd/>
              <w:spacing w:line="240" w:lineRule="auto"/>
              <w:rPr>
                <w:rFonts w:ascii="Arial" w:hAnsi="Arial" w:cs="Arial"/>
                <w:bCs/>
                <w:sz w:val="18"/>
                <w:szCs w:val="18"/>
              </w:rPr>
            </w:pPr>
            <w:r>
              <w:rPr>
                <w:rFonts w:ascii="Arial" w:hAnsi="Arial" w:cs="Arial" w:hint="eastAsia"/>
                <w:bCs/>
                <w:sz w:val="18"/>
                <w:szCs w:val="18"/>
              </w:rPr>
              <w:t>2</w:t>
            </w:r>
            <w:r>
              <w:rPr>
                <w:rFonts w:ascii="Arial" w:hAnsi="Arial" w:cs="Arial"/>
                <w:bCs/>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14:paraId="60D55FB0"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以</w:t>
            </w:r>
            <w:r>
              <w:rPr>
                <w:rFonts w:ascii="Arial" w:hAnsi="Arial" w:cs="Arial"/>
                <w:bCs/>
                <w:sz w:val="18"/>
                <w:szCs w:val="18"/>
              </w:rPr>
              <w:t>“</w:t>
            </w:r>
            <w:r>
              <w:rPr>
                <w:rFonts w:ascii="Arial" w:hAnsi="Arial" w:cs="Arial"/>
                <w:bCs/>
                <w:sz w:val="18"/>
                <w:szCs w:val="18"/>
              </w:rPr>
              <w:t>（</w:t>
            </w:r>
            <w:r>
              <w:rPr>
                <w:rFonts w:ascii="Arial" w:hAnsi="Arial" w:cs="Arial"/>
                <w:bCs/>
                <w:sz w:val="18"/>
                <w:szCs w:val="18"/>
              </w:rPr>
              <w:t>1</w:t>
            </w:r>
            <w:r>
              <w:rPr>
                <w:rFonts w:ascii="Arial" w:hAnsi="Arial" w:cs="Arial"/>
                <w:bCs/>
                <w:sz w:val="18"/>
                <w:szCs w:val="18"/>
              </w:rPr>
              <w:t>）</w:t>
            </w:r>
            <w:r>
              <w:rPr>
                <w:rFonts w:ascii="Arial" w:hAnsi="Arial" w:cs="Arial"/>
                <w:bCs/>
                <w:sz w:val="18"/>
                <w:szCs w:val="18"/>
              </w:rPr>
              <w:t>-</w:t>
            </w:r>
            <w:r>
              <w:rPr>
                <w:rFonts w:ascii="Arial" w:hAnsi="Arial" w:cs="Arial"/>
                <w:bCs/>
                <w:sz w:val="18"/>
                <w:szCs w:val="18"/>
              </w:rPr>
              <w:t>（</w:t>
            </w:r>
            <w:r>
              <w:rPr>
                <w:rFonts w:ascii="Arial" w:hAnsi="Arial" w:cs="Arial"/>
                <w:bCs/>
                <w:sz w:val="18"/>
                <w:szCs w:val="18"/>
              </w:rPr>
              <w:t>3</w:t>
            </w:r>
            <w:r>
              <w:rPr>
                <w:rFonts w:ascii="Arial" w:hAnsi="Arial" w:cs="Arial"/>
                <w:bCs/>
                <w:sz w:val="18"/>
                <w:szCs w:val="18"/>
              </w:rPr>
              <w:t>）</w:t>
            </w:r>
            <w:r>
              <w:rPr>
                <w:rFonts w:ascii="Arial" w:hAnsi="Arial" w:cs="Arial"/>
                <w:bCs/>
                <w:sz w:val="18"/>
                <w:szCs w:val="18"/>
              </w:rPr>
              <w:t>”</w:t>
            </w:r>
            <w:r>
              <w:rPr>
                <w:rFonts w:ascii="Arial" w:hAnsi="Arial" w:cs="Arial"/>
                <w:bCs/>
                <w:sz w:val="18"/>
                <w:szCs w:val="18"/>
              </w:rPr>
              <w:t>为基数计算</w:t>
            </w:r>
          </w:p>
        </w:tc>
      </w:tr>
      <w:tr w:rsidR="00000000" w14:paraId="03BA3EFC"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3F5378DF"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5</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0050E58C"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销售费用</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3A82D9DE" w14:textId="77777777" w:rsidR="00000000" w:rsidRDefault="00000000">
            <w:pPr>
              <w:widowControl/>
              <w:adjustRightInd/>
              <w:spacing w:line="240" w:lineRule="auto"/>
              <w:rPr>
                <w:rFonts w:ascii="Arial" w:hAnsi="Arial" w:cs="Arial"/>
                <w:bCs/>
                <w:sz w:val="18"/>
                <w:szCs w:val="18"/>
              </w:rPr>
            </w:pPr>
            <w:r>
              <w:rPr>
                <w:rFonts w:ascii="Arial" w:hAnsi="Arial" w:cs="Arial" w:hint="eastAsia"/>
                <w:bCs/>
                <w:sz w:val="18"/>
                <w:szCs w:val="18"/>
              </w:rPr>
              <w:t>736</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48ECE15B" w14:textId="77777777" w:rsidR="00000000" w:rsidRDefault="00000000">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428E41C4" w14:textId="77777777" w:rsidR="00000000" w:rsidRDefault="00000000">
            <w:pPr>
              <w:widowControl/>
              <w:adjustRightInd/>
              <w:spacing w:line="240" w:lineRule="auto"/>
              <w:rPr>
                <w:rFonts w:ascii="Arial" w:hAnsi="Arial" w:cs="Arial"/>
                <w:bCs/>
                <w:sz w:val="18"/>
                <w:szCs w:val="18"/>
              </w:rPr>
            </w:pPr>
            <w:r>
              <w:rPr>
                <w:rFonts w:ascii="Arial" w:hAnsi="Arial" w:cs="Arial" w:hint="eastAsia"/>
                <w:bCs/>
                <w:sz w:val="18"/>
                <w:szCs w:val="18"/>
              </w:rPr>
              <w:t>3</w:t>
            </w:r>
            <w:r>
              <w:rPr>
                <w:rFonts w:ascii="Arial" w:hAnsi="Arial" w:cs="Arial"/>
                <w:bCs/>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14:paraId="667DD0A5"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以</w:t>
            </w:r>
            <w:r>
              <w:rPr>
                <w:rFonts w:ascii="Arial" w:hAnsi="Arial" w:cs="Arial"/>
                <w:sz w:val="18"/>
                <w:szCs w:val="18"/>
              </w:rPr>
              <w:t>1</w:t>
            </w:r>
            <w:r>
              <w:rPr>
                <w:rFonts w:ascii="Arial" w:hAnsi="Arial" w:cs="Arial"/>
                <w:sz w:val="18"/>
                <w:szCs w:val="18"/>
              </w:rPr>
              <w:t>为基数计取</w:t>
            </w:r>
          </w:p>
        </w:tc>
      </w:tr>
      <w:tr w:rsidR="00000000" w14:paraId="747A07E5"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1B0EF263"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6</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27757338"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购地税费</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5FD1E81C" w14:textId="77777777" w:rsidR="00000000" w:rsidRDefault="00000000">
            <w:pPr>
              <w:widowControl/>
              <w:adjustRightInd/>
              <w:spacing w:line="240" w:lineRule="auto"/>
              <w:rPr>
                <w:rFonts w:ascii="Arial" w:hAnsi="Arial" w:cs="Arial"/>
                <w:bCs/>
                <w:sz w:val="18"/>
                <w:szCs w:val="18"/>
              </w:rPr>
            </w:pPr>
            <w:r>
              <w:rPr>
                <w:rFonts w:ascii="Arial" w:hAnsi="Arial" w:cs="Arial" w:hint="eastAsia"/>
                <w:bCs/>
                <w:sz w:val="18"/>
                <w:szCs w:val="18"/>
              </w:rPr>
              <w:t>0.029</w:t>
            </w:r>
            <w:r>
              <w:rPr>
                <w:rFonts w:ascii="Arial" w:hAnsi="Arial" w:cs="Arial"/>
                <w:bCs/>
                <w:sz w:val="18"/>
                <w:szCs w:val="18"/>
              </w:rPr>
              <w:t>% P</w:t>
            </w:r>
            <w:r>
              <w:rPr>
                <w:rFonts w:ascii="Arial" w:hAnsi="Arial" w:cs="Arial"/>
                <w:bCs/>
                <w:sz w:val="18"/>
                <w:szCs w:val="18"/>
                <w:vertAlign w:val="subscript"/>
              </w:rPr>
              <w:t>土</w:t>
            </w:r>
          </w:p>
        </w:tc>
        <w:tc>
          <w:tcPr>
            <w:tcW w:w="654" w:type="pct"/>
            <w:tcBorders>
              <w:top w:val="single" w:sz="2" w:space="0" w:color="404040"/>
              <w:left w:val="single" w:sz="2" w:space="0" w:color="404040"/>
              <w:bottom w:val="single" w:sz="2" w:space="0" w:color="404040"/>
              <w:right w:val="single" w:sz="2" w:space="0" w:color="404040"/>
            </w:tcBorders>
            <w:noWrap/>
            <w:vAlign w:val="bottom"/>
          </w:tcPr>
          <w:p w14:paraId="12C25FED" w14:textId="77777777" w:rsidR="00000000" w:rsidRDefault="00000000">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45E6D433"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3.05%</w:t>
            </w:r>
          </w:p>
        </w:tc>
        <w:tc>
          <w:tcPr>
            <w:tcW w:w="1401" w:type="pct"/>
            <w:tcBorders>
              <w:top w:val="single" w:sz="2" w:space="0" w:color="404040"/>
              <w:left w:val="single" w:sz="2" w:space="0" w:color="404040"/>
              <w:bottom w:val="single" w:sz="2" w:space="0" w:color="404040"/>
              <w:right w:val="single" w:sz="2" w:space="0" w:color="404040"/>
            </w:tcBorders>
          </w:tcPr>
          <w:p w14:paraId="43677ED8"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以</w:t>
            </w:r>
            <w:r>
              <w:rPr>
                <w:rFonts w:ascii="Arial" w:hAnsi="Arial" w:cs="Arial" w:hint="eastAsia"/>
                <w:bCs/>
                <w:sz w:val="18"/>
                <w:szCs w:val="18"/>
              </w:rPr>
              <w:t>咨询</w:t>
            </w:r>
            <w:r>
              <w:rPr>
                <w:rFonts w:ascii="Arial" w:hAnsi="Arial" w:cs="Arial"/>
                <w:bCs/>
                <w:sz w:val="18"/>
                <w:szCs w:val="18"/>
              </w:rPr>
              <w:t>对象土地价格</w:t>
            </w:r>
            <w:r>
              <w:rPr>
                <w:rFonts w:ascii="Arial" w:hAnsi="Arial" w:cs="Arial"/>
                <w:bCs/>
                <w:sz w:val="18"/>
                <w:szCs w:val="18"/>
              </w:rPr>
              <w:t>/(1+5%)</w:t>
            </w:r>
            <w:r>
              <w:rPr>
                <w:rFonts w:ascii="Arial" w:hAnsi="Arial" w:cs="Arial"/>
                <w:bCs/>
                <w:sz w:val="18"/>
                <w:szCs w:val="18"/>
              </w:rPr>
              <w:t>为基数记取</w:t>
            </w:r>
          </w:p>
        </w:tc>
      </w:tr>
      <w:tr w:rsidR="00000000" w14:paraId="748F66EE"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088DDDD2"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7</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45837E0E"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投资利息</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6087C4D6" w14:textId="77777777" w:rsidR="00000000" w:rsidRDefault="00000000">
            <w:pPr>
              <w:widowControl/>
              <w:adjustRightInd/>
              <w:spacing w:line="240" w:lineRule="auto"/>
              <w:rPr>
                <w:rFonts w:ascii="Arial" w:hAnsi="Arial" w:cs="Arial"/>
                <w:bCs/>
                <w:sz w:val="18"/>
                <w:szCs w:val="18"/>
              </w:rPr>
            </w:pPr>
            <w:r>
              <w:rPr>
                <w:rFonts w:ascii="Arial" w:hAnsi="Arial" w:cs="Arial" w:hint="eastAsia"/>
                <w:bCs/>
                <w:sz w:val="18"/>
                <w:szCs w:val="18"/>
              </w:rPr>
              <w:t>627+</w:t>
            </w:r>
            <w:r>
              <w:rPr>
                <w:rFonts w:ascii="Arial" w:hAnsi="Arial" w:cs="Arial"/>
                <w:bCs/>
                <w:sz w:val="18"/>
                <w:szCs w:val="18"/>
              </w:rPr>
              <w:t>0.</w:t>
            </w:r>
            <w:r>
              <w:rPr>
                <w:rFonts w:ascii="Arial" w:hAnsi="Arial" w:cs="Arial" w:hint="eastAsia"/>
                <w:bCs/>
                <w:sz w:val="18"/>
                <w:szCs w:val="18"/>
              </w:rPr>
              <w:t>068</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53973935" w14:textId="77777777" w:rsidR="00000000" w:rsidRDefault="00000000">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6B7A7C92" w14:textId="77777777" w:rsidR="00000000" w:rsidRDefault="00000000">
            <w:pPr>
              <w:widowControl/>
              <w:adjustRightInd/>
              <w:spacing w:line="240" w:lineRule="auto"/>
              <w:rPr>
                <w:rFonts w:ascii="Arial" w:hAnsi="Arial" w:cs="Arial"/>
                <w:bCs/>
                <w:sz w:val="18"/>
                <w:szCs w:val="18"/>
              </w:rPr>
            </w:pPr>
            <w:r>
              <w:rPr>
                <w:rFonts w:ascii="Arial" w:hAnsi="Arial" w:cs="Arial" w:hint="eastAsia"/>
                <w:bCs/>
                <w:sz w:val="18"/>
                <w:szCs w:val="18"/>
              </w:rPr>
              <w:t>3.25</w:t>
            </w:r>
            <w:r>
              <w:rPr>
                <w:rFonts w:ascii="Arial" w:hAnsi="Arial" w:cs="Arial"/>
                <w:bCs/>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14:paraId="5509D078"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复利计息。后续开发成本、管理费用及销售费用产生的利息</w:t>
            </w:r>
          </w:p>
        </w:tc>
      </w:tr>
      <w:tr w:rsidR="00000000" w14:paraId="1686C8CA"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3C6CA269" w14:textId="77777777" w:rsidR="00000000" w:rsidRDefault="00000000">
            <w:pPr>
              <w:widowControl/>
              <w:adjustRightInd/>
              <w:spacing w:line="240" w:lineRule="auto"/>
              <w:jc w:val="right"/>
              <w:rPr>
                <w:rFonts w:ascii="Arial" w:hAnsi="Arial" w:cs="Arial"/>
                <w:sz w:val="18"/>
                <w:szCs w:val="18"/>
              </w:rPr>
            </w:pPr>
            <w:r>
              <w:rPr>
                <w:rFonts w:ascii="Arial" w:hAnsi="Arial" w:cs="Arial"/>
                <w:sz w:val="18"/>
                <w:szCs w:val="18"/>
              </w:rPr>
              <w:t>1</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2E9F69FE"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土地购买价格及购地税费产生的利息</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34B1F291" w14:textId="77777777" w:rsidR="00000000" w:rsidRDefault="00000000">
            <w:pPr>
              <w:widowControl/>
              <w:adjustRightInd/>
              <w:spacing w:line="240" w:lineRule="auto"/>
              <w:rPr>
                <w:rFonts w:ascii="Arial" w:hAnsi="Arial" w:cs="Arial"/>
                <w:sz w:val="18"/>
                <w:szCs w:val="18"/>
              </w:rPr>
            </w:pPr>
            <w:r>
              <w:rPr>
                <w:rFonts w:ascii="Arial" w:hAnsi="Arial" w:cs="Arial" w:hint="eastAsia"/>
                <w:bCs/>
                <w:sz w:val="18"/>
                <w:szCs w:val="18"/>
              </w:rPr>
              <w:t>0.068</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29B36E7B" w14:textId="77777777" w:rsidR="00000000" w:rsidRDefault="00000000">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63A23B4D" w14:textId="77777777" w:rsidR="00000000" w:rsidRDefault="00000000">
            <w:pPr>
              <w:widowControl/>
              <w:adjustRightInd/>
              <w:spacing w:line="240" w:lineRule="auto"/>
              <w:rPr>
                <w:rFonts w:ascii="Arial" w:hAnsi="Arial" w:cs="Arial"/>
                <w:sz w:val="18"/>
                <w:szCs w:val="18"/>
              </w:rPr>
            </w:pPr>
          </w:p>
        </w:tc>
        <w:tc>
          <w:tcPr>
            <w:tcW w:w="1401" w:type="pct"/>
            <w:tcBorders>
              <w:top w:val="single" w:sz="2" w:space="0" w:color="404040"/>
              <w:left w:val="single" w:sz="2" w:space="0" w:color="404040"/>
              <w:bottom w:val="single" w:sz="2" w:space="0" w:color="404040"/>
              <w:right w:val="single" w:sz="2" w:space="0" w:color="404040"/>
            </w:tcBorders>
          </w:tcPr>
          <w:p w14:paraId="61C9D1E9"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w:t>
            </w:r>
            <w:r>
              <w:rPr>
                <w:rFonts w:ascii="Arial" w:hAnsi="Arial" w:cs="Arial"/>
                <w:sz w:val="18"/>
                <w:szCs w:val="18"/>
              </w:rPr>
              <w:t>1+</w:t>
            </w:r>
            <w:r>
              <w:rPr>
                <w:rFonts w:ascii="Arial" w:hAnsi="Arial" w:cs="Arial"/>
                <w:sz w:val="18"/>
                <w:szCs w:val="18"/>
              </w:rPr>
              <w:t>取得税费率</w:t>
            </w:r>
            <w:r>
              <w:rPr>
                <w:rFonts w:ascii="Arial" w:hAnsi="Arial" w:cs="Arial"/>
                <w:sz w:val="18"/>
                <w:szCs w:val="18"/>
              </w:rPr>
              <w:t>/(1+5%)</w:t>
            </w:r>
            <w:r>
              <w:rPr>
                <w:rFonts w:ascii="Arial" w:hAnsi="Arial" w:cs="Arial"/>
                <w:sz w:val="18"/>
                <w:szCs w:val="18"/>
              </w:rPr>
              <w:t>）</w:t>
            </w:r>
            <w:r>
              <w:rPr>
                <w:rFonts w:ascii="Arial" w:hAnsi="Arial" w:cs="Arial"/>
                <w:sz w:val="18"/>
                <w:szCs w:val="18"/>
              </w:rPr>
              <w:t>×</w:t>
            </w:r>
            <w:r>
              <w:rPr>
                <w:rFonts w:ascii="Arial" w:hAnsi="Arial" w:cs="Arial"/>
                <w:sz w:val="18"/>
                <w:szCs w:val="18"/>
              </w:rPr>
              <w:t>年利率</w:t>
            </w:r>
            <w:r>
              <w:rPr>
                <w:rFonts w:ascii="Arial" w:hAnsi="Arial" w:cs="Arial"/>
                <w:sz w:val="18"/>
                <w:szCs w:val="18"/>
              </w:rPr>
              <w:t>×</w:t>
            </w:r>
            <w:r>
              <w:rPr>
                <w:rFonts w:ascii="Arial" w:hAnsi="Arial" w:cs="Arial"/>
                <w:sz w:val="18"/>
                <w:szCs w:val="18"/>
              </w:rPr>
              <w:t>建设期</w:t>
            </w:r>
          </w:p>
        </w:tc>
      </w:tr>
      <w:tr w:rsidR="00000000" w14:paraId="0DCD13AB"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4BD1AB7F" w14:textId="77777777" w:rsidR="00000000" w:rsidRDefault="00000000">
            <w:pPr>
              <w:widowControl/>
              <w:adjustRightInd/>
              <w:spacing w:line="240" w:lineRule="auto"/>
              <w:jc w:val="right"/>
              <w:rPr>
                <w:rFonts w:ascii="Arial" w:hAnsi="Arial" w:cs="Arial"/>
                <w:sz w:val="18"/>
                <w:szCs w:val="18"/>
              </w:rPr>
            </w:pPr>
            <w:r>
              <w:rPr>
                <w:rFonts w:ascii="Arial" w:hAnsi="Arial" w:cs="Arial"/>
                <w:sz w:val="18"/>
                <w:szCs w:val="18"/>
              </w:rPr>
              <w:t>2</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45AD173B"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w:t>
            </w:r>
            <w:r>
              <w:rPr>
                <w:rFonts w:ascii="Arial" w:hAnsi="Arial" w:cs="Arial"/>
                <w:sz w:val="18"/>
                <w:szCs w:val="18"/>
              </w:rPr>
              <w:t>1</w:t>
            </w:r>
            <w:r>
              <w:rPr>
                <w:rFonts w:ascii="Arial" w:hAnsi="Arial" w:cs="Arial"/>
                <w:sz w:val="18"/>
                <w:szCs w:val="18"/>
              </w:rPr>
              <w:t>）</w:t>
            </w:r>
            <w:r>
              <w:rPr>
                <w:rFonts w:ascii="Arial" w:hAnsi="Arial" w:cs="Arial"/>
                <w:sz w:val="18"/>
                <w:szCs w:val="18"/>
              </w:rPr>
              <w:t>-</w:t>
            </w:r>
            <w:r>
              <w:rPr>
                <w:rFonts w:ascii="Arial" w:hAnsi="Arial" w:cs="Arial"/>
                <w:sz w:val="18"/>
                <w:szCs w:val="18"/>
              </w:rPr>
              <w:t>（</w:t>
            </w:r>
            <w:r>
              <w:rPr>
                <w:rFonts w:ascii="Arial" w:hAnsi="Arial" w:cs="Arial"/>
                <w:sz w:val="18"/>
                <w:szCs w:val="18"/>
              </w:rPr>
              <w:t>5</w:t>
            </w:r>
            <w:r>
              <w:rPr>
                <w:rFonts w:ascii="Arial" w:hAnsi="Arial" w:cs="Arial"/>
                <w:sz w:val="18"/>
                <w:szCs w:val="18"/>
              </w:rPr>
              <w:t>）项产生的利息</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1C610216" w14:textId="77777777" w:rsidR="00000000" w:rsidRDefault="00000000">
            <w:pPr>
              <w:widowControl/>
              <w:adjustRightInd/>
              <w:spacing w:line="240" w:lineRule="auto"/>
              <w:rPr>
                <w:rFonts w:ascii="Arial" w:hAnsi="Arial" w:cs="Arial"/>
                <w:sz w:val="18"/>
                <w:szCs w:val="18"/>
              </w:rPr>
            </w:pPr>
            <w:r>
              <w:rPr>
                <w:rFonts w:ascii="Arial" w:hAnsi="Arial" w:cs="Arial" w:hint="eastAsia"/>
                <w:sz w:val="18"/>
                <w:szCs w:val="18"/>
              </w:rPr>
              <w:t>627</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5099BCB0" w14:textId="77777777" w:rsidR="00000000" w:rsidRDefault="00000000">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34E89CB5" w14:textId="77777777" w:rsidR="00000000" w:rsidRDefault="00000000">
            <w:pPr>
              <w:widowControl/>
              <w:adjustRightInd/>
              <w:spacing w:line="240" w:lineRule="auto"/>
              <w:rPr>
                <w:rFonts w:ascii="Arial" w:hAnsi="Arial" w:cs="Arial"/>
                <w:sz w:val="18"/>
                <w:szCs w:val="18"/>
              </w:rPr>
            </w:pPr>
          </w:p>
        </w:tc>
        <w:tc>
          <w:tcPr>
            <w:tcW w:w="1401" w:type="pct"/>
            <w:tcBorders>
              <w:top w:val="single" w:sz="2" w:space="0" w:color="404040"/>
              <w:left w:val="single" w:sz="2" w:space="0" w:color="404040"/>
              <w:bottom w:val="single" w:sz="2" w:space="0" w:color="404040"/>
              <w:right w:val="single" w:sz="2" w:space="0" w:color="404040"/>
            </w:tcBorders>
          </w:tcPr>
          <w:p w14:paraId="5AD08D64"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w:t>
            </w:r>
            <w:r>
              <w:rPr>
                <w:rFonts w:ascii="Arial" w:hAnsi="Arial" w:cs="Arial"/>
                <w:sz w:val="18"/>
                <w:szCs w:val="18"/>
              </w:rPr>
              <w:t>1</w:t>
            </w:r>
            <w:r>
              <w:rPr>
                <w:rFonts w:ascii="Arial" w:hAnsi="Arial" w:cs="Arial"/>
                <w:sz w:val="18"/>
                <w:szCs w:val="18"/>
              </w:rPr>
              <w:t>）</w:t>
            </w:r>
            <w:r>
              <w:rPr>
                <w:rFonts w:ascii="Arial" w:hAnsi="Arial" w:cs="Arial"/>
                <w:sz w:val="18"/>
                <w:szCs w:val="18"/>
              </w:rPr>
              <w:t>-</w:t>
            </w:r>
            <w:r>
              <w:rPr>
                <w:rFonts w:ascii="Arial" w:hAnsi="Arial" w:cs="Arial"/>
                <w:sz w:val="18"/>
                <w:szCs w:val="18"/>
              </w:rPr>
              <w:t>（</w:t>
            </w:r>
            <w:r>
              <w:rPr>
                <w:rFonts w:ascii="Arial" w:hAnsi="Arial" w:cs="Arial"/>
                <w:sz w:val="18"/>
                <w:szCs w:val="18"/>
              </w:rPr>
              <w:t>4</w:t>
            </w:r>
            <w:r>
              <w:rPr>
                <w:rFonts w:ascii="Arial" w:hAnsi="Arial" w:cs="Arial"/>
                <w:sz w:val="18"/>
                <w:szCs w:val="18"/>
              </w:rPr>
              <w:t>）项</w:t>
            </w:r>
            <w:r>
              <w:rPr>
                <w:rFonts w:ascii="Arial" w:hAnsi="Arial" w:cs="Arial"/>
                <w:sz w:val="18"/>
                <w:szCs w:val="18"/>
              </w:rPr>
              <w:t>×</w:t>
            </w:r>
            <w:r>
              <w:rPr>
                <w:rFonts w:ascii="Arial" w:hAnsi="Arial" w:cs="Arial"/>
                <w:sz w:val="18"/>
                <w:szCs w:val="18"/>
              </w:rPr>
              <w:t>年利率</w:t>
            </w:r>
            <w:r>
              <w:rPr>
                <w:rFonts w:ascii="Arial" w:hAnsi="Arial" w:cs="Arial"/>
                <w:sz w:val="18"/>
                <w:szCs w:val="18"/>
              </w:rPr>
              <w:t>×</w:t>
            </w:r>
            <w:r>
              <w:rPr>
                <w:rFonts w:ascii="Arial" w:hAnsi="Arial" w:cs="Arial"/>
                <w:sz w:val="18"/>
                <w:szCs w:val="18"/>
              </w:rPr>
              <w:t>建设期</w:t>
            </w:r>
            <w:r>
              <w:rPr>
                <w:rFonts w:ascii="Arial" w:hAnsi="Arial" w:cs="Arial"/>
                <w:sz w:val="18"/>
                <w:szCs w:val="18"/>
              </w:rPr>
              <w:t>÷2</w:t>
            </w:r>
          </w:p>
        </w:tc>
      </w:tr>
      <w:tr w:rsidR="00000000" w14:paraId="53A2F823"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noWrap/>
            <w:vAlign w:val="center"/>
          </w:tcPr>
          <w:p w14:paraId="0F782E89"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w:t>
            </w:r>
            <w:r>
              <w:rPr>
                <w:rFonts w:ascii="Arial" w:hAnsi="Arial" w:cs="Arial"/>
                <w:bCs/>
                <w:sz w:val="18"/>
                <w:szCs w:val="18"/>
              </w:rPr>
              <w:t>8</w:t>
            </w:r>
            <w:r>
              <w:rPr>
                <w:rFonts w:ascii="Arial" w:hAnsi="Arial" w:cs="Arial"/>
                <w:bCs/>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109E0614"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销售税费</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195BEB9C" w14:textId="77777777" w:rsidR="00000000" w:rsidRDefault="00000000">
            <w:pPr>
              <w:widowControl/>
              <w:adjustRightInd/>
              <w:spacing w:line="240" w:lineRule="auto"/>
              <w:rPr>
                <w:rFonts w:ascii="Arial" w:hAnsi="Arial" w:cs="Arial"/>
                <w:bCs/>
                <w:sz w:val="18"/>
                <w:szCs w:val="18"/>
              </w:rPr>
            </w:pPr>
            <w:r>
              <w:rPr>
                <w:rFonts w:ascii="Arial" w:hAnsi="Arial" w:cs="Arial" w:hint="eastAsia"/>
                <w:bCs/>
                <w:sz w:val="18"/>
                <w:szCs w:val="18"/>
              </w:rPr>
              <w:t>1285</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766A77F1" w14:textId="77777777" w:rsidR="00000000" w:rsidRDefault="00000000">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6D884232" w14:textId="77777777" w:rsidR="00000000" w:rsidRDefault="00000000">
            <w:pPr>
              <w:widowControl/>
              <w:adjustRightInd/>
              <w:spacing w:line="240" w:lineRule="auto"/>
              <w:rPr>
                <w:rFonts w:ascii="Arial" w:hAnsi="Arial" w:cs="Arial"/>
                <w:bCs/>
                <w:sz w:val="18"/>
                <w:szCs w:val="18"/>
              </w:rPr>
            </w:pPr>
            <w:r>
              <w:rPr>
                <w:rFonts w:ascii="Arial" w:hAnsi="Arial" w:cs="Arial" w:hint="eastAsia"/>
                <w:bCs/>
                <w:sz w:val="18"/>
                <w:szCs w:val="18"/>
              </w:rPr>
              <w:t>5.5</w:t>
            </w:r>
            <w:r>
              <w:rPr>
                <w:rFonts w:ascii="Arial" w:hAnsi="Arial" w:cs="Arial"/>
                <w:bCs/>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14:paraId="1F607CDD"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以</w:t>
            </w:r>
            <w:r>
              <w:rPr>
                <w:rFonts w:ascii="Arial" w:hAnsi="Arial" w:cs="Arial"/>
                <w:sz w:val="18"/>
                <w:szCs w:val="18"/>
              </w:rPr>
              <w:t>“</w:t>
            </w:r>
            <w:r>
              <w:rPr>
                <w:rFonts w:ascii="Arial" w:hAnsi="Arial" w:cs="Arial"/>
                <w:sz w:val="18"/>
                <w:szCs w:val="18"/>
              </w:rPr>
              <w:t>开发完成后不动产总价</w:t>
            </w:r>
            <w:r>
              <w:rPr>
                <w:rFonts w:ascii="Arial" w:hAnsi="Arial" w:cs="Arial"/>
                <w:sz w:val="18"/>
                <w:szCs w:val="18"/>
              </w:rPr>
              <w:t>/</w:t>
            </w:r>
            <w:r>
              <w:rPr>
                <w:rFonts w:ascii="Arial" w:hAnsi="Arial" w:cs="Arial"/>
                <w:sz w:val="18"/>
                <w:szCs w:val="18"/>
              </w:rPr>
              <w:t>（</w:t>
            </w:r>
            <w:r>
              <w:rPr>
                <w:rFonts w:ascii="Arial" w:hAnsi="Arial" w:cs="Arial"/>
                <w:sz w:val="18"/>
                <w:szCs w:val="18"/>
              </w:rPr>
              <w:t>1+5%</w:t>
            </w:r>
            <w:r>
              <w:rPr>
                <w:rFonts w:ascii="Arial" w:hAnsi="Arial" w:cs="Arial"/>
                <w:sz w:val="18"/>
                <w:szCs w:val="18"/>
              </w:rPr>
              <w:t>）</w:t>
            </w:r>
            <w:r>
              <w:rPr>
                <w:rFonts w:ascii="Arial" w:hAnsi="Arial" w:cs="Arial"/>
                <w:sz w:val="18"/>
                <w:szCs w:val="18"/>
              </w:rPr>
              <w:t>”</w:t>
            </w:r>
            <w:r>
              <w:rPr>
                <w:rFonts w:ascii="Arial" w:hAnsi="Arial" w:cs="Arial"/>
                <w:sz w:val="18"/>
                <w:szCs w:val="18"/>
              </w:rPr>
              <w:t>为基数计取</w:t>
            </w:r>
          </w:p>
        </w:tc>
      </w:tr>
      <w:tr w:rsidR="00000000" w14:paraId="4ACF1013"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vAlign w:val="center"/>
          </w:tcPr>
          <w:p w14:paraId="2E1625FE"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3</w:t>
            </w:r>
          </w:p>
        </w:tc>
        <w:tc>
          <w:tcPr>
            <w:tcW w:w="1613" w:type="pct"/>
            <w:tcBorders>
              <w:top w:val="single" w:sz="2" w:space="0" w:color="404040"/>
              <w:left w:val="single" w:sz="2" w:space="0" w:color="404040"/>
              <w:bottom w:val="single" w:sz="2" w:space="0" w:color="404040"/>
              <w:right w:val="single" w:sz="2" w:space="0" w:color="404040"/>
            </w:tcBorders>
            <w:vAlign w:val="center"/>
          </w:tcPr>
          <w:p w14:paraId="22BC3B7F"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投资利润</w:t>
            </w:r>
          </w:p>
        </w:tc>
        <w:tc>
          <w:tcPr>
            <w:tcW w:w="540" w:type="pct"/>
            <w:tcBorders>
              <w:top w:val="single" w:sz="2" w:space="0" w:color="404040"/>
              <w:left w:val="single" w:sz="2" w:space="0" w:color="404040"/>
              <w:bottom w:val="single" w:sz="2" w:space="0" w:color="404040"/>
              <w:right w:val="single" w:sz="2" w:space="0" w:color="404040"/>
            </w:tcBorders>
            <w:vAlign w:val="center"/>
          </w:tcPr>
          <w:p w14:paraId="2A432FC9" w14:textId="77777777" w:rsidR="00000000" w:rsidRDefault="00000000">
            <w:pPr>
              <w:widowControl/>
              <w:adjustRightInd/>
              <w:spacing w:line="240" w:lineRule="auto"/>
              <w:rPr>
                <w:rFonts w:ascii="Arial" w:hAnsi="Arial" w:cs="Arial"/>
                <w:bCs/>
                <w:sz w:val="18"/>
                <w:szCs w:val="18"/>
              </w:rPr>
            </w:pPr>
            <w:r>
              <w:rPr>
                <w:rFonts w:ascii="Arial" w:hAnsi="Arial" w:cs="Arial" w:hint="eastAsia"/>
                <w:bCs/>
                <w:sz w:val="18"/>
                <w:szCs w:val="18"/>
              </w:rPr>
              <w:t>579+</w:t>
            </w:r>
            <w:r>
              <w:rPr>
                <w:rFonts w:ascii="Arial" w:hAnsi="Arial" w:cs="Arial"/>
                <w:bCs/>
                <w:sz w:val="18"/>
                <w:szCs w:val="18"/>
              </w:rPr>
              <w:t>0.0</w:t>
            </w:r>
            <w:r>
              <w:rPr>
                <w:rFonts w:ascii="Arial" w:hAnsi="Arial" w:cs="Arial" w:hint="eastAsia"/>
                <w:bCs/>
                <w:sz w:val="18"/>
                <w:szCs w:val="18"/>
              </w:rPr>
              <w:t>309</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6E8CF1C8" w14:textId="77777777" w:rsidR="00000000" w:rsidRDefault="00000000">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vAlign w:val="center"/>
          </w:tcPr>
          <w:p w14:paraId="3024759A" w14:textId="77777777" w:rsidR="00000000" w:rsidRDefault="00000000">
            <w:pPr>
              <w:widowControl/>
              <w:adjustRightInd/>
              <w:spacing w:line="240" w:lineRule="auto"/>
              <w:rPr>
                <w:rFonts w:ascii="Arial" w:hAnsi="Arial" w:cs="Arial"/>
                <w:bCs/>
                <w:sz w:val="18"/>
                <w:szCs w:val="18"/>
              </w:rPr>
            </w:pPr>
            <w:r>
              <w:rPr>
                <w:rFonts w:ascii="Arial" w:hAnsi="Arial" w:cs="Arial" w:hint="eastAsia"/>
                <w:bCs/>
                <w:sz w:val="18"/>
                <w:szCs w:val="18"/>
              </w:rPr>
              <w:t>3</w:t>
            </w:r>
            <w:r>
              <w:rPr>
                <w:rFonts w:ascii="Arial" w:hAnsi="Arial" w:cs="Arial"/>
                <w:bCs/>
                <w:sz w:val="18"/>
                <w:szCs w:val="18"/>
              </w:rPr>
              <w:t>%</w:t>
            </w:r>
          </w:p>
        </w:tc>
        <w:tc>
          <w:tcPr>
            <w:tcW w:w="1401" w:type="pct"/>
            <w:tcBorders>
              <w:top w:val="single" w:sz="2" w:space="0" w:color="404040"/>
              <w:left w:val="single" w:sz="2" w:space="0" w:color="404040"/>
              <w:bottom w:val="single" w:sz="2" w:space="0" w:color="404040"/>
              <w:right w:val="single" w:sz="2" w:space="0" w:color="404040"/>
            </w:tcBorders>
          </w:tcPr>
          <w:p w14:paraId="01C056D0" w14:textId="77777777" w:rsidR="00000000" w:rsidRDefault="00000000">
            <w:pPr>
              <w:widowControl/>
              <w:adjustRightInd/>
              <w:spacing w:line="240" w:lineRule="auto"/>
              <w:rPr>
                <w:rFonts w:ascii="Arial" w:hAnsi="Arial" w:cs="Arial"/>
                <w:sz w:val="18"/>
                <w:szCs w:val="18"/>
              </w:rPr>
            </w:pPr>
          </w:p>
        </w:tc>
      </w:tr>
      <w:tr w:rsidR="00000000" w14:paraId="1EEE05CF"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vAlign w:val="center"/>
          </w:tcPr>
          <w:p w14:paraId="04A890AF" w14:textId="77777777" w:rsidR="00000000" w:rsidRDefault="00000000">
            <w:pPr>
              <w:widowControl/>
              <w:adjustRightInd/>
              <w:spacing w:line="240" w:lineRule="auto"/>
              <w:jc w:val="right"/>
              <w:rPr>
                <w:rFonts w:ascii="Arial" w:hAnsi="Arial" w:cs="Arial"/>
                <w:sz w:val="18"/>
                <w:szCs w:val="18"/>
              </w:rPr>
            </w:pPr>
            <w:r>
              <w:rPr>
                <w:rFonts w:ascii="Arial" w:hAnsi="Arial" w:cs="Arial"/>
                <w:sz w:val="18"/>
                <w:szCs w:val="18"/>
              </w:rPr>
              <w:t>1</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51C343A5"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土地购买价格及购地税费应计的利润</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4B06E203"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0.0</w:t>
            </w:r>
            <w:r>
              <w:rPr>
                <w:rFonts w:ascii="Arial" w:hAnsi="Arial" w:cs="Arial" w:hint="eastAsia"/>
                <w:sz w:val="18"/>
                <w:szCs w:val="18"/>
              </w:rPr>
              <w:t>309</w:t>
            </w:r>
            <w:r>
              <w:rPr>
                <w:rFonts w:ascii="Arial" w:hAnsi="Arial" w:cs="Arial"/>
                <w:bCs/>
                <w:sz w:val="18"/>
                <w:szCs w:val="18"/>
              </w:rPr>
              <w:t>P</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62197B75" w14:textId="77777777" w:rsidR="00000000" w:rsidRDefault="00000000">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vAlign w:val="center"/>
          </w:tcPr>
          <w:p w14:paraId="06A226B4" w14:textId="77777777" w:rsidR="00000000" w:rsidRDefault="00000000">
            <w:pPr>
              <w:widowControl/>
              <w:adjustRightInd/>
              <w:spacing w:line="240" w:lineRule="auto"/>
              <w:rPr>
                <w:rFonts w:ascii="Arial" w:hAnsi="Arial" w:cs="Arial"/>
                <w:sz w:val="18"/>
                <w:szCs w:val="18"/>
              </w:rPr>
            </w:pPr>
          </w:p>
        </w:tc>
        <w:tc>
          <w:tcPr>
            <w:tcW w:w="1401" w:type="pct"/>
            <w:tcBorders>
              <w:top w:val="single" w:sz="2" w:space="0" w:color="404040"/>
              <w:left w:val="single" w:sz="2" w:space="0" w:color="404040"/>
              <w:bottom w:val="single" w:sz="2" w:space="0" w:color="404040"/>
              <w:right w:val="single" w:sz="2" w:space="0" w:color="404040"/>
            </w:tcBorders>
          </w:tcPr>
          <w:p w14:paraId="15B369C9"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w:t>
            </w:r>
            <w:r>
              <w:rPr>
                <w:rFonts w:ascii="Arial" w:hAnsi="Arial" w:cs="Arial"/>
                <w:sz w:val="18"/>
                <w:szCs w:val="18"/>
              </w:rPr>
              <w:t>P+P*</w:t>
            </w:r>
            <w:r>
              <w:rPr>
                <w:rFonts w:ascii="Arial" w:hAnsi="Arial" w:cs="Arial"/>
                <w:sz w:val="18"/>
                <w:szCs w:val="18"/>
              </w:rPr>
              <w:t>取得税费</w:t>
            </w:r>
            <w:r>
              <w:rPr>
                <w:rFonts w:ascii="Arial" w:hAnsi="Arial" w:cs="Arial"/>
                <w:sz w:val="18"/>
                <w:szCs w:val="18"/>
              </w:rPr>
              <w:t>/(1+5%)</w:t>
            </w:r>
            <w:r>
              <w:rPr>
                <w:rFonts w:ascii="Arial" w:hAnsi="Arial" w:cs="Arial"/>
                <w:sz w:val="18"/>
                <w:szCs w:val="18"/>
              </w:rPr>
              <w:t>）</w:t>
            </w:r>
            <w:r>
              <w:rPr>
                <w:rFonts w:ascii="Arial" w:hAnsi="Arial" w:cs="Arial"/>
                <w:sz w:val="18"/>
                <w:szCs w:val="18"/>
              </w:rPr>
              <w:t>*</w:t>
            </w:r>
            <w:r>
              <w:rPr>
                <w:rFonts w:ascii="Arial" w:hAnsi="Arial" w:cs="Arial"/>
                <w:sz w:val="18"/>
                <w:szCs w:val="18"/>
              </w:rPr>
              <w:t>利润率</w:t>
            </w:r>
          </w:p>
        </w:tc>
      </w:tr>
      <w:tr w:rsidR="00000000" w14:paraId="6A07B022" w14:textId="77777777">
        <w:trPr>
          <w:cantSplit/>
          <w:jc w:val="center"/>
        </w:trPr>
        <w:tc>
          <w:tcPr>
            <w:tcW w:w="324" w:type="pct"/>
            <w:tcBorders>
              <w:top w:val="single" w:sz="2" w:space="0" w:color="404040"/>
              <w:left w:val="single" w:sz="2" w:space="0" w:color="404040"/>
              <w:bottom w:val="single" w:sz="2" w:space="0" w:color="404040"/>
              <w:right w:val="single" w:sz="2" w:space="0" w:color="404040"/>
            </w:tcBorders>
            <w:vAlign w:val="center"/>
          </w:tcPr>
          <w:p w14:paraId="2C619C1C" w14:textId="77777777" w:rsidR="00000000" w:rsidRDefault="00000000">
            <w:pPr>
              <w:widowControl/>
              <w:adjustRightInd/>
              <w:spacing w:line="240" w:lineRule="auto"/>
              <w:jc w:val="right"/>
              <w:rPr>
                <w:rFonts w:ascii="Arial" w:hAnsi="Arial" w:cs="Arial"/>
                <w:sz w:val="18"/>
                <w:szCs w:val="18"/>
              </w:rPr>
            </w:pPr>
            <w:r>
              <w:rPr>
                <w:rFonts w:ascii="Arial" w:hAnsi="Arial" w:cs="Arial"/>
                <w:sz w:val="18"/>
                <w:szCs w:val="18"/>
              </w:rPr>
              <w:t>2</w:t>
            </w:r>
            <w:r>
              <w:rPr>
                <w:rFonts w:ascii="Arial" w:hAnsi="Arial" w:cs="Arial"/>
                <w:sz w:val="18"/>
                <w:szCs w:val="18"/>
              </w:rPr>
              <w:t>）</w:t>
            </w:r>
          </w:p>
        </w:tc>
        <w:tc>
          <w:tcPr>
            <w:tcW w:w="1613" w:type="pct"/>
            <w:tcBorders>
              <w:top w:val="single" w:sz="2" w:space="0" w:color="404040"/>
              <w:left w:val="single" w:sz="2" w:space="0" w:color="404040"/>
              <w:bottom w:val="single" w:sz="2" w:space="0" w:color="404040"/>
              <w:right w:val="single" w:sz="2" w:space="0" w:color="404040"/>
            </w:tcBorders>
            <w:noWrap/>
            <w:vAlign w:val="center"/>
          </w:tcPr>
          <w:p w14:paraId="37AEA3B5" w14:textId="77777777" w:rsidR="00000000" w:rsidRDefault="00000000">
            <w:pPr>
              <w:widowControl/>
              <w:adjustRightInd/>
              <w:spacing w:line="240" w:lineRule="auto"/>
              <w:rPr>
                <w:rFonts w:ascii="Arial" w:hAnsi="Arial" w:cs="Arial"/>
                <w:sz w:val="18"/>
                <w:szCs w:val="18"/>
              </w:rPr>
            </w:pPr>
            <w:r>
              <w:rPr>
                <w:rFonts w:ascii="Arial" w:hAnsi="Arial" w:cs="Arial"/>
                <w:sz w:val="18"/>
                <w:szCs w:val="18"/>
              </w:rPr>
              <w:t>（</w:t>
            </w:r>
            <w:r>
              <w:rPr>
                <w:rFonts w:ascii="Arial" w:hAnsi="Arial" w:cs="Arial"/>
                <w:sz w:val="18"/>
                <w:szCs w:val="18"/>
              </w:rPr>
              <w:t>1</w:t>
            </w:r>
            <w:r>
              <w:rPr>
                <w:rFonts w:ascii="Arial" w:hAnsi="Arial" w:cs="Arial"/>
                <w:sz w:val="18"/>
                <w:szCs w:val="18"/>
              </w:rPr>
              <w:t>）</w:t>
            </w:r>
            <w:r>
              <w:rPr>
                <w:rFonts w:ascii="Arial" w:hAnsi="Arial" w:cs="Arial"/>
                <w:sz w:val="18"/>
                <w:szCs w:val="18"/>
              </w:rPr>
              <w:t>-</w:t>
            </w:r>
            <w:r>
              <w:rPr>
                <w:rFonts w:ascii="Arial" w:hAnsi="Arial" w:cs="Arial"/>
                <w:sz w:val="18"/>
                <w:szCs w:val="18"/>
              </w:rPr>
              <w:t>（</w:t>
            </w:r>
            <w:r>
              <w:rPr>
                <w:rFonts w:ascii="Arial" w:hAnsi="Arial" w:cs="Arial"/>
                <w:sz w:val="18"/>
                <w:szCs w:val="18"/>
              </w:rPr>
              <w:t>5</w:t>
            </w:r>
            <w:r>
              <w:rPr>
                <w:rFonts w:ascii="Arial" w:hAnsi="Arial" w:cs="Arial"/>
                <w:sz w:val="18"/>
                <w:szCs w:val="18"/>
              </w:rPr>
              <w:t>）项及销售费用产生的利息</w:t>
            </w:r>
          </w:p>
        </w:tc>
        <w:tc>
          <w:tcPr>
            <w:tcW w:w="540" w:type="pct"/>
            <w:tcBorders>
              <w:top w:val="single" w:sz="2" w:space="0" w:color="404040"/>
              <w:left w:val="single" w:sz="2" w:space="0" w:color="404040"/>
              <w:bottom w:val="single" w:sz="2" w:space="0" w:color="404040"/>
              <w:right w:val="single" w:sz="2" w:space="0" w:color="404040"/>
            </w:tcBorders>
            <w:vAlign w:val="center"/>
          </w:tcPr>
          <w:p w14:paraId="41CB1FCF" w14:textId="77777777" w:rsidR="00000000" w:rsidRDefault="00000000">
            <w:pPr>
              <w:widowControl/>
              <w:adjustRightInd/>
              <w:spacing w:line="240" w:lineRule="auto"/>
              <w:rPr>
                <w:rFonts w:ascii="Arial" w:hAnsi="Arial" w:cs="Arial"/>
                <w:sz w:val="18"/>
                <w:szCs w:val="18"/>
              </w:rPr>
            </w:pPr>
            <w:r>
              <w:rPr>
                <w:rFonts w:ascii="Arial" w:hAnsi="Arial" w:cs="Arial" w:hint="eastAsia"/>
                <w:sz w:val="18"/>
                <w:szCs w:val="18"/>
              </w:rPr>
              <w:t>579</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289025DD" w14:textId="77777777" w:rsidR="00000000" w:rsidRDefault="00000000">
            <w:pPr>
              <w:widowControl/>
              <w:adjustRightInd/>
              <w:spacing w:line="240" w:lineRule="auto"/>
              <w:rPr>
                <w:rFonts w:ascii="Arial" w:hAnsi="Arial" w:cs="Arial"/>
                <w:sz w:val="18"/>
                <w:szCs w:val="18"/>
              </w:rPr>
            </w:pPr>
          </w:p>
        </w:tc>
        <w:tc>
          <w:tcPr>
            <w:tcW w:w="468" w:type="pct"/>
            <w:tcBorders>
              <w:top w:val="single" w:sz="2" w:space="0" w:color="404040"/>
              <w:left w:val="single" w:sz="2" w:space="0" w:color="404040"/>
              <w:bottom w:val="single" w:sz="2" w:space="0" w:color="404040"/>
              <w:right w:val="single" w:sz="2" w:space="0" w:color="404040"/>
            </w:tcBorders>
            <w:vAlign w:val="center"/>
          </w:tcPr>
          <w:p w14:paraId="3D0944B6" w14:textId="77777777" w:rsidR="00000000" w:rsidRDefault="00000000">
            <w:pPr>
              <w:widowControl/>
              <w:adjustRightInd/>
              <w:spacing w:line="240" w:lineRule="auto"/>
              <w:rPr>
                <w:rFonts w:ascii="Arial" w:hAnsi="Arial" w:cs="Arial"/>
                <w:sz w:val="18"/>
                <w:szCs w:val="18"/>
              </w:rPr>
            </w:pPr>
          </w:p>
        </w:tc>
        <w:tc>
          <w:tcPr>
            <w:tcW w:w="1401" w:type="pct"/>
            <w:tcBorders>
              <w:top w:val="single" w:sz="2" w:space="0" w:color="404040"/>
              <w:left w:val="single" w:sz="2" w:space="0" w:color="404040"/>
              <w:bottom w:val="single" w:sz="2" w:space="0" w:color="404040"/>
              <w:right w:val="single" w:sz="2" w:space="0" w:color="404040"/>
            </w:tcBorders>
          </w:tcPr>
          <w:p w14:paraId="279DC127" w14:textId="77777777" w:rsidR="00000000" w:rsidRDefault="00000000">
            <w:pPr>
              <w:widowControl/>
              <w:adjustRightInd/>
              <w:spacing w:line="240" w:lineRule="auto"/>
              <w:rPr>
                <w:rFonts w:ascii="Arial" w:hAnsi="Arial" w:cs="Arial"/>
                <w:sz w:val="18"/>
                <w:szCs w:val="18"/>
              </w:rPr>
            </w:pPr>
          </w:p>
        </w:tc>
      </w:tr>
      <w:tr w:rsidR="00000000" w14:paraId="6D6C9FCD" w14:textId="77777777">
        <w:trPr>
          <w:cantSplit/>
          <w:jc w:val="center"/>
        </w:trPr>
        <w:tc>
          <w:tcPr>
            <w:tcW w:w="1937" w:type="pct"/>
            <w:gridSpan w:val="2"/>
            <w:tcBorders>
              <w:top w:val="single" w:sz="2" w:space="0" w:color="404040"/>
              <w:left w:val="single" w:sz="2" w:space="0" w:color="404040"/>
              <w:bottom w:val="single" w:sz="2" w:space="0" w:color="404040"/>
              <w:right w:val="single" w:sz="2" w:space="0" w:color="404040"/>
            </w:tcBorders>
            <w:noWrap/>
            <w:vAlign w:val="center"/>
          </w:tcPr>
          <w:p w14:paraId="43FD06AE"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4 .</w:t>
            </w:r>
            <w:r>
              <w:rPr>
                <w:rFonts w:ascii="Arial" w:hAnsi="Arial" w:cs="Arial"/>
                <w:bCs/>
                <w:sz w:val="18"/>
                <w:szCs w:val="18"/>
              </w:rPr>
              <w:t>土地价格</w:t>
            </w:r>
          </w:p>
        </w:tc>
        <w:tc>
          <w:tcPr>
            <w:tcW w:w="540" w:type="pct"/>
            <w:tcBorders>
              <w:top w:val="single" w:sz="2" w:space="0" w:color="404040"/>
              <w:left w:val="single" w:sz="2" w:space="0" w:color="404040"/>
              <w:bottom w:val="single" w:sz="2" w:space="0" w:color="404040"/>
              <w:right w:val="single" w:sz="2" w:space="0" w:color="404040"/>
            </w:tcBorders>
            <w:noWrap/>
            <w:vAlign w:val="center"/>
          </w:tcPr>
          <w:p w14:paraId="5CF6247D" w14:textId="77777777" w:rsidR="00000000" w:rsidRDefault="00000000">
            <w:pPr>
              <w:widowControl/>
              <w:adjustRightInd/>
              <w:spacing w:line="240" w:lineRule="auto"/>
              <w:rPr>
                <w:rFonts w:ascii="Arial" w:hAnsi="Arial" w:cs="Arial"/>
                <w:bCs/>
                <w:sz w:val="18"/>
                <w:szCs w:val="18"/>
              </w:rPr>
            </w:pPr>
            <w:r>
              <w:rPr>
                <w:rFonts w:ascii="Arial" w:hAnsi="Arial" w:cs="Arial" w:hint="eastAsia"/>
                <w:bCs/>
                <w:sz w:val="18"/>
                <w:szCs w:val="18"/>
              </w:rPr>
              <w:t>2438.16</w:t>
            </w:r>
          </w:p>
        </w:tc>
        <w:tc>
          <w:tcPr>
            <w:tcW w:w="654" w:type="pct"/>
            <w:tcBorders>
              <w:top w:val="single" w:sz="2" w:space="0" w:color="404040"/>
              <w:left w:val="single" w:sz="2" w:space="0" w:color="404040"/>
              <w:bottom w:val="single" w:sz="2" w:space="0" w:color="404040"/>
              <w:right w:val="single" w:sz="2" w:space="0" w:color="404040"/>
            </w:tcBorders>
            <w:noWrap/>
            <w:vAlign w:val="center"/>
          </w:tcPr>
          <w:p w14:paraId="69E2C319" w14:textId="77777777" w:rsidR="00000000" w:rsidRDefault="00000000">
            <w:pPr>
              <w:widowControl/>
              <w:adjustRightInd/>
              <w:spacing w:line="240" w:lineRule="auto"/>
              <w:rPr>
                <w:rFonts w:ascii="Arial" w:hAnsi="Arial" w:cs="Arial"/>
                <w:bCs/>
                <w:sz w:val="18"/>
                <w:szCs w:val="18"/>
              </w:rPr>
            </w:pPr>
          </w:p>
        </w:tc>
        <w:tc>
          <w:tcPr>
            <w:tcW w:w="468" w:type="pct"/>
            <w:tcBorders>
              <w:top w:val="single" w:sz="2" w:space="0" w:color="404040"/>
              <w:left w:val="single" w:sz="2" w:space="0" w:color="404040"/>
              <w:bottom w:val="single" w:sz="2" w:space="0" w:color="404040"/>
              <w:right w:val="single" w:sz="2" w:space="0" w:color="404040"/>
            </w:tcBorders>
            <w:noWrap/>
            <w:vAlign w:val="center"/>
          </w:tcPr>
          <w:p w14:paraId="3B63814E" w14:textId="77777777" w:rsidR="00000000" w:rsidRDefault="00000000">
            <w:pPr>
              <w:widowControl/>
              <w:adjustRightInd/>
              <w:spacing w:line="240" w:lineRule="auto"/>
              <w:rPr>
                <w:rFonts w:ascii="Arial" w:hAnsi="Arial" w:cs="Arial"/>
                <w:bCs/>
                <w:sz w:val="18"/>
                <w:szCs w:val="18"/>
              </w:rPr>
            </w:pPr>
          </w:p>
        </w:tc>
        <w:tc>
          <w:tcPr>
            <w:tcW w:w="1401" w:type="pct"/>
            <w:tcBorders>
              <w:top w:val="single" w:sz="2" w:space="0" w:color="404040"/>
              <w:left w:val="single" w:sz="2" w:space="0" w:color="404040"/>
              <w:bottom w:val="single" w:sz="2" w:space="0" w:color="404040"/>
              <w:right w:val="single" w:sz="2" w:space="0" w:color="404040"/>
            </w:tcBorders>
          </w:tcPr>
          <w:p w14:paraId="73646466" w14:textId="77777777" w:rsidR="00000000" w:rsidRDefault="00000000">
            <w:pPr>
              <w:widowControl/>
              <w:adjustRightInd/>
              <w:spacing w:line="240" w:lineRule="auto"/>
              <w:rPr>
                <w:rFonts w:ascii="Arial" w:hAnsi="Arial" w:cs="Arial"/>
                <w:bCs/>
                <w:sz w:val="18"/>
                <w:szCs w:val="18"/>
              </w:rPr>
            </w:pPr>
            <w:r>
              <w:rPr>
                <w:rFonts w:ascii="Arial" w:hAnsi="Arial" w:cs="Arial"/>
                <w:bCs/>
                <w:sz w:val="18"/>
                <w:szCs w:val="18"/>
              </w:rPr>
              <w:t>1-2-3</w:t>
            </w:r>
          </w:p>
        </w:tc>
      </w:tr>
    </w:tbl>
    <w:p w14:paraId="7B3B7A53" w14:textId="77777777" w:rsidR="00000000" w:rsidRDefault="00000000">
      <w:pPr>
        <w:spacing w:before="50" w:after="50" w:line="360" w:lineRule="auto"/>
        <w:rPr>
          <w:rFonts w:ascii="Arial" w:hAnsi="Arial" w:cs="Arial"/>
          <w:sz w:val="21"/>
          <w:szCs w:val="21"/>
        </w:rPr>
      </w:pPr>
      <w:r>
        <w:rPr>
          <w:rFonts w:ascii="Arial" w:hAnsi="Arial" w:cs="Arial"/>
          <w:sz w:val="21"/>
          <w:szCs w:val="21"/>
        </w:rPr>
        <w:t>单位：万元、平方米、元</w:t>
      </w:r>
      <w:r>
        <w:rPr>
          <w:rFonts w:ascii="Arial" w:hAnsi="Arial" w:cs="Arial"/>
          <w:sz w:val="21"/>
          <w:szCs w:val="21"/>
        </w:rPr>
        <w:t>/</w:t>
      </w:r>
      <w:r>
        <w:rPr>
          <w:rFonts w:ascii="Arial" w:hAnsi="Arial" w:cs="Arial"/>
          <w:sz w:val="21"/>
          <w:szCs w:val="21"/>
        </w:rPr>
        <w:t>平方米</w:t>
      </w:r>
    </w:p>
    <w:p w14:paraId="33D0AFEC" w14:textId="77777777" w:rsidR="00000000" w:rsidRDefault="00000000">
      <w:pPr>
        <w:spacing w:line="360" w:lineRule="auto"/>
        <w:jc w:val="both"/>
        <w:outlineLvl w:val="1"/>
        <w:rPr>
          <w:rFonts w:ascii="Arial" w:hAnsi="Arial" w:cs="Arial"/>
          <w:b/>
          <w:bCs/>
          <w:sz w:val="28"/>
        </w:rPr>
        <w:sectPr w:rsidR="00000000">
          <w:headerReference w:type="default" r:id="rId63"/>
          <w:footerReference w:type="default" r:id="rId64"/>
          <w:pgSz w:w="11907" w:h="16840"/>
          <w:pgMar w:top="1843" w:right="1304" w:bottom="1134" w:left="1304" w:header="1134" w:footer="907" w:gutter="0"/>
          <w:cols w:space="720"/>
          <w:docGrid w:linePitch="326"/>
        </w:sectPr>
      </w:pPr>
      <w:bookmarkStart w:id="321" w:name="_Toc416783606"/>
      <w:bookmarkStart w:id="322" w:name="_Toc469066171"/>
      <w:bookmarkStart w:id="323" w:name="_Toc97732889"/>
      <w:bookmarkStart w:id="324" w:name="_Toc416783702"/>
      <w:bookmarkStart w:id="325" w:name="_Toc97732771"/>
    </w:p>
    <w:p w14:paraId="67F9CE9E" w14:textId="77777777" w:rsidR="00000000" w:rsidRDefault="00000000">
      <w:pPr>
        <w:spacing w:line="360" w:lineRule="auto"/>
        <w:jc w:val="both"/>
        <w:outlineLvl w:val="1"/>
        <w:rPr>
          <w:rFonts w:ascii="Arial" w:hAnsi="Arial" w:cs="Arial"/>
          <w:b/>
          <w:bCs/>
          <w:sz w:val="28"/>
        </w:rPr>
      </w:pPr>
      <w:bookmarkStart w:id="326" w:name="_Toc29336"/>
      <w:bookmarkStart w:id="327" w:name="_Toc15911"/>
      <w:r>
        <w:rPr>
          <w:rFonts w:ascii="Arial" w:hAnsi="Arial" w:cs="Arial"/>
          <w:b/>
          <w:bCs/>
          <w:sz w:val="28"/>
        </w:rPr>
        <w:lastRenderedPageBreak/>
        <w:t>三、咨询结果的确定</w:t>
      </w:r>
      <w:bookmarkEnd w:id="321"/>
      <w:bookmarkEnd w:id="322"/>
      <w:bookmarkEnd w:id="323"/>
      <w:bookmarkEnd w:id="324"/>
      <w:bookmarkEnd w:id="325"/>
      <w:bookmarkEnd w:id="326"/>
      <w:bookmarkEnd w:id="327"/>
    </w:p>
    <w:p w14:paraId="75787416" w14:textId="77777777" w:rsidR="00000000" w:rsidRDefault="00000000">
      <w:pPr>
        <w:spacing w:line="360" w:lineRule="auto"/>
        <w:ind w:firstLineChars="200" w:firstLine="56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290A7764" w14:textId="77777777" w:rsidR="00000000" w:rsidRDefault="00000000">
      <w:pPr>
        <w:spacing w:line="360" w:lineRule="auto"/>
        <w:ind w:firstLineChars="200" w:firstLine="560"/>
        <w:jc w:val="both"/>
        <w:rPr>
          <w:rFonts w:ascii="Arial" w:hAnsi="Arial" w:cs="Arial"/>
          <w:sz w:val="28"/>
        </w:rPr>
      </w:pPr>
      <w:r>
        <w:rPr>
          <w:rFonts w:ascii="Arial" w:hAnsi="Arial" w:cs="Arial"/>
          <w:sz w:val="28"/>
        </w:rPr>
        <w:t>集体建设用地使用权价格：</w:t>
      </w:r>
      <w:r>
        <w:rPr>
          <w:rFonts w:ascii="Arial" w:hAnsi="Arial" w:cs="Arial" w:hint="eastAsia"/>
          <w:sz w:val="28"/>
        </w:rPr>
        <w:t>2438.16</w:t>
      </w:r>
      <w:r>
        <w:rPr>
          <w:rFonts w:ascii="Arial" w:hAnsi="Arial" w:cs="Arial"/>
          <w:sz w:val="28"/>
        </w:rPr>
        <w:t>万元</w:t>
      </w:r>
    </w:p>
    <w:p w14:paraId="1192F380" w14:textId="77777777" w:rsidR="00000000" w:rsidRDefault="00000000">
      <w:pPr>
        <w:spacing w:line="360" w:lineRule="auto"/>
        <w:ind w:firstLine="570"/>
        <w:jc w:val="both"/>
        <w:rPr>
          <w:rFonts w:ascii="Arial" w:hAnsi="Arial" w:cs="Arial"/>
          <w:sz w:val="28"/>
        </w:rPr>
      </w:pPr>
      <w:r>
        <w:rPr>
          <w:rFonts w:ascii="Arial" w:hAnsi="Arial" w:cs="Arial"/>
          <w:sz w:val="28"/>
        </w:rPr>
        <w:t>大写金额：人民币</w:t>
      </w:r>
      <w:r>
        <w:rPr>
          <w:rFonts w:ascii="Arial" w:hAnsi="Arial" w:cs="Arial" w:hint="eastAsia"/>
          <w:sz w:val="28"/>
        </w:rPr>
        <w:t>贰仟肆佰叁拾捌万壹仟陆佰</w:t>
      </w:r>
      <w:r>
        <w:rPr>
          <w:rFonts w:ascii="Arial" w:hAnsi="Arial" w:cs="Arial"/>
          <w:sz w:val="28"/>
        </w:rPr>
        <w:t>元整</w:t>
      </w:r>
    </w:p>
    <w:p w14:paraId="4D942381" w14:textId="77777777" w:rsidR="00000000" w:rsidRDefault="00000000">
      <w:pPr>
        <w:spacing w:line="360" w:lineRule="auto"/>
        <w:ind w:firstLine="570"/>
        <w:jc w:val="both"/>
        <w:rPr>
          <w:rFonts w:ascii="Arial" w:hAnsi="Arial" w:cs="Arial"/>
          <w:sz w:val="28"/>
        </w:rPr>
      </w:pPr>
      <w:r>
        <w:rPr>
          <w:rFonts w:ascii="Arial" w:hAnsi="Arial" w:cs="Arial"/>
          <w:sz w:val="28"/>
        </w:rPr>
        <w:t>单位面积地价：</w:t>
      </w:r>
      <w:r>
        <w:rPr>
          <w:rFonts w:ascii="Arial" w:hAnsi="Arial" w:cs="Arial" w:hint="eastAsia"/>
          <w:sz w:val="28"/>
        </w:rPr>
        <w:t>1439</w:t>
      </w:r>
      <w:r>
        <w:rPr>
          <w:rFonts w:ascii="Arial" w:hAnsi="Arial" w:cs="Arial"/>
          <w:sz w:val="28"/>
        </w:rPr>
        <w:t>元</w:t>
      </w:r>
      <w:r>
        <w:rPr>
          <w:rFonts w:ascii="Arial" w:hAnsi="Arial" w:cs="Arial"/>
          <w:sz w:val="28"/>
        </w:rPr>
        <w:t>/</w:t>
      </w:r>
      <w:r>
        <w:rPr>
          <w:rFonts w:ascii="Arial" w:hAnsi="Arial" w:cs="Arial"/>
          <w:sz w:val="28"/>
        </w:rPr>
        <w:t>平方米</w:t>
      </w:r>
    </w:p>
    <w:p w14:paraId="4722F9EF" w14:textId="77777777" w:rsidR="00000000" w:rsidRDefault="00000000">
      <w:pPr>
        <w:spacing w:line="360" w:lineRule="auto"/>
        <w:ind w:firstLine="570"/>
        <w:jc w:val="both"/>
        <w:rPr>
          <w:rFonts w:ascii="Arial" w:hAnsi="Arial" w:cs="Arial"/>
          <w:sz w:val="28"/>
        </w:rPr>
      </w:pPr>
      <w:r>
        <w:rPr>
          <w:rFonts w:ascii="Arial" w:hAnsi="Arial" w:cs="Arial"/>
          <w:sz w:val="28"/>
        </w:rPr>
        <w:t>楼面地价：</w:t>
      </w:r>
      <w:r>
        <w:rPr>
          <w:rFonts w:ascii="Arial" w:hAnsi="Arial" w:cs="Arial" w:hint="eastAsia"/>
          <w:sz w:val="28"/>
        </w:rPr>
        <w:t>603</w:t>
      </w:r>
      <w:r>
        <w:rPr>
          <w:rFonts w:ascii="Arial" w:hAnsi="Arial" w:cs="Arial"/>
          <w:sz w:val="28"/>
        </w:rPr>
        <w:t>元</w:t>
      </w:r>
      <w:r>
        <w:rPr>
          <w:rFonts w:ascii="Arial" w:hAnsi="Arial" w:cs="Arial"/>
          <w:sz w:val="28"/>
        </w:rPr>
        <w:t>/</w:t>
      </w:r>
      <w:r>
        <w:rPr>
          <w:rFonts w:ascii="Arial" w:hAnsi="Arial" w:cs="Arial"/>
          <w:sz w:val="28"/>
        </w:rPr>
        <w:t>平方米</w:t>
      </w:r>
    </w:p>
    <w:p w14:paraId="23DB1926" w14:textId="77777777" w:rsidR="00000000" w:rsidRDefault="00000000">
      <w:pPr>
        <w:spacing w:line="360" w:lineRule="auto"/>
        <w:ind w:firstLineChars="200" w:firstLine="560"/>
        <w:jc w:val="both"/>
        <w:rPr>
          <w:rFonts w:ascii="Arial" w:hAnsi="Arial" w:cs="Arial"/>
          <w:sz w:val="28"/>
        </w:rPr>
      </w:pPr>
      <w:r>
        <w:rPr>
          <w:rFonts w:ascii="Arial" w:hAnsi="Arial" w:cs="Arial"/>
          <w:sz w:val="28"/>
        </w:rPr>
        <w:t xml:space="preserve">  </w:t>
      </w:r>
      <w:r>
        <w:rPr>
          <w:rFonts w:ascii="Arial" w:hAnsi="Arial" w:cs="Arial"/>
          <w:sz w:val="28"/>
        </w:rPr>
        <w:t>备注：</w:t>
      </w:r>
    </w:p>
    <w:p w14:paraId="276079AF" w14:textId="77777777" w:rsidR="00000000" w:rsidRDefault="00000000">
      <w:pPr>
        <w:spacing w:line="360" w:lineRule="auto"/>
        <w:ind w:firstLineChars="200" w:firstLine="560"/>
        <w:jc w:val="both"/>
        <w:rPr>
          <w:rFonts w:ascii="Arial" w:hAnsi="Arial" w:cs="Arial"/>
          <w:sz w:val="28"/>
        </w:rPr>
      </w:pPr>
      <w:r>
        <w:rPr>
          <w:rFonts w:ascii="Arial" w:hAnsi="Arial" w:cs="Arial"/>
          <w:sz w:val="28"/>
        </w:rPr>
        <w:t xml:space="preserve">1. </w:t>
      </w:r>
      <w:r>
        <w:rPr>
          <w:rFonts w:ascii="Arial" w:hAnsi="Arial" w:cs="Arial"/>
          <w:sz w:val="28"/>
        </w:rPr>
        <w:t>在本次评估过程中，目前该开发项目尚未正式进行开发施工，评估专业人员尚未取得《</w:t>
      </w:r>
      <w:r>
        <w:rPr>
          <w:rFonts w:ascii="Arial" w:hAnsi="Arial" w:cs="Arial"/>
          <w:sz w:val="28"/>
        </w:rPr>
        <w:t xml:space="preserve"> “</w:t>
      </w:r>
      <w:r>
        <w:rPr>
          <w:rFonts w:ascii="Arial" w:hAnsi="Arial" w:cs="Arial"/>
          <w:sz w:val="28"/>
        </w:rPr>
        <w:t>多规合一</w:t>
      </w:r>
      <w:r>
        <w:rPr>
          <w:rFonts w:ascii="Arial" w:hAnsi="Arial" w:cs="Arial"/>
          <w:sz w:val="28"/>
        </w:rPr>
        <w:t>”</w:t>
      </w:r>
      <w:r>
        <w:rPr>
          <w:rFonts w:ascii="Arial" w:hAnsi="Arial" w:cs="Arial"/>
          <w:sz w:val="28"/>
        </w:rPr>
        <w:t>协同平台初审意见的函》、《北京市发展和改革委员会关于</w:t>
      </w:r>
      <w:r>
        <w:rPr>
          <w:rFonts w:ascii="Arial" w:hAnsi="Arial" w:cs="Arial" w:hint="eastAsia"/>
          <w:sz w:val="28"/>
        </w:rPr>
        <w:t>昌平区马池口镇百泉庄村</w:t>
      </w:r>
      <w:r>
        <w:rPr>
          <w:rFonts w:ascii="Arial" w:hAnsi="Arial" w:cs="Arial"/>
          <w:sz w:val="28"/>
        </w:rPr>
        <w:t>经济</w:t>
      </w:r>
      <w:r>
        <w:rPr>
          <w:rFonts w:ascii="Arial" w:hAnsi="Arial" w:cs="Arial" w:hint="eastAsia"/>
          <w:sz w:val="28"/>
        </w:rPr>
        <w:t>组织</w:t>
      </w:r>
      <w:r>
        <w:rPr>
          <w:rFonts w:ascii="Arial" w:hAnsi="Arial" w:cs="Arial"/>
          <w:sz w:val="28"/>
        </w:rPr>
        <w:t>集体土地租赁住房项目核准的批复》等相关项目资料，本次评估过程中涉及的相关测算参数主要是依据委托方提供的</w:t>
      </w:r>
      <w:r>
        <w:rPr>
          <w:rFonts w:ascii="Arial" w:hAnsi="Arial" w:cs="Arial" w:hint="eastAsia"/>
          <w:sz w:val="28"/>
        </w:rPr>
        <w:t>相关资料</w:t>
      </w:r>
      <w:r>
        <w:rPr>
          <w:rFonts w:ascii="Arial" w:hAnsi="Arial" w:cs="Arial"/>
          <w:sz w:val="28"/>
        </w:rPr>
        <w:t>及介绍的情况</w:t>
      </w:r>
      <w:r>
        <w:rPr>
          <w:rFonts w:ascii="Arial" w:hAnsi="Arial" w:cs="Arial" w:hint="eastAsia"/>
          <w:sz w:val="28"/>
        </w:rPr>
        <w:t>进行</w:t>
      </w:r>
      <w:r>
        <w:rPr>
          <w:rFonts w:ascii="Arial" w:hAnsi="Arial" w:cs="Arial"/>
          <w:sz w:val="28"/>
        </w:rPr>
        <w:t>测算，如上述数据发生变化，可能会对目前的</w:t>
      </w:r>
      <w:r>
        <w:rPr>
          <w:rFonts w:ascii="Arial" w:hAnsi="Arial" w:cs="Arial" w:hint="eastAsia"/>
          <w:sz w:val="28"/>
        </w:rPr>
        <w:t>咨询</w:t>
      </w:r>
      <w:r>
        <w:rPr>
          <w:rFonts w:ascii="Arial" w:hAnsi="Arial" w:cs="Arial"/>
          <w:sz w:val="28"/>
        </w:rPr>
        <w:t>结论产生影响。</w:t>
      </w:r>
    </w:p>
    <w:p w14:paraId="3B28EEDD" w14:textId="77777777" w:rsidR="00000000" w:rsidRDefault="00000000">
      <w:pPr>
        <w:spacing w:line="360" w:lineRule="auto"/>
        <w:ind w:firstLineChars="200" w:firstLine="560"/>
        <w:jc w:val="both"/>
        <w:rPr>
          <w:rFonts w:ascii="Arial" w:hAnsi="Arial" w:cs="Arial"/>
          <w:sz w:val="28"/>
        </w:rPr>
      </w:pPr>
      <w:r>
        <w:rPr>
          <w:rFonts w:ascii="Arial" w:hAnsi="Arial" w:cs="Arial"/>
          <w:sz w:val="28"/>
        </w:rPr>
        <w:t>2</w:t>
      </w:r>
      <w:r>
        <w:rPr>
          <w:rFonts w:ascii="Arial" w:hAnsi="Arial" w:cs="Arial"/>
          <w:sz w:val="28"/>
        </w:rPr>
        <w:t>．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2C606848" w14:textId="77777777" w:rsidR="00000000" w:rsidRDefault="00000000">
      <w:pPr>
        <w:spacing w:line="360" w:lineRule="auto"/>
        <w:ind w:firstLineChars="200" w:firstLine="560"/>
        <w:jc w:val="both"/>
        <w:rPr>
          <w:rFonts w:ascii="Arial" w:hAnsi="Arial" w:cs="Arial"/>
          <w:sz w:val="28"/>
        </w:rPr>
      </w:pPr>
      <w:r>
        <w:rPr>
          <w:rFonts w:ascii="Arial" w:hAnsi="Arial" w:cs="Arial"/>
          <w:sz w:val="28"/>
        </w:rPr>
        <w:t>3</w:t>
      </w:r>
      <w:r>
        <w:rPr>
          <w:rFonts w:ascii="Arial" w:hAnsi="Arial" w:cs="Arial"/>
          <w:sz w:val="28"/>
        </w:rPr>
        <w:t>．本次剩余法测算过程中，项目运营收入、成本、费用等为开发项目过程中以及建成后出租经济行为产生的相关收入和成本、费用，未包含开发</w:t>
      </w:r>
      <w:r>
        <w:rPr>
          <w:rFonts w:ascii="Arial" w:hAnsi="Arial" w:cs="Arial"/>
          <w:sz w:val="28"/>
        </w:rPr>
        <w:lastRenderedPageBreak/>
        <w:t>项目建成后运营期与物业管理相关的收入、成本、费用；</w:t>
      </w:r>
    </w:p>
    <w:p w14:paraId="098D5D63" w14:textId="77777777" w:rsidR="00000000" w:rsidRDefault="00000000">
      <w:pPr>
        <w:spacing w:line="360" w:lineRule="auto"/>
        <w:ind w:firstLineChars="200" w:firstLine="560"/>
        <w:jc w:val="both"/>
        <w:rPr>
          <w:rFonts w:ascii="Arial" w:hAnsi="Arial" w:cs="Arial"/>
          <w:b/>
          <w:sz w:val="32"/>
        </w:rPr>
        <w:sectPr w:rsidR="00000000">
          <w:pgSz w:w="11907" w:h="16840"/>
          <w:pgMar w:top="1843" w:right="1304" w:bottom="1134" w:left="1304" w:header="1134" w:footer="907" w:gutter="0"/>
          <w:cols w:space="720"/>
          <w:docGrid w:linePitch="326"/>
        </w:sectPr>
      </w:pPr>
      <w:r>
        <w:rPr>
          <w:rFonts w:ascii="Arial" w:hAnsi="Arial" w:cs="Arial"/>
          <w:sz w:val="28"/>
        </w:rPr>
        <w:t>4</w:t>
      </w:r>
      <w:r>
        <w:rPr>
          <w:rFonts w:ascii="Arial" w:hAnsi="Arial" w:cs="Arial"/>
          <w:sz w:val="28"/>
        </w:rPr>
        <w:t>．集体建设用地使用权没有使用年限限制。根据北京市政府发布的《关于我市利用集体土地建设租赁住房相关政策的补充意见》</w:t>
      </w:r>
      <w:r>
        <w:rPr>
          <w:rFonts w:ascii="Arial" w:hAnsi="Arial" w:cs="Arial"/>
          <w:sz w:val="28"/>
        </w:rPr>
        <w:t>[</w:t>
      </w:r>
      <w:r>
        <w:rPr>
          <w:rFonts w:ascii="Arial" w:hAnsi="Arial" w:cs="Arial"/>
          <w:sz w:val="28"/>
        </w:rPr>
        <w:t>京规自发</w:t>
      </w:r>
      <w:r>
        <w:rPr>
          <w:rFonts w:ascii="Arial" w:hAnsi="Arial" w:cs="Arial"/>
          <w:sz w:val="28"/>
        </w:rPr>
        <w:t>[2018]64</w:t>
      </w:r>
      <w:r>
        <w:rPr>
          <w:rFonts w:ascii="Arial" w:hAnsi="Arial" w:cs="Arial"/>
          <w:sz w:val="28"/>
        </w:rPr>
        <w:t>号</w:t>
      </w:r>
      <w:r>
        <w:rPr>
          <w:rFonts w:ascii="Arial" w:hAnsi="Arial" w:cs="Arial"/>
          <w:sz w:val="28"/>
        </w:rPr>
        <w:t>]</w:t>
      </w:r>
      <w:r>
        <w:rPr>
          <w:rFonts w:ascii="Arial" w:hAnsi="Arial" w:cs="Arial"/>
          <w:sz w:val="28"/>
        </w:rPr>
        <w:t>明确指出</w:t>
      </w:r>
      <w:r>
        <w:rPr>
          <w:rFonts w:ascii="Arial" w:hAnsi="Arial" w:cs="Arial"/>
          <w:sz w:val="28"/>
        </w:rPr>
        <w:t>“</w:t>
      </w:r>
      <w:r>
        <w:rPr>
          <w:rFonts w:ascii="Arial" w:hAnsi="Arial" w:cs="Arial"/>
          <w:sz w:val="28"/>
        </w:rPr>
        <w:t>以农村集体经济组织与国有企业成立新企业作为申报主体的，由双方签订入股联营合同。土地使用权入股、联营期限不得超过</w:t>
      </w:r>
      <w:r>
        <w:rPr>
          <w:rFonts w:ascii="Arial" w:hAnsi="Arial" w:cs="Arial"/>
          <w:sz w:val="28"/>
        </w:rPr>
        <w:t>50</w:t>
      </w:r>
      <w:r>
        <w:rPr>
          <w:rFonts w:ascii="Arial" w:hAnsi="Arial" w:cs="Arial"/>
          <w:sz w:val="28"/>
        </w:rPr>
        <w:t>年，合作期满后双方按照合同约定和届时有关规定执行。</w:t>
      </w:r>
      <w:r>
        <w:rPr>
          <w:rFonts w:ascii="Arial" w:hAnsi="Arial" w:cs="Arial"/>
          <w:sz w:val="28"/>
        </w:rPr>
        <w:t>”</w:t>
      </w:r>
      <w:r>
        <w:rPr>
          <w:rFonts w:ascii="Arial" w:hAnsi="Arial" w:cs="Arial"/>
          <w:sz w:val="28"/>
        </w:rPr>
        <w:t>，根据委托方介绍，合作期限</w:t>
      </w:r>
      <w:r>
        <w:rPr>
          <w:rFonts w:ascii="Arial" w:hAnsi="Arial" w:cs="Arial"/>
          <w:sz w:val="28"/>
        </w:rPr>
        <w:t>50</w:t>
      </w:r>
      <w:r>
        <w:rPr>
          <w:rFonts w:ascii="Arial" w:hAnsi="Arial" w:cs="Arial"/>
          <w:sz w:val="28"/>
        </w:rPr>
        <w:t>年。根据委托方提供的相关资料及对开发建设项目建设安排，联营期限</w:t>
      </w:r>
      <w:r>
        <w:rPr>
          <w:rFonts w:ascii="Arial" w:hAnsi="Arial" w:cs="Arial"/>
          <w:sz w:val="28"/>
        </w:rPr>
        <w:t>50</w:t>
      </w:r>
      <w:r>
        <w:rPr>
          <w:rFonts w:ascii="Arial" w:hAnsi="Arial" w:cs="Arial"/>
          <w:sz w:val="28"/>
        </w:rPr>
        <w:t>年自项目公司成立开始计算。根据相关规定，该开发项目只能采取出租的形式获得项目收入，介于收益期过长，本次评估考虑折现；合作期限</w:t>
      </w:r>
      <w:r>
        <w:rPr>
          <w:rFonts w:ascii="Arial" w:hAnsi="Arial" w:cs="Arial"/>
          <w:sz w:val="28"/>
        </w:rPr>
        <w:t>50</w:t>
      </w:r>
      <w:r>
        <w:rPr>
          <w:rFonts w:ascii="Arial" w:hAnsi="Arial" w:cs="Arial"/>
          <w:sz w:val="28"/>
        </w:rPr>
        <w:t>年结束后的后续处理模式，由于目前针对退出时相关政策行文件尚未正式出台，故届时将按照有关规定执行。综上所述，本次评估只考虑</w:t>
      </w:r>
      <w:r>
        <w:rPr>
          <w:rFonts w:ascii="Arial" w:hAnsi="Arial" w:cs="Arial"/>
          <w:sz w:val="28"/>
        </w:rPr>
        <w:t>50</w:t>
      </w:r>
      <w:r>
        <w:rPr>
          <w:rFonts w:ascii="Arial" w:hAnsi="Arial" w:cs="Arial"/>
          <w:sz w:val="28"/>
        </w:rPr>
        <w:t>年合作期限内的收益。</w:t>
      </w:r>
    </w:p>
    <w:p w14:paraId="0F446088" w14:textId="77777777" w:rsidR="00000000" w:rsidRDefault="00000000">
      <w:pPr>
        <w:spacing w:line="360" w:lineRule="auto"/>
        <w:jc w:val="center"/>
        <w:outlineLvl w:val="0"/>
        <w:rPr>
          <w:rFonts w:ascii="Arial" w:hAnsi="Arial" w:cs="Arial"/>
          <w:b/>
          <w:sz w:val="32"/>
        </w:rPr>
      </w:pPr>
      <w:bookmarkStart w:id="328" w:name="_Toc97732772"/>
      <w:bookmarkStart w:id="329" w:name="_Toc97732890"/>
      <w:bookmarkStart w:id="330" w:name="_Toc469066172"/>
      <w:bookmarkStart w:id="331" w:name="_Toc416783610"/>
      <w:bookmarkStart w:id="332" w:name="_Toc28304"/>
      <w:bookmarkStart w:id="333" w:name="_Toc3228"/>
      <w:bookmarkStart w:id="334" w:name="_Toc416783706"/>
      <w:r>
        <w:rPr>
          <w:rFonts w:ascii="Arial" w:hAnsi="Arial" w:cs="Arial"/>
          <w:b/>
          <w:sz w:val="32"/>
        </w:rPr>
        <w:lastRenderedPageBreak/>
        <w:t>第四部分</w:t>
      </w:r>
      <w:r>
        <w:rPr>
          <w:rFonts w:ascii="Arial" w:hAnsi="Arial" w:cs="Arial"/>
          <w:b/>
          <w:sz w:val="32"/>
        </w:rPr>
        <w:t xml:space="preserve">  </w:t>
      </w:r>
      <w:r>
        <w:rPr>
          <w:rFonts w:ascii="Arial" w:hAnsi="Arial" w:cs="Arial"/>
          <w:b/>
          <w:sz w:val="32"/>
        </w:rPr>
        <w:t>附</w:t>
      </w:r>
      <w:r>
        <w:rPr>
          <w:rFonts w:ascii="Arial" w:hAnsi="Arial" w:cs="Arial"/>
          <w:b/>
          <w:sz w:val="32"/>
        </w:rPr>
        <w:t xml:space="preserve">  </w:t>
      </w:r>
      <w:r>
        <w:rPr>
          <w:rFonts w:ascii="Arial" w:hAnsi="Arial" w:cs="Arial"/>
          <w:b/>
          <w:sz w:val="32"/>
        </w:rPr>
        <w:t>件</w:t>
      </w:r>
      <w:bookmarkEnd w:id="328"/>
      <w:bookmarkEnd w:id="329"/>
      <w:bookmarkEnd w:id="330"/>
      <w:bookmarkEnd w:id="331"/>
      <w:bookmarkEnd w:id="332"/>
      <w:bookmarkEnd w:id="333"/>
      <w:bookmarkEnd w:id="334"/>
    </w:p>
    <w:p w14:paraId="4D37F269" w14:textId="77777777" w:rsidR="00000000" w:rsidRDefault="00000000">
      <w:pPr>
        <w:spacing w:line="360" w:lineRule="auto"/>
        <w:jc w:val="center"/>
        <w:rPr>
          <w:rFonts w:ascii="Arial" w:hAnsi="Arial" w:cs="Arial"/>
          <w:b/>
          <w:sz w:val="32"/>
        </w:rPr>
      </w:pPr>
    </w:p>
    <w:p w14:paraId="765B780A"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1</w:t>
      </w:r>
      <w:r>
        <w:rPr>
          <w:rFonts w:ascii="Arial" w:hAnsi="Arial" w:cs="Arial"/>
          <w:sz w:val="28"/>
        </w:rPr>
        <w:t>.</w:t>
      </w:r>
      <w:r>
        <w:rPr>
          <w:rFonts w:ascii="Arial" w:hAnsi="Arial" w:cs="Arial"/>
          <w:sz w:val="28"/>
        </w:rPr>
        <w:t>咨询对象所在位置示意图</w:t>
      </w:r>
    </w:p>
    <w:p w14:paraId="2E1905EE"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2</w:t>
      </w:r>
      <w:r>
        <w:rPr>
          <w:rFonts w:ascii="Arial" w:hAnsi="Arial" w:cs="Arial"/>
          <w:sz w:val="28"/>
        </w:rPr>
        <w:t>.</w:t>
      </w:r>
      <w:r>
        <w:rPr>
          <w:rFonts w:ascii="Arial" w:hAnsi="Arial" w:cs="Arial"/>
          <w:sz w:val="28"/>
          <w:szCs w:val="28"/>
        </w:rPr>
        <w:t>咨询对象实地勘察相关照片</w:t>
      </w:r>
    </w:p>
    <w:p w14:paraId="11053D53"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3</w:t>
      </w:r>
      <w:r>
        <w:rPr>
          <w:rFonts w:ascii="Arial" w:hAnsi="Arial" w:cs="Arial"/>
          <w:sz w:val="28"/>
        </w:rPr>
        <w:t>.</w:t>
      </w:r>
      <w:r>
        <w:rPr>
          <w:rFonts w:ascii="Arial" w:hAnsi="Arial" w:cs="Arial"/>
          <w:sz w:val="28"/>
        </w:rPr>
        <w:t>委托方《营业执照（副本）》复印件</w:t>
      </w:r>
    </w:p>
    <w:p w14:paraId="110E6608"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4</w:t>
      </w:r>
      <w:r>
        <w:rPr>
          <w:rFonts w:ascii="Arial" w:hAnsi="Arial" w:cs="Arial"/>
          <w:sz w:val="28"/>
        </w:rPr>
        <w:t>.</w:t>
      </w:r>
      <w:r>
        <w:rPr>
          <w:rFonts w:ascii="Arial" w:hAnsi="Arial" w:cs="Arial"/>
          <w:sz w:val="28"/>
        </w:rPr>
        <w:t>估价机构《营业执照（副本）》复印件</w:t>
      </w:r>
    </w:p>
    <w:p w14:paraId="706D0251" w14:textId="77777777" w:rsidR="00000000" w:rsidRDefault="00000000">
      <w:pPr>
        <w:spacing w:line="360" w:lineRule="auto"/>
        <w:ind w:firstLineChars="200" w:firstLine="560"/>
        <w:jc w:val="both"/>
        <w:rPr>
          <w:rFonts w:ascii="Arial" w:hAnsi="Arial" w:cs="Arial"/>
          <w:sz w:val="28"/>
        </w:rPr>
      </w:pPr>
      <w:r>
        <w:rPr>
          <w:rFonts w:ascii="Arial" w:hAnsi="Arial" w:cs="Arial" w:hint="eastAsia"/>
          <w:sz w:val="28"/>
        </w:rPr>
        <w:t>5</w:t>
      </w:r>
      <w:r>
        <w:rPr>
          <w:rFonts w:ascii="Arial" w:hAnsi="Arial" w:cs="Arial"/>
          <w:sz w:val="28"/>
        </w:rPr>
        <w:t>.</w:t>
      </w:r>
      <w:r>
        <w:rPr>
          <w:rFonts w:ascii="Arial" w:hAnsi="Arial" w:cs="Arial"/>
          <w:sz w:val="28"/>
        </w:rPr>
        <w:t>估价机构估价资格证书复印件</w:t>
      </w:r>
    </w:p>
    <w:p w14:paraId="20FECD39" w14:textId="77777777" w:rsidR="00970D62" w:rsidRDefault="00970D62">
      <w:pPr>
        <w:spacing w:line="360" w:lineRule="auto"/>
        <w:ind w:left="720" w:hangingChars="300" w:hanging="720"/>
        <w:jc w:val="both"/>
        <w:rPr>
          <w:rFonts w:ascii="Arial" w:hAnsi="Arial" w:cs="Arial"/>
        </w:rPr>
      </w:pPr>
    </w:p>
    <w:sectPr w:rsidR="00970D62">
      <w:headerReference w:type="first" r:id="rId65"/>
      <w:footerReference w:type="first" r:id="rId66"/>
      <w:pgSz w:w="11907" w:h="16840"/>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0" w:author="皓源 许" w:date="2025-10-15T16:38:00Z" w:initials="皓许">
    <w:p w14:paraId="1172D73B" w14:textId="77777777" w:rsidR="00AB18F1" w:rsidRDefault="00AB18F1" w:rsidP="00AB18F1">
      <w:pPr>
        <w:pStyle w:val="a5"/>
      </w:pPr>
      <w:r>
        <w:rPr>
          <w:rStyle w:val="afe"/>
        </w:rPr>
        <w:annotationRef/>
      </w:r>
      <w:r>
        <w:rPr>
          <w:rFonts w:hint="eastAsia"/>
        </w:rPr>
        <w:t>鉴于？</w:t>
      </w:r>
    </w:p>
  </w:comment>
  <w:comment w:id="81" w:author="皓源 许" w:date="2025-10-15T16:38:00Z" w:initials="皓许">
    <w:p w14:paraId="7DB7BB56" w14:textId="77777777" w:rsidR="00AB18F1" w:rsidRDefault="00AB18F1" w:rsidP="00AB18F1">
      <w:pPr>
        <w:pStyle w:val="a5"/>
      </w:pPr>
      <w:r>
        <w:rPr>
          <w:rStyle w:val="afe"/>
        </w:rPr>
        <w:annotationRef/>
      </w:r>
      <w:r>
        <w:rPr>
          <w:rFonts w:hint="eastAsia"/>
        </w:rPr>
        <w:t>多字？</w:t>
      </w:r>
    </w:p>
  </w:comment>
  <w:comment w:id="86" w:author="皓源 许" w:date="2025-10-15T16:39:00Z" w:initials="皓许">
    <w:p w14:paraId="0C9AC855" w14:textId="77777777" w:rsidR="00AB18F1" w:rsidRDefault="00AB18F1" w:rsidP="00AB18F1">
      <w:pPr>
        <w:pStyle w:val="a5"/>
      </w:pPr>
      <w:r>
        <w:rPr>
          <w:rStyle w:val="afe"/>
        </w:rPr>
        <w:annotationRef/>
      </w:r>
      <w:r>
        <w:rPr>
          <w:rFonts w:hint="eastAsia"/>
        </w:rPr>
        <w:t>删。只要公司盖章即可</w:t>
      </w:r>
    </w:p>
  </w:comment>
  <w:comment w:id="119" w:author="皓源 许" w:date="2025-10-15T16:40:00Z" w:initials="皓许">
    <w:p w14:paraId="2904228C" w14:textId="77777777" w:rsidR="00AB18F1" w:rsidRDefault="00AB18F1" w:rsidP="00AB18F1">
      <w:pPr>
        <w:pStyle w:val="a5"/>
      </w:pPr>
      <w:r>
        <w:rPr>
          <w:rStyle w:val="afe"/>
        </w:rPr>
        <w:annotationRef/>
      </w:r>
      <w:r>
        <w:rPr>
          <w:rFonts w:hint="eastAsia"/>
        </w:rPr>
        <w:t>支路</w:t>
      </w:r>
    </w:p>
  </w:comment>
  <w:comment w:id="120" w:author="皓源 许" w:date="2025-10-15T16:40:00Z" w:initials="皓许">
    <w:p w14:paraId="1EAE1B25" w14:textId="77777777" w:rsidR="00AB18F1" w:rsidRDefault="00AB18F1" w:rsidP="00AB18F1">
      <w:pPr>
        <w:pStyle w:val="a5"/>
      </w:pPr>
      <w:r>
        <w:rPr>
          <w:rStyle w:val="afe"/>
        </w:rPr>
        <w:annotationRef/>
      </w:r>
      <w:r>
        <w:rPr>
          <w:rFonts w:hint="eastAsia"/>
        </w:rPr>
        <w:t>支路</w:t>
      </w:r>
    </w:p>
  </w:comment>
  <w:comment w:id="139" w:author="皓源 许" w:date="2025-10-15T16:47:00Z" w:initials="皓许">
    <w:p w14:paraId="18541C75" w14:textId="77777777" w:rsidR="00A523B7" w:rsidRDefault="00A523B7" w:rsidP="00A523B7">
      <w:pPr>
        <w:pStyle w:val="a5"/>
      </w:pPr>
      <w:r>
        <w:rPr>
          <w:rStyle w:val="afe"/>
        </w:rPr>
        <w:annotationRef/>
      </w:r>
      <w:r>
        <w:rPr>
          <w:rFonts w:hint="eastAsia"/>
        </w:rPr>
        <w:t>这段话过时了啊</w:t>
      </w:r>
    </w:p>
  </w:comment>
  <w:comment w:id="140" w:author="皓源 许" w:date="2025-10-15T16:49:00Z" w:initials="皓许">
    <w:p w14:paraId="6DD468F4" w14:textId="77777777" w:rsidR="00A523B7" w:rsidRDefault="00A523B7" w:rsidP="00A523B7">
      <w:pPr>
        <w:pStyle w:val="a5"/>
      </w:pPr>
      <w:r>
        <w:rPr>
          <w:rStyle w:val="afe"/>
        </w:rPr>
        <w:annotationRef/>
      </w:r>
      <w:r>
        <w:rPr>
          <w:rFonts w:hint="eastAsia"/>
        </w:rPr>
        <w:t>？</w:t>
      </w:r>
    </w:p>
  </w:comment>
  <w:comment w:id="141" w:author="皓源 许" w:date="2025-10-15T16:49:00Z" w:initials="皓许">
    <w:p w14:paraId="08CB382E" w14:textId="77777777" w:rsidR="00A523B7" w:rsidRDefault="00A523B7" w:rsidP="00A523B7">
      <w:pPr>
        <w:pStyle w:val="a5"/>
      </w:pPr>
      <w:r>
        <w:rPr>
          <w:rStyle w:val="afe"/>
        </w:rPr>
        <w:annotationRef/>
      </w:r>
      <w:r>
        <w:t>.</w:t>
      </w:r>
    </w:p>
  </w:comment>
  <w:comment w:id="142" w:author="皓源 许" w:date="2025-10-15T16:50:00Z" w:initials="皓许">
    <w:p w14:paraId="7736E099" w14:textId="77777777" w:rsidR="00A523B7" w:rsidRDefault="00A523B7" w:rsidP="00A523B7">
      <w:pPr>
        <w:pStyle w:val="a5"/>
      </w:pPr>
      <w:r>
        <w:rPr>
          <w:rStyle w:val="afe"/>
        </w:rPr>
        <w:annotationRef/>
      </w:r>
      <w:r>
        <w:rPr>
          <w:rFonts w:hint="eastAsia"/>
        </w:rPr>
        <w:t>距京藏好像不止。距京新更近一些呢</w:t>
      </w:r>
    </w:p>
  </w:comment>
  <w:comment w:id="161" w:author="皓源 许" w:date="2025-10-15T16:53:00Z" w:initials="皓许">
    <w:p w14:paraId="0F534E03" w14:textId="77777777" w:rsidR="00A523B7" w:rsidRDefault="00A523B7" w:rsidP="00A523B7">
      <w:pPr>
        <w:pStyle w:val="a5"/>
      </w:pPr>
      <w:r>
        <w:rPr>
          <w:rStyle w:val="afe"/>
        </w:rPr>
        <w:annotationRef/>
      </w:r>
      <w:r>
        <w:rPr>
          <w:rFonts w:hint="eastAsia"/>
        </w:rPr>
        <w:t>昌平区马池口</w:t>
      </w:r>
    </w:p>
  </w:comment>
  <w:comment w:id="168" w:author="皓源 许" w:date="2025-10-15T14:51:00Z" w:initials="皓许">
    <w:p w14:paraId="09E48975" w14:textId="77777777" w:rsidR="00ED67E4" w:rsidRDefault="00ED67E4" w:rsidP="00ED67E4">
      <w:pPr>
        <w:pStyle w:val="a5"/>
      </w:pPr>
      <w:r>
        <w:rPr>
          <w:rStyle w:val="afe"/>
        </w:rPr>
        <w:annotationRef/>
      </w:r>
      <w:r>
        <w:rPr>
          <w:rFonts w:hint="eastAsia"/>
        </w:rPr>
        <w:t>序号漏了</w:t>
      </w:r>
      <w:r>
        <w:t>11</w:t>
      </w:r>
    </w:p>
  </w:comment>
  <w:comment w:id="266" w:author="皓源 许" w:date="2025-10-15T14:57:00Z" w:initials="皓许">
    <w:p w14:paraId="1F7A021B" w14:textId="77777777" w:rsidR="00ED67E4" w:rsidRDefault="00ED67E4" w:rsidP="00ED67E4">
      <w:pPr>
        <w:pStyle w:val="a5"/>
      </w:pPr>
      <w:r>
        <w:rPr>
          <w:rStyle w:val="afe"/>
        </w:rPr>
        <w:annotationRef/>
      </w:r>
      <w:r>
        <w:rPr>
          <w:rFonts w:hint="eastAsia"/>
        </w:rPr>
        <w:t>序号</w:t>
      </w:r>
    </w:p>
  </w:comment>
  <w:comment w:id="274" w:author="皓源 许" w:date="2025-10-15T16:56:00Z" w:initials="皓许">
    <w:p w14:paraId="26AF8CEB" w14:textId="77777777" w:rsidR="00A523B7" w:rsidRDefault="00A523B7" w:rsidP="00A523B7">
      <w:pPr>
        <w:pStyle w:val="a5"/>
      </w:pPr>
      <w:r>
        <w:rPr>
          <w:rStyle w:val="afe"/>
        </w:rPr>
        <w:annotationRef/>
      </w:r>
      <w:r>
        <w:rPr>
          <w:rFonts w:hint="eastAsia"/>
        </w:rPr>
        <w:t>删</w:t>
      </w:r>
    </w:p>
  </w:comment>
  <w:comment w:id="289" w:author="皓源 许" w:date="2025-10-15T14:58:00Z" w:initials="皓许">
    <w:p w14:paraId="37BDD54F" w14:textId="77777777" w:rsidR="00ED67E4" w:rsidRDefault="00ED67E4" w:rsidP="00ED67E4">
      <w:pPr>
        <w:pStyle w:val="a5"/>
      </w:pPr>
      <w:r>
        <w:rPr>
          <w:rStyle w:val="afe"/>
        </w:rPr>
        <w:annotationRef/>
      </w:r>
      <w:r>
        <w:rPr>
          <w:rFonts w:hint="eastAsia"/>
        </w:rPr>
        <w:t>支路</w:t>
      </w:r>
    </w:p>
  </w:comment>
  <w:comment w:id="290" w:author="皓源 许" w:date="2025-10-15T14:58:00Z" w:initials="皓许">
    <w:p w14:paraId="08AD0B8C" w14:textId="77777777" w:rsidR="00ED67E4" w:rsidRDefault="00ED67E4" w:rsidP="00ED67E4">
      <w:pPr>
        <w:pStyle w:val="a5"/>
      </w:pPr>
      <w:r>
        <w:rPr>
          <w:rStyle w:val="afe"/>
        </w:rPr>
        <w:annotationRef/>
      </w:r>
      <w:r>
        <w:rPr>
          <w:rFonts w:hint="eastAsia"/>
        </w:rPr>
        <w:t>支路</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172D73B" w15:done="0"/>
  <w15:commentEx w15:paraId="7DB7BB56" w15:done="0"/>
  <w15:commentEx w15:paraId="0C9AC855" w15:done="0"/>
  <w15:commentEx w15:paraId="2904228C" w15:done="0"/>
  <w15:commentEx w15:paraId="1EAE1B25" w15:done="0"/>
  <w15:commentEx w15:paraId="18541C75" w15:done="0"/>
  <w15:commentEx w15:paraId="6DD468F4" w15:done="0"/>
  <w15:commentEx w15:paraId="08CB382E" w15:done="0"/>
  <w15:commentEx w15:paraId="7736E099" w15:done="0"/>
  <w15:commentEx w15:paraId="0F534E03" w15:done="0"/>
  <w15:commentEx w15:paraId="09E48975" w15:done="0"/>
  <w15:commentEx w15:paraId="1F7A021B" w15:done="0"/>
  <w15:commentEx w15:paraId="26AF8CEB" w15:done="0"/>
  <w15:commentEx w15:paraId="37BDD54F" w15:done="0"/>
  <w15:commentEx w15:paraId="08AD0B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172D73B" w16cid:durableId="7FC102BE"/>
  <w16cid:commentId w16cid:paraId="7DB7BB56" w16cid:durableId="0730BD7F"/>
  <w16cid:commentId w16cid:paraId="0C9AC855" w16cid:durableId="32665181"/>
  <w16cid:commentId w16cid:paraId="2904228C" w16cid:durableId="3806CCF1"/>
  <w16cid:commentId w16cid:paraId="1EAE1B25" w16cid:durableId="17EA0852"/>
  <w16cid:commentId w16cid:paraId="18541C75" w16cid:durableId="79680D19"/>
  <w16cid:commentId w16cid:paraId="6DD468F4" w16cid:durableId="7AF1DAF7"/>
  <w16cid:commentId w16cid:paraId="08CB382E" w16cid:durableId="2EDFEF57"/>
  <w16cid:commentId w16cid:paraId="7736E099" w16cid:durableId="2A47D8FA"/>
  <w16cid:commentId w16cid:paraId="0F534E03" w16cid:durableId="4ABC2223"/>
  <w16cid:commentId w16cid:paraId="09E48975" w16cid:durableId="575933BF"/>
  <w16cid:commentId w16cid:paraId="1F7A021B" w16cid:durableId="38E08B07"/>
  <w16cid:commentId w16cid:paraId="26AF8CEB" w16cid:durableId="3B20F6BD"/>
  <w16cid:commentId w16cid:paraId="37BDD54F" w16cid:durableId="2EF907E1"/>
  <w16cid:commentId w16cid:paraId="08AD0B8C" w16cid:durableId="259907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3F717" w14:textId="77777777" w:rsidR="00111886" w:rsidRDefault="00111886">
      <w:pPr>
        <w:spacing w:line="240" w:lineRule="auto"/>
      </w:pPr>
      <w:r>
        <w:separator/>
      </w:r>
    </w:p>
  </w:endnote>
  <w:endnote w:type="continuationSeparator" w:id="0">
    <w:p w14:paraId="771AFD25" w14:textId="77777777" w:rsidR="00111886" w:rsidRDefault="001118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200247B" w:usb2="00000009" w:usb3="00000000" w:csb0="000001FF" w:csb1="00000000"/>
  </w:font>
  <w:font w:name="楷体_GB2312">
    <w:altName w:val="楷体"/>
    <w:charset w:val="86"/>
    <w:family w:val="modern"/>
    <w:pitch w:val="default"/>
    <w:sig w:usb0="00000001" w:usb1="080E0000" w:usb2="00000010" w:usb3="00000000" w:csb0="00040000" w:csb1="00000000"/>
  </w:font>
  <w:font w:name="">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default"/>
    <w:sig w:usb0="00000001" w:usb1="080E0000" w:usb2="00000010" w:usb3="00000000" w:csb0="00040000" w:csb1="00000000"/>
  </w:font>
  <w:font w:name="华文细黑碙..">
    <w:altName w:val="仿宋"/>
    <w:charset w:val="86"/>
    <w:family w:val="swiss"/>
    <w:pitch w:val="default"/>
    <w:sig w:usb0="00000001" w:usb1="080E0000" w:usb2="00000010" w:usb3="00000000" w:csb0="00040000" w:csb1="00000000"/>
  </w:font>
  <w:font w:name="黑体萄">
    <w:altName w:val="方正舒体"/>
    <w:charset w:val="86"/>
    <w:family w:val="swiss"/>
    <w:pitch w:val="default"/>
    <w:sig w:usb0="00000001" w:usb1="080E0000" w:usb2="00000010" w:usb3="00000000" w:csb0="00040000" w:csb1="00000000"/>
  </w:font>
  <w:font w:name="方正黑体简体">
    <w:altName w:val="微软雅黑"/>
    <w:charset w:val="86"/>
    <w:family w:val="auto"/>
    <w:pitch w:val="default"/>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仿宋_GB2312;仿宋">
    <w:altName w:val="宋体"/>
    <w:charset w:val="86"/>
    <w:family w:val="roman"/>
    <w:pitch w:val="default"/>
    <w:sig w:usb0="00000000" w:usb1="00000000" w:usb2="00000000"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0BD1" w14:textId="77777777" w:rsidR="00000000" w:rsidRDefault="00000000">
    <w:pPr>
      <w:pStyle w:val="af1"/>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14:paraId="626339C0" w14:textId="77777777" w:rsidR="00000000" w:rsidRDefault="00000000">
    <w:pPr>
      <w:pStyle w:val="af1"/>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3CBC6" w14:textId="77777777" w:rsidR="00000000" w:rsidRDefault="00000000">
    <w:pPr>
      <w:pStyle w:val="af1"/>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A8F6C" w14:textId="77777777" w:rsidR="00000000" w:rsidRDefault="00000000">
    <w:pPr>
      <w:pStyle w:val="af1"/>
      <w:pBdr>
        <w:top w:val="single" w:sz="4" w:space="1" w:color="404040"/>
      </w:pBdr>
      <w:jc w:val="center"/>
      <w:rPr>
        <w:szCs w:val="18"/>
      </w:rPr>
    </w:pPr>
    <w:r>
      <w:rPr>
        <w:szCs w:val="18"/>
      </w:rPr>
      <w:fldChar w:fldCharType="begin"/>
    </w:r>
    <w:r>
      <w:rPr>
        <w:szCs w:val="18"/>
      </w:rPr>
      <w:instrText>PAGE   \* MERGEFORMAT</w:instrText>
    </w:r>
    <w:r>
      <w:rPr>
        <w:szCs w:val="18"/>
      </w:rPr>
      <w:fldChar w:fldCharType="separate"/>
    </w:r>
    <w:r>
      <w:rPr>
        <w:rFonts w:ascii="Arial" w:hAnsi="Arial"/>
        <w:szCs w:val="18"/>
        <w:lang w:val="zh-CN"/>
      </w:rPr>
      <w:t>9</w:t>
    </w:r>
    <w:r>
      <w:rP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5BB52" w14:textId="77777777" w:rsidR="00000000" w:rsidRDefault="00000000">
    <w:pPr>
      <w:pStyle w:val="af1"/>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14:paraId="54D00118" w14:textId="77777777" w:rsidR="00000000" w:rsidRDefault="00000000">
    <w:pPr>
      <w:pStyle w:val="af1"/>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D6ECB" w14:textId="77777777" w:rsidR="00000000" w:rsidRDefault="00000000">
    <w:pPr>
      <w:pStyle w:val="af1"/>
      <w:pBdr>
        <w:top w:val="single" w:sz="4" w:space="1" w:color="auto"/>
      </w:pBdr>
      <w:jc w:val="center"/>
      <w:rPr>
        <w:rFonts w:hint="eastAsia"/>
      </w:rPr>
    </w:pPr>
    <w:r>
      <w:fldChar w:fldCharType="begin"/>
    </w:r>
    <w:r>
      <w:instrText>PAGE   \* MERGEFORMAT</w:instrText>
    </w:r>
    <w:r>
      <w:fldChar w:fldCharType="separate"/>
    </w:r>
    <w:r>
      <w:rPr>
        <w:rFonts w:ascii="Arial" w:hAnsi="Arial"/>
        <w:lang w:val="zh-CN"/>
      </w:rPr>
      <w:t>44</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CD55D" w14:textId="77777777" w:rsidR="00000000" w:rsidRDefault="00000000">
    <w:pPr>
      <w:pStyle w:val="af1"/>
      <w:pBdr>
        <w:top w:val="single" w:sz="4" w:space="1" w:color="auto"/>
      </w:pBdr>
      <w:rPr>
        <w:rFonts w:hint="eastAsia"/>
      </w:rPr>
    </w:pPr>
  </w:p>
  <w:p w14:paraId="3001F31B" w14:textId="77777777" w:rsidR="00000000" w:rsidRDefault="00000000">
    <w:pPr>
      <w:pStyle w:val="af1"/>
      <w:framePr w:wrap="around" w:vAnchor="text" w:hAnchor="margin" w:xAlign="center" w:y="136"/>
      <w:rPr>
        <w:rStyle w:val="afc"/>
        <w:sz w:val="21"/>
      </w:rPr>
    </w:pPr>
    <w:r>
      <w:rPr>
        <w:rStyle w:val="afc"/>
        <w:sz w:val="21"/>
        <w:szCs w:val="21"/>
      </w:rPr>
      <w:t xml:space="preserve">- </w:t>
    </w:r>
    <w:r>
      <w:rPr>
        <w:rStyle w:val="afc"/>
        <w:sz w:val="21"/>
        <w:szCs w:val="21"/>
      </w:rPr>
      <w:fldChar w:fldCharType="begin"/>
    </w:r>
    <w:r>
      <w:rPr>
        <w:rStyle w:val="afc"/>
        <w:sz w:val="21"/>
        <w:szCs w:val="21"/>
      </w:rPr>
      <w:instrText xml:space="preserve"> PAGE </w:instrText>
    </w:r>
    <w:r>
      <w:rPr>
        <w:rStyle w:val="afc"/>
        <w:sz w:val="21"/>
        <w:szCs w:val="21"/>
      </w:rPr>
      <w:fldChar w:fldCharType="separate"/>
    </w:r>
    <w:r>
      <w:rPr>
        <w:rStyle w:val="afc"/>
        <w:rFonts w:ascii="Arial" w:hAnsi="Arial"/>
        <w:sz w:val="21"/>
        <w:szCs w:val="21"/>
        <w:lang w:val="en-US" w:eastAsia="zh-CN"/>
      </w:rPr>
      <w:t>37</w:t>
    </w:r>
    <w:r>
      <w:rPr>
        <w:rStyle w:val="afc"/>
        <w:sz w:val="21"/>
        <w:szCs w:val="21"/>
      </w:rPr>
      <w:fldChar w:fldCharType="end"/>
    </w:r>
    <w:r>
      <w:rPr>
        <w:rStyle w:val="afc"/>
        <w:sz w:val="21"/>
        <w:szCs w:val="21"/>
      </w:rPr>
      <w:t xml:space="preserve"> -</w:t>
    </w:r>
  </w:p>
  <w:p w14:paraId="55D80DA1" w14:textId="77777777" w:rsidR="00000000" w:rsidRDefault="00000000">
    <w:pPr>
      <w:pStyle w:val="af1"/>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28EE6" w14:textId="77777777" w:rsidR="00000000" w:rsidRDefault="00000000">
    <w:pPr>
      <w:pStyle w:val="af1"/>
      <w:framePr w:wrap="around" w:vAnchor="text" w:hAnchor="margin" w:xAlign="center" w:y="1"/>
      <w:rPr>
        <w:rStyle w:val="afc"/>
        <w:sz w:val="21"/>
      </w:rPr>
    </w:pPr>
  </w:p>
  <w:p w14:paraId="3EB0D9FB" w14:textId="77777777" w:rsidR="00000000" w:rsidRDefault="00000000">
    <w:pPr>
      <w:pStyle w:val="af1"/>
      <w:tabs>
        <w:tab w:val="clear" w:pos="4153"/>
        <w:tab w:val="clear" w:pos="8306"/>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4441A" w14:textId="77777777" w:rsidR="00000000" w:rsidRDefault="00000000">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B8D67" w14:textId="77777777" w:rsidR="00000000" w:rsidRDefault="00000000">
    <w:pPr>
      <w:pStyle w:val="af1"/>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14:paraId="0BBC84F5" w14:textId="77777777" w:rsidR="00000000" w:rsidRDefault="00000000">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670C2" w14:textId="77777777" w:rsidR="00000000" w:rsidRDefault="00000000">
    <w:pPr>
      <w:pStyle w:val="af1"/>
      <w:pBdr>
        <w:top w:val="single" w:sz="4" w:space="1" w:color="auto"/>
      </w:pBdr>
      <w:jc w:val="center"/>
      <w:rPr>
        <w:rStyle w:val="afc"/>
      </w:rPr>
    </w:pPr>
    <w:r>
      <w:fldChar w:fldCharType="begin"/>
    </w:r>
    <w:r>
      <w:instrText>PAGE   \* MERGEFORMAT</w:instrText>
    </w:r>
    <w:r>
      <w:fldChar w:fldCharType="separate"/>
    </w:r>
    <w:r>
      <w:rPr>
        <w:rFonts w:ascii="Arial" w:hAnsi="Arial"/>
        <w:lang w:val="zh-CN"/>
      </w:rPr>
      <w:t>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66641" w14:textId="77777777" w:rsidR="00000000" w:rsidRDefault="00000000">
    <w:pPr>
      <w:pStyle w:val="af1"/>
      <w:pBdr>
        <w:top w:val="single" w:sz="8" w:space="15" w:color="auto"/>
      </w:pBdr>
      <w:jc w:val="center"/>
    </w:pPr>
    <w:r>
      <w:t xml:space="preserve">- </w:t>
    </w:r>
    <w:r>
      <w:fldChar w:fldCharType="begin"/>
    </w:r>
    <w:r>
      <w:instrText xml:space="preserve"> PAGE </w:instrText>
    </w:r>
    <w:r>
      <w:fldChar w:fldCharType="separate"/>
    </w:r>
    <w:r>
      <w:rPr>
        <w:rFonts w:ascii="Arial" w:hAnsi="Arial"/>
        <w:lang w:val="en-US"/>
      </w:rP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2B0A8" w14:textId="77777777" w:rsidR="00000000" w:rsidRDefault="00000000">
    <w:pPr>
      <w:pStyle w:val="af1"/>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lang w:val="zh-CN"/>
      </w:rPr>
      <w:t>43</w:t>
    </w:r>
    <w:r>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CB81D" w14:textId="77777777" w:rsidR="00000000" w:rsidRDefault="00000000">
    <w:pPr>
      <w:pStyle w:val="af1"/>
      <w:framePr w:w="13887" w:wrap="around" w:vAnchor="text" w:hAnchor="page" w:x="1560" w:y="341"/>
      <w:jc w:val="center"/>
      <w:rPr>
        <w:rStyle w:val="afc"/>
        <w:sz w:val="21"/>
      </w:rPr>
    </w:pPr>
    <w:r>
      <w:rPr>
        <w:rStyle w:val="afc"/>
        <w:sz w:val="21"/>
        <w:szCs w:val="21"/>
      </w:rPr>
      <w:t xml:space="preserve">- </w:t>
    </w:r>
    <w:r>
      <w:rPr>
        <w:rStyle w:val="afc"/>
        <w:sz w:val="21"/>
        <w:szCs w:val="21"/>
      </w:rPr>
      <w:fldChar w:fldCharType="begin"/>
    </w:r>
    <w:r>
      <w:rPr>
        <w:rStyle w:val="afc"/>
        <w:sz w:val="21"/>
        <w:szCs w:val="21"/>
      </w:rPr>
      <w:instrText xml:space="preserve"> PAGE </w:instrText>
    </w:r>
    <w:r>
      <w:rPr>
        <w:rStyle w:val="afc"/>
        <w:sz w:val="21"/>
        <w:szCs w:val="21"/>
      </w:rPr>
      <w:fldChar w:fldCharType="separate"/>
    </w:r>
    <w:r>
      <w:rPr>
        <w:rStyle w:val="afc"/>
        <w:rFonts w:ascii="Arial" w:hAnsi="Arial"/>
        <w:sz w:val="21"/>
        <w:szCs w:val="21"/>
        <w:lang w:val="en-US" w:eastAsia="zh-CN"/>
      </w:rPr>
      <w:t>8</w:t>
    </w:r>
    <w:r>
      <w:rPr>
        <w:rStyle w:val="afc"/>
        <w:sz w:val="21"/>
        <w:szCs w:val="21"/>
      </w:rPr>
      <w:fldChar w:fldCharType="end"/>
    </w:r>
    <w:r>
      <w:rPr>
        <w:rStyle w:val="afc"/>
        <w:sz w:val="21"/>
        <w:szCs w:val="21"/>
      </w:rPr>
      <w:t xml:space="preserve"> -</w:t>
    </w:r>
  </w:p>
  <w:p w14:paraId="341FFC37" w14:textId="77777777" w:rsidR="00000000" w:rsidRDefault="00000000">
    <w:pPr>
      <w:pStyle w:val="af1"/>
      <w:pBdr>
        <w:top w:val="single" w:sz="8" w:space="15" w:color="auto"/>
      </w:pBdr>
      <w:rPr>
        <w:rFonts w:hint="eastAsia"/>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52144" w14:textId="77777777" w:rsidR="00000000" w:rsidRDefault="00000000">
    <w:pPr>
      <w:pStyle w:val="af1"/>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lang w:val="zh-CN"/>
      </w:rPr>
      <w:t>37</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E473F" w14:textId="77777777" w:rsidR="00111886" w:rsidRDefault="00111886">
      <w:pPr>
        <w:spacing w:line="240" w:lineRule="auto"/>
      </w:pPr>
      <w:r>
        <w:separator/>
      </w:r>
    </w:p>
  </w:footnote>
  <w:footnote w:type="continuationSeparator" w:id="0">
    <w:p w14:paraId="33AF23E4" w14:textId="77777777" w:rsidR="00111886" w:rsidRDefault="001118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956DF" w14:textId="77777777" w:rsidR="00000000" w:rsidRDefault="00000000">
    <w:pPr>
      <w:pStyle w:val="af3"/>
      <w:pBdr>
        <w:bottom w:val="none" w:sz="0" w:space="0" w:color="auto"/>
      </w:pBdr>
      <w:rPr>
        <w:rFonts w:hint="eastAsia"/>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C4E23" w14:textId="65B991E5" w:rsidR="00000000" w:rsidRDefault="00CA265D">
    <w:pPr>
      <w:pStyle w:val="af3"/>
      <w:pBdr>
        <w:bottom w:val="none" w:sz="0" w:space="0" w:color="auto"/>
      </w:pBdr>
      <w:jc w:val="both"/>
      <w:rPr>
        <w:rFonts w:hint="eastAsia"/>
        <w:lang w:val="en-US"/>
      </w:rPr>
    </w:pPr>
    <w:r>
      <w:rPr>
        <w:noProof/>
        <w:lang w:val="en-US" w:eastAsia="zh-CN"/>
      </w:rPr>
      <w:drawing>
        <wp:inline distT="0" distB="0" distL="0" distR="0" wp14:anchorId="70DA2941" wp14:editId="5361B069">
          <wp:extent cx="5904230" cy="28003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0035"/>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EE2E7" w14:textId="294A8463" w:rsidR="00000000" w:rsidRDefault="00CA265D">
    <w:pPr>
      <w:pStyle w:val="af3"/>
      <w:pBdr>
        <w:bottom w:val="none" w:sz="0" w:space="0" w:color="auto"/>
      </w:pBdr>
      <w:jc w:val="both"/>
      <w:rPr>
        <w:rFonts w:hint="eastAsia"/>
        <w:lang w:val="en-US"/>
      </w:rPr>
    </w:pPr>
    <w:r>
      <w:rPr>
        <w:noProof/>
        <w:lang w:val="en-US" w:eastAsia="zh-CN"/>
      </w:rPr>
      <w:drawing>
        <wp:inline distT="0" distB="0" distL="0" distR="0" wp14:anchorId="6454928D" wp14:editId="27BD6EA5">
          <wp:extent cx="5904230" cy="285115"/>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p w14:paraId="1A2369E6" w14:textId="77777777" w:rsidR="00000000" w:rsidRDefault="00000000">
    <w:pPr>
      <w:pStyle w:val="af3"/>
      <w:pBdr>
        <w:bottom w:val="none" w:sz="0" w:space="0" w:color="auto"/>
      </w:pBdr>
      <w:jc w:val="both"/>
      <w:rPr>
        <w:rFonts w:hint="eastAsia"/>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82A5C" w14:textId="77777777" w:rsidR="00000000" w:rsidRDefault="00000000">
    <w:pPr>
      <w:pStyle w:val="af3"/>
      <w:pBdr>
        <w:bottom w:val="none" w:sz="0" w:space="0" w:color="auto"/>
      </w:pBdr>
      <w:jc w:val="both"/>
      <w:rPr>
        <w:rFonts w:hint="eastAsia"/>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4A906" w14:textId="0BC8E76D" w:rsidR="00000000" w:rsidRDefault="00CA265D">
    <w:pPr>
      <w:pStyle w:val="af3"/>
      <w:pBdr>
        <w:bottom w:val="none" w:sz="0" w:space="0" w:color="auto"/>
      </w:pBdr>
      <w:jc w:val="both"/>
      <w:rPr>
        <w:rFonts w:hint="eastAsia"/>
        <w:lang w:val="en-US"/>
      </w:rPr>
    </w:pPr>
    <w:r>
      <w:rPr>
        <w:noProof/>
        <w:lang w:val="en-US" w:eastAsia="zh-CN"/>
      </w:rPr>
      <w:drawing>
        <wp:inline distT="0" distB="0" distL="0" distR="0" wp14:anchorId="1B8709DC" wp14:editId="7ABEFBA5">
          <wp:extent cx="5904230" cy="285115"/>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8482A" w14:textId="324F0A34" w:rsidR="00000000" w:rsidRDefault="00CA265D">
    <w:pPr>
      <w:pStyle w:val="af3"/>
      <w:pBdr>
        <w:bottom w:val="none" w:sz="0" w:space="0" w:color="auto"/>
      </w:pBdr>
      <w:rPr>
        <w:rFonts w:hint="eastAsia"/>
        <w:lang w:val="en-US"/>
      </w:rPr>
    </w:pPr>
    <w:r>
      <w:rPr>
        <w:noProof/>
        <w:lang w:val="en-US" w:eastAsia="zh-CN"/>
      </w:rPr>
      <w:drawing>
        <wp:inline distT="0" distB="0" distL="0" distR="0" wp14:anchorId="26920036" wp14:editId="2B3884E5">
          <wp:extent cx="5904230" cy="285115"/>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B6465" w14:textId="34BB1753" w:rsidR="00000000" w:rsidRDefault="00CA265D">
    <w:pPr>
      <w:pStyle w:val="af3"/>
      <w:pBdr>
        <w:bottom w:val="none" w:sz="0" w:space="0" w:color="auto"/>
      </w:pBdr>
      <w:rPr>
        <w:rFonts w:hint="eastAsia"/>
        <w:lang w:val="en-US"/>
      </w:rPr>
    </w:pPr>
    <w:r>
      <w:rPr>
        <w:noProof/>
        <w:lang w:val="en-US" w:eastAsia="zh-CN"/>
      </w:rPr>
      <w:drawing>
        <wp:inline distT="0" distB="0" distL="0" distR="0" wp14:anchorId="4A1ECF70" wp14:editId="143AF44E">
          <wp:extent cx="5904230" cy="28511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63FDE" w14:textId="591FF6A3" w:rsidR="00000000" w:rsidRDefault="00CA265D">
    <w:pPr>
      <w:pStyle w:val="af3"/>
      <w:pBdr>
        <w:bottom w:val="none" w:sz="0" w:space="0" w:color="auto"/>
      </w:pBdr>
      <w:rPr>
        <w:rFonts w:hint="eastAsia"/>
      </w:rPr>
    </w:pPr>
    <w:r>
      <w:rPr>
        <w:noProof/>
        <w:lang w:val="en-US" w:eastAsia="zh-CN"/>
      </w:rPr>
      <w:drawing>
        <wp:inline distT="0" distB="0" distL="0" distR="0" wp14:anchorId="33570BF6" wp14:editId="1EB321AF">
          <wp:extent cx="5904230" cy="285115"/>
          <wp:effectExtent l="0" t="0" r="0" b="0"/>
          <wp:docPr id="4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7E5B1" w14:textId="420B9685" w:rsidR="00000000" w:rsidRDefault="00CA265D">
    <w:pPr>
      <w:pStyle w:val="af3"/>
      <w:pBdr>
        <w:bottom w:val="none" w:sz="0" w:space="0" w:color="auto"/>
      </w:pBdr>
      <w:jc w:val="both"/>
      <w:rPr>
        <w:rFonts w:hint="eastAsia"/>
        <w:lang w:val="en-US"/>
      </w:rPr>
    </w:pPr>
    <w:r>
      <w:rPr>
        <w:noProof/>
        <w:lang w:val="en-US" w:eastAsia="zh-CN"/>
      </w:rPr>
      <w:drawing>
        <wp:inline distT="0" distB="0" distL="0" distR="0" wp14:anchorId="247A244A" wp14:editId="645C3FE1">
          <wp:extent cx="5497195" cy="285115"/>
          <wp:effectExtent l="0" t="0" r="0" b="0"/>
          <wp:docPr id="4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7195" cy="285115"/>
                  </a:xfrm>
                  <a:prstGeom prst="rect">
                    <a:avLst/>
                  </a:prstGeom>
                  <a:noFill/>
                  <a:ln>
                    <a:noFill/>
                  </a:ln>
                </pic:spPr>
              </pic:pic>
            </a:graphicData>
          </a:graphic>
        </wp:inline>
      </w:drawing>
    </w:r>
  </w:p>
  <w:p w14:paraId="7033BD7F" w14:textId="77777777" w:rsidR="00000000" w:rsidRDefault="00000000">
    <w:pPr>
      <w:pStyle w:val="af3"/>
      <w:pBdr>
        <w:bottom w:val="none" w:sz="0" w:space="0" w:color="auto"/>
      </w:pBdr>
      <w:jc w:val="both"/>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EC1BF" w14:textId="77777777" w:rsidR="00000000" w:rsidRDefault="00000000">
    <w:pPr>
      <w:pStyle w:val="af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2558A" w14:textId="280FCC3C" w:rsidR="00000000" w:rsidRDefault="00CA265D">
    <w:pPr>
      <w:pStyle w:val="af3"/>
      <w:pBdr>
        <w:bottom w:val="none" w:sz="0" w:space="0" w:color="auto"/>
      </w:pBdr>
    </w:pPr>
    <w:r>
      <w:rPr>
        <w:noProof/>
        <w:lang w:val="en-US" w:eastAsia="zh-CN"/>
      </w:rPr>
      <w:drawing>
        <wp:inline distT="0" distB="0" distL="0" distR="0" wp14:anchorId="306D3B8B" wp14:editId="4FE53ADB">
          <wp:extent cx="5904230" cy="285115"/>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83F06" w14:textId="49AF553B" w:rsidR="00000000" w:rsidRDefault="00CA265D">
    <w:pPr>
      <w:pStyle w:val="af3"/>
      <w:pBdr>
        <w:bottom w:val="none" w:sz="0" w:space="0" w:color="auto"/>
      </w:pBdr>
      <w:jc w:val="both"/>
      <w:rPr>
        <w:rFonts w:hint="eastAsia"/>
        <w:lang w:val="en-US"/>
      </w:rPr>
    </w:pPr>
    <w:r>
      <w:rPr>
        <w:noProof/>
        <w:lang w:val="en-US" w:eastAsia="zh-CN"/>
      </w:rPr>
      <w:drawing>
        <wp:inline distT="0" distB="0" distL="0" distR="0" wp14:anchorId="25AD1BB8" wp14:editId="0DC495B1">
          <wp:extent cx="5904230" cy="285115"/>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17DDE" w14:textId="25DBC09B" w:rsidR="00000000" w:rsidRDefault="00CA265D">
    <w:pPr>
      <w:pStyle w:val="af3"/>
      <w:pBdr>
        <w:bottom w:val="none" w:sz="0" w:space="0" w:color="auto"/>
      </w:pBdr>
    </w:pPr>
    <w:r>
      <w:rPr>
        <w:noProof/>
        <w:lang w:val="en-US" w:eastAsia="zh-CN"/>
      </w:rPr>
      <w:drawing>
        <wp:inline distT="0" distB="0" distL="0" distR="0" wp14:anchorId="69921E9B" wp14:editId="76D6B49C">
          <wp:extent cx="5904230" cy="285115"/>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E221" w14:textId="2D336016" w:rsidR="00000000" w:rsidRDefault="00CA265D">
    <w:pPr>
      <w:pStyle w:val="af3"/>
      <w:pBdr>
        <w:bottom w:val="none" w:sz="0" w:space="0" w:color="auto"/>
      </w:pBdr>
      <w:jc w:val="both"/>
      <w:rPr>
        <w:rFonts w:ascii="Arial" w:eastAsia="华文行楷" w:hAnsi="Arial" w:hint="eastAsia"/>
      </w:rPr>
    </w:pPr>
    <w:r>
      <w:rPr>
        <w:rFonts w:ascii="楷体_GB2312" w:eastAsia="楷体_GB2312" w:hint="eastAsia"/>
        <w:noProof/>
        <w:spacing w:val="-20"/>
        <w:sz w:val="24"/>
        <w:lang w:val="en-US" w:eastAsia="zh-CN"/>
      </w:rPr>
      <w:drawing>
        <wp:inline distT="0" distB="0" distL="0" distR="0" wp14:anchorId="2D72B442" wp14:editId="201A54C9">
          <wp:extent cx="8863965" cy="391160"/>
          <wp:effectExtent l="0" t="0" r="0" b="0"/>
          <wp:docPr id="45"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6"/>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3965" cy="3911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964EA" w14:textId="143052D7" w:rsidR="00000000" w:rsidRDefault="00CA265D">
    <w:pPr>
      <w:pStyle w:val="af3"/>
      <w:pBdr>
        <w:bottom w:val="none" w:sz="0" w:space="0" w:color="auto"/>
      </w:pBdr>
      <w:rPr>
        <w:rFonts w:ascii="楷体_GB2312" w:eastAsia="楷体_GB2312" w:hint="eastAsia"/>
        <w:spacing w:val="-20"/>
        <w:sz w:val="24"/>
      </w:rPr>
    </w:pPr>
    <w:r>
      <w:rPr>
        <w:noProof/>
        <w:lang w:val="en-US" w:eastAsia="zh-CN"/>
      </w:rPr>
      <w:drawing>
        <wp:inline distT="0" distB="0" distL="0" distR="0" wp14:anchorId="7D0D1B89" wp14:editId="7B7A0C21">
          <wp:extent cx="5904230" cy="285115"/>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A6656" w14:textId="3A737AEA" w:rsidR="00000000" w:rsidRDefault="00CA265D">
    <w:pPr>
      <w:pStyle w:val="af3"/>
      <w:pBdr>
        <w:bottom w:val="none" w:sz="0" w:space="0" w:color="auto"/>
      </w:pBdr>
      <w:rPr>
        <w:rFonts w:ascii="楷体_GB2312" w:eastAsia="楷体_GB2312" w:hint="eastAsia"/>
        <w:spacing w:val="-20"/>
        <w:sz w:val="24"/>
      </w:rPr>
    </w:pPr>
    <w:r>
      <w:rPr>
        <w:noProof/>
        <w:lang w:val="en-US" w:eastAsia="zh-CN"/>
      </w:rPr>
      <w:drawing>
        <wp:inline distT="0" distB="0" distL="0" distR="0" wp14:anchorId="7AE651B9" wp14:editId="219A6077">
          <wp:extent cx="5904230" cy="285115"/>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039EE" w14:textId="4D4D9D6D" w:rsidR="00000000" w:rsidRDefault="00CA265D">
    <w:pPr>
      <w:pStyle w:val="af3"/>
      <w:pBdr>
        <w:bottom w:val="none" w:sz="0" w:space="0" w:color="auto"/>
      </w:pBdr>
      <w:jc w:val="both"/>
      <w:rPr>
        <w:rFonts w:hint="eastAsia"/>
        <w:lang w:val="en-US"/>
      </w:rPr>
    </w:pPr>
    <w:r>
      <w:rPr>
        <w:noProof/>
        <w:lang w:val="en-US" w:eastAsia="zh-CN"/>
      </w:rPr>
      <w:drawing>
        <wp:inline distT="0" distB="0" distL="0" distR="0" wp14:anchorId="7C6D96F9" wp14:editId="4D18D91A">
          <wp:extent cx="5904230" cy="285115"/>
          <wp:effectExtent l="0" t="0" r="0" b="0"/>
          <wp:docPr id="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1" w15:restartNumberingAfterBreak="0">
    <w:nsid w:val="42711A3B"/>
    <w:multiLevelType w:val="multilevel"/>
    <w:tmpl w:val="42711A3B"/>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2"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5F6A3DC4"/>
    <w:multiLevelType w:val="multilevel"/>
    <w:tmpl w:val="5F6A3DC4"/>
    <w:lvl w:ilvl="0">
      <w:start w:val="1"/>
      <w:numFmt w:val="upperRoman"/>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4" w15:restartNumberingAfterBreak="0">
    <w:nsid w:val="6E3F4F67"/>
    <w:multiLevelType w:val="singleLevel"/>
    <w:tmpl w:val="6E3F4F67"/>
    <w:lvl w:ilvl="0">
      <w:start w:val="8"/>
      <w:numFmt w:val="chineseCounting"/>
      <w:suff w:val="nothing"/>
      <w:lvlText w:val="%1、"/>
      <w:lvlJc w:val="left"/>
      <w:rPr>
        <w:rFonts w:hint="eastAsia"/>
      </w:rPr>
    </w:lvl>
  </w:abstractNum>
  <w:abstractNum w:abstractNumId="5" w15:restartNumberingAfterBreak="0">
    <w:nsid w:val="75A04673"/>
    <w:multiLevelType w:val="multilevel"/>
    <w:tmpl w:val="75A04673"/>
    <w:lvl w:ilvl="0">
      <w:start w:val="1"/>
      <w:numFmt w:val="upperLetter"/>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7906362E"/>
    <w:multiLevelType w:val="multilevel"/>
    <w:tmpl w:val="7906362E"/>
    <w:lvl w:ilvl="0">
      <w:start w:val="1"/>
      <w:numFmt w:val="upperLetter"/>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7DFCDDBF"/>
    <w:multiLevelType w:val="singleLevel"/>
    <w:tmpl w:val="7DFCDDBF"/>
    <w:lvl w:ilvl="0">
      <w:start w:val="3"/>
      <w:numFmt w:val="chineseCounting"/>
      <w:suff w:val="nothing"/>
      <w:lvlText w:val="（%1）"/>
      <w:lvlJc w:val="left"/>
      <w:rPr>
        <w:rFonts w:hint="eastAsia"/>
      </w:rPr>
    </w:lvl>
  </w:abstractNum>
  <w:num w:numId="1" w16cid:durableId="1317487834">
    <w:abstractNumId w:val="6"/>
  </w:num>
  <w:num w:numId="2" w16cid:durableId="251479053">
    <w:abstractNumId w:val="5"/>
  </w:num>
  <w:num w:numId="3" w16cid:durableId="1813909009">
    <w:abstractNumId w:val="0"/>
  </w:num>
  <w:num w:numId="4" w16cid:durableId="1299921823">
    <w:abstractNumId w:val="3"/>
  </w:num>
  <w:num w:numId="5" w16cid:durableId="29382834">
    <w:abstractNumId w:val="2"/>
  </w:num>
  <w:num w:numId="6" w16cid:durableId="1548950661">
    <w:abstractNumId w:val="7"/>
  </w:num>
  <w:num w:numId="7" w16cid:durableId="1593002585">
    <w:abstractNumId w:val="4"/>
  </w:num>
  <w:num w:numId="8" w16cid:durableId="212095356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420"/>
  <w:drawingGridVerticalSpacing w:val="156"/>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1B0"/>
    <w:rsid w:val="000001B0"/>
    <w:rsid w:val="000029BA"/>
    <w:rsid w:val="00002D13"/>
    <w:rsid w:val="00010109"/>
    <w:rsid w:val="00020655"/>
    <w:rsid w:val="00022A81"/>
    <w:rsid w:val="00022AEF"/>
    <w:rsid w:val="00022D26"/>
    <w:rsid w:val="00022E09"/>
    <w:rsid w:val="00023A9D"/>
    <w:rsid w:val="0002583D"/>
    <w:rsid w:val="000335C0"/>
    <w:rsid w:val="00035D39"/>
    <w:rsid w:val="00041BED"/>
    <w:rsid w:val="00050B46"/>
    <w:rsid w:val="00051792"/>
    <w:rsid w:val="00052093"/>
    <w:rsid w:val="00052FC0"/>
    <w:rsid w:val="0005412C"/>
    <w:rsid w:val="00054E3F"/>
    <w:rsid w:val="00055D46"/>
    <w:rsid w:val="00060139"/>
    <w:rsid w:val="000634D6"/>
    <w:rsid w:val="00072B8B"/>
    <w:rsid w:val="00074664"/>
    <w:rsid w:val="0007570B"/>
    <w:rsid w:val="00075C27"/>
    <w:rsid w:val="00081ECD"/>
    <w:rsid w:val="0008235C"/>
    <w:rsid w:val="0008487F"/>
    <w:rsid w:val="000874F1"/>
    <w:rsid w:val="00090F6E"/>
    <w:rsid w:val="0009241E"/>
    <w:rsid w:val="0009253E"/>
    <w:rsid w:val="00092DE8"/>
    <w:rsid w:val="00094171"/>
    <w:rsid w:val="000A02EB"/>
    <w:rsid w:val="000A174F"/>
    <w:rsid w:val="000A6EFF"/>
    <w:rsid w:val="000C07B6"/>
    <w:rsid w:val="000C4251"/>
    <w:rsid w:val="000C6F13"/>
    <w:rsid w:val="000D0C1F"/>
    <w:rsid w:val="000D7FD2"/>
    <w:rsid w:val="000E38E9"/>
    <w:rsid w:val="000F4961"/>
    <w:rsid w:val="000F4D50"/>
    <w:rsid w:val="000F5B7A"/>
    <w:rsid w:val="000F7BF6"/>
    <w:rsid w:val="00111886"/>
    <w:rsid w:val="001119D8"/>
    <w:rsid w:val="00117659"/>
    <w:rsid w:val="00120689"/>
    <w:rsid w:val="00120A72"/>
    <w:rsid w:val="00120C20"/>
    <w:rsid w:val="001248ED"/>
    <w:rsid w:val="00134B7C"/>
    <w:rsid w:val="0013780B"/>
    <w:rsid w:val="00137E12"/>
    <w:rsid w:val="00140155"/>
    <w:rsid w:val="001421D2"/>
    <w:rsid w:val="0014421E"/>
    <w:rsid w:val="00144DAD"/>
    <w:rsid w:val="00145624"/>
    <w:rsid w:val="0015240C"/>
    <w:rsid w:val="00152BCA"/>
    <w:rsid w:val="00152BE0"/>
    <w:rsid w:val="00154465"/>
    <w:rsid w:val="00156953"/>
    <w:rsid w:val="00156F88"/>
    <w:rsid w:val="001632D8"/>
    <w:rsid w:val="00163358"/>
    <w:rsid w:val="00170A33"/>
    <w:rsid w:val="001731EA"/>
    <w:rsid w:val="0017469E"/>
    <w:rsid w:val="001769D7"/>
    <w:rsid w:val="00177F4C"/>
    <w:rsid w:val="001838C3"/>
    <w:rsid w:val="0018515C"/>
    <w:rsid w:val="0018781B"/>
    <w:rsid w:val="0019089B"/>
    <w:rsid w:val="00191A67"/>
    <w:rsid w:val="00192533"/>
    <w:rsid w:val="001942A4"/>
    <w:rsid w:val="00194C21"/>
    <w:rsid w:val="00196F58"/>
    <w:rsid w:val="00197A5E"/>
    <w:rsid w:val="001A0B0D"/>
    <w:rsid w:val="001B2396"/>
    <w:rsid w:val="001B3D44"/>
    <w:rsid w:val="001B44EE"/>
    <w:rsid w:val="001B47B8"/>
    <w:rsid w:val="001C076D"/>
    <w:rsid w:val="001C3012"/>
    <w:rsid w:val="001D515B"/>
    <w:rsid w:val="001D79DD"/>
    <w:rsid w:val="001E4531"/>
    <w:rsid w:val="001E6A68"/>
    <w:rsid w:val="001F1D45"/>
    <w:rsid w:val="001F2814"/>
    <w:rsid w:val="001F5529"/>
    <w:rsid w:val="001F780D"/>
    <w:rsid w:val="00202C3A"/>
    <w:rsid w:val="00202EC5"/>
    <w:rsid w:val="00204944"/>
    <w:rsid w:val="0020629B"/>
    <w:rsid w:val="002131D5"/>
    <w:rsid w:val="0021724D"/>
    <w:rsid w:val="00221B39"/>
    <w:rsid w:val="0022376C"/>
    <w:rsid w:val="0022512A"/>
    <w:rsid w:val="002254C5"/>
    <w:rsid w:val="002316DB"/>
    <w:rsid w:val="00232D19"/>
    <w:rsid w:val="0023355D"/>
    <w:rsid w:val="00235889"/>
    <w:rsid w:val="00236537"/>
    <w:rsid w:val="00256420"/>
    <w:rsid w:val="00257C17"/>
    <w:rsid w:val="00257DCE"/>
    <w:rsid w:val="00261064"/>
    <w:rsid w:val="00261AA1"/>
    <w:rsid w:val="0026407E"/>
    <w:rsid w:val="00264EB2"/>
    <w:rsid w:val="0027775C"/>
    <w:rsid w:val="00280229"/>
    <w:rsid w:val="002812F5"/>
    <w:rsid w:val="00282105"/>
    <w:rsid w:val="0028380A"/>
    <w:rsid w:val="00284E77"/>
    <w:rsid w:val="002876D1"/>
    <w:rsid w:val="002908E0"/>
    <w:rsid w:val="00292192"/>
    <w:rsid w:val="00293DE5"/>
    <w:rsid w:val="002977A8"/>
    <w:rsid w:val="002A0F54"/>
    <w:rsid w:val="002A10A5"/>
    <w:rsid w:val="002A148B"/>
    <w:rsid w:val="002A5CC8"/>
    <w:rsid w:val="002A6AA9"/>
    <w:rsid w:val="002A749A"/>
    <w:rsid w:val="002B105C"/>
    <w:rsid w:val="002B3FEF"/>
    <w:rsid w:val="002B47CF"/>
    <w:rsid w:val="002B51E0"/>
    <w:rsid w:val="002B67C8"/>
    <w:rsid w:val="002C1F9C"/>
    <w:rsid w:val="002C3C92"/>
    <w:rsid w:val="002C560C"/>
    <w:rsid w:val="002D6449"/>
    <w:rsid w:val="002E0834"/>
    <w:rsid w:val="002E3112"/>
    <w:rsid w:val="002E54A6"/>
    <w:rsid w:val="002F1264"/>
    <w:rsid w:val="002F1863"/>
    <w:rsid w:val="002F4573"/>
    <w:rsid w:val="002F4903"/>
    <w:rsid w:val="002F49F8"/>
    <w:rsid w:val="002F709D"/>
    <w:rsid w:val="002F7371"/>
    <w:rsid w:val="00301791"/>
    <w:rsid w:val="00304DF3"/>
    <w:rsid w:val="003067EC"/>
    <w:rsid w:val="00315B54"/>
    <w:rsid w:val="003160E1"/>
    <w:rsid w:val="00317EA7"/>
    <w:rsid w:val="003246D6"/>
    <w:rsid w:val="00326C81"/>
    <w:rsid w:val="00327283"/>
    <w:rsid w:val="00332CBE"/>
    <w:rsid w:val="003375E2"/>
    <w:rsid w:val="00340A4E"/>
    <w:rsid w:val="00343F11"/>
    <w:rsid w:val="00345EFE"/>
    <w:rsid w:val="00350F79"/>
    <w:rsid w:val="00352B7B"/>
    <w:rsid w:val="0035403B"/>
    <w:rsid w:val="00354770"/>
    <w:rsid w:val="00354E7A"/>
    <w:rsid w:val="00356C67"/>
    <w:rsid w:val="00361861"/>
    <w:rsid w:val="00361D48"/>
    <w:rsid w:val="003671A9"/>
    <w:rsid w:val="00367C4A"/>
    <w:rsid w:val="003820DF"/>
    <w:rsid w:val="00383822"/>
    <w:rsid w:val="00383D1A"/>
    <w:rsid w:val="00383F44"/>
    <w:rsid w:val="00391CCD"/>
    <w:rsid w:val="003A0AF4"/>
    <w:rsid w:val="003B14B1"/>
    <w:rsid w:val="003B1634"/>
    <w:rsid w:val="003B56CD"/>
    <w:rsid w:val="003C0C11"/>
    <w:rsid w:val="003C1524"/>
    <w:rsid w:val="003C26C6"/>
    <w:rsid w:val="003C3095"/>
    <w:rsid w:val="003D1C97"/>
    <w:rsid w:val="003E00D3"/>
    <w:rsid w:val="003E4FE2"/>
    <w:rsid w:val="003E7A2D"/>
    <w:rsid w:val="003F1157"/>
    <w:rsid w:val="003F5E55"/>
    <w:rsid w:val="003F7C33"/>
    <w:rsid w:val="004003E3"/>
    <w:rsid w:val="00400D0C"/>
    <w:rsid w:val="00405685"/>
    <w:rsid w:val="00411DE0"/>
    <w:rsid w:val="004210FA"/>
    <w:rsid w:val="0042679D"/>
    <w:rsid w:val="0043174D"/>
    <w:rsid w:val="00436024"/>
    <w:rsid w:val="00436B1B"/>
    <w:rsid w:val="00440587"/>
    <w:rsid w:val="00440C06"/>
    <w:rsid w:val="00443AAE"/>
    <w:rsid w:val="00445EAD"/>
    <w:rsid w:val="004521BC"/>
    <w:rsid w:val="0045386B"/>
    <w:rsid w:val="00454CF9"/>
    <w:rsid w:val="00460138"/>
    <w:rsid w:val="0046160C"/>
    <w:rsid w:val="00462DFD"/>
    <w:rsid w:val="00471492"/>
    <w:rsid w:val="00475970"/>
    <w:rsid w:val="0048029B"/>
    <w:rsid w:val="0048234D"/>
    <w:rsid w:val="00491C66"/>
    <w:rsid w:val="00494CCE"/>
    <w:rsid w:val="0049773E"/>
    <w:rsid w:val="004B09BA"/>
    <w:rsid w:val="004B3AA0"/>
    <w:rsid w:val="004B42A9"/>
    <w:rsid w:val="004B50EE"/>
    <w:rsid w:val="004B6CCC"/>
    <w:rsid w:val="004B79BA"/>
    <w:rsid w:val="004B7BB5"/>
    <w:rsid w:val="004C0429"/>
    <w:rsid w:val="004C1361"/>
    <w:rsid w:val="004C136E"/>
    <w:rsid w:val="004C68B9"/>
    <w:rsid w:val="004D0BCA"/>
    <w:rsid w:val="004D31CD"/>
    <w:rsid w:val="004D6719"/>
    <w:rsid w:val="004D74F4"/>
    <w:rsid w:val="004E01B4"/>
    <w:rsid w:val="004E3416"/>
    <w:rsid w:val="004E7E58"/>
    <w:rsid w:val="004F216F"/>
    <w:rsid w:val="004F6F92"/>
    <w:rsid w:val="00504671"/>
    <w:rsid w:val="00511544"/>
    <w:rsid w:val="00512A86"/>
    <w:rsid w:val="005136C1"/>
    <w:rsid w:val="00517ACD"/>
    <w:rsid w:val="00521F40"/>
    <w:rsid w:val="00522129"/>
    <w:rsid w:val="005224A8"/>
    <w:rsid w:val="0052677F"/>
    <w:rsid w:val="00532E27"/>
    <w:rsid w:val="005345F8"/>
    <w:rsid w:val="00534F8B"/>
    <w:rsid w:val="005356FB"/>
    <w:rsid w:val="005357F7"/>
    <w:rsid w:val="00540133"/>
    <w:rsid w:val="00543B14"/>
    <w:rsid w:val="00544019"/>
    <w:rsid w:val="00554049"/>
    <w:rsid w:val="00557C18"/>
    <w:rsid w:val="00561BE3"/>
    <w:rsid w:val="00561C9D"/>
    <w:rsid w:val="00565014"/>
    <w:rsid w:val="00567003"/>
    <w:rsid w:val="005719DE"/>
    <w:rsid w:val="00573D43"/>
    <w:rsid w:val="00582273"/>
    <w:rsid w:val="0058261F"/>
    <w:rsid w:val="00582D43"/>
    <w:rsid w:val="00595A93"/>
    <w:rsid w:val="005961B7"/>
    <w:rsid w:val="00596857"/>
    <w:rsid w:val="005A0AE9"/>
    <w:rsid w:val="005A20C8"/>
    <w:rsid w:val="005A68D5"/>
    <w:rsid w:val="005A6B63"/>
    <w:rsid w:val="005C0F2D"/>
    <w:rsid w:val="005C1CF5"/>
    <w:rsid w:val="005C1F9C"/>
    <w:rsid w:val="005C77B6"/>
    <w:rsid w:val="005D49D2"/>
    <w:rsid w:val="005E1D49"/>
    <w:rsid w:val="005E2DCA"/>
    <w:rsid w:val="005E48AF"/>
    <w:rsid w:val="005E575C"/>
    <w:rsid w:val="005E5CF8"/>
    <w:rsid w:val="005E6F31"/>
    <w:rsid w:val="005E7C27"/>
    <w:rsid w:val="005F0B10"/>
    <w:rsid w:val="00600697"/>
    <w:rsid w:val="00601E54"/>
    <w:rsid w:val="006029F9"/>
    <w:rsid w:val="00603B3C"/>
    <w:rsid w:val="006054D5"/>
    <w:rsid w:val="0062473A"/>
    <w:rsid w:val="00630AF9"/>
    <w:rsid w:val="0063236C"/>
    <w:rsid w:val="0063507E"/>
    <w:rsid w:val="006352C1"/>
    <w:rsid w:val="00637654"/>
    <w:rsid w:val="00640CB1"/>
    <w:rsid w:val="00643A5E"/>
    <w:rsid w:val="0065126F"/>
    <w:rsid w:val="006643A0"/>
    <w:rsid w:val="00672C2B"/>
    <w:rsid w:val="00675AC6"/>
    <w:rsid w:val="00676094"/>
    <w:rsid w:val="00681897"/>
    <w:rsid w:val="00682ECC"/>
    <w:rsid w:val="00683546"/>
    <w:rsid w:val="00683D9D"/>
    <w:rsid w:val="0068411A"/>
    <w:rsid w:val="00692E68"/>
    <w:rsid w:val="0069312D"/>
    <w:rsid w:val="00694196"/>
    <w:rsid w:val="00696AF0"/>
    <w:rsid w:val="006972C7"/>
    <w:rsid w:val="006A27B1"/>
    <w:rsid w:val="006A4978"/>
    <w:rsid w:val="006B052F"/>
    <w:rsid w:val="006B0CFC"/>
    <w:rsid w:val="006B0DBC"/>
    <w:rsid w:val="006B16A1"/>
    <w:rsid w:val="006B175B"/>
    <w:rsid w:val="006B1FA5"/>
    <w:rsid w:val="006B26A0"/>
    <w:rsid w:val="006B3DEE"/>
    <w:rsid w:val="006B7005"/>
    <w:rsid w:val="006B79CC"/>
    <w:rsid w:val="006B7B6B"/>
    <w:rsid w:val="006C2355"/>
    <w:rsid w:val="006C4741"/>
    <w:rsid w:val="006D27AD"/>
    <w:rsid w:val="006D3C3B"/>
    <w:rsid w:val="006D6232"/>
    <w:rsid w:val="006D6FA9"/>
    <w:rsid w:val="006D7085"/>
    <w:rsid w:val="006E1DD9"/>
    <w:rsid w:val="006E401B"/>
    <w:rsid w:val="006F7F27"/>
    <w:rsid w:val="00700628"/>
    <w:rsid w:val="00702B03"/>
    <w:rsid w:val="007057C1"/>
    <w:rsid w:val="0070699A"/>
    <w:rsid w:val="00716811"/>
    <w:rsid w:val="007204E4"/>
    <w:rsid w:val="00722749"/>
    <w:rsid w:val="007250C3"/>
    <w:rsid w:val="00725C57"/>
    <w:rsid w:val="00730BF1"/>
    <w:rsid w:val="00735669"/>
    <w:rsid w:val="007377D7"/>
    <w:rsid w:val="00737E0F"/>
    <w:rsid w:val="00741811"/>
    <w:rsid w:val="00743FE4"/>
    <w:rsid w:val="007516F3"/>
    <w:rsid w:val="00756886"/>
    <w:rsid w:val="00763ADF"/>
    <w:rsid w:val="007640D0"/>
    <w:rsid w:val="00765615"/>
    <w:rsid w:val="00770175"/>
    <w:rsid w:val="007726FA"/>
    <w:rsid w:val="00772CE9"/>
    <w:rsid w:val="007741C3"/>
    <w:rsid w:val="00775B32"/>
    <w:rsid w:val="00776D0B"/>
    <w:rsid w:val="007807FC"/>
    <w:rsid w:val="007836F7"/>
    <w:rsid w:val="007872B6"/>
    <w:rsid w:val="007878B6"/>
    <w:rsid w:val="007A5876"/>
    <w:rsid w:val="007A643E"/>
    <w:rsid w:val="007B0FE3"/>
    <w:rsid w:val="007B6D9D"/>
    <w:rsid w:val="007C30B8"/>
    <w:rsid w:val="007C313C"/>
    <w:rsid w:val="007C5B10"/>
    <w:rsid w:val="007C6D37"/>
    <w:rsid w:val="007C71E8"/>
    <w:rsid w:val="007D2E09"/>
    <w:rsid w:val="007E05B8"/>
    <w:rsid w:val="007E1EDF"/>
    <w:rsid w:val="007E2F0A"/>
    <w:rsid w:val="007E5B45"/>
    <w:rsid w:val="007F4900"/>
    <w:rsid w:val="007F4C69"/>
    <w:rsid w:val="007F642F"/>
    <w:rsid w:val="007F6D62"/>
    <w:rsid w:val="00803C59"/>
    <w:rsid w:val="00806D61"/>
    <w:rsid w:val="00807FB4"/>
    <w:rsid w:val="00810DCC"/>
    <w:rsid w:val="00812EA4"/>
    <w:rsid w:val="008159BB"/>
    <w:rsid w:val="008163DA"/>
    <w:rsid w:val="00820AF9"/>
    <w:rsid w:val="00821AFA"/>
    <w:rsid w:val="008232D2"/>
    <w:rsid w:val="00825B7D"/>
    <w:rsid w:val="008261F3"/>
    <w:rsid w:val="00827530"/>
    <w:rsid w:val="008321CA"/>
    <w:rsid w:val="008326E2"/>
    <w:rsid w:val="00836D17"/>
    <w:rsid w:val="008405E6"/>
    <w:rsid w:val="00840CDE"/>
    <w:rsid w:val="00846677"/>
    <w:rsid w:val="00850352"/>
    <w:rsid w:val="00850642"/>
    <w:rsid w:val="0085115B"/>
    <w:rsid w:val="00853FDD"/>
    <w:rsid w:val="0085505B"/>
    <w:rsid w:val="00856B66"/>
    <w:rsid w:val="00857C84"/>
    <w:rsid w:val="008614E4"/>
    <w:rsid w:val="00861D6A"/>
    <w:rsid w:val="00864072"/>
    <w:rsid w:val="00865B2D"/>
    <w:rsid w:val="008710F3"/>
    <w:rsid w:val="008711C4"/>
    <w:rsid w:val="00875564"/>
    <w:rsid w:val="00876574"/>
    <w:rsid w:val="00877B1E"/>
    <w:rsid w:val="00880E25"/>
    <w:rsid w:val="00883D26"/>
    <w:rsid w:val="0088613D"/>
    <w:rsid w:val="00886B6C"/>
    <w:rsid w:val="0088769F"/>
    <w:rsid w:val="00887867"/>
    <w:rsid w:val="00893E72"/>
    <w:rsid w:val="00894CAD"/>
    <w:rsid w:val="008960C3"/>
    <w:rsid w:val="00897794"/>
    <w:rsid w:val="008A088E"/>
    <w:rsid w:val="008A154D"/>
    <w:rsid w:val="008A57A3"/>
    <w:rsid w:val="008A7869"/>
    <w:rsid w:val="008B0492"/>
    <w:rsid w:val="008B2E01"/>
    <w:rsid w:val="008B45E4"/>
    <w:rsid w:val="008B4F9E"/>
    <w:rsid w:val="008B59F8"/>
    <w:rsid w:val="008C19D1"/>
    <w:rsid w:val="008C2A10"/>
    <w:rsid w:val="008C2AD6"/>
    <w:rsid w:val="008C30ED"/>
    <w:rsid w:val="008C55D0"/>
    <w:rsid w:val="008D1160"/>
    <w:rsid w:val="008D19BC"/>
    <w:rsid w:val="008D6298"/>
    <w:rsid w:val="008D6D22"/>
    <w:rsid w:val="008D7FC6"/>
    <w:rsid w:val="008E111F"/>
    <w:rsid w:val="008E1A68"/>
    <w:rsid w:val="008E1EFA"/>
    <w:rsid w:val="008E2F85"/>
    <w:rsid w:val="008E6990"/>
    <w:rsid w:val="008F0466"/>
    <w:rsid w:val="008F1A5C"/>
    <w:rsid w:val="008F4BBD"/>
    <w:rsid w:val="008F4C62"/>
    <w:rsid w:val="008F5414"/>
    <w:rsid w:val="008F6051"/>
    <w:rsid w:val="00902146"/>
    <w:rsid w:val="009045B5"/>
    <w:rsid w:val="0090609D"/>
    <w:rsid w:val="0090670E"/>
    <w:rsid w:val="009162B2"/>
    <w:rsid w:val="009200EB"/>
    <w:rsid w:val="00923F5E"/>
    <w:rsid w:val="009241E4"/>
    <w:rsid w:val="009278BB"/>
    <w:rsid w:val="009311C6"/>
    <w:rsid w:val="00933E47"/>
    <w:rsid w:val="00936F86"/>
    <w:rsid w:val="00937DCE"/>
    <w:rsid w:val="00941918"/>
    <w:rsid w:val="00945BBE"/>
    <w:rsid w:val="00947166"/>
    <w:rsid w:val="00947DFF"/>
    <w:rsid w:val="00952A0A"/>
    <w:rsid w:val="00953F08"/>
    <w:rsid w:val="009546BE"/>
    <w:rsid w:val="00956BDC"/>
    <w:rsid w:val="0095752C"/>
    <w:rsid w:val="00960B1C"/>
    <w:rsid w:val="00960B76"/>
    <w:rsid w:val="009644D0"/>
    <w:rsid w:val="0096493C"/>
    <w:rsid w:val="00966CB2"/>
    <w:rsid w:val="009677F9"/>
    <w:rsid w:val="00970D62"/>
    <w:rsid w:val="009722A9"/>
    <w:rsid w:val="00974283"/>
    <w:rsid w:val="00984CBA"/>
    <w:rsid w:val="0098667A"/>
    <w:rsid w:val="00986B09"/>
    <w:rsid w:val="00990B6E"/>
    <w:rsid w:val="00992A24"/>
    <w:rsid w:val="00992D73"/>
    <w:rsid w:val="00993022"/>
    <w:rsid w:val="00993366"/>
    <w:rsid w:val="00994FB5"/>
    <w:rsid w:val="00997FAF"/>
    <w:rsid w:val="009A5898"/>
    <w:rsid w:val="009B129D"/>
    <w:rsid w:val="009B35FD"/>
    <w:rsid w:val="009B5DB2"/>
    <w:rsid w:val="009B6138"/>
    <w:rsid w:val="009B7D1E"/>
    <w:rsid w:val="009C2524"/>
    <w:rsid w:val="009D2E6C"/>
    <w:rsid w:val="009D5DEB"/>
    <w:rsid w:val="009D6783"/>
    <w:rsid w:val="009E17CC"/>
    <w:rsid w:val="009E4A70"/>
    <w:rsid w:val="009E762E"/>
    <w:rsid w:val="009F7FD5"/>
    <w:rsid w:val="00A01C75"/>
    <w:rsid w:val="00A0230D"/>
    <w:rsid w:val="00A04BD2"/>
    <w:rsid w:val="00A06733"/>
    <w:rsid w:val="00A07409"/>
    <w:rsid w:val="00A103B1"/>
    <w:rsid w:val="00A105C6"/>
    <w:rsid w:val="00A11629"/>
    <w:rsid w:val="00A12C6B"/>
    <w:rsid w:val="00A14647"/>
    <w:rsid w:val="00A16FC7"/>
    <w:rsid w:val="00A17DB4"/>
    <w:rsid w:val="00A262C8"/>
    <w:rsid w:val="00A307AD"/>
    <w:rsid w:val="00A31407"/>
    <w:rsid w:val="00A45C6C"/>
    <w:rsid w:val="00A460F2"/>
    <w:rsid w:val="00A47077"/>
    <w:rsid w:val="00A523B7"/>
    <w:rsid w:val="00A52406"/>
    <w:rsid w:val="00A5390E"/>
    <w:rsid w:val="00A570FF"/>
    <w:rsid w:val="00A62043"/>
    <w:rsid w:val="00A63F7D"/>
    <w:rsid w:val="00A641EB"/>
    <w:rsid w:val="00A656DC"/>
    <w:rsid w:val="00A701AB"/>
    <w:rsid w:val="00A70306"/>
    <w:rsid w:val="00A70C28"/>
    <w:rsid w:val="00A70CBD"/>
    <w:rsid w:val="00A75069"/>
    <w:rsid w:val="00A76C3D"/>
    <w:rsid w:val="00A7755E"/>
    <w:rsid w:val="00A84D0F"/>
    <w:rsid w:val="00A86EAC"/>
    <w:rsid w:val="00A95488"/>
    <w:rsid w:val="00AA0373"/>
    <w:rsid w:val="00AA2BFB"/>
    <w:rsid w:val="00AA3919"/>
    <w:rsid w:val="00AA5493"/>
    <w:rsid w:val="00AA6869"/>
    <w:rsid w:val="00AB18F1"/>
    <w:rsid w:val="00AB38CA"/>
    <w:rsid w:val="00AB4E18"/>
    <w:rsid w:val="00AC0612"/>
    <w:rsid w:val="00AC297F"/>
    <w:rsid w:val="00AC4A70"/>
    <w:rsid w:val="00AC5AEA"/>
    <w:rsid w:val="00AD08A3"/>
    <w:rsid w:val="00AD2B6E"/>
    <w:rsid w:val="00AE0378"/>
    <w:rsid w:val="00AE1A4A"/>
    <w:rsid w:val="00AE1FAA"/>
    <w:rsid w:val="00AE3CB6"/>
    <w:rsid w:val="00AE4C53"/>
    <w:rsid w:val="00AE555E"/>
    <w:rsid w:val="00AF032B"/>
    <w:rsid w:val="00AF3C1B"/>
    <w:rsid w:val="00AF3E17"/>
    <w:rsid w:val="00AF4481"/>
    <w:rsid w:val="00AF4C94"/>
    <w:rsid w:val="00AF5DC5"/>
    <w:rsid w:val="00AF6B6F"/>
    <w:rsid w:val="00AF76CE"/>
    <w:rsid w:val="00B065C2"/>
    <w:rsid w:val="00B0741E"/>
    <w:rsid w:val="00B14065"/>
    <w:rsid w:val="00B14AA2"/>
    <w:rsid w:val="00B22AF8"/>
    <w:rsid w:val="00B247E9"/>
    <w:rsid w:val="00B256CC"/>
    <w:rsid w:val="00B25AE2"/>
    <w:rsid w:val="00B262B6"/>
    <w:rsid w:val="00B2748D"/>
    <w:rsid w:val="00B3169F"/>
    <w:rsid w:val="00B32F96"/>
    <w:rsid w:val="00B40B4C"/>
    <w:rsid w:val="00B548D3"/>
    <w:rsid w:val="00B56F57"/>
    <w:rsid w:val="00B72A10"/>
    <w:rsid w:val="00B77407"/>
    <w:rsid w:val="00B7756E"/>
    <w:rsid w:val="00B80456"/>
    <w:rsid w:val="00B824DB"/>
    <w:rsid w:val="00B93CEA"/>
    <w:rsid w:val="00B94637"/>
    <w:rsid w:val="00B96690"/>
    <w:rsid w:val="00BA1CD3"/>
    <w:rsid w:val="00BA3347"/>
    <w:rsid w:val="00BA3DD4"/>
    <w:rsid w:val="00BA42CB"/>
    <w:rsid w:val="00BB3021"/>
    <w:rsid w:val="00BB3CFE"/>
    <w:rsid w:val="00BC033E"/>
    <w:rsid w:val="00BC0D70"/>
    <w:rsid w:val="00BC125D"/>
    <w:rsid w:val="00BC6048"/>
    <w:rsid w:val="00BD0C4A"/>
    <w:rsid w:val="00BD61F0"/>
    <w:rsid w:val="00BD64DD"/>
    <w:rsid w:val="00BE468A"/>
    <w:rsid w:val="00BE6D46"/>
    <w:rsid w:val="00BF563C"/>
    <w:rsid w:val="00BF5C35"/>
    <w:rsid w:val="00BF5EF6"/>
    <w:rsid w:val="00C011D0"/>
    <w:rsid w:val="00C038B6"/>
    <w:rsid w:val="00C07484"/>
    <w:rsid w:val="00C1223D"/>
    <w:rsid w:val="00C1471B"/>
    <w:rsid w:val="00C16986"/>
    <w:rsid w:val="00C16DAC"/>
    <w:rsid w:val="00C267C2"/>
    <w:rsid w:val="00C30981"/>
    <w:rsid w:val="00C343FE"/>
    <w:rsid w:val="00C3474F"/>
    <w:rsid w:val="00C34A96"/>
    <w:rsid w:val="00C40B4B"/>
    <w:rsid w:val="00C46BB1"/>
    <w:rsid w:val="00C54049"/>
    <w:rsid w:val="00C556FA"/>
    <w:rsid w:val="00C56F23"/>
    <w:rsid w:val="00C60253"/>
    <w:rsid w:val="00C60AFF"/>
    <w:rsid w:val="00C62E99"/>
    <w:rsid w:val="00C655B6"/>
    <w:rsid w:val="00C65787"/>
    <w:rsid w:val="00C6786B"/>
    <w:rsid w:val="00C7286E"/>
    <w:rsid w:val="00C739B7"/>
    <w:rsid w:val="00C75768"/>
    <w:rsid w:val="00C75E6A"/>
    <w:rsid w:val="00C770CC"/>
    <w:rsid w:val="00C778B7"/>
    <w:rsid w:val="00C77AD8"/>
    <w:rsid w:val="00C81F0A"/>
    <w:rsid w:val="00C84FA1"/>
    <w:rsid w:val="00C90375"/>
    <w:rsid w:val="00C91871"/>
    <w:rsid w:val="00C9198C"/>
    <w:rsid w:val="00C91C98"/>
    <w:rsid w:val="00C968BD"/>
    <w:rsid w:val="00CA2409"/>
    <w:rsid w:val="00CA265D"/>
    <w:rsid w:val="00CB4411"/>
    <w:rsid w:val="00CB563C"/>
    <w:rsid w:val="00CC7996"/>
    <w:rsid w:val="00CD3EF4"/>
    <w:rsid w:val="00CD7A42"/>
    <w:rsid w:val="00CE1FD9"/>
    <w:rsid w:val="00CE2D8B"/>
    <w:rsid w:val="00CE3A54"/>
    <w:rsid w:val="00CE4026"/>
    <w:rsid w:val="00CF189D"/>
    <w:rsid w:val="00D05E42"/>
    <w:rsid w:val="00D06736"/>
    <w:rsid w:val="00D07EF5"/>
    <w:rsid w:val="00D10538"/>
    <w:rsid w:val="00D12D5A"/>
    <w:rsid w:val="00D130F1"/>
    <w:rsid w:val="00D13C63"/>
    <w:rsid w:val="00D179F8"/>
    <w:rsid w:val="00D17C58"/>
    <w:rsid w:val="00D24B0D"/>
    <w:rsid w:val="00D24D7B"/>
    <w:rsid w:val="00D262E1"/>
    <w:rsid w:val="00D26427"/>
    <w:rsid w:val="00D30B93"/>
    <w:rsid w:val="00D320A9"/>
    <w:rsid w:val="00D3310A"/>
    <w:rsid w:val="00D35264"/>
    <w:rsid w:val="00D360CD"/>
    <w:rsid w:val="00D46A4A"/>
    <w:rsid w:val="00D5282D"/>
    <w:rsid w:val="00D53885"/>
    <w:rsid w:val="00D53C71"/>
    <w:rsid w:val="00D561E8"/>
    <w:rsid w:val="00D62E0C"/>
    <w:rsid w:val="00D63381"/>
    <w:rsid w:val="00D8099E"/>
    <w:rsid w:val="00D81E60"/>
    <w:rsid w:val="00D83993"/>
    <w:rsid w:val="00D83F77"/>
    <w:rsid w:val="00D854D6"/>
    <w:rsid w:val="00D9012B"/>
    <w:rsid w:val="00D90AA0"/>
    <w:rsid w:val="00D9270D"/>
    <w:rsid w:val="00DA17F0"/>
    <w:rsid w:val="00DA3890"/>
    <w:rsid w:val="00DA4084"/>
    <w:rsid w:val="00DA710C"/>
    <w:rsid w:val="00DB2472"/>
    <w:rsid w:val="00DB762D"/>
    <w:rsid w:val="00DC1A04"/>
    <w:rsid w:val="00DC225D"/>
    <w:rsid w:val="00DC2EB9"/>
    <w:rsid w:val="00DC4EB6"/>
    <w:rsid w:val="00DC5292"/>
    <w:rsid w:val="00DC5CD6"/>
    <w:rsid w:val="00DD1F6E"/>
    <w:rsid w:val="00DD2117"/>
    <w:rsid w:val="00DD7847"/>
    <w:rsid w:val="00DE06D5"/>
    <w:rsid w:val="00DE42FE"/>
    <w:rsid w:val="00DE5EBC"/>
    <w:rsid w:val="00DE7C05"/>
    <w:rsid w:val="00DE7CD8"/>
    <w:rsid w:val="00DF2723"/>
    <w:rsid w:val="00DF2C68"/>
    <w:rsid w:val="00E026BD"/>
    <w:rsid w:val="00E10007"/>
    <w:rsid w:val="00E17BFA"/>
    <w:rsid w:val="00E22D04"/>
    <w:rsid w:val="00E24311"/>
    <w:rsid w:val="00E25BD1"/>
    <w:rsid w:val="00E335C8"/>
    <w:rsid w:val="00E33D28"/>
    <w:rsid w:val="00E34589"/>
    <w:rsid w:val="00E35652"/>
    <w:rsid w:val="00E3649E"/>
    <w:rsid w:val="00E40AA6"/>
    <w:rsid w:val="00E42515"/>
    <w:rsid w:val="00E4532D"/>
    <w:rsid w:val="00E4552F"/>
    <w:rsid w:val="00E475A2"/>
    <w:rsid w:val="00E55E09"/>
    <w:rsid w:val="00E560ED"/>
    <w:rsid w:val="00E60575"/>
    <w:rsid w:val="00E645F2"/>
    <w:rsid w:val="00E65ECF"/>
    <w:rsid w:val="00E66ACB"/>
    <w:rsid w:val="00E67BC0"/>
    <w:rsid w:val="00E67DCE"/>
    <w:rsid w:val="00E77909"/>
    <w:rsid w:val="00E80629"/>
    <w:rsid w:val="00E84DAA"/>
    <w:rsid w:val="00E93133"/>
    <w:rsid w:val="00E93C80"/>
    <w:rsid w:val="00EA0A25"/>
    <w:rsid w:val="00EA0DAE"/>
    <w:rsid w:val="00EA1938"/>
    <w:rsid w:val="00EA5D1B"/>
    <w:rsid w:val="00EA7DD7"/>
    <w:rsid w:val="00EB19A1"/>
    <w:rsid w:val="00EB5050"/>
    <w:rsid w:val="00EB7426"/>
    <w:rsid w:val="00EC03AB"/>
    <w:rsid w:val="00EC308A"/>
    <w:rsid w:val="00EC7E42"/>
    <w:rsid w:val="00ED5380"/>
    <w:rsid w:val="00ED5EDD"/>
    <w:rsid w:val="00ED67E4"/>
    <w:rsid w:val="00EE0141"/>
    <w:rsid w:val="00EE05B1"/>
    <w:rsid w:val="00EF32BF"/>
    <w:rsid w:val="00EF3DDF"/>
    <w:rsid w:val="00EF6388"/>
    <w:rsid w:val="00F00902"/>
    <w:rsid w:val="00F009F9"/>
    <w:rsid w:val="00F00E7A"/>
    <w:rsid w:val="00F015BD"/>
    <w:rsid w:val="00F01AD4"/>
    <w:rsid w:val="00F03C4F"/>
    <w:rsid w:val="00F0631A"/>
    <w:rsid w:val="00F06E0A"/>
    <w:rsid w:val="00F07FAD"/>
    <w:rsid w:val="00F10F9D"/>
    <w:rsid w:val="00F11346"/>
    <w:rsid w:val="00F140DB"/>
    <w:rsid w:val="00F15C4E"/>
    <w:rsid w:val="00F16B9B"/>
    <w:rsid w:val="00F21451"/>
    <w:rsid w:val="00F24872"/>
    <w:rsid w:val="00F25BF2"/>
    <w:rsid w:val="00F32103"/>
    <w:rsid w:val="00F32DD8"/>
    <w:rsid w:val="00F36DBE"/>
    <w:rsid w:val="00F36E99"/>
    <w:rsid w:val="00F43CD5"/>
    <w:rsid w:val="00F44AB7"/>
    <w:rsid w:val="00F521C0"/>
    <w:rsid w:val="00F54F56"/>
    <w:rsid w:val="00F56320"/>
    <w:rsid w:val="00F56D71"/>
    <w:rsid w:val="00F61C9B"/>
    <w:rsid w:val="00F64CEB"/>
    <w:rsid w:val="00F6779B"/>
    <w:rsid w:val="00F703D1"/>
    <w:rsid w:val="00F73757"/>
    <w:rsid w:val="00F76184"/>
    <w:rsid w:val="00F772F5"/>
    <w:rsid w:val="00F82EA1"/>
    <w:rsid w:val="00F84477"/>
    <w:rsid w:val="00F85272"/>
    <w:rsid w:val="00F907B1"/>
    <w:rsid w:val="00F90E82"/>
    <w:rsid w:val="00F92D0C"/>
    <w:rsid w:val="00F95E93"/>
    <w:rsid w:val="00FA36B3"/>
    <w:rsid w:val="00FA57A4"/>
    <w:rsid w:val="00FA7017"/>
    <w:rsid w:val="00FB02D2"/>
    <w:rsid w:val="00FB5981"/>
    <w:rsid w:val="00FB5A99"/>
    <w:rsid w:val="00FB7BC3"/>
    <w:rsid w:val="00FC2556"/>
    <w:rsid w:val="00FD06EE"/>
    <w:rsid w:val="00FD09E3"/>
    <w:rsid w:val="00FD2570"/>
    <w:rsid w:val="00FD2754"/>
    <w:rsid w:val="00FE237D"/>
    <w:rsid w:val="00FF01F4"/>
    <w:rsid w:val="00FF1224"/>
    <w:rsid w:val="00FF16E4"/>
    <w:rsid w:val="00FF1D2C"/>
    <w:rsid w:val="010963D4"/>
    <w:rsid w:val="01635C49"/>
    <w:rsid w:val="14665D24"/>
    <w:rsid w:val="161A0B74"/>
    <w:rsid w:val="23627FFE"/>
    <w:rsid w:val="2A2658E2"/>
    <w:rsid w:val="2B3E5E03"/>
    <w:rsid w:val="2FA8724D"/>
    <w:rsid w:val="3E7569E0"/>
    <w:rsid w:val="3F676329"/>
    <w:rsid w:val="457D0613"/>
    <w:rsid w:val="46F51E8F"/>
    <w:rsid w:val="49C64593"/>
    <w:rsid w:val="4A207245"/>
    <w:rsid w:val="4B9E7938"/>
    <w:rsid w:val="4E630603"/>
    <w:rsid w:val="569D0AAA"/>
    <w:rsid w:val="5BEA2363"/>
    <w:rsid w:val="60285208"/>
    <w:rsid w:val="6037369D"/>
    <w:rsid w:val="646929D4"/>
    <w:rsid w:val="6635067F"/>
    <w:rsid w:val="69323556"/>
    <w:rsid w:val="6F902A4A"/>
    <w:rsid w:val="77AB74E8"/>
    <w:rsid w:val="7F1135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f" stroke="f">
      <v:fill on="f"/>
      <v:stroke on="f"/>
    </o:shapedefaults>
    <o:shapelayout v:ext="edit">
      <o:idmap v:ext="edit" data="1"/>
    </o:shapelayout>
  </w:shapeDefaults>
  <w:decimalSymbol w:val="."/>
  <w:listSeparator w:val=","/>
  <w14:docId w14:val="336E7AE4"/>
  <w15:chartTrackingRefBased/>
  <w15:docId w15:val="{F1120F11-20CA-4094-932B-A0FFC4024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tabs>
        <w:tab w:val="left" w:pos="360"/>
      </w:tabs>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Arial" w:eastAsia="仿宋_GB2312" w:hAnsi="Arial" w:cs="Arial"/>
      <w:b/>
      <w:kern w:val="0"/>
      <w:sz w:val="28"/>
      <w:szCs w:val="20"/>
    </w:rPr>
  </w:style>
  <w:style w:type="character" w:customStyle="1" w:styleId="20">
    <w:name w:val="标题 2 字符"/>
    <w:link w:val="2"/>
    <w:rPr>
      <w:rFonts w:ascii="Arial" w:eastAsia="仿宋_GB2312" w:hAnsi="Arial" w:cs="Arial"/>
      <w:b/>
      <w:bCs/>
      <w:kern w:val="0"/>
      <w:sz w:val="28"/>
      <w:szCs w:val="20"/>
    </w:rPr>
  </w:style>
  <w:style w:type="character" w:customStyle="1" w:styleId="30">
    <w:name w:val="标题 3 字符"/>
    <w:link w:val="3"/>
    <w:rPr>
      <w:rFonts w:ascii="仿宋_GB2312" w:eastAsia="仿宋_GB2312" w:hAnsi="Arial" w:cs="Arial"/>
      <w:kern w:val="0"/>
      <w:sz w:val="28"/>
      <w:szCs w:val="20"/>
    </w:rPr>
  </w:style>
  <w:style w:type="character" w:customStyle="1" w:styleId="40">
    <w:name w:val="标题 4 字符"/>
    <w:link w:val="4"/>
    <w:rPr>
      <w:rFonts w:ascii="仿宋_GB2312" w:eastAsia="仿宋_GB2312" w:hAnsi="Times New Roman" w:cs="Times New Roman"/>
      <w:kern w:val="0"/>
      <w:sz w:val="28"/>
      <w:szCs w:val="20"/>
    </w:rPr>
  </w:style>
  <w:style w:type="paragraph" w:styleId="TOC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Document Map"/>
    <w:basedOn w:val="a"/>
    <w:link w:val="a4"/>
    <w:semiHidden/>
    <w:pPr>
      <w:shd w:val="clear" w:color="auto" w:fill="000080"/>
    </w:pPr>
  </w:style>
  <w:style w:type="character" w:customStyle="1" w:styleId="a4">
    <w:name w:val="文档结构图 字符"/>
    <w:link w:val="a3"/>
    <w:semiHidden/>
    <w:rPr>
      <w:rFonts w:ascii="Times New Roman" w:eastAsia="宋体" w:hAnsi="Times New Roman" w:cs="Times New Roman"/>
      <w:kern w:val="0"/>
      <w:sz w:val="24"/>
      <w:szCs w:val="20"/>
      <w:shd w:val="clear" w:color="auto" w:fill="000080"/>
    </w:rPr>
  </w:style>
  <w:style w:type="paragraph" w:styleId="a5">
    <w:name w:val="annotation text"/>
    <w:basedOn w:val="a"/>
    <w:link w:val="a6"/>
    <w:uiPriority w:val="99"/>
    <w:unhideWhenUsed/>
  </w:style>
  <w:style w:type="character" w:customStyle="1" w:styleId="a6">
    <w:name w:val="批注文字 字符"/>
    <w:link w:val="a5"/>
    <w:uiPriority w:val="99"/>
    <w:semiHidden/>
    <w:rPr>
      <w:rFonts w:ascii="Times New Roman" w:hAnsi="Times New Roman"/>
      <w:sz w:val="24"/>
    </w:rPr>
  </w:style>
  <w:style w:type="paragraph" w:styleId="31">
    <w:name w:val="Body Text 3"/>
    <w:basedOn w:val="a"/>
    <w:link w:val="32"/>
    <w:pPr>
      <w:spacing w:line="288" w:lineRule="auto"/>
      <w:jc w:val="both"/>
    </w:pPr>
    <w:rPr>
      <w:rFonts w:ascii="楷体_GB2312" w:eastAsia="楷体_GB2312" w:hAnsi="Arial"/>
      <w:sz w:val="32"/>
    </w:rPr>
  </w:style>
  <w:style w:type="character" w:customStyle="1" w:styleId="32">
    <w:name w:val="正文文本 3 字符"/>
    <w:link w:val="31"/>
    <w:rPr>
      <w:rFonts w:ascii="楷体_GB2312" w:eastAsia="楷体_GB2312" w:hAnsi="Arial" w:cs="Times New Roman"/>
      <w:kern w:val="0"/>
      <w:sz w:val="32"/>
      <w:szCs w:val="20"/>
    </w:rPr>
  </w:style>
  <w:style w:type="paragraph" w:styleId="a7">
    <w:name w:val="Body Text"/>
    <w:basedOn w:val="a"/>
    <w:link w:val="a8"/>
    <w:pPr>
      <w:numPr>
        <w:ilvl w:val="12"/>
      </w:numPr>
      <w:adjustRightInd/>
      <w:spacing w:line="240" w:lineRule="auto"/>
      <w:jc w:val="both"/>
      <w:textAlignment w:val="auto"/>
    </w:pPr>
    <w:rPr>
      <w:rFonts w:ascii="宋体"/>
      <w:sz w:val="30"/>
    </w:rPr>
  </w:style>
  <w:style w:type="character" w:customStyle="1" w:styleId="a8">
    <w:name w:val="正文文本 字符"/>
    <w:link w:val="a7"/>
    <w:rPr>
      <w:rFonts w:ascii="宋体" w:eastAsia="宋体" w:hAnsi="Times New Roman" w:cs="Times New Roman"/>
      <w:sz w:val="30"/>
      <w:szCs w:val="20"/>
    </w:rPr>
  </w:style>
  <w:style w:type="paragraph" w:styleId="a9">
    <w:name w:val="Body Text Indent"/>
    <w:basedOn w:val="a"/>
    <w:link w:val="aa"/>
    <w:pPr>
      <w:spacing w:line="400" w:lineRule="atLeast"/>
      <w:ind w:firstLine="570"/>
    </w:pPr>
    <w:rPr>
      <w:rFonts w:ascii="仿宋_GB2312" w:eastAsia="仿宋_GB2312" w:hAnsi=""/>
      <w:sz w:val="28"/>
    </w:rPr>
  </w:style>
  <w:style w:type="character" w:customStyle="1" w:styleId="aa">
    <w:name w:val="正文文本缩进 字符"/>
    <w:link w:val="a9"/>
    <w:rPr>
      <w:rFonts w:ascii="仿宋_GB2312" w:eastAsia="仿宋_GB2312" w:hAnsi="" w:cs="Times New Roman"/>
      <w:kern w:val="0"/>
      <w:sz w:val="28"/>
      <w:szCs w:val="20"/>
    </w:rPr>
  </w:style>
  <w:style w:type="paragraph" w:styleId="TOC5">
    <w:name w:val="toc 5"/>
    <w:basedOn w:val="a"/>
    <w:next w:val="a"/>
    <w:uiPriority w:val="39"/>
    <w:unhideWhenUsed/>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b">
    <w:name w:val="Plain Text"/>
    <w:basedOn w:val="a"/>
    <w:link w:val="ac"/>
    <w:pPr>
      <w:adjustRightInd/>
      <w:spacing w:line="240" w:lineRule="auto"/>
      <w:jc w:val="both"/>
      <w:textAlignment w:val="auto"/>
    </w:pPr>
    <w:rPr>
      <w:rFonts w:ascii="宋体" w:hAnsi="Courier New"/>
      <w:sz w:val="20"/>
    </w:rPr>
  </w:style>
  <w:style w:type="character" w:customStyle="1" w:styleId="ac">
    <w:name w:val="纯文本 字符"/>
    <w:link w:val="ab"/>
    <w:rPr>
      <w:rFonts w:ascii="宋体" w:eastAsia="宋体" w:hAnsi="Courier New" w:cs="Times New Roman"/>
      <w:szCs w:val="20"/>
    </w:rPr>
  </w:style>
  <w:style w:type="paragraph" w:styleId="TOC8">
    <w:name w:val="toc 8"/>
    <w:basedOn w:val="a"/>
    <w:next w:val="a"/>
    <w:uiPriority w:val="39"/>
    <w:unhideWhenUsed/>
    <w:pPr>
      <w:adjustRightInd/>
      <w:spacing w:line="240" w:lineRule="auto"/>
      <w:ind w:leftChars="1400" w:left="2940"/>
      <w:jc w:val="both"/>
      <w:textAlignment w:val="auto"/>
    </w:pPr>
    <w:rPr>
      <w:rFonts w:ascii="Calibri" w:hAnsi="Calibri"/>
      <w:kern w:val="2"/>
      <w:sz w:val="21"/>
      <w:szCs w:val="22"/>
    </w:rPr>
  </w:style>
  <w:style w:type="paragraph" w:styleId="ad">
    <w:name w:val="Date"/>
    <w:basedOn w:val="a"/>
    <w:next w:val="a"/>
    <w:link w:val="ae"/>
    <w:pPr>
      <w:jc w:val="both"/>
    </w:pPr>
    <w:rPr>
      <w:rFonts w:ascii="楷体_GB2312" w:eastAsia="楷体_GB2312"/>
      <w:b/>
      <w:sz w:val="28"/>
    </w:rPr>
  </w:style>
  <w:style w:type="character" w:customStyle="1" w:styleId="ae">
    <w:name w:val="日期 字符"/>
    <w:link w:val="ad"/>
    <w:rPr>
      <w:rFonts w:ascii="楷体_GB2312" w:eastAsia="楷体_GB2312" w:hAnsi="Times New Roman" w:cs="Times New Roman"/>
      <w:b/>
      <w:kern w:val="0"/>
      <w:sz w:val="28"/>
      <w:szCs w:val="20"/>
    </w:rPr>
  </w:style>
  <w:style w:type="paragraph" w:styleId="21">
    <w:name w:val="Body Text Indent 2"/>
    <w:basedOn w:val="a"/>
    <w:link w:val="22"/>
    <w:pPr>
      <w:spacing w:line="360" w:lineRule="exact"/>
      <w:ind w:firstLineChars="200" w:firstLine="560"/>
      <w:jc w:val="both"/>
      <w:outlineLvl w:val="0"/>
    </w:pPr>
    <w:rPr>
      <w:rFonts w:ascii="仿宋_GB2312" w:eastAsia="仿宋_GB2312"/>
      <w:sz w:val="28"/>
    </w:rPr>
  </w:style>
  <w:style w:type="character" w:customStyle="1" w:styleId="22">
    <w:name w:val="正文文本缩进 2 字符"/>
    <w:link w:val="21"/>
    <w:rPr>
      <w:rFonts w:ascii="仿宋_GB2312" w:eastAsia="仿宋_GB2312" w:hAnsi="Times New Roman" w:cs="Times New Roman"/>
      <w:kern w:val="0"/>
      <w:sz w:val="28"/>
      <w:szCs w:val="20"/>
    </w:rPr>
  </w:style>
  <w:style w:type="paragraph" w:styleId="af">
    <w:name w:val="Balloon Text"/>
    <w:basedOn w:val="a"/>
    <w:link w:val="af0"/>
    <w:semiHidden/>
    <w:rPr>
      <w:sz w:val="18"/>
      <w:szCs w:val="18"/>
    </w:rPr>
  </w:style>
  <w:style w:type="character" w:customStyle="1" w:styleId="af0">
    <w:name w:val="批注框文本 字符"/>
    <w:link w:val="af"/>
    <w:semiHidden/>
    <w:rPr>
      <w:rFonts w:ascii="Times New Roman" w:eastAsia="宋体" w:hAnsi="Times New Roman" w:cs="Times New Roman"/>
      <w:kern w:val="0"/>
      <w:sz w:val="18"/>
      <w:szCs w:val="18"/>
    </w:rPr>
  </w:style>
  <w:style w:type="paragraph" w:styleId="af1">
    <w:name w:val="footer"/>
    <w:basedOn w:val="a"/>
    <w:link w:val="af2"/>
    <w:uiPriority w:val="99"/>
    <w:pPr>
      <w:tabs>
        <w:tab w:val="center" w:pos="4153"/>
        <w:tab w:val="right" w:pos="8306"/>
      </w:tabs>
      <w:spacing w:line="240" w:lineRule="atLeast"/>
    </w:pPr>
    <w:rPr>
      <w:sz w:val="18"/>
    </w:rPr>
  </w:style>
  <w:style w:type="character" w:customStyle="1" w:styleId="af2">
    <w:name w:val="页脚 字符"/>
    <w:link w:val="af1"/>
    <w:uiPriority w:val="99"/>
    <w:rPr>
      <w:rFonts w:ascii="Times New Roman" w:eastAsia="宋体" w:hAnsi="Times New Roman" w:cs="Times New Roman"/>
      <w:kern w:val="0"/>
      <w:sz w:val="18"/>
      <w:szCs w:val="20"/>
    </w:rPr>
  </w:style>
  <w:style w:type="paragraph" w:styleId="af3">
    <w:name w:val="header"/>
    <w:basedOn w:val="a"/>
    <w:link w:val="af4"/>
    <w:uiPriority w:val="99"/>
    <w:pPr>
      <w:pBdr>
        <w:bottom w:val="single" w:sz="6" w:space="1" w:color="auto"/>
      </w:pBdr>
      <w:tabs>
        <w:tab w:val="center" w:pos="4153"/>
        <w:tab w:val="right" w:pos="8306"/>
      </w:tabs>
      <w:spacing w:line="240" w:lineRule="atLeast"/>
      <w:jc w:val="center"/>
    </w:pPr>
    <w:rPr>
      <w:sz w:val="18"/>
    </w:rPr>
  </w:style>
  <w:style w:type="character" w:customStyle="1" w:styleId="af4">
    <w:name w:val="页眉 字符"/>
    <w:link w:val="af3"/>
    <w:uiPriority w:val="99"/>
    <w:rPr>
      <w:rFonts w:ascii="Times New Roman" w:eastAsia="宋体" w:hAnsi="Times New Roman" w:cs="Times New Roman"/>
      <w:kern w:val="0"/>
      <w:sz w:val="18"/>
      <w:szCs w:val="20"/>
    </w:rPr>
  </w:style>
  <w:style w:type="paragraph" w:styleId="TOC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lang w:val="en-US" w:eastAsia="zh-CN"/>
    </w:rPr>
  </w:style>
  <w:style w:type="paragraph" w:styleId="TOC4">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TOC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pPr>
      <w:spacing w:line="440" w:lineRule="atLeast"/>
      <w:ind w:firstLine="600"/>
      <w:jc w:val="both"/>
    </w:pPr>
    <w:rPr>
      <w:rFonts w:ascii="Arial" w:eastAsia="仿宋_GB2312" w:hAnsi="Arial"/>
      <w:sz w:val="28"/>
    </w:rPr>
  </w:style>
  <w:style w:type="character" w:customStyle="1" w:styleId="34">
    <w:name w:val="正文文本缩进 3 字符"/>
    <w:link w:val="33"/>
    <w:rPr>
      <w:rFonts w:ascii="Arial" w:eastAsia="仿宋_GB2312" w:hAnsi="Arial" w:cs="Arial"/>
      <w:kern w:val="0"/>
      <w:sz w:val="28"/>
      <w:szCs w:val="20"/>
    </w:rPr>
  </w:style>
  <w:style w:type="paragraph" w:styleId="TOC2">
    <w:name w:val="toc 2"/>
    <w:basedOn w:val="a"/>
    <w:next w:val="a"/>
    <w:uiPriority w:val="39"/>
    <w:unhideWhenUsed/>
    <w:pPr>
      <w:tabs>
        <w:tab w:val="right" w:leader="dot" w:pos="8931"/>
      </w:tabs>
      <w:spacing w:line="360" w:lineRule="auto"/>
      <w:ind w:leftChars="200" w:left="480"/>
    </w:pPr>
  </w:style>
  <w:style w:type="paragraph" w:styleId="TOC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pPr>
      <w:autoSpaceDE w:val="0"/>
      <w:autoSpaceDN w:val="0"/>
      <w:spacing w:line="440" w:lineRule="exact"/>
      <w:jc w:val="both"/>
    </w:pPr>
    <w:rPr>
      <w:rFonts w:ascii="仿宋_GB2312" w:eastAsia="仿宋_GB2312" w:hAnsi="Arial"/>
      <w:sz w:val="28"/>
    </w:rPr>
  </w:style>
  <w:style w:type="character" w:customStyle="1" w:styleId="24">
    <w:name w:val="正文文本 2 字符"/>
    <w:link w:val="23"/>
    <w:rPr>
      <w:rFonts w:ascii="仿宋_GB2312" w:eastAsia="仿宋_GB2312" w:hAnsi="Arial" w:cs="Times New Roman"/>
      <w:kern w:val="0"/>
      <w:sz w:val="28"/>
      <w:szCs w:val="20"/>
    </w:rPr>
  </w:style>
  <w:style w:type="paragraph" w:styleId="HTML">
    <w:name w:val="HTML Preformatted"/>
    <w:basedOn w:val="a"/>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0">
    <w:name w:val="HTML 预设格式 字符"/>
    <w:link w:val="HTML"/>
    <w:rPr>
      <w:rFonts w:ascii="宋体" w:eastAsia="宋体" w:hAnsi="宋体" w:cs="Times New Roman"/>
      <w:kern w:val="0"/>
      <w:sz w:val="24"/>
      <w:szCs w:val="24"/>
    </w:rPr>
  </w:style>
  <w:style w:type="paragraph" w:styleId="af5">
    <w:name w:val="Normal (Web)"/>
    <w:basedOn w:val="a"/>
    <w:uiPriority w:val="99"/>
    <w:pPr>
      <w:widowControl/>
      <w:adjustRightInd/>
      <w:spacing w:line="360" w:lineRule="auto"/>
      <w:textAlignment w:val="auto"/>
    </w:pPr>
    <w:rPr>
      <w:rFonts w:ascii="宋体" w:hAnsi="宋体"/>
      <w:sz w:val="18"/>
      <w:szCs w:val="18"/>
    </w:rPr>
  </w:style>
  <w:style w:type="paragraph" w:styleId="af6">
    <w:name w:val="annotation subject"/>
    <w:basedOn w:val="a5"/>
    <w:next w:val="a5"/>
    <w:link w:val="af7"/>
    <w:uiPriority w:val="99"/>
    <w:unhideWhenUsed/>
    <w:rPr>
      <w:b/>
      <w:bCs/>
    </w:rPr>
  </w:style>
  <w:style w:type="character" w:customStyle="1" w:styleId="af7">
    <w:name w:val="批注主题 字符"/>
    <w:link w:val="af6"/>
    <w:uiPriority w:val="99"/>
    <w:semiHidden/>
    <w:rPr>
      <w:rFonts w:ascii="Times New Roman" w:hAnsi="Times New Roman"/>
      <w:b/>
      <w:bCs/>
      <w:sz w:val="24"/>
    </w:rPr>
  </w:style>
  <w:style w:type="paragraph" w:styleId="af8">
    <w:name w:val="Body Text First Indent"/>
    <w:basedOn w:val="a7"/>
    <w:link w:val="af9"/>
    <w:pPr>
      <w:numPr>
        <w:ilvl w:val="0"/>
      </w:numPr>
      <w:spacing w:after="120"/>
      <w:ind w:firstLine="420"/>
    </w:pPr>
    <w:rPr>
      <w:rFonts w:ascii="Times New Roman"/>
    </w:rPr>
  </w:style>
  <w:style w:type="character" w:customStyle="1" w:styleId="af9">
    <w:name w:val="正文文本首行缩进 字符"/>
    <w:link w:val="af8"/>
    <w:rPr>
      <w:rFonts w:ascii="Times New Roman" w:eastAsia="宋体" w:hAnsi="Times New Roman" w:cs="Times New Roman"/>
      <w:sz w:val="30"/>
      <w:szCs w:val="20"/>
    </w:rPr>
  </w:style>
  <w:style w:type="table" w:styleId="afa">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qFormat/>
    <w:rPr>
      <w:b/>
      <w:bCs/>
    </w:rPr>
  </w:style>
  <w:style w:type="character" w:styleId="afc">
    <w:name w:val="page number"/>
  </w:style>
  <w:style w:type="character" w:styleId="afd">
    <w:name w:val="Hyperlink"/>
    <w:uiPriority w:val="99"/>
    <w:unhideWhenUsed/>
    <w:rPr>
      <w:color w:val="0000FF"/>
      <w:u w:val="single"/>
    </w:rPr>
  </w:style>
  <w:style w:type="character" w:styleId="afe">
    <w:name w:val="annotation reference"/>
    <w:uiPriority w:val="99"/>
    <w:unhideWhenUsed/>
    <w:rPr>
      <w:sz w:val="21"/>
      <w:szCs w:val="21"/>
    </w:rPr>
  </w:style>
  <w:style w:type="paragraph" w:customStyle="1" w:styleId="Normal">
    <w:name w:val="Normal"/>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paragraph" w:customStyle="1" w:styleId="25">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
    <w:name w:val="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Default">
    <w:name w:val="Default"/>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Pr>
      <w:rFonts w:cs="华文细黑碙.."/>
      <w:color w:val="000000"/>
      <w:sz w:val="16"/>
      <w:szCs w:val="16"/>
    </w:rPr>
  </w:style>
  <w:style w:type="character" w:customStyle="1" w:styleId="A30">
    <w:name w:val="A3"/>
    <w:rPr>
      <w:rFonts w:cs="黑体萄"/>
      <w:color w:val="000000"/>
      <w:sz w:val="18"/>
      <w:szCs w:val="18"/>
    </w:rPr>
  </w:style>
  <w:style w:type="paragraph" w:styleId="aff">
    <w:name w:val="Revision"/>
    <w:uiPriority w:val="99"/>
    <w:semiHidden/>
    <w:rPr>
      <w:sz w:val="24"/>
    </w:rPr>
  </w:style>
  <w:style w:type="paragraph" w:customStyle="1" w:styleId="iwpoititle">
    <w:name w:val="iw_poi_title"/>
    <w:basedOn w:val="a"/>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styleId="aff0">
    <w:name w:val="List Paragraph"/>
    <w:basedOn w:val="a"/>
    <w:uiPriority w:val="34"/>
    <w:qFormat/>
    <w:pPr>
      <w:ind w:firstLineChars="200" w:firstLine="420"/>
    </w:pPr>
  </w:style>
  <w:style w:type="paragraph" w:customStyle="1" w:styleId="11">
    <w:name w:val="正文1"/>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footer" Target="footer7.xml"/><Relationship Id="rId42" Type="http://schemas.openxmlformats.org/officeDocument/2006/relationships/header" Target="header9.xml"/><Relationship Id="rId47" Type="http://schemas.openxmlformats.org/officeDocument/2006/relationships/hyperlink" Target="http://baike.baidu.com/item/%E5%9C%9F%E5%9C%B0%E4%BB%B7%E6%A0%BC" TargetMode="External"/><Relationship Id="rId63" Type="http://schemas.openxmlformats.org/officeDocument/2006/relationships/header" Target="header16.xml"/><Relationship Id="rId68" Type="http://schemas.microsoft.com/office/2011/relationships/people" Target="peop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3.png"/><Relationship Id="rId11" Type="http://schemas.openxmlformats.org/officeDocument/2006/relationships/footer" Target="footer3.xml"/><Relationship Id="rId24" Type="http://schemas.openxmlformats.org/officeDocument/2006/relationships/header" Target="header7.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www.baidu.com/link?url=WR4ik0HfoP3GU1rlTYIFq3n2WBRxMHa-d8GcgMgJUtKKn1Pe8laCRZpZkd9wT3bWx0Da0HhCv5MAzf-34H8xnjpEjz3Kk8n4fMGDiYPYgW3" TargetMode="External"/><Relationship Id="rId53" Type="http://schemas.openxmlformats.org/officeDocument/2006/relationships/footer" Target="footer11.xml"/><Relationship Id="rId58" Type="http://schemas.openxmlformats.org/officeDocument/2006/relationships/chart" Target="charts/chart8.xml"/><Relationship Id="rId66" Type="http://schemas.openxmlformats.org/officeDocument/2006/relationships/footer" Target="footer14.xml"/><Relationship Id="rId5" Type="http://schemas.openxmlformats.org/officeDocument/2006/relationships/footnotes" Target="footnotes.xml"/><Relationship Id="rId61" Type="http://schemas.openxmlformats.org/officeDocument/2006/relationships/hyperlink" Target="http://baike.baidu.com/item/%E5%9C%9F%E5%9C%B0%E6%89%80%E6%9C%89%E6%9D%83" TargetMode="External"/><Relationship Id="rId19" Type="http://schemas.microsoft.com/office/2011/relationships/commentsExtended" Target="commentsExtended.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chart" Target="charts/chart2.xm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footer" Target="footer9.xml"/><Relationship Id="rId48" Type="http://schemas.openxmlformats.org/officeDocument/2006/relationships/header" Target="header11.xml"/><Relationship Id="rId56" Type="http://schemas.openxmlformats.org/officeDocument/2006/relationships/chart" Target="charts/chart6.xml"/><Relationship Id="rId64" Type="http://schemas.openxmlformats.org/officeDocument/2006/relationships/footer" Target="footer13.xm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1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header" Target="header8.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baike.baidu.com/item/%E5%9C%9F%E5%9C%B0%E6%89%80%E6%9C%89%E6%9D%83" TargetMode="External"/><Relationship Id="rId59" Type="http://schemas.openxmlformats.org/officeDocument/2006/relationships/header" Target="header15.xml"/><Relationship Id="rId67" Type="http://schemas.openxmlformats.org/officeDocument/2006/relationships/fontTable" Target="fontTable.xml"/><Relationship Id="rId20" Type="http://schemas.microsoft.com/office/2016/09/relationships/commentsIds" Target="commentsIds.xml"/><Relationship Id="rId41" Type="http://schemas.openxmlformats.org/officeDocument/2006/relationships/image" Target="media/image14.png"/><Relationship Id="rId54" Type="http://schemas.openxmlformats.org/officeDocument/2006/relationships/header" Target="header14.xml"/><Relationship Id="rId62" Type="http://schemas.openxmlformats.org/officeDocument/2006/relationships/hyperlink" Target="http://baike.baidu.com/item/%E5%9C%9F%E5%9C%B0%E4%BB%B7%E6%A0%B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chart" Target="charts/chart3.xml"/><Relationship Id="rId36" Type="http://schemas.openxmlformats.org/officeDocument/2006/relationships/image" Target="media/image9.png"/><Relationship Id="rId49" Type="http://schemas.openxmlformats.org/officeDocument/2006/relationships/header" Target="header12.xml"/><Relationship Id="rId57" Type="http://schemas.openxmlformats.org/officeDocument/2006/relationships/chart" Target="charts/chart7.xml"/><Relationship Id="rId10" Type="http://schemas.openxmlformats.org/officeDocument/2006/relationships/header" Target="header2.xml"/><Relationship Id="rId31" Type="http://schemas.openxmlformats.org/officeDocument/2006/relationships/chart" Target="charts/chart4.xml"/><Relationship Id="rId44" Type="http://schemas.openxmlformats.org/officeDocument/2006/relationships/header" Target="header10.xml"/><Relationship Id="rId52" Type="http://schemas.openxmlformats.org/officeDocument/2006/relationships/hyperlink" Target="http://www.baidu.com/link?url=WR4ik0HfoP3GU1rlTYIFq3n2WBRxMHa-d8GcgMgJUtKKn1Pe8laCRZpZkd9wT3bWx0Da0HhCv5MAzf-34H8xnjpEjz3Kk8n4fMGDiYPYgW3" TargetMode="External"/><Relationship Id="rId60" Type="http://schemas.openxmlformats.org/officeDocument/2006/relationships/footer" Target="footer12.xml"/><Relationship Id="rId65"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eader" Target="header4.xml"/><Relationship Id="rId18" Type="http://schemas.openxmlformats.org/officeDocument/2006/relationships/comments" Target="comments.xm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footer" Target="footer10.xml"/><Relationship Id="rId55" Type="http://schemas.openxmlformats.org/officeDocument/2006/relationships/chart" Target="charts/chart5.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0303;&#23429;\&#20303;&#23429;&#22270;&#34920;2025H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0303;&#23429;\&#20303;&#23429;&#22270;&#34920;2025H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0303;&#23429;\&#20303;&#23429;&#22270;&#34920;2025H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0303;&#23429;\&#20303;&#23429;&#22270;&#34920;2025H1.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B6A-4813-8E0F-21C213A1054C}"/>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6A-4813-8E0F-21C213A1054C}"/>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6A-4813-8E0F-21C213A1054C}"/>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6A-4813-8E0F-21C213A1054C}"/>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6A-4813-8E0F-21C213A1054C}"/>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6A-4813-8E0F-21C213A1054C}"/>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6A-4813-8E0F-21C213A1054C}"/>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6A-4813-8E0F-21C213A1054C}"/>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6A-4813-8E0F-21C213A1054C}"/>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6B6A-4813-8E0F-21C213A1054C}"/>
            </c:ext>
          </c:extLst>
        </c:ser>
        <c:dLbls>
          <c:showLegendKey val="0"/>
          <c:showVal val="0"/>
          <c:showCatName val="0"/>
          <c:showSerName val="0"/>
          <c:showPercent val="0"/>
          <c:showBubbleSize val="0"/>
        </c:dLbls>
        <c:gapWidth val="130"/>
        <c:overlap val="100"/>
        <c:serLines/>
        <c:axId val="264193920"/>
        <c:axId val="264192384"/>
      </c:barChart>
      <c:valAx>
        <c:axId val="26419238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264193920"/>
        <c:crosses val="autoZero"/>
        <c:crossBetween val="between"/>
        <c:minorUnit val="60000"/>
      </c:valAx>
      <c:catAx>
        <c:axId val="26419392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264192384"/>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200"/>
              <a:t>北京市土地供求走势</a:t>
            </a:r>
          </a:p>
        </c:rich>
      </c:tx>
      <c:layout>
        <c:manualLayout>
          <c:xMode val="edge"/>
          <c:yMode val="edge"/>
          <c:x val="0.35259797116759861"/>
          <c:y val="1.3888888888888888E-2"/>
        </c:manualLayout>
      </c:layout>
      <c:overlay val="1"/>
    </c:title>
    <c:autoTitleDeleted val="0"/>
    <c:plotArea>
      <c:layout>
        <c:manualLayout>
          <c:layoutTarget val="inner"/>
          <c:xMode val="edge"/>
          <c:yMode val="edge"/>
          <c:x val="8.0847599033580547E-2"/>
          <c:y val="0.13010425780110821"/>
          <c:w val="0.89219162185587042"/>
          <c:h val="0.64242089530475355"/>
        </c:manualLayout>
      </c:layout>
      <c:barChart>
        <c:barDir val="col"/>
        <c:grouping val="clustered"/>
        <c:varyColors val="0"/>
        <c:ser>
          <c:idx val="0"/>
          <c:order val="0"/>
          <c:tx>
            <c:strRef>
              <c:f>Sheet1!$B$2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AC3-4C26-BB5E-15A0E61C90EA}"/>
                </c:ext>
              </c:extLst>
            </c:dLbl>
            <c:dLbl>
              <c:idx val="1"/>
              <c:delete val="1"/>
              <c:extLst>
                <c:ext xmlns:c15="http://schemas.microsoft.com/office/drawing/2012/chart" uri="{CE6537A1-D6FC-4f65-9D91-7224C49458BB}"/>
                <c:ext xmlns:c16="http://schemas.microsoft.com/office/drawing/2014/chart" uri="{C3380CC4-5D6E-409C-BE32-E72D297353CC}">
                  <c16:uniqueId val="{00000001-0AC3-4C26-BB5E-15A0E61C90EA}"/>
                </c:ext>
              </c:extLst>
            </c:dLbl>
            <c:dLbl>
              <c:idx val="2"/>
              <c:delete val="1"/>
              <c:extLst>
                <c:ext xmlns:c15="http://schemas.microsoft.com/office/drawing/2012/chart" uri="{CE6537A1-D6FC-4f65-9D91-7224C49458BB}"/>
                <c:ext xmlns:c16="http://schemas.microsoft.com/office/drawing/2014/chart" uri="{C3380CC4-5D6E-409C-BE32-E72D297353CC}">
                  <c16:uniqueId val="{00000002-0AC3-4C26-BB5E-15A0E61C90EA}"/>
                </c:ext>
              </c:extLst>
            </c:dLbl>
            <c:dLbl>
              <c:idx val="3"/>
              <c:delete val="1"/>
              <c:extLst>
                <c:ext xmlns:c15="http://schemas.microsoft.com/office/drawing/2012/chart" uri="{CE6537A1-D6FC-4f65-9D91-7224C49458BB}"/>
                <c:ext xmlns:c16="http://schemas.microsoft.com/office/drawing/2014/chart" uri="{C3380CC4-5D6E-409C-BE32-E72D297353CC}">
                  <c16:uniqueId val="{00000003-0AC3-4C26-BB5E-15A0E61C90EA}"/>
                </c:ext>
              </c:extLst>
            </c:dLbl>
            <c:dLbl>
              <c:idx val="4"/>
              <c:delete val="1"/>
              <c:extLst>
                <c:ext xmlns:c15="http://schemas.microsoft.com/office/drawing/2012/chart" uri="{CE6537A1-D6FC-4f65-9D91-7224C49458BB}"/>
                <c:ext xmlns:c16="http://schemas.microsoft.com/office/drawing/2014/chart" uri="{C3380CC4-5D6E-409C-BE32-E72D297353CC}">
                  <c16:uniqueId val="{00000004-0AC3-4C26-BB5E-15A0E61C90EA}"/>
                </c:ext>
              </c:extLst>
            </c:dLbl>
            <c:dLbl>
              <c:idx val="5"/>
              <c:layout>
                <c:manualLayout>
                  <c:x val="-1.2254899595704288E-2"/>
                  <c:y val="-4.93827352513795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C3-4C26-BB5E-15A0E61C90E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Sheet1!$A$3:$A$8</c:f>
              <c:strCache>
                <c:ptCount val="6"/>
                <c:pt idx="0">
                  <c:v>2020</c:v>
                </c:pt>
                <c:pt idx="1">
                  <c:v>2021</c:v>
                </c:pt>
                <c:pt idx="2">
                  <c:v>2022</c:v>
                </c:pt>
                <c:pt idx="3">
                  <c:v>2023</c:v>
                </c:pt>
                <c:pt idx="4">
                  <c:v>2024</c:v>
                </c:pt>
                <c:pt idx="5">
                  <c:v>2025H1</c:v>
                </c:pt>
              </c:strCache>
            </c:strRef>
          </c:cat>
          <c:val>
            <c:numRef>
              <c:f>Sheet1!$B$3:$B$8</c:f>
              <c:numCache>
                <c:formatCode>0_ </c:formatCode>
                <c:ptCount val="6"/>
                <c:pt idx="0">
                  <c:v>620.38</c:v>
                </c:pt>
                <c:pt idx="1">
                  <c:v>959.72</c:v>
                </c:pt>
                <c:pt idx="2">
                  <c:v>576.72</c:v>
                </c:pt>
                <c:pt idx="3">
                  <c:v>621.01</c:v>
                </c:pt>
                <c:pt idx="4">
                  <c:v>492</c:v>
                </c:pt>
                <c:pt idx="5">
                  <c:v>169.7</c:v>
                </c:pt>
              </c:numCache>
            </c:numRef>
          </c:val>
          <c:extLst>
            <c:ext xmlns:c16="http://schemas.microsoft.com/office/drawing/2014/chart" uri="{C3380CC4-5D6E-409C-BE32-E72D297353CC}">
              <c16:uniqueId val="{00000006-0AC3-4C26-BB5E-15A0E61C90EA}"/>
            </c:ext>
          </c:extLst>
        </c:ser>
        <c:ser>
          <c:idx val="1"/>
          <c:order val="1"/>
          <c:tx>
            <c:strRef>
              <c:f>Sheet1!$C$2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0AC3-4C26-BB5E-15A0E61C90EA}"/>
                </c:ext>
              </c:extLst>
            </c:dLbl>
            <c:dLbl>
              <c:idx val="1"/>
              <c:delete val="1"/>
              <c:extLst>
                <c:ext xmlns:c15="http://schemas.microsoft.com/office/drawing/2012/chart" uri="{CE6537A1-D6FC-4f65-9D91-7224C49458BB}"/>
                <c:ext xmlns:c16="http://schemas.microsoft.com/office/drawing/2014/chart" uri="{C3380CC4-5D6E-409C-BE32-E72D297353CC}">
                  <c16:uniqueId val="{00000008-0AC3-4C26-BB5E-15A0E61C90EA}"/>
                </c:ext>
              </c:extLst>
            </c:dLbl>
            <c:dLbl>
              <c:idx val="2"/>
              <c:delete val="1"/>
              <c:extLst>
                <c:ext xmlns:c15="http://schemas.microsoft.com/office/drawing/2012/chart" uri="{CE6537A1-D6FC-4f65-9D91-7224C49458BB}"/>
                <c:ext xmlns:c16="http://schemas.microsoft.com/office/drawing/2014/chart" uri="{C3380CC4-5D6E-409C-BE32-E72D297353CC}">
                  <c16:uniqueId val="{00000009-0AC3-4C26-BB5E-15A0E61C90EA}"/>
                </c:ext>
              </c:extLst>
            </c:dLbl>
            <c:dLbl>
              <c:idx val="3"/>
              <c:delete val="1"/>
              <c:extLst>
                <c:ext xmlns:c15="http://schemas.microsoft.com/office/drawing/2012/chart" uri="{CE6537A1-D6FC-4f65-9D91-7224C49458BB}"/>
                <c:ext xmlns:c16="http://schemas.microsoft.com/office/drawing/2014/chart" uri="{C3380CC4-5D6E-409C-BE32-E72D297353CC}">
                  <c16:uniqueId val="{0000000A-0AC3-4C26-BB5E-15A0E61C90EA}"/>
                </c:ext>
              </c:extLst>
            </c:dLbl>
            <c:dLbl>
              <c:idx val="4"/>
              <c:delete val="1"/>
              <c:extLst>
                <c:ext xmlns:c15="http://schemas.microsoft.com/office/drawing/2012/chart" uri="{CE6537A1-D6FC-4f65-9D91-7224C49458BB}"/>
                <c:ext xmlns:c16="http://schemas.microsoft.com/office/drawing/2014/chart" uri="{C3380CC4-5D6E-409C-BE32-E72D297353CC}">
                  <c16:uniqueId val="{0000000B-0AC3-4C26-BB5E-15A0E61C90EA}"/>
                </c:ext>
              </c:extLst>
            </c:dLbl>
            <c:dLbl>
              <c:idx val="5"/>
              <c:layout>
                <c:manualLayout>
                  <c:x val="2.4510764144132285E-3"/>
                  <c:y val="-4.9382735251380415E-3"/>
                </c:manualLayout>
              </c:layout>
              <c:showLegendKey val="0"/>
              <c:showVal val="1"/>
              <c:showCatName val="0"/>
              <c:showSerName val="0"/>
              <c:showPercent val="0"/>
              <c:showBubbleSize val="0"/>
              <c:extLst>
                <c:ext xmlns:c15="http://schemas.microsoft.com/office/drawing/2012/chart" uri="{CE6537A1-D6FC-4f65-9D91-7224C49458BB}">
                  <c15:layout>
                    <c:manualLayout>
                      <c:w val="8.3027041256167722E-2"/>
                      <c:h val="7.5086643369940073E-2"/>
                    </c:manualLayout>
                  </c15:layout>
                </c:ext>
                <c:ext xmlns:c16="http://schemas.microsoft.com/office/drawing/2014/chart" uri="{C3380CC4-5D6E-409C-BE32-E72D297353CC}">
                  <c16:uniqueId val="{0000000C-0AC3-4C26-BB5E-15A0E61C90E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Sheet1!$A$3:$A$8</c:f>
              <c:strCache>
                <c:ptCount val="6"/>
                <c:pt idx="0">
                  <c:v>2020</c:v>
                </c:pt>
                <c:pt idx="1">
                  <c:v>2021</c:v>
                </c:pt>
                <c:pt idx="2">
                  <c:v>2022</c:v>
                </c:pt>
                <c:pt idx="3">
                  <c:v>2023</c:v>
                </c:pt>
                <c:pt idx="4">
                  <c:v>2024</c:v>
                </c:pt>
                <c:pt idx="5">
                  <c:v>2025H1</c:v>
                </c:pt>
              </c:strCache>
            </c:strRef>
          </c:cat>
          <c:val>
            <c:numRef>
              <c:f>Sheet1!$C$3:$C$8</c:f>
              <c:numCache>
                <c:formatCode>0_ </c:formatCode>
                <c:ptCount val="6"/>
                <c:pt idx="0">
                  <c:v>624.28</c:v>
                </c:pt>
                <c:pt idx="1">
                  <c:v>688.57</c:v>
                </c:pt>
                <c:pt idx="2">
                  <c:v>484.71</c:v>
                </c:pt>
                <c:pt idx="3">
                  <c:v>582.25</c:v>
                </c:pt>
                <c:pt idx="4">
                  <c:v>470.38</c:v>
                </c:pt>
                <c:pt idx="5">
                  <c:v>234.42</c:v>
                </c:pt>
              </c:numCache>
            </c:numRef>
          </c:val>
          <c:extLst>
            <c:ext xmlns:c16="http://schemas.microsoft.com/office/drawing/2014/chart" uri="{C3380CC4-5D6E-409C-BE32-E72D297353CC}">
              <c16:uniqueId val="{0000000D-0AC3-4C26-BB5E-15A0E61C90EA}"/>
            </c:ext>
          </c:extLst>
        </c:ser>
        <c:dLbls>
          <c:showLegendKey val="0"/>
          <c:showVal val="0"/>
          <c:showCatName val="0"/>
          <c:showSerName val="0"/>
          <c:showPercent val="0"/>
          <c:showBubbleSize val="0"/>
        </c:dLbls>
        <c:gapWidth val="150"/>
        <c:axId val="412522496"/>
        <c:axId val="49787392"/>
      </c:barChart>
      <c:catAx>
        <c:axId val="412522496"/>
        <c:scaling>
          <c:orientation val="minMax"/>
        </c:scaling>
        <c:delete val="0"/>
        <c:axPos val="b"/>
        <c:numFmt formatCode="General" sourceLinked="0"/>
        <c:majorTickMark val="out"/>
        <c:minorTickMark val="none"/>
        <c:tickLblPos val="nextTo"/>
        <c:crossAx val="49787392"/>
        <c:crosses val="autoZero"/>
        <c:auto val="1"/>
        <c:lblAlgn val="ctr"/>
        <c:lblOffset val="100"/>
        <c:noMultiLvlLbl val="0"/>
      </c:catAx>
      <c:valAx>
        <c:axId val="49787392"/>
        <c:scaling>
          <c:orientation val="minMax"/>
        </c:scaling>
        <c:delete val="0"/>
        <c:axPos val="l"/>
        <c:majorGridlines/>
        <c:numFmt formatCode="0_ " sourceLinked="1"/>
        <c:majorTickMark val="out"/>
        <c:minorTickMark val="none"/>
        <c:tickLblPos val="nextTo"/>
        <c:crossAx val="412522496"/>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99700726056988"/>
          <c:y val="6.5289442986293383E-2"/>
          <c:w val="0.76788698574614733"/>
          <c:h val="0.72112459900845727"/>
        </c:manualLayout>
      </c:layout>
      <c:barChart>
        <c:barDir val="col"/>
        <c:grouping val="clustered"/>
        <c:varyColors val="0"/>
        <c:ser>
          <c:idx val="0"/>
          <c:order val="0"/>
          <c:tx>
            <c:strRef>
              <c:f>楼面价jj!$B$1</c:f>
              <c:strCache>
                <c:ptCount val="1"/>
                <c:pt idx="0">
                  <c:v>成交楼面均价（元/平方米）</c:v>
                </c:pt>
              </c:strCache>
            </c:strRef>
          </c:tx>
          <c:spPr>
            <a:solidFill>
              <a:srgbClr val="CC0000"/>
            </a:solidFill>
          </c:spPr>
          <c:invertIfNegative val="0"/>
          <c:dLbls>
            <c:dLbl>
              <c:idx val="2"/>
              <c:layout>
                <c:manualLayout>
                  <c:x val="-6.9641476944951034E-17"/>
                  <c:y val="-9.49432095940422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C6-4629-9C2A-5D3B899E5A92}"/>
                </c:ext>
              </c:extLst>
            </c:dLbl>
            <c:dLbl>
              <c:idx val="3"/>
              <c:layout>
                <c:manualLayout>
                  <c:x val="1.1129485275108557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C6-4629-9C2A-5D3B899E5A92}"/>
                </c:ext>
              </c:extLst>
            </c:dLbl>
            <c:dLbl>
              <c:idx val="4"/>
              <c:layout>
                <c:manualLayout>
                  <c:x val="-3.7986698972310934E-3"/>
                  <c:y val="8.25593126904714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C6-4629-9C2A-5D3B899E5A92}"/>
                </c:ext>
              </c:extLst>
            </c:dLbl>
            <c:dLbl>
              <c:idx val="5"/>
              <c:layout>
                <c:manualLayout>
                  <c:x val="0"/>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C6-4629-9C2A-5D3B899E5A92}"/>
                </c:ext>
              </c:extLst>
            </c:dLbl>
            <c:dLbl>
              <c:idx val="6"/>
              <c:layout>
                <c:manualLayout>
                  <c:x val="0"/>
                  <c:y val="-3.3023725076188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C6-4629-9C2A-5D3B899E5A92}"/>
                </c:ext>
              </c:extLst>
            </c:dLbl>
            <c:dLbl>
              <c:idx val="7"/>
              <c:layout>
                <c:manualLayout>
                  <c:x val="2.2259321090706734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C6-4629-9C2A-5D3B899E5A92}"/>
                </c:ext>
              </c:extLst>
            </c:dLbl>
            <c:spPr>
              <a:noFill/>
              <a:ln>
                <a:noFill/>
              </a:ln>
              <a:effectLst/>
            </c:spPr>
            <c:txPr>
              <a:bodyPr/>
              <a:lstStyle/>
              <a:p>
                <a:pPr>
                  <a:defRPr>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楼面价jj!$B$7:$B$14</c:f>
              <c:numCache>
                <c:formatCode>General</c:formatCode>
                <c:ptCount val="8"/>
                <c:pt idx="0">
                  <c:v>27153</c:v>
                </c:pt>
                <c:pt idx="1">
                  <c:v>25916</c:v>
                </c:pt>
                <c:pt idx="2">
                  <c:v>28513</c:v>
                </c:pt>
                <c:pt idx="3">
                  <c:v>34086</c:v>
                </c:pt>
                <c:pt idx="4">
                  <c:v>25771</c:v>
                </c:pt>
                <c:pt idx="5">
                  <c:v>43860</c:v>
                </c:pt>
                <c:pt idx="6">
                  <c:v>47266</c:v>
                </c:pt>
                <c:pt idx="7">
                  <c:v>38274</c:v>
                </c:pt>
              </c:numCache>
            </c:numRef>
          </c:val>
          <c:extLst>
            <c:ext xmlns:c16="http://schemas.microsoft.com/office/drawing/2014/chart" uri="{C3380CC4-5D6E-409C-BE32-E72D297353CC}">
              <c16:uniqueId val="{00000006-D0C6-4629-9C2A-5D3B899E5A92}"/>
            </c:ext>
          </c:extLst>
        </c:ser>
        <c:dLbls>
          <c:showLegendKey val="0"/>
          <c:showVal val="0"/>
          <c:showCatName val="0"/>
          <c:showSerName val="0"/>
          <c:showPercent val="0"/>
          <c:showBubbleSize val="0"/>
        </c:dLbls>
        <c:gapWidth val="150"/>
        <c:axId val="49904128"/>
        <c:axId val="224222528"/>
      </c:barChart>
      <c:lineChart>
        <c:grouping val="standard"/>
        <c:varyColors val="0"/>
        <c:ser>
          <c:idx val="1"/>
          <c:order val="1"/>
          <c:tx>
            <c:strRef>
              <c:f>楼面价jj!$C$1</c:f>
              <c:strCache>
                <c:ptCount val="1"/>
                <c:pt idx="0">
                  <c:v>平均溢价率（%）</c:v>
                </c:pt>
              </c:strCache>
            </c:strRef>
          </c:tx>
          <c:spPr>
            <a:ln>
              <a:solidFill>
                <a:schemeClr val="accent5">
                  <a:lumMod val="75000"/>
                </a:schemeClr>
              </a:solidFill>
            </a:ln>
          </c:spPr>
          <c:marker>
            <c:spPr>
              <a:solidFill>
                <a:schemeClr val="accent5">
                  <a:lumMod val="75000"/>
                </a:schemeClr>
              </a:solidFill>
              <a:ln>
                <a:solidFill>
                  <a:schemeClr val="accent5">
                    <a:lumMod val="75000"/>
                  </a:schemeClr>
                </a:solidFill>
              </a:ln>
            </c:spPr>
          </c:marker>
          <c:dLbls>
            <c:dLbl>
              <c:idx val="0"/>
              <c:tx>
                <c:rich>
                  <a:bodyPr/>
                  <a:lstStyle/>
                  <a:p>
                    <a:r>
                      <a:rPr lang="en-US" altLang="en-US">
                        <a:solidFill>
                          <a:schemeClr val="bg1"/>
                        </a:solidFill>
                        <a:latin typeface="Arial" pitchFamily="34" charset="0"/>
                        <a:cs typeface="Arial" pitchFamily="34" charset="0"/>
                      </a:rPr>
                      <a:t>5.35%</a:t>
                    </a:r>
                    <a:endParaRPr lang="en-US" altLang="en-US">
                      <a:solidFill>
                        <a:schemeClr val="bg1"/>
                      </a:solidFill>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0C6-4629-9C2A-5D3B899E5A92}"/>
                </c:ext>
              </c:extLst>
            </c:dLbl>
            <c:dLbl>
              <c:idx val="1"/>
              <c:tx>
                <c:rich>
                  <a:bodyPr/>
                  <a:lstStyle/>
                  <a:p>
                    <a:r>
                      <a:rPr lang="en-US" altLang="en-US">
                        <a:solidFill>
                          <a:schemeClr val="bg1"/>
                        </a:solidFill>
                        <a:latin typeface="Arial" pitchFamily="34" charset="0"/>
                        <a:cs typeface="Arial" pitchFamily="34" charset="0"/>
                      </a:rPr>
                      <a:t>6.06%</a:t>
                    </a:r>
                    <a:endParaRPr lang="en-US" altLang="en-US">
                      <a:solidFill>
                        <a:schemeClr val="bg1"/>
                      </a:solidFill>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0C6-4629-9C2A-5D3B899E5A92}"/>
                </c:ext>
              </c:extLst>
            </c:dLbl>
            <c:dLbl>
              <c:idx val="2"/>
              <c:layout>
                <c:manualLayout>
                  <c:x val="-3.7986698972310934E-3"/>
                  <c:y val="7.4303381421424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C6-4629-9C2A-5D3B899E5A92}"/>
                </c:ext>
              </c:extLst>
            </c:dLbl>
            <c:dLbl>
              <c:idx val="6"/>
              <c:layout>
                <c:manualLayout>
                  <c:x val="-3.798669897231023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C6-4629-9C2A-5D3B899E5A92}"/>
                </c:ext>
              </c:extLst>
            </c:dLbl>
            <c:dLbl>
              <c:idx val="9"/>
              <c:layout>
                <c:manualLayout>
                  <c:x val="-3.1163049526989589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C6-4629-9C2A-5D3B899E5A92}"/>
                </c:ext>
              </c:extLst>
            </c:dLbl>
            <c:spPr>
              <a:solidFill>
                <a:schemeClr val="accent5">
                  <a:lumMod val="75000"/>
                </a:schemeClr>
              </a:solidFill>
            </c:spPr>
            <c:txPr>
              <a:bodyPr/>
              <a:lstStyle/>
              <a:p>
                <a:pPr>
                  <a:defRPr>
                    <a:solidFill>
                      <a:schemeClr val="bg1"/>
                    </a:solidFill>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楼面价jj!$C$7:$C$14</c:f>
              <c:numCache>
                <c:formatCode>0.00%</c:formatCode>
                <c:ptCount val="8"/>
                <c:pt idx="0">
                  <c:v>8.0100000000000005E-2</c:v>
                </c:pt>
                <c:pt idx="1">
                  <c:v>5.2200000000000003E-2</c:v>
                </c:pt>
                <c:pt idx="2">
                  <c:v>7.1300000000000002E-2</c:v>
                </c:pt>
                <c:pt idx="3">
                  <c:v>3.3999999999999998E-3</c:v>
                </c:pt>
                <c:pt idx="4">
                  <c:v>1.3299999999999999E-2</c:v>
                </c:pt>
                <c:pt idx="5">
                  <c:v>2.9399999999999999E-2</c:v>
                </c:pt>
                <c:pt idx="6">
                  <c:v>0.10970000000000001</c:v>
                </c:pt>
                <c:pt idx="7">
                  <c:v>2.5899999999999999E-2</c:v>
                </c:pt>
              </c:numCache>
            </c:numRef>
          </c:val>
          <c:smooth val="0"/>
          <c:extLst>
            <c:ext xmlns:c16="http://schemas.microsoft.com/office/drawing/2014/chart" uri="{C3380CC4-5D6E-409C-BE32-E72D297353CC}">
              <c16:uniqueId val="{0000000C-D0C6-4629-9C2A-5D3B899E5A92}"/>
            </c:ext>
          </c:extLst>
        </c:ser>
        <c:dLbls>
          <c:showLegendKey val="0"/>
          <c:showVal val="0"/>
          <c:showCatName val="0"/>
          <c:showSerName val="0"/>
          <c:showPercent val="0"/>
          <c:showBubbleSize val="0"/>
        </c:dLbls>
        <c:marker val="1"/>
        <c:smooth val="0"/>
        <c:axId val="421382656"/>
        <c:axId val="414944640"/>
      </c:lineChart>
      <c:catAx>
        <c:axId val="49904128"/>
        <c:scaling>
          <c:orientation val="minMax"/>
        </c:scaling>
        <c:delete val="0"/>
        <c:axPos val="b"/>
        <c:numFmt formatCode="General" sourceLinked="0"/>
        <c:majorTickMark val="out"/>
        <c:minorTickMark val="none"/>
        <c:tickLblPos val="nextTo"/>
        <c:txPr>
          <a:bodyPr/>
          <a:lstStyle/>
          <a:p>
            <a:pPr>
              <a:defRPr>
                <a:latin typeface="Arial" pitchFamily="34" charset="0"/>
                <a:cs typeface="Arial" pitchFamily="34" charset="0"/>
              </a:defRPr>
            </a:pPr>
            <a:endParaRPr lang="zh-CN"/>
          </a:p>
        </c:txPr>
        <c:crossAx val="224222528"/>
        <c:crosses val="autoZero"/>
        <c:auto val="1"/>
        <c:lblAlgn val="ctr"/>
        <c:lblOffset val="100"/>
        <c:noMultiLvlLbl val="0"/>
      </c:catAx>
      <c:valAx>
        <c:axId val="224222528"/>
        <c:scaling>
          <c:orientation val="minMax"/>
          <c:max val="50000"/>
        </c:scaling>
        <c:delete val="0"/>
        <c:axPos val="l"/>
        <c:majorGridlines/>
        <c:numFmt formatCode="#,##0.00_);[Red]\(#,##0.00\)" sourceLinked="0"/>
        <c:majorTickMark val="out"/>
        <c:minorTickMark val="out"/>
        <c:tickLblPos val="nextTo"/>
        <c:txPr>
          <a:bodyPr/>
          <a:lstStyle/>
          <a:p>
            <a:pPr>
              <a:defRPr b="0">
                <a:latin typeface="Arial" pitchFamily="34" charset="0"/>
                <a:ea typeface="Arial Unicode MS" pitchFamily="34" charset="-122"/>
                <a:cs typeface="Arial" pitchFamily="34" charset="0"/>
              </a:defRPr>
            </a:pPr>
            <a:endParaRPr lang="zh-CN"/>
          </a:p>
        </c:txPr>
        <c:crossAx val="49904128"/>
        <c:crosses val="autoZero"/>
        <c:crossBetween val="between"/>
        <c:majorUnit val="10000"/>
      </c:valAx>
      <c:valAx>
        <c:axId val="414944640"/>
        <c:scaling>
          <c:orientation val="minMax"/>
        </c:scaling>
        <c:delete val="0"/>
        <c:axPos val="r"/>
        <c:numFmt formatCode="0.00%" sourceLinked="1"/>
        <c:majorTickMark val="out"/>
        <c:minorTickMark val="none"/>
        <c:tickLblPos val="nextTo"/>
        <c:txPr>
          <a:bodyPr/>
          <a:lstStyle/>
          <a:p>
            <a:pPr>
              <a:defRPr>
                <a:latin typeface="Arial" pitchFamily="34" charset="0"/>
                <a:cs typeface="Arial" pitchFamily="34" charset="0"/>
              </a:defRPr>
            </a:pPr>
            <a:endParaRPr lang="zh-CN"/>
          </a:p>
        </c:txPr>
        <c:crossAx val="421382656"/>
        <c:crosses val="max"/>
        <c:crossBetween val="between"/>
      </c:valAx>
      <c:catAx>
        <c:axId val="421382656"/>
        <c:scaling>
          <c:orientation val="minMax"/>
        </c:scaling>
        <c:delete val="1"/>
        <c:axPos val="b"/>
        <c:numFmt formatCode="General" sourceLinked="1"/>
        <c:majorTickMark val="out"/>
        <c:minorTickMark val="none"/>
        <c:tickLblPos val="nextTo"/>
        <c:crossAx val="414944640"/>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7C0E-4DD3-AD98-AAA0556B4409}"/>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0E-4DD3-AD98-AAA0556B4409}"/>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0E-4DD3-AD98-AAA0556B4409}"/>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0E-4DD3-AD98-AAA0556B4409}"/>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0E-4DD3-AD98-AAA0556B4409}"/>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0E-4DD3-AD98-AAA0556B4409}"/>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0E-4DD3-AD98-AAA0556B4409}"/>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0E-4DD3-AD98-AAA0556B4409}"/>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0E-4DD3-AD98-AAA0556B4409}"/>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7C0E-4DD3-AD98-AAA0556B4409}"/>
            </c:ext>
          </c:extLst>
        </c:ser>
        <c:dLbls>
          <c:showLegendKey val="0"/>
          <c:showVal val="0"/>
          <c:showCatName val="0"/>
          <c:showSerName val="0"/>
          <c:showPercent val="0"/>
          <c:showBubbleSize val="0"/>
        </c:dLbls>
        <c:gapWidth val="130"/>
        <c:overlap val="100"/>
        <c:serLines/>
        <c:axId val="264193920"/>
        <c:axId val="264192384"/>
      </c:barChart>
      <c:valAx>
        <c:axId val="26419238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264193920"/>
        <c:crosses val="autoZero"/>
        <c:crossBetween val="between"/>
        <c:minorUnit val="60000"/>
      </c:valAx>
      <c:catAx>
        <c:axId val="26419392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264192384"/>
        <c:crosses val="autoZero"/>
        <c:auto val="1"/>
        <c:lblAlgn val="ctr"/>
        <c:lblOffset val="100"/>
        <c:noMultiLvlLbl val="0"/>
      </c:cat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200"/>
              <a:t>北京市土地供求走势</a:t>
            </a:r>
          </a:p>
        </c:rich>
      </c:tx>
      <c:layout>
        <c:manualLayout>
          <c:xMode val="edge"/>
          <c:yMode val="edge"/>
          <c:x val="0.35259797116759861"/>
          <c:y val="1.3888888888888888E-2"/>
        </c:manualLayout>
      </c:layout>
      <c:overlay val="1"/>
    </c:title>
    <c:autoTitleDeleted val="0"/>
    <c:plotArea>
      <c:layout>
        <c:manualLayout>
          <c:layoutTarget val="inner"/>
          <c:xMode val="edge"/>
          <c:yMode val="edge"/>
          <c:x val="8.0847599033580547E-2"/>
          <c:y val="0.13010425780110821"/>
          <c:w val="0.89219162185587042"/>
          <c:h val="0.64242089530475355"/>
        </c:manualLayout>
      </c:layout>
      <c:barChart>
        <c:barDir val="col"/>
        <c:grouping val="clustered"/>
        <c:varyColors val="0"/>
        <c:ser>
          <c:idx val="0"/>
          <c:order val="0"/>
          <c:tx>
            <c:strRef>
              <c:f>Sheet1!$B$2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AC3-4C26-BB5E-15A0E61C90EA}"/>
                </c:ext>
              </c:extLst>
            </c:dLbl>
            <c:dLbl>
              <c:idx val="1"/>
              <c:delete val="1"/>
              <c:extLst>
                <c:ext xmlns:c15="http://schemas.microsoft.com/office/drawing/2012/chart" uri="{CE6537A1-D6FC-4f65-9D91-7224C49458BB}"/>
                <c:ext xmlns:c16="http://schemas.microsoft.com/office/drawing/2014/chart" uri="{C3380CC4-5D6E-409C-BE32-E72D297353CC}">
                  <c16:uniqueId val="{00000001-0AC3-4C26-BB5E-15A0E61C90EA}"/>
                </c:ext>
              </c:extLst>
            </c:dLbl>
            <c:dLbl>
              <c:idx val="2"/>
              <c:delete val="1"/>
              <c:extLst>
                <c:ext xmlns:c15="http://schemas.microsoft.com/office/drawing/2012/chart" uri="{CE6537A1-D6FC-4f65-9D91-7224C49458BB}"/>
                <c:ext xmlns:c16="http://schemas.microsoft.com/office/drawing/2014/chart" uri="{C3380CC4-5D6E-409C-BE32-E72D297353CC}">
                  <c16:uniqueId val="{00000002-0AC3-4C26-BB5E-15A0E61C90EA}"/>
                </c:ext>
              </c:extLst>
            </c:dLbl>
            <c:dLbl>
              <c:idx val="3"/>
              <c:delete val="1"/>
              <c:extLst>
                <c:ext xmlns:c15="http://schemas.microsoft.com/office/drawing/2012/chart" uri="{CE6537A1-D6FC-4f65-9D91-7224C49458BB}"/>
                <c:ext xmlns:c16="http://schemas.microsoft.com/office/drawing/2014/chart" uri="{C3380CC4-5D6E-409C-BE32-E72D297353CC}">
                  <c16:uniqueId val="{00000003-0AC3-4C26-BB5E-15A0E61C90EA}"/>
                </c:ext>
              </c:extLst>
            </c:dLbl>
            <c:dLbl>
              <c:idx val="4"/>
              <c:delete val="1"/>
              <c:extLst>
                <c:ext xmlns:c15="http://schemas.microsoft.com/office/drawing/2012/chart" uri="{CE6537A1-D6FC-4f65-9D91-7224C49458BB}"/>
                <c:ext xmlns:c16="http://schemas.microsoft.com/office/drawing/2014/chart" uri="{C3380CC4-5D6E-409C-BE32-E72D297353CC}">
                  <c16:uniqueId val="{00000004-0AC3-4C26-BB5E-15A0E61C90EA}"/>
                </c:ext>
              </c:extLst>
            </c:dLbl>
            <c:dLbl>
              <c:idx val="5"/>
              <c:layout>
                <c:manualLayout>
                  <c:x val="-1.2254899595704288E-2"/>
                  <c:y val="-4.93827352513795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C3-4C26-BB5E-15A0E61C90E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Sheet1!$A$3:$A$8</c:f>
              <c:strCache>
                <c:ptCount val="6"/>
                <c:pt idx="0">
                  <c:v>2020</c:v>
                </c:pt>
                <c:pt idx="1">
                  <c:v>2021</c:v>
                </c:pt>
                <c:pt idx="2">
                  <c:v>2022</c:v>
                </c:pt>
                <c:pt idx="3">
                  <c:v>2023</c:v>
                </c:pt>
                <c:pt idx="4">
                  <c:v>2024</c:v>
                </c:pt>
                <c:pt idx="5">
                  <c:v>2025H1</c:v>
                </c:pt>
              </c:strCache>
            </c:strRef>
          </c:cat>
          <c:val>
            <c:numRef>
              <c:f>Sheet1!$B$3:$B$8</c:f>
              <c:numCache>
                <c:formatCode>0_ </c:formatCode>
                <c:ptCount val="6"/>
                <c:pt idx="0">
                  <c:v>620.38</c:v>
                </c:pt>
                <c:pt idx="1">
                  <c:v>959.72</c:v>
                </c:pt>
                <c:pt idx="2">
                  <c:v>576.72</c:v>
                </c:pt>
                <c:pt idx="3">
                  <c:v>621.01</c:v>
                </c:pt>
                <c:pt idx="4">
                  <c:v>492</c:v>
                </c:pt>
                <c:pt idx="5">
                  <c:v>169.7</c:v>
                </c:pt>
              </c:numCache>
            </c:numRef>
          </c:val>
          <c:extLst>
            <c:ext xmlns:c16="http://schemas.microsoft.com/office/drawing/2014/chart" uri="{C3380CC4-5D6E-409C-BE32-E72D297353CC}">
              <c16:uniqueId val="{00000006-0AC3-4C26-BB5E-15A0E61C90EA}"/>
            </c:ext>
          </c:extLst>
        </c:ser>
        <c:ser>
          <c:idx val="1"/>
          <c:order val="1"/>
          <c:tx>
            <c:strRef>
              <c:f>Sheet1!$C$2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0AC3-4C26-BB5E-15A0E61C90EA}"/>
                </c:ext>
              </c:extLst>
            </c:dLbl>
            <c:dLbl>
              <c:idx val="1"/>
              <c:delete val="1"/>
              <c:extLst>
                <c:ext xmlns:c15="http://schemas.microsoft.com/office/drawing/2012/chart" uri="{CE6537A1-D6FC-4f65-9D91-7224C49458BB}"/>
                <c:ext xmlns:c16="http://schemas.microsoft.com/office/drawing/2014/chart" uri="{C3380CC4-5D6E-409C-BE32-E72D297353CC}">
                  <c16:uniqueId val="{00000008-0AC3-4C26-BB5E-15A0E61C90EA}"/>
                </c:ext>
              </c:extLst>
            </c:dLbl>
            <c:dLbl>
              <c:idx val="2"/>
              <c:delete val="1"/>
              <c:extLst>
                <c:ext xmlns:c15="http://schemas.microsoft.com/office/drawing/2012/chart" uri="{CE6537A1-D6FC-4f65-9D91-7224C49458BB}"/>
                <c:ext xmlns:c16="http://schemas.microsoft.com/office/drawing/2014/chart" uri="{C3380CC4-5D6E-409C-BE32-E72D297353CC}">
                  <c16:uniqueId val="{00000009-0AC3-4C26-BB5E-15A0E61C90EA}"/>
                </c:ext>
              </c:extLst>
            </c:dLbl>
            <c:dLbl>
              <c:idx val="3"/>
              <c:delete val="1"/>
              <c:extLst>
                <c:ext xmlns:c15="http://schemas.microsoft.com/office/drawing/2012/chart" uri="{CE6537A1-D6FC-4f65-9D91-7224C49458BB}"/>
                <c:ext xmlns:c16="http://schemas.microsoft.com/office/drawing/2014/chart" uri="{C3380CC4-5D6E-409C-BE32-E72D297353CC}">
                  <c16:uniqueId val="{0000000A-0AC3-4C26-BB5E-15A0E61C90EA}"/>
                </c:ext>
              </c:extLst>
            </c:dLbl>
            <c:dLbl>
              <c:idx val="4"/>
              <c:delete val="1"/>
              <c:extLst>
                <c:ext xmlns:c15="http://schemas.microsoft.com/office/drawing/2012/chart" uri="{CE6537A1-D6FC-4f65-9D91-7224C49458BB}"/>
                <c:ext xmlns:c16="http://schemas.microsoft.com/office/drawing/2014/chart" uri="{C3380CC4-5D6E-409C-BE32-E72D297353CC}">
                  <c16:uniqueId val="{0000000B-0AC3-4C26-BB5E-15A0E61C90EA}"/>
                </c:ext>
              </c:extLst>
            </c:dLbl>
            <c:dLbl>
              <c:idx val="5"/>
              <c:layout>
                <c:manualLayout>
                  <c:x val="2.4510764144132285E-3"/>
                  <c:y val="-4.9382735251380415E-3"/>
                </c:manualLayout>
              </c:layout>
              <c:showLegendKey val="0"/>
              <c:showVal val="1"/>
              <c:showCatName val="0"/>
              <c:showSerName val="0"/>
              <c:showPercent val="0"/>
              <c:showBubbleSize val="0"/>
              <c:extLst>
                <c:ext xmlns:c15="http://schemas.microsoft.com/office/drawing/2012/chart" uri="{CE6537A1-D6FC-4f65-9D91-7224C49458BB}">
                  <c15:layout>
                    <c:manualLayout>
                      <c:w val="8.3027041256167722E-2"/>
                      <c:h val="7.5086643369940073E-2"/>
                    </c:manualLayout>
                  </c15:layout>
                </c:ext>
                <c:ext xmlns:c16="http://schemas.microsoft.com/office/drawing/2014/chart" uri="{C3380CC4-5D6E-409C-BE32-E72D297353CC}">
                  <c16:uniqueId val="{0000000C-0AC3-4C26-BB5E-15A0E61C90E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Sheet1!$A$3:$A$8</c:f>
              <c:strCache>
                <c:ptCount val="6"/>
                <c:pt idx="0">
                  <c:v>2020</c:v>
                </c:pt>
                <c:pt idx="1">
                  <c:v>2021</c:v>
                </c:pt>
                <c:pt idx="2">
                  <c:v>2022</c:v>
                </c:pt>
                <c:pt idx="3">
                  <c:v>2023</c:v>
                </c:pt>
                <c:pt idx="4">
                  <c:v>2024</c:v>
                </c:pt>
                <c:pt idx="5">
                  <c:v>2025H1</c:v>
                </c:pt>
              </c:strCache>
            </c:strRef>
          </c:cat>
          <c:val>
            <c:numRef>
              <c:f>Sheet1!$C$3:$C$8</c:f>
              <c:numCache>
                <c:formatCode>0_ </c:formatCode>
                <c:ptCount val="6"/>
                <c:pt idx="0">
                  <c:v>624.28</c:v>
                </c:pt>
                <c:pt idx="1">
                  <c:v>688.57</c:v>
                </c:pt>
                <c:pt idx="2">
                  <c:v>484.71</c:v>
                </c:pt>
                <c:pt idx="3">
                  <c:v>582.25</c:v>
                </c:pt>
                <c:pt idx="4">
                  <c:v>470.38</c:v>
                </c:pt>
                <c:pt idx="5">
                  <c:v>234.42</c:v>
                </c:pt>
              </c:numCache>
            </c:numRef>
          </c:val>
          <c:extLst>
            <c:ext xmlns:c16="http://schemas.microsoft.com/office/drawing/2014/chart" uri="{C3380CC4-5D6E-409C-BE32-E72D297353CC}">
              <c16:uniqueId val="{0000000D-0AC3-4C26-BB5E-15A0E61C90EA}"/>
            </c:ext>
          </c:extLst>
        </c:ser>
        <c:dLbls>
          <c:showLegendKey val="0"/>
          <c:showVal val="0"/>
          <c:showCatName val="0"/>
          <c:showSerName val="0"/>
          <c:showPercent val="0"/>
          <c:showBubbleSize val="0"/>
        </c:dLbls>
        <c:gapWidth val="150"/>
        <c:axId val="412522496"/>
        <c:axId val="49787392"/>
      </c:barChart>
      <c:catAx>
        <c:axId val="412522496"/>
        <c:scaling>
          <c:orientation val="minMax"/>
        </c:scaling>
        <c:delete val="0"/>
        <c:axPos val="b"/>
        <c:numFmt formatCode="General" sourceLinked="0"/>
        <c:majorTickMark val="out"/>
        <c:minorTickMark val="none"/>
        <c:tickLblPos val="nextTo"/>
        <c:crossAx val="49787392"/>
        <c:crosses val="autoZero"/>
        <c:auto val="1"/>
        <c:lblAlgn val="ctr"/>
        <c:lblOffset val="100"/>
        <c:noMultiLvlLbl val="0"/>
      </c:catAx>
      <c:valAx>
        <c:axId val="49787392"/>
        <c:scaling>
          <c:orientation val="minMax"/>
        </c:scaling>
        <c:delete val="0"/>
        <c:axPos val="l"/>
        <c:majorGridlines/>
        <c:numFmt formatCode="0_ " sourceLinked="1"/>
        <c:majorTickMark val="out"/>
        <c:minorTickMark val="none"/>
        <c:tickLblPos val="nextTo"/>
        <c:crossAx val="412522496"/>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99700726056988"/>
          <c:y val="6.5289442986293383E-2"/>
          <c:w val="0.76788698574614733"/>
          <c:h val="0.72112459900845727"/>
        </c:manualLayout>
      </c:layout>
      <c:barChart>
        <c:barDir val="col"/>
        <c:grouping val="clustered"/>
        <c:varyColors val="0"/>
        <c:ser>
          <c:idx val="0"/>
          <c:order val="0"/>
          <c:tx>
            <c:strRef>
              <c:f>楼面价jj!$B$1</c:f>
              <c:strCache>
                <c:ptCount val="1"/>
                <c:pt idx="0">
                  <c:v>成交楼面均价（元/平方米）</c:v>
                </c:pt>
              </c:strCache>
            </c:strRef>
          </c:tx>
          <c:spPr>
            <a:solidFill>
              <a:srgbClr val="CC0000"/>
            </a:solidFill>
          </c:spPr>
          <c:invertIfNegative val="0"/>
          <c:dLbls>
            <c:dLbl>
              <c:idx val="2"/>
              <c:layout>
                <c:manualLayout>
                  <c:x val="-6.9641476944951034E-17"/>
                  <c:y val="-9.49432095940422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C6-4629-9C2A-5D3B899E5A92}"/>
                </c:ext>
              </c:extLst>
            </c:dLbl>
            <c:dLbl>
              <c:idx val="3"/>
              <c:layout>
                <c:manualLayout>
                  <c:x val="1.1129485275108557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C6-4629-9C2A-5D3B899E5A92}"/>
                </c:ext>
              </c:extLst>
            </c:dLbl>
            <c:dLbl>
              <c:idx val="4"/>
              <c:layout>
                <c:manualLayout>
                  <c:x val="-3.7986698972310934E-3"/>
                  <c:y val="8.25593126904714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C6-4629-9C2A-5D3B899E5A92}"/>
                </c:ext>
              </c:extLst>
            </c:dLbl>
            <c:dLbl>
              <c:idx val="5"/>
              <c:layout>
                <c:manualLayout>
                  <c:x val="0"/>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C6-4629-9C2A-5D3B899E5A92}"/>
                </c:ext>
              </c:extLst>
            </c:dLbl>
            <c:dLbl>
              <c:idx val="6"/>
              <c:layout>
                <c:manualLayout>
                  <c:x val="0"/>
                  <c:y val="-3.3023725076188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C6-4629-9C2A-5D3B899E5A92}"/>
                </c:ext>
              </c:extLst>
            </c:dLbl>
            <c:dLbl>
              <c:idx val="7"/>
              <c:layout>
                <c:manualLayout>
                  <c:x val="2.2259321090706734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C6-4629-9C2A-5D3B899E5A92}"/>
                </c:ext>
              </c:extLst>
            </c:dLbl>
            <c:spPr>
              <a:noFill/>
              <a:ln>
                <a:noFill/>
              </a:ln>
              <a:effectLst/>
            </c:spPr>
            <c:txPr>
              <a:bodyPr/>
              <a:lstStyle/>
              <a:p>
                <a:pPr>
                  <a:defRPr>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楼面价jj!$B$7:$B$14</c:f>
              <c:numCache>
                <c:formatCode>General</c:formatCode>
                <c:ptCount val="8"/>
                <c:pt idx="0">
                  <c:v>27153</c:v>
                </c:pt>
                <c:pt idx="1">
                  <c:v>25916</c:v>
                </c:pt>
                <c:pt idx="2">
                  <c:v>28513</c:v>
                </c:pt>
                <c:pt idx="3">
                  <c:v>34086</c:v>
                </c:pt>
                <c:pt idx="4">
                  <c:v>25771</c:v>
                </c:pt>
                <c:pt idx="5">
                  <c:v>43860</c:v>
                </c:pt>
                <c:pt idx="6">
                  <c:v>47266</c:v>
                </c:pt>
                <c:pt idx="7">
                  <c:v>38274</c:v>
                </c:pt>
              </c:numCache>
            </c:numRef>
          </c:val>
          <c:extLst>
            <c:ext xmlns:c16="http://schemas.microsoft.com/office/drawing/2014/chart" uri="{C3380CC4-5D6E-409C-BE32-E72D297353CC}">
              <c16:uniqueId val="{00000006-D0C6-4629-9C2A-5D3B899E5A92}"/>
            </c:ext>
          </c:extLst>
        </c:ser>
        <c:dLbls>
          <c:showLegendKey val="0"/>
          <c:showVal val="0"/>
          <c:showCatName val="0"/>
          <c:showSerName val="0"/>
          <c:showPercent val="0"/>
          <c:showBubbleSize val="0"/>
        </c:dLbls>
        <c:gapWidth val="150"/>
        <c:axId val="49904128"/>
        <c:axId val="224222528"/>
      </c:barChart>
      <c:lineChart>
        <c:grouping val="standard"/>
        <c:varyColors val="0"/>
        <c:ser>
          <c:idx val="1"/>
          <c:order val="1"/>
          <c:tx>
            <c:strRef>
              <c:f>楼面价jj!$C$1</c:f>
              <c:strCache>
                <c:ptCount val="1"/>
                <c:pt idx="0">
                  <c:v>平均溢价率（%）</c:v>
                </c:pt>
              </c:strCache>
            </c:strRef>
          </c:tx>
          <c:spPr>
            <a:ln>
              <a:solidFill>
                <a:schemeClr val="accent5">
                  <a:lumMod val="75000"/>
                </a:schemeClr>
              </a:solidFill>
            </a:ln>
          </c:spPr>
          <c:marker>
            <c:spPr>
              <a:solidFill>
                <a:schemeClr val="accent5">
                  <a:lumMod val="75000"/>
                </a:schemeClr>
              </a:solidFill>
              <a:ln>
                <a:solidFill>
                  <a:schemeClr val="accent5">
                    <a:lumMod val="75000"/>
                  </a:schemeClr>
                </a:solidFill>
              </a:ln>
            </c:spPr>
          </c:marker>
          <c:dLbls>
            <c:dLbl>
              <c:idx val="0"/>
              <c:tx>
                <c:rich>
                  <a:bodyPr/>
                  <a:lstStyle/>
                  <a:p>
                    <a:r>
                      <a:rPr lang="en-US" altLang="en-US">
                        <a:solidFill>
                          <a:schemeClr val="bg1"/>
                        </a:solidFill>
                        <a:latin typeface="Arial" pitchFamily="34" charset="0"/>
                        <a:cs typeface="Arial" pitchFamily="34" charset="0"/>
                      </a:rPr>
                      <a:t>5.35%</a:t>
                    </a:r>
                    <a:endParaRPr lang="en-US" altLang="en-US">
                      <a:solidFill>
                        <a:schemeClr val="bg1"/>
                      </a:solidFill>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0C6-4629-9C2A-5D3B899E5A92}"/>
                </c:ext>
              </c:extLst>
            </c:dLbl>
            <c:dLbl>
              <c:idx val="1"/>
              <c:tx>
                <c:rich>
                  <a:bodyPr/>
                  <a:lstStyle/>
                  <a:p>
                    <a:r>
                      <a:rPr lang="en-US" altLang="en-US">
                        <a:solidFill>
                          <a:schemeClr val="bg1"/>
                        </a:solidFill>
                        <a:latin typeface="Arial" pitchFamily="34" charset="0"/>
                        <a:cs typeface="Arial" pitchFamily="34" charset="0"/>
                      </a:rPr>
                      <a:t>6.06%</a:t>
                    </a:r>
                    <a:endParaRPr lang="en-US" altLang="en-US">
                      <a:solidFill>
                        <a:schemeClr val="bg1"/>
                      </a:solidFill>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0C6-4629-9C2A-5D3B899E5A92}"/>
                </c:ext>
              </c:extLst>
            </c:dLbl>
            <c:dLbl>
              <c:idx val="2"/>
              <c:layout>
                <c:manualLayout>
                  <c:x val="-3.7986698972310934E-3"/>
                  <c:y val="7.4303381421424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C6-4629-9C2A-5D3B899E5A92}"/>
                </c:ext>
              </c:extLst>
            </c:dLbl>
            <c:dLbl>
              <c:idx val="6"/>
              <c:layout>
                <c:manualLayout>
                  <c:x val="-3.798669897231023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C6-4629-9C2A-5D3B899E5A92}"/>
                </c:ext>
              </c:extLst>
            </c:dLbl>
            <c:dLbl>
              <c:idx val="9"/>
              <c:layout>
                <c:manualLayout>
                  <c:x val="-3.1163049526989589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C6-4629-9C2A-5D3B899E5A92}"/>
                </c:ext>
              </c:extLst>
            </c:dLbl>
            <c:spPr>
              <a:solidFill>
                <a:schemeClr val="accent5">
                  <a:lumMod val="75000"/>
                </a:schemeClr>
              </a:solidFill>
            </c:spPr>
            <c:txPr>
              <a:bodyPr/>
              <a:lstStyle/>
              <a:p>
                <a:pPr>
                  <a:defRPr>
                    <a:solidFill>
                      <a:schemeClr val="bg1"/>
                    </a:solidFill>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楼面价jj!$C$7:$C$14</c:f>
              <c:numCache>
                <c:formatCode>0.00%</c:formatCode>
                <c:ptCount val="8"/>
                <c:pt idx="0">
                  <c:v>8.0100000000000005E-2</c:v>
                </c:pt>
                <c:pt idx="1">
                  <c:v>5.2200000000000003E-2</c:v>
                </c:pt>
                <c:pt idx="2">
                  <c:v>7.1300000000000002E-2</c:v>
                </c:pt>
                <c:pt idx="3">
                  <c:v>3.3999999999999998E-3</c:v>
                </c:pt>
                <c:pt idx="4">
                  <c:v>1.3299999999999999E-2</c:v>
                </c:pt>
                <c:pt idx="5">
                  <c:v>2.9399999999999999E-2</c:v>
                </c:pt>
                <c:pt idx="6">
                  <c:v>0.10970000000000001</c:v>
                </c:pt>
                <c:pt idx="7">
                  <c:v>2.5899999999999999E-2</c:v>
                </c:pt>
              </c:numCache>
            </c:numRef>
          </c:val>
          <c:smooth val="0"/>
          <c:extLst>
            <c:ext xmlns:c16="http://schemas.microsoft.com/office/drawing/2014/chart" uri="{C3380CC4-5D6E-409C-BE32-E72D297353CC}">
              <c16:uniqueId val="{0000000C-D0C6-4629-9C2A-5D3B899E5A92}"/>
            </c:ext>
          </c:extLst>
        </c:ser>
        <c:dLbls>
          <c:showLegendKey val="0"/>
          <c:showVal val="0"/>
          <c:showCatName val="0"/>
          <c:showSerName val="0"/>
          <c:showPercent val="0"/>
          <c:showBubbleSize val="0"/>
        </c:dLbls>
        <c:marker val="1"/>
        <c:smooth val="0"/>
        <c:axId val="421382656"/>
        <c:axId val="414944640"/>
      </c:lineChart>
      <c:catAx>
        <c:axId val="49904128"/>
        <c:scaling>
          <c:orientation val="minMax"/>
        </c:scaling>
        <c:delete val="0"/>
        <c:axPos val="b"/>
        <c:numFmt formatCode="General" sourceLinked="0"/>
        <c:majorTickMark val="out"/>
        <c:minorTickMark val="none"/>
        <c:tickLblPos val="nextTo"/>
        <c:txPr>
          <a:bodyPr/>
          <a:lstStyle/>
          <a:p>
            <a:pPr>
              <a:defRPr>
                <a:latin typeface="Arial" pitchFamily="34" charset="0"/>
                <a:cs typeface="Arial" pitchFamily="34" charset="0"/>
              </a:defRPr>
            </a:pPr>
            <a:endParaRPr lang="zh-CN"/>
          </a:p>
        </c:txPr>
        <c:crossAx val="224222528"/>
        <c:crosses val="autoZero"/>
        <c:auto val="1"/>
        <c:lblAlgn val="ctr"/>
        <c:lblOffset val="100"/>
        <c:noMultiLvlLbl val="0"/>
      </c:catAx>
      <c:valAx>
        <c:axId val="224222528"/>
        <c:scaling>
          <c:orientation val="minMax"/>
          <c:max val="50000"/>
        </c:scaling>
        <c:delete val="0"/>
        <c:axPos val="l"/>
        <c:majorGridlines/>
        <c:numFmt formatCode="#,##0.00_);[Red]\(#,##0.00\)" sourceLinked="0"/>
        <c:majorTickMark val="out"/>
        <c:minorTickMark val="out"/>
        <c:tickLblPos val="nextTo"/>
        <c:txPr>
          <a:bodyPr/>
          <a:lstStyle/>
          <a:p>
            <a:pPr>
              <a:defRPr b="0">
                <a:latin typeface="Arial" pitchFamily="34" charset="0"/>
                <a:ea typeface="Arial Unicode MS" pitchFamily="34" charset="-122"/>
                <a:cs typeface="Arial" pitchFamily="34" charset="0"/>
              </a:defRPr>
            </a:pPr>
            <a:endParaRPr lang="zh-CN"/>
          </a:p>
        </c:txPr>
        <c:crossAx val="49904128"/>
        <c:crosses val="autoZero"/>
        <c:crossBetween val="between"/>
        <c:majorUnit val="10000"/>
      </c:valAx>
      <c:valAx>
        <c:axId val="414944640"/>
        <c:scaling>
          <c:orientation val="minMax"/>
        </c:scaling>
        <c:delete val="0"/>
        <c:axPos val="r"/>
        <c:numFmt formatCode="0.00%" sourceLinked="1"/>
        <c:majorTickMark val="out"/>
        <c:minorTickMark val="none"/>
        <c:tickLblPos val="nextTo"/>
        <c:txPr>
          <a:bodyPr/>
          <a:lstStyle/>
          <a:p>
            <a:pPr>
              <a:defRPr>
                <a:latin typeface="Arial" pitchFamily="34" charset="0"/>
                <a:cs typeface="Arial" pitchFamily="34" charset="0"/>
              </a:defRPr>
            </a:pPr>
            <a:endParaRPr lang="zh-CN"/>
          </a:p>
        </c:txPr>
        <c:crossAx val="421382656"/>
        <c:crosses val="max"/>
        <c:crossBetween val="between"/>
      </c:valAx>
      <c:catAx>
        <c:axId val="421382656"/>
        <c:scaling>
          <c:orientation val="minMax"/>
        </c:scaling>
        <c:delete val="1"/>
        <c:axPos val="b"/>
        <c:numFmt formatCode="General" sourceLinked="1"/>
        <c:majorTickMark val="out"/>
        <c:minorTickMark val="none"/>
        <c:tickLblPos val="nextTo"/>
        <c:crossAx val="414944640"/>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117</Pages>
  <Words>10709</Words>
  <Characters>61042</Characters>
  <Application>Microsoft Office Word</Application>
  <DocSecurity>0</DocSecurity>
  <Lines>508</Lines>
  <Paragraphs>143</Paragraphs>
  <ScaleCrop>false</ScaleCrop>
  <Company>微软中国</Company>
  <LinksUpToDate>false</LinksUpToDate>
  <CharactersWithSpaces>71608</CharactersWithSpaces>
  <SharedDoc>false</SharedDoc>
  <HLinks>
    <vt:vector size="270" baseType="variant">
      <vt:variant>
        <vt:i4>4456455</vt:i4>
      </vt:variant>
      <vt:variant>
        <vt:i4>258</vt:i4>
      </vt:variant>
      <vt:variant>
        <vt:i4>0</vt:i4>
      </vt:variant>
      <vt:variant>
        <vt:i4>5</vt:i4>
      </vt:variant>
      <vt:variant>
        <vt:lpwstr>http://baike.baidu.com/item/%E5%9C%9F%E5%9C%B0%E4%BB%B7%E6%A0%BC</vt:lpwstr>
      </vt:variant>
      <vt:variant>
        <vt:lpwstr/>
      </vt:variant>
      <vt:variant>
        <vt:i4>5963870</vt:i4>
      </vt:variant>
      <vt:variant>
        <vt:i4>255</vt:i4>
      </vt:variant>
      <vt:variant>
        <vt:i4>0</vt:i4>
      </vt:variant>
      <vt:variant>
        <vt:i4>5</vt:i4>
      </vt:variant>
      <vt:variant>
        <vt:lpwstr>http://baike.baidu.com/item/%E5%9C%9F%E5%9C%B0%E6%89%80%E6%9C%89%E6%9D%83</vt:lpwstr>
      </vt:variant>
      <vt:variant>
        <vt:lpwstr/>
      </vt:variant>
      <vt:variant>
        <vt:i4>458773</vt:i4>
      </vt:variant>
      <vt:variant>
        <vt:i4>249</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2031665</vt:i4>
      </vt:variant>
      <vt:variant>
        <vt:i4>242</vt:i4>
      </vt:variant>
      <vt:variant>
        <vt:i4>0</vt:i4>
      </vt:variant>
      <vt:variant>
        <vt:i4>5</vt:i4>
      </vt:variant>
      <vt:variant>
        <vt:lpwstr/>
      </vt:variant>
      <vt:variant>
        <vt:lpwstr>_Toc28304</vt:lpwstr>
      </vt:variant>
      <vt:variant>
        <vt:i4>1245240</vt:i4>
      </vt:variant>
      <vt:variant>
        <vt:i4>236</vt:i4>
      </vt:variant>
      <vt:variant>
        <vt:i4>0</vt:i4>
      </vt:variant>
      <vt:variant>
        <vt:i4>5</vt:i4>
      </vt:variant>
      <vt:variant>
        <vt:lpwstr/>
      </vt:variant>
      <vt:variant>
        <vt:lpwstr>_Toc15911</vt:lpwstr>
      </vt:variant>
      <vt:variant>
        <vt:i4>1507384</vt:i4>
      </vt:variant>
      <vt:variant>
        <vt:i4>230</vt:i4>
      </vt:variant>
      <vt:variant>
        <vt:i4>0</vt:i4>
      </vt:variant>
      <vt:variant>
        <vt:i4>5</vt:i4>
      </vt:variant>
      <vt:variant>
        <vt:lpwstr/>
      </vt:variant>
      <vt:variant>
        <vt:lpwstr>_Toc14947</vt:lpwstr>
      </vt:variant>
      <vt:variant>
        <vt:i4>1048626</vt:i4>
      </vt:variant>
      <vt:variant>
        <vt:i4>224</vt:i4>
      </vt:variant>
      <vt:variant>
        <vt:i4>0</vt:i4>
      </vt:variant>
      <vt:variant>
        <vt:i4>5</vt:i4>
      </vt:variant>
      <vt:variant>
        <vt:lpwstr/>
      </vt:variant>
      <vt:variant>
        <vt:lpwstr>_Toc27002</vt:lpwstr>
      </vt:variant>
      <vt:variant>
        <vt:i4>1966141</vt:i4>
      </vt:variant>
      <vt:variant>
        <vt:i4>218</vt:i4>
      </vt:variant>
      <vt:variant>
        <vt:i4>0</vt:i4>
      </vt:variant>
      <vt:variant>
        <vt:i4>5</vt:i4>
      </vt:variant>
      <vt:variant>
        <vt:lpwstr/>
      </vt:variant>
      <vt:variant>
        <vt:lpwstr>_Toc4198</vt:lpwstr>
      </vt:variant>
      <vt:variant>
        <vt:i4>1441844</vt:i4>
      </vt:variant>
      <vt:variant>
        <vt:i4>212</vt:i4>
      </vt:variant>
      <vt:variant>
        <vt:i4>0</vt:i4>
      </vt:variant>
      <vt:variant>
        <vt:i4>5</vt:i4>
      </vt:variant>
      <vt:variant>
        <vt:lpwstr/>
      </vt:variant>
      <vt:variant>
        <vt:lpwstr>_Toc14556</vt:lpwstr>
      </vt:variant>
      <vt:variant>
        <vt:i4>1179703</vt:i4>
      </vt:variant>
      <vt:variant>
        <vt:i4>206</vt:i4>
      </vt:variant>
      <vt:variant>
        <vt:i4>0</vt:i4>
      </vt:variant>
      <vt:variant>
        <vt:i4>5</vt:i4>
      </vt:variant>
      <vt:variant>
        <vt:lpwstr/>
      </vt:variant>
      <vt:variant>
        <vt:lpwstr>_Toc16635</vt:lpwstr>
      </vt:variant>
      <vt:variant>
        <vt:i4>1638454</vt:i4>
      </vt:variant>
      <vt:variant>
        <vt:i4>200</vt:i4>
      </vt:variant>
      <vt:variant>
        <vt:i4>0</vt:i4>
      </vt:variant>
      <vt:variant>
        <vt:i4>5</vt:i4>
      </vt:variant>
      <vt:variant>
        <vt:lpwstr/>
      </vt:variant>
      <vt:variant>
        <vt:lpwstr>_Toc29473</vt:lpwstr>
      </vt:variant>
      <vt:variant>
        <vt:i4>1048624</vt:i4>
      </vt:variant>
      <vt:variant>
        <vt:i4>194</vt:i4>
      </vt:variant>
      <vt:variant>
        <vt:i4>0</vt:i4>
      </vt:variant>
      <vt:variant>
        <vt:i4>5</vt:i4>
      </vt:variant>
      <vt:variant>
        <vt:lpwstr/>
      </vt:variant>
      <vt:variant>
        <vt:lpwstr>_Toc1215</vt:lpwstr>
      </vt:variant>
      <vt:variant>
        <vt:i4>1114166</vt:i4>
      </vt:variant>
      <vt:variant>
        <vt:i4>191</vt:i4>
      </vt:variant>
      <vt:variant>
        <vt:i4>0</vt:i4>
      </vt:variant>
      <vt:variant>
        <vt:i4>5</vt:i4>
      </vt:variant>
      <vt:variant>
        <vt:lpwstr/>
      </vt:variant>
      <vt:variant>
        <vt:lpwstr>_Toc6305</vt:lpwstr>
      </vt:variant>
      <vt:variant>
        <vt:i4>1179705</vt:i4>
      </vt:variant>
      <vt:variant>
        <vt:i4>185</vt:i4>
      </vt:variant>
      <vt:variant>
        <vt:i4>0</vt:i4>
      </vt:variant>
      <vt:variant>
        <vt:i4>5</vt:i4>
      </vt:variant>
      <vt:variant>
        <vt:lpwstr/>
      </vt:variant>
      <vt:variant>
        <vt:lpwstr>_Toc16834</vt:lpwstr>
      </vt:variant>
      <vt:variant>
        <vt:i4>1441844</vt:i4>
      </vt:variant>
      <vt:variant>
        <vt:i4>179</vt:i4>
      </vt:variant>
      <vt:variant>
        <vt:i4>0</vt:i4>
      </vt:variant>
      <vt:variant>
        <vt:i4>5</vt:i4>
      </vt:variant>
      <vt:variant>
        <vt:lpwstr/>
      </vt:variant>
      <vt:variant>
        <vt:lpwstr>_Toc18597</vt:lpwstr>
      </vt:variant>
      <vt:variant>
        <vt:i4>1048625</vt:i4>
      </vt:variant>
      <vt:variant>
        <vt:i4>173</vt:i4>
      </vt:variant>
      <vt:variant>
        <vt:i4>0</vt:i4>
      </vt:variant>
      <vt:variant>
        <vt:i4>5</vt:i4>
      </vt:variant>
      <vt:variant>
        <vt:lpwstr/>
      </vt:variant>
      <vt:variant>
        <vt:lpwstr>_Toc32253</vt:lpwstr>
      </vt:variant>
      <vt:variant>
        <vt:i4>1900598</vt:i4>
      </vt:variant>
      <vt:variant>
        <vt:i4>167</vt:i4>
      </vt:variant>
      <vt:variant>
        <vt:i4>0</vt:i4>
      </vt:variant>
      <vt:variant>
        <vt:i4>5</vt:i4>
      </vt:variant>
      <vt:variant>
        <vt:lpwstr/>
      </vt:variant>
      <vt:variant>
        <vt:lpwstr>_Toc3258</vt:lpwstr>
      </vt:variant>
      <vt:variant>
        <vt:i4>1245239</vt:i4>
      </vt:variant>
      <vt:variant>
        <vt:i4>161</vt:i4>
      </vt:variant>
      <vt:variant>
        <vt:i4>0</vt:i4>
      </vt:variant>
      <vt:variant>
        <vt:i4>5</vt:i4>
      </vt:variant>
      <vt:variant>
        <vt:lpwstr/>
      </vt:variant>
      <vt:variant>
        <vt:lpwstr>_Toc27536</vt:lpwstr>
      </vt:variant>
      <vt:variant>
        <vt:i4>1441841</vt:i4>
      </vt:variant>
      <vt:variant>
        <vt:i4>155</vt:i4>
      </vt:variant>
      <vt:variant>
        <vt:i4>0</vt:i4>
      </vt:variant>
      <vt:variant>
        <vt:i4>5</vt:i4>
      </vt:variant>
      <vt:variant>
        <vt:lpwstr/>
      </vt:variant>
      <vt:variant>
        <vt:lpwstr>_Toc13024</vt:lpwstr>
      </vt:variant>
      <vt:variant>
        <vt:i4>1638451</vt:i4>
      </vt:variant>
      <vt:variant>
        <vt:i4>149</vt:i4>
      </vt:variant>
      <vt:variant>
        <vt:i4>0</vt:i4>
      </vt:variant>
      <vt:variant>
        <vt:i4>5</vt:i4>
      </vt:variant>
      <vt:variant>
        <vt:lpwstr/>
      </vt:variant>
      <vt:variant>
        <vt:lpwstr>_Toc27192</vt:lpwstr>
      </vt:variant>
      <vt:variant>
        <vt:i4>1507376</vt:i4>
      </vt:variant>
      <vt:variant>
        <vt:i4>143</vt:i4>
      </vt:variant>
      <vt:variant>
        <vt:i4>0</vt:i4>
      </vt:variant>
      <vt:variant>
        <vt:i4>5</vt:i4>
      </vt:variant>
      <vt:variant>
        <vt:lpwstr/>
      </vt:variant>
      <vt:variant>
        <vt:lpwstr>_Toc21210</vt:lpwstr>
      </vt:variant>
      <vt:variant>
        <vt:i4>1835066</vt:i4>
      </vt:variant>
      <vt:variant>
        <vt:i4>137</vt:i4>
      </vt:variant>
      <vt:variant>
        <vt:i4>0</vt:i4>
      </vt:variant>
      <vt:variant>
        <vt:i4>5</vt:i4>
      </vt:variant>
      <vt:variant>
        <vt:lpwstr/>
      </vt:variant>
      <vt:variant>
        <vt:lpwstr>_Toc2982</vt:lpwstr>
      </vt:variant>
      <vt:variant>
        <vt:i4>1703990</vt:i4>
      </vt:variant>
      <vt:variant>
        <vt:i4>131</vt:i4>
      </vt:variant>
      <vt:variant>
        <vt:i4>0</vt:i4>
      </vt:variant>
      <vt:variant>
        <vt:i4>5</vt:i4>
      </vt:variant>
      <vt:variant>
        <vt:lpwstr/>
      </vt:variant>
      <vt:variant>
        <vt:lpwstr>_Toc14790</vt:lpwstr>
      </vt:variant>
      <vt:variant>
        <vt:i4>2097153</vt:i4>
      </vt:variant>
      <vt:variant>
        <vt:i4>125</vt:i4>
      </vt:variant>
      <vt:variant>
        <vt:i4>0</vt:i4>
      </vt:variant>
      <vt:variant>
        <vt:i4>5</vt:i4>
      </vt:variant>
      <vt:variant>
        <vt:lpwstr/>
      </vt:variant>
      <vt:variant>
        <vt:lpwstr>_Toc177</vt:lpwstr>
      </vt:variant>
      <vt:variant>
        <vt:i4>4456455</vt:i4>
      </vt:variant>
      <vt:variant>
        <vt:i4>117</vt:i4>
      </vt:variant>
      <vt:variant>
        <vt:i4>0</vt:i4>
      </vt:variant>
      <vt:variant>
        <vt:i4>5</vt:i4>
      </vt:variant>
      <vt:variant>
        <vt:lpwstr>http://baike.baidu.com/item/%E5%9C%9F%E5%9C%B0%E4%BB%B7%E6%A0%BC</vt:lpwstr>
      </vt:variant>
      <vt:variant>
        <vt:lpwstr/>
      </vt:variant>
      <vt:variant>
        <vt:i4>5963870</vt:i4>
      </vt:variant>
      <vt:variant>
        <vt:i4>114</vt:i4>
      </vt:variant>
      <vt:variant>
        <vt:i4>0</vt:i4>
      </vt:variant>
      <vt:variant>
        <vt:i4>5</vt:i4>
      </vt:variant>
      <vt:variant>
        <vt:lpwstr>http://baike.baidu.com/item/%E5%9C%9F%E5%9C%B0%E6%89%80%E6%9C%89%E6%9D%83</vt:lpwstr>
      </vt:variant>
      <vt:variant>
        <vt:lpwstr/>
      </vt:variant>
      <vt:variant>
        <vt:i4>458773</vt:i4>
      </vt:variant>
      <vt:variant>
        <vt:i4>111</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1048628</vt:i4>
      </vt:variant>
      <vt:variant>
        <vt:i4>104</vt:i4>
      </vt:variant>
      <vt:variant>
        <vt:i4>0</vt:i4>
      </vt:variant>
      <vt:variant>
        <vt:i4>5</vt:i4>
      </vt:variant>
      <vt:variant>
        <vt:lpwstr/>
      </vt:variant>
      <vt:variant>
        <vt:lpwstr>_Toc26617</vt:lpwstr>
      </vt:variant>
      <vt:variant>
        <vt:i4>1441842</vt:i4>
      </vt:variant>
      <vt:variant>
        <vt:i4>98</vt:i4>
      </vt:variant>
      <vt:variant>
        <vt:i4>0</vt:i4>
      </vt:variant>
      <vt:variant>
        <vt:i4>5</vt:i4>
      </vt:variant>
      <vt:variant>
        <vt:lpwstr/>
      </vt:variant>
      <vt:variant>
        <vt:lpwstr>_Toc7253</vt:lpwstr>
      </vt:variant>
      <vt:variant>
        <vt:i4>1245242</vt:i4>
      </vt:variant>
      <vt:variant>
        <vt:i4>92</vt:i4>
      </vt:variant>
      <vt:variant>
        <vt:i4>0</vt:i4>
      </vt:variant>
      <vt:variant>
        <vt:i4>5</vt:i4>
      </vt:variant>
      <vt:variant>
        <vt:lpwstr/>
      </vt:variant>
      <vt:variant>
        <vt:lpwstr>_Toc31952</vt:lpwstr>
      </vt:variant>
      <vt:variant>
        <vt:i4>1310768</vt:i4>
      </vt:variant>
      <vt:variant>
        <vt:i4>86</vt:i4>
      </vt:variant>
      <vt:variant>
        <vt:i4>0</vt:i4>
      </vt:variant>
      <vt:variant>
        <vt:i4>5</vt:i4>
      </vt:variant>
      <vt:variant>
        <vt:lpwstr/>
      </vt:variant>
      <vt:variant>
        <vt:lpwstr>_Toc11126</vt:lpwstr>
      </vt:variant>
      <vt:variant>
        <vt:i4>1179701</vt:i4>
      </vt:variant>
      <vt:variant>
        <vt:i4>80</vt:i4>
      </vt:variant>
      <vt:variant>
        <vt:i4>0</vt:i4>
      </vt:variant>
      <vt:variant>
        <vt:i4>5</vt:i4>
      </vt:variant>
      <vt:variant>
        <vt:lpwstr/>
      </vt:variant>
      <vt:variant>
        <vt:lpwstr>_Toc4411</vt:lpwstr>
      </vt:variant>
      <vt:variant>
        <vt:i4>1048634</vt:i4>
      </vt:variant>
      <vt:variant>
        <vt:i4>74</vt:i4>
      </vt:variant>
      <vt:variant>
        <vt:i4>0</vt:i4>
      </vt:variant>
      <vt:variant>
        <vt:i4>5</vt:i4>
      </vt:variant>
      <vt:variant>
        <vt:lpwstr/>
      </vt:variant>
      <vt:variant>
        <vt:lpwstr>_Toc3196</vt:lpwstr>
      </vt:variant>
      <vt:variant>
        <vt:i4>1310774</vt:i4>
      </vt:variant>
      <vt:variant>
        <vt:i4>68</vt:i4>
      </vt:variant>
      <vt:variant>
        <vt:i4>0</vt:i4>
      </vt:variant>
      <vt:variant>
        <vt:i4>5</vt:i4>
      </vt:variant>
      <vt:variant>
        <vt:lpwstr/>
      </vt:variant>
      <vt:variant>
        <vt:lpwstr>_Toc27446</vt:lpwstr>
      </vt:variant>
      <vt:variant>
        <vt:i4>1245234</vt:i4>
      </vt:variant>
      <vt:variant>
        <vt:i4>62</vt:i4>
      </vt:variant>
      <vt:variant>
        <vt:i4>0</vt:i4>
      </vt:variant>
      <vt:variant>
        <vt:i4>5</vt:i4>
      </vt:variant>
      <vt:variant>
        <vt:lpwstr/>
      </vt:variant>
      <vt:variant>
        <vt:lpwstr>_Toc31157</vt:lpwstr>
      </vt:variant>
      <vt:variant>
        <vt:i4>1638450</vt:i4>
      </vt:variant>
      <vt:variant>
        <vt:i4>56</vt:i4>
      </vt:variant>
      <vt:variant>
        <vt:i4>0</vt:i4>
      </vt:variant>
      <vt:variant>
        <vt:i4>5</vt:i4>
      </vt:variant>
      <vt:variant>
        <vt:lpwstr/>
      </vt:variant>
      <vt:variant>
        <vt:lpwstr>_Toc26082</vt:lpwstr>
      </vt:variant>
      <vt:variant>
        <vt:i4>1441843</vt:i4>
      </vt:variant>
      <vt:variant>
        <vt:i4>50</vt:i4>
      </vt:variant>
      <vt:variant>
        <vt:i4>0</vt:i4>
      </vt:variant>
      <vt:variant>
        <vt:i4>5</vt:i4>
      </vt:variant>
      <vt:variant>
        <vt:lpwstr/>
      </vt:variant>
      <vt:variant>
        <vt:lpwstr>_Toc10210</vt:lpwstr>
      </vt:variant>
      <vt:variant>
        <vt:i4>1114160</vt:i4>
      </vt:variant>
      <vt:variant>
        <vt:i4>44</vt:i4>
      </vt:variant>
      <vt:variant>
        <vt:i4>0</vt:i4>
      </vt:variant>
      <vt:variant>
        <vt:i4>5</vt:i4>
      </vt:variant>
      <vt:variant>
        <vt:lpwstr/>
      </vt:variant>
      <vt:variant>
        <vt:lpwstr>_Toc27218</vt:lpwstr>
      </vt:variant>
      <vt:variant>
        <vt:i4>1441842</vt:i4>
      </vt:variant>
      <vt:variant>
        <vt:i4>38</vt:i4>
      </vt:variant>
      <vt:variant>
        <vt:i4>0</vt:i4>
      </vt:variant>
      <vt:variant>
        <vt:i4>5</vt:i4>
      </vt:variant>
      <vt:variant>
        <vt:lpwstr/>
      </vt:variant>
      <vt:variant>
        <vt:lpwstr>_Toc23022</vt:lpwstr>
      </vt:variant>
      <vt:variant>
        <vt:i4>1966128</vt:i4>
      </vt:variant>
      <vt:variant>
        <vt:i4>32</vt:i4>
      </vt:variant>
      <vt:variant>
        <vt:i4>0</vt:i4>
      </vt:variant>
      <vt:variant>
        <vt:i4>5</vt:i4>
      </vt:variant>
      <vt:variant>
        <vt:lpwstr/>
      </vt:variant>
      <vt:variant>
        <vt:lpwstr>_Toc29207</vt:lpwstr>
      </vt:variant>
      <vt:variant>
        <vt:i4>1441845</vt:i4>
      </vt:variant>
      <vt:variant>
        <vt:i4>26</vt:i4>
      </vt:variant>
      <vt:variant>
        <vt:i4>0</vt:i4>
      </vt:variant>
      <vt:variant>
        <vt:i4>5</vt:i4>
      </vt:variant>
      <vt:variant>
        <vt:lpwstr/>
      </vt:variant>
      <vt:variant>
        <vt:lpwstr>_Toc10412</vt:lpwstr>
      </vt:variant>
      <vt:variant>
        <vt:i4>1441840</vt:i4>
      </vt:variant>
      <vt:variant>
        <vt:i4>20</vt:i4>
      </vt:variant>
      <vt:variant>
        <vt:i4>0</vt:i4>
      </vt:variant>
      <vt:variant>
        <vt:i4>5</vt:i4>
      </vt:variant>
      <vt:variant>
        <vt:lpwstr/>
      </vt:variant>
      <vt:variant>
        <vt:lpwstr>_Toc12130</vt:lpwstr>
      </vt:variant>
      <vt:variant>
        <vt:i4>1376307</vt:i4>
      </vt:variant>
      <vt:variant>
        <vt:i4>14</vt:i4>
      </vt:variant>
      <vt:variant>
        <vt:i4>0</vt:i4>
      </vt:variant>
      <vt:variant>
        <vt:i4>5</vt:i4>
      </vt:variant>
      <vt:variant>
        <vt:lpwstr/>
      </vt:variant>
      <vt:variant>
        <vt:lpwstr>_Toc12200</vt:lpwstr>
      </vt:variant>
      <vt:variant>
        <vt:i4>1245241</vt:i4>
      </vt:variant>
      <vt:variant>
        <vt:i4>8</vt:i4>
      </vt:variant>
      <vt:variant>
        <vt:i4>0</vt:i4>
      </vt:variant>
      <vt:variant>
        <vt:i4>5</vt:i4>
      </vt:variant>
      <vt:variant>
        <vt:lpwstr/>
      </vt:variant>
      <vt:variant>
        <vt:lpwstr>_Toc12861</vt:lpwstr>
      </vt:variant>
      <vt:variant>
        <vt:i4>1966142</vt:i4>
      </vt:variant>
      <vt:variant>
        <vt:i4>2</vt:i4>
      </vt:variant>
      <vt:variant>
        <vt:i4>0</vt:i4>
      </vt:variant>
      <vt:variant>
        <vt:i4>5</vt:i4>
      </vt:variant>
      <vt:variant>
        <vt:lpwstr/>
      </vt:variant>
      <vt:variant>
        <vt:lpwstr>_Toc9079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皓源 许</cp:lastModifiedBy>
  <cp:revision>2</cp:revision>
  <cp:lastPrinted>2022-07-15T02:00:00Z</cp:lastPrinted>
  <dcterms:created xsi:type="dcterms:W3CDTF">2025-10-15T09:03:00Z</dcterms:created>
  <dcterms:modified xsi:type="dcterms:W3CDTF">2025-10-15T09:03:00Z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9DBBDDF2A525453491953F4A2700D6AC_13</vt:lpwstr>
  </property>
  <property fmtid="{D5CDD505-2E9C-101B-9397-08002B2CF9AE}" pid="4" name="KSOTemplateDocerSaveRecord">
    <vt:lpwstr>eyJoZGlkIjoiOTcwMTMwZTgwZjBhOWY5ZDIzMzA3YjZmYWI3ZGQ5NjUiLCJ1c2VySWQiOiIyMDkxMDc5NzUifQ==</vt:lpwstr>
  </property>
</Properties>
</file>