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CA06AA">
      <w:pPr>
        <w:pStyle w:val="87"/>
        <w:spacing w:line="320" w:lineRule="exact"/>
        <w:ind w:left="360" w:firstLine="0" w:firstLineChars="0"/>
        <w:rPr>
          <w:rFonts w:ascii="Arial" w:hAnsi="Arial" w:cs="Arial"/>
          <w:sz w:val="21"/>
          <w:szCs w:val="21"/>
        </w:rPr>
      </w:pPr>
    </w:p>
    <w:p w14:paraId="3022AF3F">
      <w:pPr>
        <w:pStyle w:val="87"/>
        <w:spacing w:line="320" w:lineRule="exact"/>
        <w:ind w:firstLine="0" w:firstLineChars="0"/>
        <w:rPr>
          <w:rFonts w:ascii="Arial" w:hAnsi="Arial" w:cs="Arial"/>
          <w:b/>
          <w:sz w:val="21"/>
          <w:szCs w:val="21"/>
        </w:rPr>
      </w:pPr>
      <w:r>
        <w:rPr>
          <w:rFonts w:ascii="Arial" w:hAnsi="Arial" w:cs="Arial"/>
          <w:sz w:val="21"/>
          <w:szCs w:val="21"/>
        </w:rPr>
        <mc:AlternateContent>
          <mc:Choice Requires="wps">
            <w:drawing>
              <wp:anchor distT="0" distB="0" distL="114300" distR="114300" simplePos="0" relativeHeight="251659264" behindDoc="0" locked="0" layoutInCell="1" allowOverlap="1">
                <wp:simplePos x="0" y="0"/>
                <wp:positionH relativeFrom="margin">
                  <wp:posOffset>-635</wp:posOffset>
                </wp:positionH>
                <wp:positionV relativeFrom="margin">
                  <wp:posOffset>4838700</wp:posOffset>
                </wp:positionV>
                <wp:extent cx="5904230" cy="2895600"/>
                <wp:effectExtent l="0" t="0" r="2540" b="1270"/>
                <wp:wrapNone/>
                <wp:docPr id="179382286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904230" cy="2895600"/>
                        </a:xfrm>
                        <a:prstGeom prst="rect">
                          <a:avLst/>
                        </a:prstGeom>
                        <a:noFill/>
                        <a:ln>
                          <a:noFill/>
                        </a:ln>
                      </wps:spPr>
                      <wps:txbx>
                        <w:txbxContent>
                          <w:p w14:paraId="30DC8361">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0" w:name="_Toc97732841"/>
                            <w:bookmarkStart w:id="331" w:name="_Toc97732791"/>
                            <w:bookmarkStart w:id="332" w:name="_Toc97732725"/>
                            <w:r>
                              <w:rPr>
                                <w:rFonts w:hint="eastAsia" w:ascii="Arial" w:hAnsi="Arial" w:eastAsia="方正黑体简体"/>
                                <w:b/>
                                <w:bCs/>
                                <w:sz w:val="21"/>
                                <w:szCs w:val="21"/>
                              </w:rPr>
                              <w:t>项目名称：</w:t>
                            </w:r>
                            <w:bookmarkEnd w:id="330"/>
                            <w:bookmarkEnd w:id="331"/>
                            <w:bookmarkEnd w:id="332"/>
                          </w:p>
                          <w:p w14:paraId="72669985">
                            <w:pPr>
                              <w:pStyle w:val="87"/>
                              <w:spacing w:line="320" w:lineRule="exact"/>
                              <w:ind w:left="360" w:firstLine="0" w:firstLineChars="0"/>
                              <w:textAlignment w:val="bottom"/>
                              <w:rPr>
                                <w:rFonts w:ascii="Arial" w:hAnsi="Arial" w:eastAsia="方正黑体简体" w:cs="Arial"/>
                                <w:sz w:val="21"/>
                                <w:szCs w:val="21"/>
                              </w:rPr>
                            </w:pPr>
                            <w:r>
                              <w:rPr>
                                <w:rFonts w:hint="eastAsia" w:ascii="Arial" w:hAnsi="Arial" w:eastAsia="方正黑体简体" w:cs="Arial"/>
                                <w:sz w:val="21"/>
                                <w:szCs w:val="21"/>
                              </w:rPr>
                              <w:t>北京市昌平区马池口镇百泉庄村集体土地租赁住房项目集体经营性建设用地使用权地价评估</w:t>
                            </w:r>
                          </w:p>
                          <w:p w14:paraId="6A3C2569">
                            <w:pPr>
                              <w:textAlignment w:val="bottom"/>
                              <w:rPr>
                                <w:rFonts w:ascii="Arial" w:hAnsi="Arial"/>
                              </w:rPr>
                            </w:pPr>
                          </w:p>
                          <w:p w14:paraId="29B1D451">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3" w:name="_Toc97732726"/>
                            <w:bookmarkStart w:id="334" w:name="_Toc97732792"/>
                            <w:bookmarkStart w:id="335" w:name="_Toc97732842"/>
                            <w:r>
                              <w:rPr>
                                <w:rFonts w:hint="eastAsia" w:ascii="Arial" w:hAnsi="Arial" w:eastAsia="方正黑体简体"/>
                                <w:b/>
                                <w:bCs/>
                                <w:sz w:val="21"/>
                                <w:szCs w:val="21"/>
                              </w:rPr>
                              <w:t>委托方：</w:t>
                            </w:r>
                            <w:bookmarkEnd w:id="333"/>
                            <w:bookmarkEnd w:id="334"/>
                            <w:bookmarkEnd w:id="335"/>
                          </w:p>
                          <w:p w14:paraId="135A58E2">
                            <w:pPr>
                              <w:pStyle w:val="87"/>
                              <w:spacing w:line="320" w:lineRule="exact"/>
                              <w:ind w:left="360" w:firstLine="0" w:firstLineChars="0"/>
                              <w:textAlignment w:val="bottom"/>
                              <w:rPr>
                                <w:rFonts w:ascii="Arial" w:hAnsi="Arial" w:eastAsia="方正黑体简体" w:cs="Arial"/>
                                <w:sz w:val="21"/>
                                <w:szCs w:val="21"/>
                              </w:rPr>
                            </w:pPr>
                            <w:bookmarkStart w:id="336" w:name="_Hlk100474087"/>
                            <w:r>
                              <w:rPr>
                                <w:rFonts w:hint="eastAsia" w:ascii="Arial" w:hAnsi="Arial" w:eastAsia="方正黑体简体" w:cs="Arial"/>
                                <w:sz w:val="21"/>
                                <w:szCs w:val="21"/>
                              </w:rPr>
                              <w:t>北京保障房中心有限公司</w:t>
                            </w:r>
                          </w:p>
                          <w:bookmarkEnd w:id="336"/>
                          <w:p w14:paraId="046E91BF">
                            <w:pPr>
                              <w:textAlignment w:val="bottom"/>
                              <w:rPr>
                                <w:rFonts w:ascii="Arial" w:hAnsi="Arial" w:eastAsia="方正黑体简体"/>
                              </w:rPr>
                            </w:pPr>
                          </w:p>
                          <w:p w14:paraId="74D46FB6">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7" w:name="_Toc97732793"/>
                            <w:bookmarkStart w:id="338" w:name="_Toc97732727"/>
                            <w:bookmarkStart w:id="339" w:name="_Toc97732843"/>
                            <w:r>
                              <w:rPr>
                                <w:rFonts w:hint="eastAsia" w:ascii="Arial" w:hAnsi="Arial" w:eastAsia="方正黑体简体"/>
                                <w:b/>
                                <w:bCs/>
                                <w:sz w:val="21"/>
                                <w:szCs w:val="21"/>
                              </w:rPr>
                              <w:t>受托单位：</w:t>
                            </w:r>
                            <w:bookmarkEnd w:id="337"/>
                            <w:bookmarkEnd w:id="338"/>
                            <w:bookmarkEnd w:id="339"/>
                          </w:p>
                          <w:p w14:paraId="5B26887E">
                            <w:pPr>
                              <w:pStyle w:val="87"/>
                              <w:spacing w:line="320" w:lineRule="exact"/>
                              <w:ind w:left="360" w:firstLine="0" w:firstLineChars="0"/>
                              <w:textAlignment w:val="bottom"/>
                              <w:rPr>
                                <w:rFonts w:ascii="Arial" w:hAnsi="Arial" w:eastAsia="方正黑体简体" w:cs="Arial"/>
                                <w:sz w:val="21"/>
                                <w:szCs w:val="21"/>
                              </w:rPr>
                            </w:pPr>
                            <w:r>
                              <w:rPr>
                                <w:rFonts w:hint="eastAsia" w:ascii="Arial" w:hAnsi="Arial" w:eastAsia="方正黑体简体"/>
                                <w:sz w:val="21"/>
                                <w:szCs w:val="21"/>
                              </w:rPr>
                              <w:t>北京康正宏基房地产评估有限公司</w:t>
                            </w:r>
                          </w:p>
                          <w:p w14:paraId="2FFBB159">
                            <w:pPr>
                              <w:spacing w:line="320" w:lineRule="exact"/>
                              <w:textAlignment w:val="bottom"/>
                              <w:rPr>
                                <w:rFonts w:ascii="Arial" w:hAnsi="Arial" w:eastAsia="方正黑体简体"/>
                                <w:b/>
                                <w:sz w:val="21"/>
                                <w:szCs w:val="21"/>
                              </w:rPr>
                            </w:pPr>
                          </w:p>
                          <w:p w14:paraId="58A2DAE0">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40" w:name="_Toc97732845"/>
                            <w:bookmarkStart w:id="341" w:name="_Toc97732729"/>
                            <w:bookmarkStart w:id="342" w:name="_Toc97732795"/>
                            <w:r>
                              <w:rPr>
                                <w:rFonts w:hint="eastAsia" w:ascii="Arial" w:hAnsi="Arial" w:eastAsia="方正黑体简体"/>
                                <w:b/>
                                <w:bCs/>
                                <w:sz w:val="21"/>
                                <w:szCs w:val="21"/>
                              </w:rPr>
                              <w:t>报告编号：</w:t>
                            </w:r>
                            <w:bookmarkEnd w:id="340"/>
                            <w:bookmarkEnd w:id="341"/>
                            <w:bookmarkEnd w:id="342"/>
                          </w:p>
                          <w:p w14:paraId="3E312448">
                            <w:pPr>
                              <w:pStyle w:val="87"/>
                              <w:spacing w:line="320" w:lineRule="exact"/>
                              <w:ind w:left="360" w:firstLine="0" w:firstLineChars="0"/>
                              <w:textAlignment w:val="bottom"/>
                              <w:rPr>
                                <w:rFonts w:ascii="Arial" w:hAnsi="Arial" w:eastAsia="方正黑体简体" w:cs="Arial"/>
                                <w:sz w:val="21"/>
                                <w:szCs w:val="21"/>
                              </w:rPr>
                            </w:pPr>
                            <w:r>
                              <w:rPr>
                                <w:rFonts w:hint="eastAsia" w:ascii="Arial" w:hAnsi="Arial" w:eastAsia="方正黑体简体" w:cs="Arial"/>
                                <w:sz w:val="21"/>
                                <w:szCs w:val="21"/>
                              </w:rPr>
                              <w:t>康正评字2025-1-0732-F01TDCR6号</w:t>
                            </w:r>
                          </w:p>
                          <w:p w14:paraId="30C783F0">
                            <w:pPr>
                              <w:pStyle w:val="87"/>
                              <w:spacing w:line="320" w:lineRule="exact"/>
                              <w:ind w:left="360" w:firstLine="0" w:firstLineChars="0"/>
                              <w:textAlignment w:val="bottom"/>
                              <w:rPr>
                                <w:rFonts w:ascii="Arial" w:hAnsi="Arial" w:eastAsia="方正黑体简体" w:cs="Arial"/>
                                <w:sz w:val="21"/>
                                <w:szCs w:val="21"/>
                              </w:rPr>
                            </w:pPr>
                          </w:p>
                          <w:p w14:paraId="1E47F9B0">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43" w:name="_Toc97732796"/>
                            <w:bookmarkStart w:id="344" w:name="_Toc97732846"/>
                            <w:bookmarkStart w:id="345" w:name="_Toc97732730"/>
                            <w:r>
                              <w:rPr>
                                <w:rFonts w:hint="eastAsia" w:ascii="Arial" w:hAnsi="Arial" w:eastAsia="方正黑体简体"/>
                                <w:b/>
                                <w:bCs/>
                                <w:sz w:val="21"/>
                                <w:szCs w:val="21"/>
                              </w:rPr>
                              <w:t>提交报告日期：</w:t>
                            </w:r>
                            <w:bookmarkEnd w:id="343"/>
                            <w:bookmarkEnd w:id="344"/>
                            <w:bookmarkEnd w:id="345"/>
                          </w:p>
                          <w:p w14:paraId="5026B609">
                            <w:pPr>
                              <w:pStyle w:val="87"/>
                              <w:spacing w:line="320" w:lineRule="exact"/>
                              <w:ind w:left="360" w:firstLine="0" w:firstLineChars="0"/>
                              <w:textAlignment w:val="bottom"/>
                              <w:rPr>
                                <w:rFonts w:ascii="Arial" w:hAnsi="Arial" w:eastAsia="方正黑体简体" w:cs="Arial"/>
                                <w:sz w:val="21"/>
                                <w:szCs w:val="21"/>
                              </w:rPr>
                            </w:pPr>
                            <w:r>
                              <w:rPr>
                                <w:rFonts w:hint="eastAsia" w:ascii="Arial" w:hAnsi="Arial" w:eastAsia="方正黑体简体" w:cs="Arial"/>
                                <w:sz w:val="21"/>
                                <w:szCs w:val="21"/>
                              </w:rPr>
                              <w:t>2025年7月1日</w:t>
                            </w:r>
                          </w:p>
                        </w:txbxContent>
                      </wps:txbx>
                      <wps:bodyPr rot="0" vert="horz" wrap="square" lIns="0" tIns="0" rIns="0" bIns="0" anchor="t" anchorCtr="0" upright="1">
                        <a:spAutoFit/>
                      </wps:bodyPr>
                    </wps:wsp>
                  </a:graphicData>
                </a:graphic>
              </wp:anchor>
            </w:drawing>
          </mc:Choice>
          <mc:Fallback>
            <w:pict>
              <v:shape id="文本框 2" o:spid="_x0000_s1026" o:spt="202" type="#_x0000_t202" style="position:absolute;left:0pt;margin-left:-0.05pt;margin-top:381pt;height:228pt;width:464.9pt;mso-position-horizontal-relative:margin;mso-position-vertical-relative:margin;z-index:251659264;mso-width-relative:page;mso-height-relative:page;" filled="f" stroked="f" coordsize="21600,21600" o:gfxdata="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OJclbWAAAACgEAAA8AAAAA&#10;AAAAAQAgAAAAIgAAAGRycy9kb3ducmV2LnhtbFBLAQIUABQAAAAIAIdO4kCmy8NYFgIAAA8EAAAO&#10;AAAAAAAAAAEAIAAAACUBAABkcnMvZTJvRG9jLnhtbFBLBQYAAAAABgAGAFkBAACtBQAAAAA=&#10;">
                <v:fill on="f" focussize="0,0"/>
                <v:stroke on="f"/>
                <v:imagedata o:title=""/>
                <o:lock v:ext="edit" aspectratio="f"/>
                <v:textbox inset="0mm,0mm,0mm,0mm" style="mso-fit-shape-to-text:t;">
                  <w:txbxContent>
                    <w:p w14:paraId="30DC8361">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0" w:name="_Toc97732841"/>
                      <w:bookmarkStart w:id="331" w:name="_Toc97732791"/>
                      <w:bookmarkStart w:id="332" w:name="_Toc97732725"/>
                      <w:r>
                        <w:rPr>
                          <w:rFonts w:hint="eastAsia" w:ascii="Arial" w:hAnsi="Arial" w:eastAsia="方正黑体简体"/>
                          <w:b/>
                          <w:bCs/>
                          <w:sz w:val="21"/>
                          <w:szCs w:val="21"/>
                        </w:rPr>
                        <w:t>项目名称：</w:t>
                      </w:r>
                      <w:bookmarkEnd w:id="330"/>
                      <w:bookmarkEnd w:id="331"/>
                      <w:bookmarkEnd w:id="332"/>
                    </w:p>
                    <w:p w14:paraId="72669985">
                      <w:pPr>
                        <w:pStyle w:val="87"/>
                        <w:spacing w:line="320" w:lineRule="exact"/>
                        <w:ind w:left="360" w:firstLine="0" w:firstLineChars="0"/>
                        <w:textAlignment w:val="bottom"/>
                        <w:rPr>
                          <w:rFonts w:ascii="Arial" w:hAnsi="Arial" w:eastAsia="方正黑体简体" w:cs="Arial"/>
                          <w:sz w:val="21"/>
                          <w:szCs w:val="21"/>
                        </w:rPr>
                      </w:pPr>
                      <w:r>
                        <w:rPr>
                          <w:rFonts w:hint="eastAsia" w:ascii="Arial" w:hAnsi="Arial" w:eastAsia="方正黑体简体" w:cs="Arial"/>
                          <w:sz w:val="21"/>
                          <w:szCs w:val="21"/>
                        </w:rPr>
                        <w:t>北京市昌平区马池口镇百泉庄村集体土地租赁住房项目集体经营性建设用地使用权地价评估</w:t>
                      </w:r>
                    </w:p>
                    <w:p w14:paraId="6A3C2569">
                      <w:pPr>
                        <w:textAlignment w:val="bottom"/>
                        <w:rPr>
                          <w:rFonts w:ascii="Arial" w:hAnsi="Arial"/>
                        </w:rPr>
                      </w:pPr>
                    </w:p>
                    <w:p w14:paraId="29B1D451">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3" w:name="_Toc97732726"/>
                      <w:bookmarkStart w:id="334" w:name="_Toc97732792"/>
                      <w:bookmarkStart w:id="335" w:name="_Toc97732842"/>
                      <w:r>
                        <w:rPr>
                          <w:rFonts w:hint="eastAsia" w:ascii="Arial" w:hAnsi="Arial" w:eastAsia="方正黑体简体"/>
                          <w:b/>
                          <w:bCs/>
                          <w:sz w:val="21"/>
                          <w:szCs w:val="21"/>
                        </w:rPr>
                        <w:t>委托方：</w:t>
                      </w:r>
                      <w:bookmarkEnd w:id="333"/>
                      <w:bookmarkEnd w:id="334"/>
                      <w:bookmarkEnd w:id="335"/>
                    </w:p>
                    <w:p w14:paraId="135A58E2">
                      <w:pPr>
                        <w:pStyle w:val="87"/>
                        <w:spacing w:line="320" w:lineRule="exact"/>
                        <w:ind w:left="360" w:firstLine="0" w:firstLineChars="0"/>
                        <w:textAlignment w:val="bottom"/>
                        <w:rPr>
                          <w:rFonts w:ascii="Arial" w:hAnsi="Arial" w:eastAsia="方正黑体简体" w:cs="Arial"/>
                          <w:sz w:val="21"/>
                          <w:szCs w:val="21"/>
                        </w:rPr>
                      </w:pPr>
                      <w:bookmarkStart w:id="336" w:name="_Hlk100474087"/>
                      <w:r>
                        <w:rPr>
                          <w:rFonts w:hint="eastAsia" w:ascii="Arial" w:hAnsi="Arial" w:eastAsia="方正黑体简体" w:cs="Arial"/>
                          <w:sz w:val="21"/>
                          <w:szCs w:val="21"/>
                        </w:rPr>
                        <w:t>北京保障房中心有限公司</w:t>
                      </w:r>
                    </w:p>
                    <w:bookmarkEnd w:id="336"/>
                    <w:p w14:paraId="046E91BF">
                      <w:pPr>
                        <w:textAlignment w:val="bottom"/>
                        <w:rPr>
                          <w:rFonts w:ascii="Arial" w:hAnsi="Arial" w:eastAsia="方正黑体简体"/>
                        </w:rPr>
                      </w:pPr>
                    </w:p>
                    <w:p w14:paraId="74D46FB6">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7" w:name="_Toc97732793"/>
                      <w:bookmarkStart w:id="338" w:name="_Toc97732727"/>
                      <w:bookmarkStart w:id="339" w:name="_Toc97732843"/>
                      <w:r>
                        <w:rPr>
                          <w:rFonts w:hint="eastAsia" w:ascii="Arial" w:hAnsi="Arial" w:eastAsia="方正黑体简体"/>
                          <w:b/>
                          <w:bCs/>
                          <w:sz w:val="21"/>
                          <w:szCs w:val="21"/>
                        </w:rPr>
                        <w:t>受托单位：</w:t>
                      </w:r>
                      <w:bookmarkEnd w:id="337"/>
                      <w:bookmarkEnd w:id="338"/>
                      <w:bookmarkEnd w:id="339"/>
                    </w:p>
                    <w:p w14:paraId="5B26887E">
                      <w:pPr>
                        <w:pStyle w:val="87"/>
                        <w:spacing w:line="320" w:lineRule="exact"/>
                        <w:ind w:left="360" w:firstLine="0" w:firstLineChars="0"/>
                        <w:textAlignment w:val="bottom"/>
                        <w:rPr>
                          <w:rFonts w:ascii="Arial" w:hAnsi="Arial" w:eastAsia="方正黑体简体" w:cs="Arial"/>
                          <w:sz w:val="21"/>
                          <w:szCs w:val="21"/>
                        </w:rPr>
                      </w:pPr>
                      <w:r>
                        <w:rPr>
                          <w:rFonts w:hint="eastAsia" w:ascii="Arial" w:hAnsi="Arial" w:eastAsia="方正黑体简体"/>
                          <w:sz w:val="21"/>
                          <w:szCs w:val="21"/>
                        </w:rPr>
                        <w:t>北京康正宏基房地产评估有限公司</w:t>
                      </w:r>
                    </w:p>
                    <w:p w14:paraId="2FFBB159">
                      <w:pPr>
                        <w:spacing w:line="320" w:lineRule="exact"/>
                        <w:textAlignment w:val="bottom"/>
                        <w:rPr>
                          <w:rFonts w:ascii="Arial" w:hAnsi="Arial" w:eastAsia="方正黑体简体"/>
                          <w:b/>
                          <w:sz w:val="21"/>
                          <w:szCs w:val="21"/>
                        </w:rPr>
                      </w:pPr>
                    </w:p>
                    <w:p w14:paraId="58A2DAE0">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40" w:name="_Toc97732845"/>
                      <w:bookmarkStart w:id="341" w:name="_Toc97732729"/>
                      <w:bookmarkStart w:id="342" w:name="_Toc97732795"/>
                      <w:r>
                        <w:rPr>
                          <w:rFonts w:hint="eastAsia" w:ascii="Arial" w:hAnsi="Arial" w:eastAsia="方正黑体简体"/>
                          <w:b/>
                          <w:bCs/>
                          <w:sz w:val="21"/>
                          <w:szCs w:val="21"/>
                        </w:rPr>
                        <w:t>报告编号：</w:t>
                      </w:r>
                      <w:bookmarkEnd w:id="340"/>
                      <w:bookmarkEnd w:id="341"/>
                      <w:bookmarkEnd w:id="342"/>
                    </w:p>
                    <w:p w14:paraId="3E312448">
                      <w:pPr>
                        <w:pStyle w:val="87"/>
                        <w:spacing w:line="320" w:lineRule="exact"/>
                        <w:ind w:left="360" w:firstLine="0" w:firstLineChars="0"/>
                        <w:textAlignment w:val="bottom"/>
                        <w:rPr>
                          <w:rFonts w:ascii="Arial" w:hAnsi="Arial" w:eastAsia="方正黑体简体" w:cs="Arial"/>
                          <w:sz w:val="21"/>
                          <w:szCs w:val="21"/>
                        </w:rPr>
                      </w:pPr>
                      <w:r>
                        <w:rPr>
                          <w:rFonts w:hint="eastAsia" w:ascii="Arial" w:hAnsi="Arial" w:eastAsia="方正黑体简体" w:cs="Arial"/>
                          <w:sz w:val="21"/>
                          <w:szCs w:val="21"/>
                        </w:rPr>
                        <w:t>康正评字2025-1-0732-F01TDCR6号</w:t>
                      </w:r>
                    </w:p>
                    <w:p w14:paraId="30C783F0">
                      <w:pPr>
                        <w:pStyle w:val="87"/>
                        <w:spacing w:line="320" w:lineRule="exact"/>
                        <w:ind w:left="360" w:firstLine="0" w:firstLineChars="0"/>
                        <w:textAlignment w:val="bottom"/>
                        <w:rPr>
                          <w:rFonts w:ascii="Arial" w:hAnsi="Arial" w:eastAsia="方正黑体简体" w:cs="Arial"/>
                          <w:sz w:val="21"/>
                          <w:szCs w:val="21"/>
                        </w:rPr>
                      </w:pPr>
                    </w:p>
                    <w:p w14:paraId="1E47F9B0">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43" w:name="_Toc97732796"/>
                      <w:bookmarkStart w:id="344" w:name="_Toc97732846"/>
                      <w:bookmarkStart w:id="345" w:name="_Toc97732730"/>
                      <w:r>
                        <w:rPr>
                          <w:rFonts w:hint="eastAsia" w:ascii="Arial" w:hAnsi="Arial" w:eastAsia="方正黑体简体"/>
                          <w:b/>
                          <w:bCs/>
                          <w:sz w:val="21"/>
                          <w:szCs w:val="21"/>
                        </w:rPr>
                        <w:t>提交报告日期：</w:t>
                      </w:r>
                      <w:bookmarkEnd w:id="343"/>
                      <w:bookmarkEnd w:id="344"/>
                      <w:bookmarkEnd w:id="345"/>
                    </w:p>
                    <w:p w14:paraId="5026B609">
                      <w:pPr>
                        <w:pStyle w:val="87"/>
                        <w:spacing w:line="320" w:lineRule="exact"/>
                        <w:ind w:left="360" w:firstLine="0" w:firstLineChars="0"/>
                        <w:textAlignment w:val="bottom"/>
                        <w:rPr>
                          <w:rFonts w:ascii="Arial" w:hAnsi="Arial" w:eastAsia="方正黑体简体" w:cs="Arial"/>
                          <w:sz w:val="21"/>
                          <w:szCs w:val="21"/>
                        </w:rPr>
                      </w:pPr>
                      <w:r>
                        <w:rPr>
                          <w:rFonts w:hint="eastAsia" w:ascii="Arial" w:hAnsi="Arial" w:eastAsia="方正黑体简体" w:cs="Arial"/>
                          <w:sz w:val="21"/>
                          <w:szCs w:val="21"/>
                        </w:rPr>
                        <w:t>2025年7月1日</w:t>
                      </w:r>
                    </w:p>
                  </w:txbxContent>
                </v:textbox>
              </v:shape>
            </w:pict>
          </mc:Fallback>
        </mc:AlternateContent>
      </w:r>
      <w:r>
        <w:rPr>
          <w:rFonts w:ascii="Arial" w:hAnsi="Arial" w:cs="Arial"/>
          <w:b/>
          <w:sz w:val="21"/>
          <w:szCs w:val="21"/>
        </w:rPr>
        <w:br w:type="page"/>
      </w:r>
    </w:p>
    <w:p w14:paraId="35AD1B66">
      <w:pPr>
        <w:spacing w:line="432" w:lineRule="auto"/>
        <w:jc w:val="center"/>
        <w:rPr>
          <w:rFonts w:ascii="Arial" w:hAnsi="Arial" w:cs="Arial"/>
          <w:b/>
          <w:sz w:val="32"/>
        </w:rPr>
      </w:pPr>
    </w:p>
    <w:p w14:paraId="4BCB3119">
      <w:pPr>
        <w:spacing w:line="432" w:lineRule="auto"/>
        <w:jc w:val="center"/>
        <w:rPr>
          <w:rFonts w:ascii="Arial" w:hAnsi="Arial" w:cs="Arial"/>
          <w:b/>
          <w:sz w:val="32"/>
        </w:rPr>
      </w:pPr>
    </w:p>
    <w:p w14:paraId="03F43B3D">
      <w:pPr>
        <w:spacing w:line="432" w:lineRule="auto"/>
        <w:jc w:val="center"/>
        <w:rPr>
          <w:rFonts w:ascii="Arial" w:hAnsi="Arial" w:cs="Arial"/>
          <w:b/>
          <w:sz w:val="32"/>
        </w:rPr>
      </w:pPr>
    </w:p>
    <w:p w14:paraId="4771A89E">
      <w:pPr>
        <w:spacing w:line="432" w:lineRule="auto"/>
        <w:jc w:val="center"/>
        <w:rPr>
          <w:rFonts w:ascii="Arial" w:hAnsi="Arial" w:cs="Arial"/>
          <w:b/>
          <w:sz w:val="44"/>
        </w:rPr>
      </w:pPr>
      <w:r>
        <w:rPr>
          <w:rFonts w:ascii="Arial" w:hAnsi="Arial" w:cs="Arial"/>
          <w:b/>
          <w:sz w:val="44"/>
        </w:rPr>
        <w:t>土 地 咨 询 报 告</w:t>
      </w:r>
    </w:p>
    <w:p w14:paraId="719CE65C">
      <w:pPr>
        <w:spacing w:line="432" w:lineRule="auto"/>
        <w:jc w:val="center"/>
        <w:rPr>
          <w:rFonts w:ascii="Arial" w:hAnsi="Arial" w:cs="Arial"/>
          <w:b/>
          <w:sz w:val="44"/>
        </w:rPr>
      </w:pPr>
    </w:p>
    <w:p w14:paraId="4CEB7631">
      <w:pPr>
        <w:spacing w:line="432" w:lineRule="auto"/>
        <w:jc w:val="center"/>
        <w:rPr>
          <w:rFonts w:ascii="Arial" w:hAnsi="Arial" w:cs="Arial"/>
          <w:b/>
          <w:sz w:val="44"/>
        </w:rPr>
      </w:pPr>
    </w:p>
    <w:p w14:paraId="15803617">
      <w:pPr>
        <w:spacing w:line="432" w:lineRule="auto"/>
        <w:jc w:val="center"/>
        <w:rPr>
          <w:rFonts w:ascii="Arial" w:hAnsi="Arial" w:cs="Arial"/>
          <w:b/>
          <w:sz w:val="32"/>
        </w:rPr>
      </w:pPr>
    </w:p>
    <w:p w14:paraId="32A2FCA8">
      <w:pPr>
        <w:spacing w:line="432" w:lineRule="auto"/>
        <w:jc w:val="both"/>
        <w:rPr>
          <w:rFonts w:ascii="Arial" w:hAnsi="Arial" w:cs="Arial"/>
          <w:b/>
          <w:i/>
          <w:sz w:val="28"/>
          <w:szCs w:val="28"/>
        </w:rPr>
      </w:pPr>
      <w:r>
        <w:rPr>
          <w:rFonts w:ascii="Arial" w:hAnsi="Arial" w:cs="Arial"/>
          <w:b/>
          <w:sz w:val="32"/>
        </w:rPr>
        <w:t>项目名称：</w:t>
      </w:r>
      <w:r>
        <w:rPr>
          <w:rFonts w:hint="eastAsia" w:ascii="Arial" w:hAnsi="Arial" w:cs="Arial"/>
          <w:b/>
          <w:sz w:val="32"/>
        </w:rPr>
        <w:t>北京市昌平区马池口镇百泉庄村集体土地租赁住房项目集体经营性建设用地使用权地价评估</w:t>
      </w:r>
    </w:p>
    <w:p w14:paraId="6FB7D7CD">
      <w:pPr>
        <w:spacing w:line="432" w:lineRule="auto"/>
        <w:ind w:left="1925" w:hanging="1925" w:hangingChars="685"/>
        <w:jc w:val="both"/>
        <w:rPr>
          <w:rFonts w:ascii="Arial" w:hAnsi="Arial" w:cs="Arial"/>
          <w:b/>
          <w:sz w:val="28"/>
          <w:szCs w:val="28"/>
        </w:rPr>
      </w:pPr>
    </w:p>
    <w:p w14:paraId="434347F7">
      <w:pPr>
        <w:spacing w:line="432" w:lineRule="auto"/>
        <w:jc w:val="both"/>
        <w:rPr>
          <w:rFonts w:ascii="Arial" w:hAnsi="Arial" w:cs="Arial"/>
          <w:b/>
          <w:sz w:val="32"/>
        </w:rPr>
      </w:pPr>
      <w:r>
        <w:rPr>
          <w:rFonts w:ascii="Arial" w:hAnsi="Arial" w:cs="Arial"/>
          <w:b/>
          <w:sz w:val="32"/>
        </w:rPr>
        <w:t>受托单位：北京康正宏基房地产评估有限公司</w:t>
      </w:r>
    </w:p>
    <w:p w14:paraId="691CA720">
      <w:pPr>
        <w:spacing w:line="432" w:lineRule="auto"/>
        <w:jc w:val="both"/>
        <w:rPr>
          <w:rFonts w:ascii="Arial" w:hAnsi="Arial" w:cs="Arial"/>
          <w:b/>
          <w:sz w:val="32"/>
        </w:rPr>
      </w:pPr>
    </w:p>
    <w:p w14:paraId="3AAEBFB1">
      <w:pPr>
        <w:spacing w:line="432" w:lineRule="auto"/>
        <w:jc w:val="both"/>
        <w:rPr>
          <w:rFonts w:ascii="Arial" w:hAnsi="Arial" w:cs="Arial"/>
          <w:b/>
          <w:sz w:val="32"/>
        </w:rPr>
      </w:pPr>
      <w:r>
        <w:rPr>
          <w:rFonts w:ascii="Arial" w:hAnsi="Arial" w:cs="Arial"/>
          <w:b/>
          <w:sz w:val="32"/>
        </w:rPr>
        <w:t>报告编号：康正评字202</w:t>
      </w:r>
      <w:r>
        <w:rPr>
          <w:rFonts w:hint="eastAsia" w:ascii="Arial" w:hAnsi="Arial" w:cs="Arial"/>
          <w:b/>
          <w:sz w:val="32"/>
        </w:rPr>
        <w:t>5</w:t>
      </w:r>
      <w:r>
        <w:rPr>
          <w:rFonts w:ascii="Arial" w:hAnsi="Arial" w:cs="Arial"/>
          <w:b/>
          <w:sz w:val="32"/>
        </w:rPr>
        <w:t>-1-0</w:t>
      </w:r>
      <w:r>
        <w:rPr>
          <w:rFonts w:hint="eastAsia" w:ascii="Arial" w:hAnsi="Arial" w:cs="Arial"/>
          <w:b/>
          <w:sz w:val="32"/>
        </w:rPr>
        <w:t>732</w:t>
      </w:r>
      <w:r>
        <w:rPr>
          <w:rFonts w:ascii="Arial" w:hAnsi="Arial" w:cs="Arial"/>
          <w:b/>
          <w:sz w:val="32"/>
        </w:rPr>
        <w:t>-F0</w:t>
      </w:r>
      <w:r>
        <w:rPr>
          <w:rFonts w:hint="eastAsia" w:ascii="Arial" w:hAnsi="Arial" w:cs="Arial"/>
          <w:b/>
          <w:sz w:val="32"/>
        </w:rPr>
        <w:t>1</w:t>
      </w:r>
      <w:r>
        <w:rPr>
          <w:rFonts w:ascii="Arial" w:hAnsi="Arial" w:cs="Arial"/>
          <w:b/>
          <w:sz w:val="32"/>
        </w:rPr>
        <w:t>TDCR6号</w:t>
      </w:r>
    </w:p>
    <w:p w14:paraId="056CFC9C">
      <w:pPr>
        <w:spacing w:line="432" w:lineRule="auto"/>
        <w:jc w:val="both"/>
        <w:rPr>
          <w:rFonts w:ascii="Arial" w:hAnsi="Arial" w:cs="Arial"/>
          <w:b/>
          <w:sz w:val="32"/>
        </w:rPr>
      </w:pPr>
    </w:p>
    <w:p w14:paraId="611D6923">
      <w:pPr>
        <w:spacing w:line="432" w:lineRule="auto"/>
        <w:jc w:val="both"/>
        <w:rPr>
          <w:rFonts w:ascii="Arial" w:hAnsi="Arial" w:cs="Arial"/>
          <w:sz w:val="44"/>
        </w:rPr>
      </w:pPr>
      <w:r>
        <w:rPr>
          <w:rFonts w:ascii="Arial" w:hAnsi="Arial" w:cs="Arial"/>
          <w:b/>
          <w:sz w:val="32"/>
        </w:rPr>
        <w:t>提交报告日期：202</w:t>
      </w:r>
      <w:r>
        <w:rPr>
          <w:rFonts w:hint="eastAsia" w:ascii="Arial" w:hAnsi="Arial" w:cs="Arial"/>
          <w:b/>
          <w:sz w:val="32"/>
        </w:rPr>
        <w:t>5</w:t>
      </w:r>
      <w:r>
        <w:rPr>
          <w:rFonts w:ascii="Arial" w:hAnsi="Arial" w:cs="Arial"/>
          <w:b/>
          <w:sz w:val="32"/>
        </w:rPr>
        <w:t>年</w:t>
      </w:r>
      <w:r>
        <w:rPr>
          <w:rFonts w:hint="eastAsia" w:ascii="Arial" w:hAnsi="Arial" w:cs="Arial"/>
          <w:b/>
          <w:sz w:val="32"/>
        </w:rPr>
        <w:t>7</w:t>
      </w:r>
      <w:r>
        <w:rPr>
          <w:rFonts w:ascii="Arial" w:hAnsi="Arial" w:cs="Arial"/>
          <w:b/>
          <w:sz w:val="32"/>
        </w:rPr>
        <w:t>月</w:t>
      </w:r>
      <w:r>
        <w:rPr>
          <w:rFonts w:hint="eastAsia" w:ascii="Arial" w:hAnsi="Arial" w:cs="Arial"/>
          <w:b/>
          <w:sz w:val="32"/>
        </w:rPr>
        <w:t>1</w:t>
      </w:r>
      <w:r>
        <w:rPr>
          <w:rFonts w:ascii="Arial" w:hAnsi="Arial" w:cs="Arial"/>
          <w:b/>
          <w:sz w:val="32"/>
        </w:rPr>
        <w:t>日</w:t>
      </w:r>
    </w:p>
    <w:p w14:paraId="4C0D1EA2">
      <w:pPr>
        <w:spacing w:line="360" w:lineRule="auto"/>
        <w:ind w:firstLine="660"/>
        <w:jc w:val="center"/>
        <w:rPr>
          <w:rFonts w:ascii="Arial" w:hAnsi="Arial" w:cs="Arial"/>
          <w:sz w:val="44"/>
        </w:rPr>
        <w:sectPr>
          <w:headerReference r:id="rId8" w:type="first"/>
          <w:footerReference r:id="rId11" w:type="first"/>
          <w:headerReference r:id="rId7" w:type="default"/>
          <w:footerReference r:id="rId9" w:type="default"/>
          <w:footerReference r:id="rId10" w:type="even"/>
          <w:type w:val="continuous"/>
          <w:pgSz w:w="11907" w:h="16840"/>
          <w:pgMar w:top="1843" w:right="1304" w:bottom="1134" w:left="1304" w:header="851" w:footer="1134" w:gutter="0"/>
          <w:pgNumType w:start="0"/>
          <w:cols w:space="720" w:num="1"/>
          <w:titlePg/>
        </w:sectPr>
      </w:pPr>
    </w:p>
    <w:p w14:paraId="355D198A">
      <w:pPr>
        <w:spacing w:line="360" w:lineRule="auto"/>
        <w:jc w:val="center"/>
        <w:rPr>
          <w:rFonts w:ascii="Arial" w:hAnsi="Arial" w:cs="Arial"/>
          <w:b/>
          <w:sz w:val="32"/>
          <w:szCs w:val="32"/>
        </w:rPr>
      </w:pPr>
      <w:r>
        <w:rPr>
          <w:rFonts w:ascii="Arial" w:hAnsi="Arial" w:cs="Arial"/>
          <w:b/>
          <w:sz w:val="32"/>
          <w:szCs w:val="32"/>
        </w:rPr>
        <w:t>目录</w:t>
      </w:r>
    </w:p>
    <w:p w14:paraId="46BCA956">
      <w:pPr>
        <w:pStyle w:val="21"/>
        <w:tabs>
          <w:tab w:val="right" w:leader="dot" w:pos="9299"/>
          <w:tab w:val="clear" w:pos="840"/>
          <w:tab w:val="clear" w:pos="8654"/>
        </w:tabs>
      </w:pPr>
      <w:r>
        <w:rPr>
          <w:rFonts w:ascii="Arial" w:eastAsia="宋体" w:cs="Arial"/>
        </w:rPr>
        <w:fldChar w:fldCharType="begin"/>
      </w:r>
      <w:r>
        <w:rPr>
          <w:rFonts w:ascii="Arial" w:eastAsia="宋体" w:cs="Arial"/>
        </w:rPr>
        <w:instrText xml:space="preserve"> TOC \o "1-2" \h \z \u </w:instrText>
      </w:r>
      <w:r>
        <w:rPr>
          <w:rFonts w:ascii="Arial" w:eastAsia="宋体" w:cs="Arial"/>
        </w:rPr>
        <w:fldChar w:fldCharType="separate"/>
      </w:r>
      <w:r>
        <w:fldChar w:fldCharType="begin"/>
      </w:r>
      <w:r>
        <w:instrText xml:space="preserve"> HYPERLINK \l "_Toc21685" </w:instrText>
      </w:r>
      <w:r>
        <w:fldChar w:fldCharType="separate"/>
      </w:r>
      <w:r>
        <w:rPr>
          <w:rFonts w:ascii="Arial" w:cs="Arial"/>
        </w:rPr>
        <w:t>第一部分  摘  要</w:t>
      </w:r>
      <w:r>
        <w:tab/>
      </w:r>
      <w:r>
        <w:fldChar w:fldCharType="begin"/>
      </w:r>
      <w:r>
        <w:instrText xml:space="preserve"> PAGEREF _Toc21685 \h </w:instrText>
      </w:r>
      <w:r>
        <w:fldChar w:fldCharType="separate"/>
      </w:r>
      <w:r>
        <w:t>1</w:t>
      </w:r>
      <w:r>
        <w:fldChar w:fldCharType="end"/>
      </w:r>
      <w:r>
        <w:fldChar w:fldCharType="end"/>
      </w:r>
    </w:p>
    <w:p w14:paraId="14E37E97">
      <w:pPr>
        <w:pStyle w:val="25"/>
        <w:tabs>
          <w:tab w:val="right" w:leader="dot" w:pos="9299"/>
          <w:tab w:val="clear" w:pos="8931"/>
        </w:tabs>
      </w:pPr>
      <w:r>
        <w:fldChar w:fldCharType="begin"/>
      </w:r>
      <w:r>
        <w:instrText xml:space="preserve"> HYPERLINK \l "_Toc5805" </w:instrText>
      </w:r>
      <w:r>
        <w:fldChar w:fldCharType="separate"/>
      </w:r>
      <w:r>
        <w:rPr>
          <w:rFonts w:ascii="Arial" w:hAnsi="Arial" w:cs="Arial"/>
        </w:rPr>
        <w:t>一、项目名称</w:t>
      </w:r>
      <w:r>
        <w:tab/>
      </w:r>
      <w:r>
        <w:fldChar w:fldCharType="begin"/>
      </w:r>
      <w:r>
        <w:instrText xml:space="preserve"> PAGEREF _Toc5805 \h </w:instrText>
      </w:r>
      <w:r>
        <w:fldChar w:fldCharType="separate"/>
      </w:r>
      <w:r>
        <w:t>1</w:t>
      </w:r>
      <w:r>
        <w:fldChar w:fldCharType="end"/>
      </w:r>
      <w:r>
        <w:fldChar w:fldCharType="end"/>
      </w:r>
    </w:p>
    <w:p w14:paraId="0949FB26">
      <w:pPr>
        <w:pStyle w:val="25"/>
        <w:tabs>
          <w:tab w:val="right" w:leader="dot" w:pos="9299"/>
          <w:tab w:val="clear" w:pos="8931"/>
        </w:tabs>
      </w:pPr>
      <w:r>
        <w:fldChar w:fldCharType="begin"/>
      </w:r>
      <w:r>
        <w:instrText xml:space="preserve"> HYPERLINK \l "_Toc15528" </w:instrText>
      </w:r>
      <w:r>
        <w:fldChar w:fldCharType="separate"/>
      </w:r>
      <w:r>
        <w:rPr>
          <w:rFonts w:ascii="Arial" w:hAnsi="Arial" w:cs="Arial"/>
          <w:bCs/>
        </w:rPr>
        <w:t>二、委托方</w:t>
      </w:r>
      <w:r>
        <w:tab/>
      </w:r>
      <w:r>
        <w:fldChar w:fldCharType="begin"/>
      </w:r>
      <w:r>
        <w:instrText xml:space="preserve"> PAGEREF _Toc15528 \h </w:instrText>
      </w:r>
      <w:r>
        <w:fldChar w:fldCharType="separate"/>
      </w:r>
      <w:r>
        <w:t>1</w:t>
      </w:r>
      <w:r>
        <w:fldChar w:fldCharType="end"/>
      </w:r>
      <w:r>
        <w:fldChar w:fldCharType="end"/>
      </w:r>
    </w:p>
    <w:p w14:paraId="4DFB62D5">
      <w:pPr>
        <w:pStyle w:val="25"/>
        <w:tabs>
          <w:tab w:val="right" w:leader="dot" w:pos="9299"/>
          <w:tab w:val="clear" w:pos="8931"/>
        </w:tabs>
      </w:pPr>
      <w:r>
        <w:fldChar w:fldCharType="begin"/>
      </w:r>
      <w:r>
        <w:instrText xml:space="preserve"> HYPERLINK \l "_Toc12547" </w:instrText>
      </w:r>
      <w:r>
        <w:fldChar w:fldCharType="separate"/>
      </w:r>
      <w:r>
        <w:rPr>
          <w:rFonts w:ascii="Arial" w:hAnsi="Arial" w:cs="Arial"/>
          <w:bCs/>
        </w:rPr>
        <w:t>三、咨询目的</w:t>
      </w:r>
      <w:r>
        <w:tab/>
      </w:r>
      <w:r>
        <w:fldChar w:fldCharType="begin"/>
      </w:r>
      <w:r>
        <w:instrText xml:space="preserve"> PAGEREF _Toc12547 \h </w:instrText>
      </w:r>
      <w:r>
        <w:fldChar w:fldCharType="separate"/>
      </w:r>
      <w:r>
        <w:t>1</w:t>
      </w:r>
      <w:r>
        <w:fldChar w:fldCharType="end"/>
      </w:r>
      <w:r>
        <w:fldChar w:fldCharType="end"/>
      </w:r>
    </w:p>
    <w:p w14:paraId="7322AC3A">
      <w:pPr>
        <w:pStyle w:val="25"/>
        <w:tabs>
          <w:tab w:val="right" w:leader="dot" w:pos="9299"/>
          <w:tab w:val="clear" w:pos="8931"/>
        </w:tabs>
      </w:pPr>
      <w:r>
        <w:fldChar w:fldCharType="begin"/>
      </w:r>
      <w:r>
        <w:instrText xml:space="preserve"> HYPERLINK \l "_Toc25409" </w:instrText>
      </w:r>
      <w:r>
        <w:fldChar w:fldCharType="separate"/>
      </w:r>
      <w:r>
        <w:rPr>
          <w:rFonts w:ascii="Arial" w:hAnsi="Arial" w:cs="Arial"/>
          <w:bCs/>
        </w:rPr>
        <w:t>四、咨询期日</w:t>
      </w:r>
      <w:r>
        <w:tab/>
      </w:r>
      <w:r>
        <w:fldChar w:fldCharType="begin"/>
      </w:r>
      <w:r>
        <w:instrText xml:space="preserve"> PAGEREF _Toc25409 \h </w:instrText>
      </w:r>
      <w:r>
        <w:fldChar w:fldCharType="separate"/>
      </w:r>
      <w:r>
        <w:t>1</w:t>
      </w:r>
      <w:r>
        <w:fldChar w:fldCharType="end"/>
      </w:r>
      <w:r>
        <w:fldChar w:fldCharType="end"/>
      </w:r>
    </w:p>
    <w:p w14:paraId="0723EB71">
      <w:pPr>
        <w:pStyle w:val="25"/>
        <w:tabs>
          <w:tab w:val="right" w:leader="dot" w:pos="9299"/>
          <w:tab w:val="clear" w:pos="8931"/>
        </w:tabs>
      </w:pPr>
      <w:r>
        <w:fldChar w:fldCharType="begin"/>
      </w:r>
      <w:r>
        <w:instrText xml:space="preserve"> HYPERLINK \l "_Toc6150" </w:instrText>
      </w:r>
      <w:r>
        <w:fldChar w:fldCharType="separate"/>
      </w:r>
      <w:r>
        <w:rPr>
          <w:rFonts w:ascii="Arial" w:hAnsi="Arial" w:cs="Arial"/>
          <w:bCs/>
        </w:rPr>
        <w:t>五、咨询日期</w:t>
      </w:r>
      <w:r>
        <w:tab/>
      </w:r>
      <w:r>
        <w:fldChar w:fldCharType="begin"/>
      </w:r>
      <w:r>
        <w:instrText xml:space="preserve"> PAGEREF _Toc6150 \h </w:instrText>
      </w:r>
      <w:r>
        <w:fldChar w:fldCharType="separate"/>
      </w:r>
      <w:r>
        <w:t>1</w:t>
      </w:r>
      <w:r>
        <w:fldChar w:fldCharType="end"/>
      </w:r>
      <w:r>
        <w:fldChar w:fldCharType="end"/>
      </w:r>
    </w:p>
    <w:p w14:paraId="3E171A07">
      <w:pPr>
        <w:pStyle w:val="25"/>
        <w:tabs>
          <w:tab w:val="right" w:leader="dot" w:pos="9299"/>
          <w:tab w:val="clear" w:pos="8931"/>
        </w:tabs>
      </w:pPr>
      <w:r>
        <w:fldChar w:fldCharType="begin"/>
      </w:r>
      <w:r>
        <w:instrText xml:space="preserve"> HYPERLINK \l "_Toc27364" </w:instrText>
      </w:r>
      <w:r>
        <w:fldChar w:fldCharType="separate"/>
      </w:r>
      <w:r>
        <w:rPr>
          <w:rFonts w:ascii="Arial" w:hAnsi="Arial" w:cs="Arial"/>
          <w:bCs/>
        </w:rPr>
        <w:t>六、地价定义</w:t>
      </w:r>
      <w:r>
        <w:tab/>
      </w:r>
      <w:r>
        <w:fldChar w:fldCharType="begin"/>
      </w:r>
      <w:r>
        <w:instrText xml:space="preserve"> PAGEREF _Toc27364 \h </w:instrText>
      </w:r>
      <w:r>
        <w:fldChar w:fldCharType="separate"/>
      </w:r>
      <w:r>
        <w:t>1</w:t>
      </w:r>
      <w:r>
        <w:fldChar w:fldCharType="end"/>
      </w:r>
      <w:r>
        <w:fldChar w:fldCharType="end"/>
      </w:r>
    </w:p>
    <w:p w14:paraId="5F97EA0C">
      <w:pPr>
        <w:pStyle w:val="25"/>
        <w:tabs>
          <w:tab w:val="right" w:leader="dot" w:pos="9299"/>
          <w:tab w:val="clear" w:pos="8931"/>
        </w:tabs>
      </w:pPr>
      <w:r>
        <w:fldChar w:fldCharType="begin"/>
      </w:r>
      <w:r>
        <w:instrText xml:space="preserve"> HYPERLINK \l "_Toc25526" </w:instrText>
      </w:r>
      <w:r>
        <w:fldChar w:fldCharType="separate"/>
      </w:r>
      <w:r>
        <w:rPr>
          <w:rFonts w:ascii="Arial" w:hAnsi="Arial" w:cs="Arial"/>
        </w:rPr>
        <w:t>七、咨询结果</w:t>
      </w:r>
      <w:r>
        <w:tab/>
      </w:r>
      <w:r>
        <w:fldChar w:fldCharType="begin"/>
      </w:r>
      <w:r>
        <w:instrText xml:space="preserve"> PAGEREF _Toc25526 \h </w:instrText>
      </w:r>
      <w:r>
        <w:fldChar w:fldCharType="separate"/>
      </w:r>
      <w:r>
        <w:t>3</w:t>
      </w:r>
      <w:r>
        <w:fldChar w:fldCharType="end"/>
      </w:r>
      <w:r>
        <w:fldChar w:fldCharType="end"/>
      </w:r>
    </w:p>
    <w:p w14:paraId="6C29BA7C">
      <w:pPr>
        <w:pStyle w:val="21"/>
        <w:tabs>
          <w:tab w:val="right" w:leader="dot" w:pos="9299"/>
          <w:tab w:val="clear" w:pos="840"/>
          <w:tab w:val="clear" w:pos="8654"/>
        </w:tabs>
      </w:pPr>
      <w:r>
        <w:fldChar w:fldCharType="begin"/>
      </w:r>
      <w:r>
        <w:instrText xml:space="preserve"> HYPERLINK \l "_Toc5219" </w:instrText>
      </w:r>
      <w:r>
        <w:fldChar w:fldCharType="separate"/>
      </w:r>
      <w:r>
        <w:rPr>
          <w:rFonts w:ascii="Arial" w:cs="Arial"/>
        </w:rPr>
        <w:t>第二部分  咨询对象界定</w:t>
      </w:r>
      <w:r>
        <w:tab/>
      </w:r>
      <w:r>
        <w:fldChar w:fldCharType="begin"/>
      </w:r>
      <w:r>
        <w:instrText xml:space="preserve"> PAGEREF _Toc5219 \h </w:instrText>
      </w:r>
      <w:r>
        <w:fldChar w:fldCharType="separate"/>
      </w:r>
      <w:r>
        <w:t>8</w:t>
      </w:r>
      <w:r>
        <w:fldChar w:fldCharType="end"/>
      </w:r>
      <w:r>
        <w:fldChar w:fldCharType="end"/>
      </w:r>
    </w:p>
    <w:p w14:paraId="092B3691">
      <w:pPr>
        <w:pStyle w:val="25"/>
        <w:tabs>
          <w:tab w:val="right" w:leader="dot" w:pos="9299"/>
          <w:tab w:val="clear" w:pos="8931"/>
        </w:tabs>
      </w:pPr>
      <w:r>
        <w:fldChar w:fldCharType="begin"/>
      </w:r>
      <w:r>
        <w:instrText xml:space="preserve"> HYPERLINK \l "_Toc21404" </w:instrText>
      </w:r>
      <w:r>
        <w:fldChar w:fldCharType="separate"/>
      </w:r>
      <w:r>
        <w:rPr>
          <w:rFonts w:ascii="Arial" w:hAnsi="Arial" w:cs="Arial"/>
        </w:rPr>
        <w:t>一、委托方</w:t>
      </w:r>
      <w:r>
        <w:tab/>
      </w:r>
      <w:r>
        <w:fldChar w:fldCharType="begin"/>
      </w:r>
      <w:r>
        <w:instrText xml:space="preserve"> PAGEREF _Toc21404 \h </w:instrText>
      </w:r>
      <w:r>
        <w:fldChar w:fldCharType="separate"/>
      </w:r>
      <w:r>
        <w:t>8</w:t>
      </w:r>
      <w:r>
        <w:fldChar w:fldCharType="end"/>
      </w:r>
      <w:r>
        <w:fldChar w:fldCharType="end"/>
      </w:r>
    </w:p>
    <w:p w14:paraId="4639DD24">
      <w:pPr>
        <w:pStyle w:val="25"/>
        <w:tabs>
          <w:tab w:val="right" w:leader="dot" w:pos="9299"/>
          <w:tab w:val="clear" w:pos="8931"/>
        </w:tabs>
      </w:pPr>
      <w:r>
        <w:fldChar w:fldCharType="begin"/>
      </w:r>
      <w:r>
        <w:instrText xml:space="preserve"> HYPERLINK \l "_Toc14440" </w:instrText>
      </w:r>
      <w:r>
        <w:fldChar w:fldCharType="separate"/>
      </w:r>
      <w:r>
        <w:rPr>
          <w:rFonts w:ascii="Arial" w:hAnsi="Arial" w:cs="Arial"/>
        </w:rPr>
        <w:t>二、咨询对象</w:t>
      </w:r>
      <w:r>
        <w:tab/>
      </w:r>
      <w:r>
        <w:fldChar w:fldCharType="begin"/>
      </w:r>
      <w:r>
        <w:instrText xml:space="preserve"> PAGEREF _Toc14440 \h </w:instrText>
      </w:r>
      <w:r>
        <w:fldChar w:fldCharType="separate"/>
      </w:r>
      <w:r>
        <w:t>8</w:t>
      </w:r>
      <w:r>
        <w:fldChar w:fldCharType="end"/>
      </w:r>
      <w:r>
        <w:fldChar w:fldCharType="end"/>
      </w:r>
    </w:p>
    <w:p w14:paraId="5783F5BE">
      <w:pPr>
        <w:pStyle w:val="25"/>
        <w:tabs>
          <w:tab w:val="right" w:leader="dot" w:pos="9299"/>
          <w:tab w:val="clear" w:pos="8931"/>
        </w:tabs>
      </w:pPr>
      <w:r>
        <w:fldChar w:fldCharType="begin"/>
      </w:r>
      <w:r>
        <w:instrText xml:space="preserve"> HYPERLINK \l "_Toc29392" </w:instrText>
      </w:r>
      <w:r>
        <w:fldChar w:fldCharType="separate"/>
      </w:r>
      <w:r>
        <w:rPr>
          <w:rFonts w:ascii="Arial" w:hAnsi="Arial" w:cs="Arial"/>
        </w:rPr>
        <w:t>三、咨询对象概况</w:t>
      </w:r>
      <w:r>
        <w:tab/>
      </w:r>
      <w:r>
        <w:fldChar w:fldCharType="begin"/>
      </w:r>
      <w:r>
        <w:instrText xml:space="preserve"> PAGEREF _Toc29392 \h </w:instrText>
      </w:r>
      <w:r>
        <w:fldChar w:fldCharType="separate"/>
      </w:r>
      <w:r>
        <w:t>8</w:t>
      </w:r>
      <w:r>
        <w:fldChar w:fldCharType="end"/>
      </w:r>
      <w:r>
        <w:fldChar w:fldCharType="end"/>
      </w:r>
    </w:p>
    <w:p w14:paraId="311D7CE3">
      <w:pPr>
        <w:pStyle w:val="25"/>
        <w:tabs>
          <w:tab w:val="right" w:leader="dot" w:pos="9299"/>
          <w:tab w:val="clear" w:pos="8931"/>
        </w:tabs>
      </w:pPr>
      <w:r>
        <w:fldChar w:fldCharType="begin"/>
      </w:r>
      <w:r>
        <w:instrText xml:space="preserve"> HYPERLINK \l "_Toc22688" </w:instrText>
      </w:r>
      <w:r>
        <w:fldChar w:fldCharType="separate"/>
      </w:r>
      <w:r>
        <w:rPr>
          <w:rFonts w:ascii="Arial" w:hAnsi="Arial" w:cs="Arial"/>
        </w:rPr>
        <w:t>四、影响地价的因素说明</w:t>
      </w:r>
      <w:r>
        <w:tab/>
      </w:r>
      <w:r>
        <w:fldChar w:fldCharType="begin"/>
      </w:r>
      <w:r>
        <w:instrText xml:space="preserve"> PAGEREF _Toc22688 \h </w:instrText>
      </w:r>
      <w:r>
        <w:fldChar w:fldCharType="separate"/>
      </w:r>
      <w:r>
        <w:t>10</w:t>
      </w:r>
      <w:r>
        <w:fldChar w:fldCharType="end"/>
      </w:r>
      <w:r>
        <w:fldChar w:fldCharType="end"/>
      </w:r>
    </w:p>
    <w:p w14:paraId="18EFC254">
      <w:pPr>
        <w:pStyle w:val="21"/>
        <w:tabs>
          <w:tab w:val="right" w:leader="dot" w:pos="9299"/>
          <w:tab w:val="clear" w:pos="840"/>
          <w:tab w:val="clear" w:pos="8654"/>
        </w:tabs>
      </w:pPr>
      <w:r>
        <w:fldChar w:fldCharType="begin"/>
      </w:r>
      <w:r>
        <w:instrText xml:space="preserve"> HYPERLINK \l "_Toc14792" </w:instrText>
      </w:r>
      <w:r>
        <w:fldChar w:fldCharType="separate"/>
      </w:r>
      <w:r>
        <w:rPr>
          <w:rFonts w:ascii="Arial" w:cs="Arial"/>
        </w:rPr>
        <w:t>第三部分  土地咨询结果及其使用</w:t>
      </w:r>
      <w:r>
        <w:tab/>
      </w:r>
      <w:r>
        <w:fldChar w:fldCharType="begin"/>
      </w:r>
      <w:r>
        <w:instrText xml:space="preserve"> PAGEREF _Toc14792 \h </w:instrText>
      </w:r>
      <w:r>
        <w:fldChar w:fldCharType="separate"/>
      </w:r>
      <w:r>
        <w:t>42</w:t>
      </w:r>
      <w:r>
        <w:fldChar w:fldCharType="end"/>
      </w:r>
      <w:r>
        <w:fldChar w:fldCharType="end"/>
      </w:r>
    </w:p>
    <w:p w14:paraId="61982903">
      <w:pPr>
        <w:pStyle w:val="25"/>
        <w:tabs>
          <w:tab w:val="right" w:leader="dot" w:pos="9299"/>
          <w:tab w:val="clear" w:pos="8931"/>
        </w:tabs>
      </w:pPr>
      <w:r>
        <w:fldChar w:fldCharType="begin"/>
      </w:r>
      <w:r>
        <w:instrText xml:space="preserve"> HYPERLINK \l "_Toc10622" </w:instrText>
      </w:r>
      <w:r>
        <w:fldChar w:fldCharType="separate"/>
      </w:r>
      <w:r>
        <w:rPr>
          <w:rFonts w:ascii="Arial" w:hAnsi="Arial" w:cs="Arial"/>
        </w:rPr>
        <w:t>一、估价依据</w:t>
      </w:r>
      <w:r>
        <w:tab/>
      </w:r>
      <w:r>
        <w:fldChar w:fldCharType="begin"/>
      </w:r>
      <w:r>
        <w:instrText xml:space="preserve"> PAGEREF _Toc10622 \h </w:instrText>
      </w:r>
      <w:r>
        <w:fldChar w:fldCharType="separate"/>
      </w:r>
      <w:r>
        <w:t>42</w:t>
      </w:r>
      <w:r>
        <w:fldChar w:fldCharType="end"/>
      </w:r>
      <w:r>
        <w:fldChar w:fldCharType="end"/>
      </w:r>
    </w:p>
    <w:p w14:paraId="6E79A7ED">
      <w:pPr>
        <w:pStyle w:val="25"/>
        <w:tabs>
          <w:tab w:val="right" w:leader="dot" w:pos="9299"/>
          <w:tab w:val="clear" w:pos="8931"/>
        </w:tabs>
      </w:pPr>
      <w:r>
        <w:fldChar w:fldCharType="begin"/>
      </w:r>
      <w:r>
        <w:instrText xml:space="preserve"> HYPERLINK \l "_Toc1" </w:instrText>
      </w:r>
      <w:r>
        <w:fldChar w:fldCharType="separate"/>
      </w:r>
      <w:r>
        <w:rPr>
          <w:rFonts w:ascii="Arial" w:hAnsi="Arial" w:cs="Arial"/>
        </w:rPr>
        <w:t>二、土地估价</w:t>
      </w:r>
      <w:r>
        <w:tab/>
      </w:r>
      <w:r>
        <w:fldChar w:fldCharType="begin"/>
      </w:r>
      <w:r>
        <w:instrText xml:space="preserve"> PAGEREF _Toc1 \h </w:instrText>
      </w:r>
      <w:r>
        <w:fldChar w:fldCharType="separate"/>
      </w:r>
      <w:r>
        <w:t>44</w:t>
      </w:r>
      <w:r>
        <w:fldChar w:fldCharType="end"/>
      </w:r>
      <w:r>
        <w:fldChar w:fldCharType="end"/>
      </w:r>
    </w:p>
    <w:p w14:paraId="383F7EBF">
      <w:pPr>
        <w:pStyle w:val="25"/>
        <w:tabs>
          <w:tab w:val="right" w:leader="dot" w:pos="9299"/>
          <w:tab w:val="clear" w:pos="8931"/>
        </w:tabs>
      </w:pPr>
      <w:r>
        <w:fldChar w:fldCharType="begin"/>
      </w:r>
      <w:r>
        <w:instrText xml:space="preserve"> HYPERLINK \l "_Toc11765" </w:instrText>
      </w:r>
      <w:r>
        <w:fldChar w:fldCharType="separate"/>
      </w:r>
      <w:r>
        <w:rPr>
          <w:rFonts w:ascii="Arial" w:hAnsi="Arial" w:cs="Arial"/>
        </w:rPr>
        <w:t>三、咨询结果和咨询报告的使用</w:t>
      </w:r>
      <w:r>
        <w:tab/>
      </w:r>
      <w:r>
        <w:fldChar w:fldCharType="begin"/>
      </w:r>
      <w:r>
        <w:instrText xml:space="preserve"> PAGEREF _Toc11765 \h </w:instrText>
      </w:r>
      <w:r>
        <w:fldChar w:fldCharType="separate"/>
      </w:r>
      <w:r>
        <w:t>49</w:t>
      </w:r>
      <w:r>
        <w:fldChar w:fldCharType="end"/>
      </w:r>
      <w:r>
        <w:fldChar w:fldCharType="end"/>
      </w:r>
    </w:p>
    <w:p w14:paraId="509901D5">
      <w:pPr>
        <w:pStyle w:val="21"/>
        <w:tabs>
          <w:tab w:val="right" w:leader="dot" w:pos="9299"/>
          <w:tab w:val="clear" w:pos="840"/>
          <w:tab w:val="clear" w:pos="8654"/>
        </w:tabs>
      </w:pPr>
      <w:r>
        <w:fldChar w:fldCharType="begin"/>
      </w:r>
      <w:r>
        <w:instrText xml:space="preserve"> HYPERLINK \l "_Toc26703" </w:instrText>
      </w:r>
      <w:r>
        <w:fldChar w:fldCharType="separate"/>
      </w:r>
      <w:r>
        <w:rPr>
          <w:rFonts w:ascii="Arial" w:cs="Arial"/>
        </w:rPr>
        <w:t>第四部分  附  件</w:t>
      </w:r>
      <w:r>
        <w:tab/>
      </w:r>
      <w:r>
        <w:fldChar w:fldCharType="begin"/>
      </w:r>
      <w:r>
        <w:instrText xml:space="preserve"> PAGEREF _Toc26703 \h </w:instrText>
      </w:r>
      <w:r>
        <w:fldChar w:fldCharType="separate"/>
      </w:r>
      <w:r>
        <w:t>53</w:t>
      </w:r>
      <w:r>
        <w:fldChar w:fldCharType="end"/>
      </w:r>
      <w:r>
        <w:fldChar w:fldCharType="end"/>
      </w:r>
    </w:p>
    <w:p w14:paraId="67B6C075">
      <w:pPr>
        <w:pStyle w:val="21"/>
        <w:tabs>
          <w:tab w:val="right" w:leader="dot" w:pos="9299"/>
          <w:tab w:val="clear" w:pos="840"/>
          <w:tab w:val="clear" w:pos="8654"/>
        </w:tabs>
      </w:pPr>
    </w:p>
    <w:p w14:paraId="47F81C2B">
      <w:pPr>
        <w:spacing w:line="360" w:lineRule="auto"/>
        <w:jc w:val="center"/>
        <w:rPr>
          <w:rFonts w:ascii="Arial" w:hAnsi="Arial" w:cs="Arial"/>
          <w:sz w:val="44"/>
        </w:rPr>
      </w:pPr>
      <w:r>
        <w:rPr>
          <w:rFonts w:ascii="Arial" w:hAnsi="Arial" w:cs="Arial"/>
          <w:szCs w:val="28"/>
        </w:rPr>
        <w:fldChar w:fldCharType="end"/>
      </w:r>
    </w:p>
    <w:p w14:paraId="41772BB2">
      <w:pPr>
        <w:spacing w:line="360" w:lineRule="auto"/>
        <w:ind w:firstLine="660"/>
        <w:jc w:val="center"/>
        <w:rPr>
          <w:rFonts w:ascii="Arial" w:hAnsi="Arial" w:cs="Arial"/>
          <w:sz w:val="44"/>
        </w:rPr>
        <w:sectPr>
          <w:headerReference r:id="rId12" w:type="first"/>
          <w:pgSz w:w="11907" w:h="16840"/>
          <w:pgMar w:top="1843" w:right="1304" w:bottom="1134" w:left="1304" w:header="1134" w:footer="907" w:gutter="0"/>
          <w:pgNumType w:start="0"/>
          <w:cols w:space="720" w:num="1"/>
          <w:titlePg/>
          <w:docGrid w:linePitch="326" w:charSpace="0"/>
        </w:sectPr>
      </w:pPr>
    </w:p>
    <w:p w14:paraId="305AEA45">
      <w:pPr>
        <w:spacing w:line="360" w:lineRule="auto"/>
        <w:rPr>
          <w:rFonts w:ascii="Arial" w:hAnsi="Arial" w:cs="Arial"/>
          <w:sz w:val="44"/>
        </w:rPr>
        <w:sectPr>
          <w:headerReference r:id="rId14" w:type="first"/>
          <w:footerReference r:id="rId17" w:type="first"/>
          <w:headerReference r:id="rId13" w:type="default"/>
          <w:footerReference r:id="rId15" w:type="default"/>
          <w:footerReference r:id="rId16" w:type="even"/>
          <w:type w:val="continuous"/>
          <w:pgSz w:w="11907" w:h="16840"/>
          <w:pgMar w:top="1843" w:right="1304" w:bottom="1134" w:left="1304" w:header="851" w:footer="1134" w:gutter="0"/>
          <w:pgNumType w:start="1"/>
          <w:cols w:space="720" w:num="1"/>
          <w:titlePg/>
        </w:sectPr>
      </w:pPr>
    </w:p>
    <w:p w14:paraId="4913729E">
      <w:pPr>
        <w:spacing w:line="360" w:lineRule="auto"/>
        <w:jc w:val="center"/>
        <w:rPr>
          <w:rFonts w:ascii="Arial" w:hAnsi="Arial" w:cs="Arial"/>
          <w:b/>
          <w:sz w:val="32"/>
        </w:rPr>
      </w:pPr>
      <w:r>
        <w:rPr>
          <w:rFonts w:ascii="Arial" w:hAnsi="Arial" w:cs="Arial"/>
          <w:b/>
          <w:sz w:val="32"/>
        </w:rPr>
        <w:t>土 地 咨 询 报 告</w:t>
      </w:r>
    </w:p>
    <w:p w14:paraId="2B4FF3B6">
      <w:pPr>
        <w:spacing w:line="360" w:lineRule="auto"/>
        <w:rPr>
          <w:rFonts w:ascii="Arial" w:hAnsi="Arial" w:cs="Arial"/>
          <w:b/>
          <w:sz w:val="32"/>
        </w:rPr>
      </w:pPr>
    </w:p>
    <w:p w14:paraId="4ED97357">
      <w:pPr>
        <w:tabs>
          <w:tab w:val="center" w:pos="4332"/>
          <w:tab w:val="right" w:pos="8664"/>
        </w:tabs>
        <w:spacing w:line="360" w:lineRule="auto"/>
        <w:outlineLvl w:val="0"/>
        <w:rPr>
          <w:rFonts w:ascii="Arial" w:hAnsi="Arial" w:cs="Arial"/>
          <w:sz w:val="32"/>
        </w:rPr>
      </w:pPr>
      <w:bookmarkStart w:id="0" w:name="_Toc418750878"/>
      <w:bookmarkStart w:id="1" w:name="_Toc416783516"/>
      <w:r>
        <w:rPr>
          <w:rFonts w:ascii="Arial" w:hAnsi="Arial" w:cs="Arial"/>
          <w:b/>
          <w:sz w:val="32"/>
        </w:rPr>
        <w:tab/>
      </w:r>
      <w:bookmarkStart w:id="2" w:name="_Toc6220"/>
      <w:bookmarkStart w:id="3" w:name="_Toc469066300"/>
      <w:bookmarkStart w:id="4" w:name="_Toc21685"/>
      <w:bookmarkStart w:id="5" w:name="_Toc425250300"/>
      <w:bookmarkStart w:id="6" w:name="_Toc259"/>
      <w:r>
        <w:rPr>
          <w:rFonts w:ascii="Arial" w:hAnsi="Arial" w:cs="Arial"/>
          <w:b/>
          <w:sz w:val="32"/>
        </w:rPr>
        <w:t>第一部分  摘  要</w:t>
      </w:r>
      <w:bookmarkEnd w:id="0"/>
      <w:bookmarkEnd w:id="1"/>
      <w:bookmarkEnd w:id="2"/>
      <w:bookmarkEnd w:id="3"/>
      <w:bookmarkEnd w:id="4"/>
      <w:bookmarkEnd w:id="5"/>
      <w:bookmarkEnd w:id="6"/>
      <w:r>
        <w:rPr>
          <w:rFonts w:ascii="Arial" w:hAnsi="Arial" w:cs="Arial"/>
          <w:b/>
          <w:sz w:val="32"/>
        </w:rPr>
        <w:tab/>
      </w:r>
    </w:p>
    <w:p w14:paraId="4759B369">
      <w:pPr>
        <w:spacing w:line="360" w:lineRule="auto"/>
        <w:rPr>
          <w:rFonts w:ascii="Arial" w:hAnsi="Arial" w:cs="Arial"/>
          <w:sz w:val="28"/>
        </w:rPr>
      </w:pPr>
    </w:p>
    <w:p w14:paraId="09B82200">
      <w:pPr>
        <w:spacing w:line="360" w:lineRule="auto"/>
        <w:outlineLvl w:val="1"/>
        <w:rPr>
          <w:rFonts w:ascii="Arial" w:hAnsi="Arial" w:cs="Arial"/>
          <w:b/>
          <w:sz w:val="28"/>
        </w:rPr>
      </w:pPr>
      <w:bookmarkStart w:id="7" w:name="_Toc469066301"/>
      <w:bookmarkStart w:id="8" w:name="_Toc425250301"/>
      <w:bookmarkStart w:id="9" w:name="_Toc416783517"/>
      <w:bookmarkStart w:id="10" w:name="_Toc418750879"/>
      <w:bookmarkStart w:id="11" w:name="_Toc12729"/>
      <w:bookmarkStart w:id="12" w:name="_Toc5805"/>
      <w:bookmarkStart w:id="13" w:name="_Toc24882"/>
      <w:r>
        <w:rPr>
          <w:rFonts w:ascii="Arial" w:hAnsi="Arial" w:cs="Arial"/>
          <w:b/>
          <w:sz w:val="28"/>
        </w:rPr>
        <w:t>一、项目名称</w:t>
      </w:r>
      <w:bookmarkEnd w:id="7"/>
      <w:bookmarkEnd w:id="8"/>
      <w:bookmarkEnd w:id="9"/>
      <w:bookmarkEnd w:id="10"/>
      <w:bookmarkEnd w:id="11"/>
      <w:bookmarkEnd w:id="12"/>
      <w:bookmarkEnd w:id="13"/>
    </w:p>
    <w:p w14:paraId="330D5BB7">
      <w:pPr>
        <w:spacing w:line="360" w:lineRule="auto"/>
        <w:ind w:firstLine="557" w:firstLineChars="199"/>
        <w:jc w:val="both"/>
        <w:rPr>
          <w:rFonts w:ascii="Arial" w:hAnsi="Arial" w:cs="Arial"/>
          <w:sz w:val="28"/>
        </w:rPr>
      </w:pPr>
      <w:r>
        <w:rPr>
          <w:rFonts w:hint="eastAsia" w:ascii="Arial" w:hAnsi="Arial" w:cs="Arial"/>
          <w:sz w:val="28"/>
        </w:rPr>
        <w:t>北京市昌平区马池口镇百泉庄村集体土地租赁住房项目集体经营性建设用地使用权地价评估</w:t>
      </w:r>
    </w:p>
    <w:p w14:paraId="0082A7E4">
      <w:pPr>
        <w:spacing w:line="360" w:lineRule="auto"/>
        <w:jc w:val="both"/>
        <w:rPr>
          <w:rFonts w:ascii="Arial" w:hAnsi="Arial" w:cs="Arial"/>
          <w:b/>
          <w:bCs/>
          <w:sz w:val="28"/>
        </w:rPr>
      </w:pPr>
    </w:p>
    <w:p w14:paraId="0DA6DC54">
      <w:pPr>
        <w:spacing w:line="360" w:lineRule="auto"/>
        <w:jc w:val="both"/>
        <w:outlineLvl w:val="1"/>
        <w:rPr>
          <w:rFonts w:ascii="Arial" w:hAnsi="Arial" w:cs="Arial"/>
          <w:b/>
          <w:bCs/>
          <w:sz w:val="28"/>
        </w:rPr>
      </w:pPr>
      <w:bookmarkStart w:id="14" w:name="_Toc416783518"/>
      <w:bookmarkStart w:id="15" w:name="_Toc15528"/>
      <w:bookmarkStart w:id="16" w:name="_Toc425250302"/>
      <w:bookmarkStart w:id="17" w:name="_Toc9263"/>
      <w:bookmarkStart w:id="18" w:name="_Toc418750880"/>
      <w:bookmarkStart w:id="19" w:name="_Toc31237"/>
      <w:bookmarkStart w:id="20" w:name="_Toc469066302"/>
      <w:r>
        <w:rPr>
          <w:rFonts w:ascii="Arial" w:hAnsi="Arial" w:cs="Arial"/>
          <w:b/>
          <w:bCs/>
          <w:sz w:val="28"/>
        </w:rPr>
        <w:t>二、委托方</w:t>
      </w:r>
      <w:bookmarkEnd w:id="14"/>
      <w:bookmarkEnd w:id="15"/>
      <w:bookmarkEnd w:id="16"/>
      <w:bookmarkEnd w:id="17"/>
      <w:bookmarkEnd w:id="18"/>
      <w:bookmarkEnd w:id="19"/>
      <w:bookmarkEnd w:id="20"/>
    </w:p>
    <w:p w14:paraId="67CE63F4">
      <w:pPr>
        <w:spacing w:line="360" w:lineRule="auto"/>
        <w:ind w:left="1" w:right="-85" w:firstLine="560" w:firstLineChars="200"/>
        <w:jc w:val="both"/>
        <w:rPr>
          <w:rFonts w:ascii="Arial" w:hAnsi="Arial" w:cs="Arial"/>
          <w:bCs/>
          <w:sz w:val="28"/>
        </w:rPr>
      </w:pPr>
      <w:r>
        <w:rPr>
          <w:rFonts w:hint="eastAsia" w:ascii="Arial" w:hAnsi="Arial" w:cs="Arial"/>
          <w:bCs/>
          <w:sz w:val="28"/>
        </w:rPr>
        <w:t>北京保障房中心有限公司</w:t>
      </w:r>
    </w:p>
    <w:p w14:paraId="5283E083">
      <w:pPr>
        <w:spacing w:line="360" w:lineRule="auto"/>
        <w:ind w:left="1" w:right="-85" w:firstLine="562" w:firstLineChars="200"/>
        <w:jc w:val="both"/>
        <w:rPr>
          <w:rFonts w:ascii="Arial" w:hAnsi="Arial" w:cs="Arial"/>
          <w:b/>
          <w:bCs/>
          <w:sz w:val="28"/>
        </w:rPr>
      </w:pPr>
    </w:p>
    <w:p w14:paraId="0F11BC46">
      <w:pPr>
        <w:spacing w:line="360" w:lineRule="auto"/>
        <w:jc w:val="both"/>
        <w:outlineLvl w:val="1"/>
        <w:rPr>
          <w:rFonts w:ascii="Arial" w:hAnsi="Arial" w:cs="Arial"/>
          <w:b/>
          <w:bCs/>
          <w:sz w:val="28"/>
        </w:rPr>
      </w:pPr>
      <w:bookmarkStart w:id="21" w:name="_Toc1290"/>
      <w:bookmarkStart w:id="22" w:name="_Toc425250303"/>
      <w:bookmarkStart w:id="23" w:name="_Toc19859"/>
      <w:bookmarkStart w:id="24" w:name="_Toc418750881"/>
      <w:bookmarkStart w:id="25" w:name="_Toc469066303"/>
      <w:bookmarkStart w:id="26" w:name="_Toc12547"/>
      <w:bookmarkStart w:id="27" w:name="_Toc416783519"/>
      <w:r>
        <w:rPr>
          <w:rFonts w:ascii="Arial" w:hAnsi="Arial" w:cs="Arial"/>
          <w:b/>
          <w:bCs/>
          <w:sz w:val="28"/>
        </w:rPr>
        <w:t>三、咨询目的</w:t>
      </w:r>
      <w:bookmarkEnd w:id="21"/>
      <w:bookmarkEnd w:id="22"/>
      <w:bookmarkEnd w:id="23"/>
      <w:bookmarkEnd w:id="24"/>
      <w:bookmarkEnd w:id="25"/>
      <w:bookmarkEnd w:id="26"/>
      <w:bookmarkEnd w:id="27"/>
    </w:p>
    <w:p w14:paraId="4D26121D">
      <w:pPr>
        <w:overflowPunct w:val="0"/>
        <w:spacing w:line="480" w:lineRule="auto"/>
        <w:ind w:firstLine="560" w:firstLineChars="200"/>
        <w:jc w:val="both"/>
        <w:textAlignment w:val="auto"/>
        <w:rPr>
          <w:rFonts w:ascii="Arial" w:hAnsi="Arial" w:cs="Arial"/>
          <w:sz w:val="28"/>
        </w:rPr>
      </w:pPr>
      <w:r>
        <w:rPr>
          <w:rFonts w:hint="eastAsia" w:ascii="Arial" w:hAnsi="Arial" w:cs="Arial"/>
          <w:sz w:val="28"/>
        </w:rPr>
        <w:t>百泉庄</w:t>
      </w:r>
      <w:r>
        <w:rPr>
          <w:rFonts w:ascii="Arial" w:hAnsi="Arial" w:cs="Arial"/>
          <w:sz w:val="28"/>
        </w:rPr>
        <w:t>村经济</w:t>
      </w:r>
      <w:r>
        <w:rPr>
          <w:rFonts w:hint="eastAsia" w:ascii="Arial" w:hAnsi="Arial" w:cs="Arial"/>
          <w:sz w:val="28"/>
        </w:rPr>
        <w:t>组织</w:t>
      </w:r>
      <w:r>
        <w:rPr>
          <w:rFonts w:ascii="Arial" w:hAnsi="Arial" w:cs="Arial"/>
          <w:sz w:val="28"/>
        </w:rPr>
        <w:t>拟使用咨询对象集体土地作价入股，本次评估是为委托方了解咨询对象作价入股价格提供参考依据。</w:t>
      </w:r>
    </w:p>
    <w:p w14:paraId="2108B590">
      <w:pPr>
        <w:spacing w:line="360" w:lineRule="auto"/>
        <w:ind w:firstLine="562" w:firstLineChars="200"/>
        <w:jc w:val="both"/>
        <w:rPr>
          <w:rFonts w:ascii="Arial" w:hAnsi="Arial" w:cs="Arial"/>
          <w:b/>
          <w:bCs/>
          <w:sz w:val="28"/>
        </w:rPr>
      </w:pPr>
    </w:p>
    <w:p w14:paraId="0D020611">
      <w:pPr>
        <w:spacing w:line="360" w:lineRule="auto"/>
        <w:jc w:val="both"/>
        <w:outlineLvl w:val="1"/>
        <w:rPr>
          <w:rFonts w:ascii="Arial" w:hAnsi="Arial" w:cs="Arial"/>
          <w:b/>
          <w:bCs/>
          <w:sz w:val="28"/>
        </w:rPr>
      </w:pPr>
      <w:bookmarkStart w:id="28" w:name="_Toc418750882"/>
      <w:bookmarkStart w:id="29" w:name="_Toc10165"/>
      <w:bookmarkStart w:id="30" w:name="_Toc425250304"/>
      <w:bookmarkStart w:id="31" w:name="_Toc20228"/>
      <w:bookmarkStart w:id="32" w:name="_Toc25409"/>
      <w:bookmarkStart w:id="33" w:name="_Toc416783520"/>
      <w:bookmarkStart w:id="34" w:name="_Toc469066304"/>
      <w:r>
        <w:rPr>
          <w:rFonts w:ascii="Arial" w:hAnsi="Arial" w:cs="Arial"/>
          <w:b/>
          <w:bCs/>
          <w:sz w:val="28"/>
        </w:rPr>
        <w:t>四、咨询期日</w:t>
      </w:r>
      <w:bookmarkEnd w:id="28"/>
      <w:bookmarkEnd w:id="29"/>
      <w:bookmarkEnd w:id="30"/>
      <w:bookmarkEnd w:id="31"/>
      <w:bookmarkEnd w:id="32"/>
      <w:bookmarkEnd w:id="33"/>
      <w:bookmarkEnd w:id="34"/>
    </w:p>
    <w:p w14:paraId="3DFA6D8B">
      <w:pPr>
        <w:spacing w:line="360" w:lineRule="auto"/>
        <w:ind w:firstLine="560" w:firstLineChars="200"/>
        <w:jc w:val="both"/>
        <w:rPr>
          <w:rFonts w:ascii="Arial" w:hAnsi="Arial" w:cs="Arial"/>
          <w:sz w:val="28"/>
        </w:rPr>
      </w:pPr>
      <w:r>
        <w:rPr>
          <w:rFonts w:hint="eastAsia" w:ascii="Arial" w:hAnsi="Arial" w:cs="Arial"/>
          <w:sz w:val="28"/>
        </w:rPr>
        <w:t>2025年6月22日</w:t>
      </w:r>
      <w:r>
        <w:rPr>
          <w:rFonts w:ascii="Arial" w:hAnsi="Arial" w:cs="Arial"/>
          <w:sz w:val="28"/>
        </w:rPr>
        <w:t>（评估专业人员勘察现场之日）</w:t>
      </w:r>
    </w:p>
    <w:p w14:paraId="7ADA5E74">
      <w:pPr>
        <w:spacing w:line="360" w:lineRule="auto"/>
        <w:ind w:firstLine="562" w:firstLineChars="200"/>
        <w:jc w:val="both"/>
        <w:rPr>
          <w:rFonts w:ascii="Arial" w:hAnsi="Arial" w:cs="Arial"/>
          <w:b/>
          <w:bCs/>
          <w:sz w:val="28"/>
        </w:rPr>
      </w:pPr>
    </w:p>
    <w:p w14:paraId="72AEEBF9">
      <w:pPr>
        <w:tabs>
          <w:tab w:val="left" w:pos="6957"/>
        </w:tabs>
        <w:spacing w:line="360" w:lineRule="auto"/>
        <w:jc w:val="both"/>
        <w:outlineLvl w:val="1"/>
        <w:rPr>
          <w:rFonts w:ascii="Arial" w:hAnsi="Arial" w:cs="Arial"/>
          <w:b/>
          <w:bCs/>
          <w:sz w:val="28"/>
        </w:rPr>
      </w:pPr>
      <w:bookmarkStart w:id="35" w:name="_Toc26604"/>
      <w:bookmarkStart w:id="36" w:name="_Toc425250305"/>
      <w:bookmarkStart w:id="37" w:name="_Toc416783521"/>
      <w:bookmarkStart w:id="38" w:name="_Toc6150"/>
      <w:bookmarkStart w:id="39" w:name="_Toc4624"/>
      <w:bookmarkStart w:id="40" w:name="_Toc469066305"/>
      <w:bookmarkStart w:id="41" w:name="_Toc418750883"/>
      <w:r>
        <w:rPr>
          <w:rFonts w:ascii="Arial" w:hAnsi="Arial" w:cs="Arial"/>
          <w:b/>
          <w:bCs/>
          <w:sz w:val="28"/>
        </w:rPr>
        <w:t>五、咨询日期</w:t>
      </w:r>
      <w:bookmarkEnd w:id="35"/>
      <w:bookmarkEnd w:id="36"/>
      <w:bookmarkEnd w:id="37"/>
      <w:bookmarkEnd w:id="38"/>
      <w:bookmarkEnd w:id="39"/>
      <w:bookmarkEnd w:id="40"/>
      <w:bookmarkEnd w:id="41"/>
      <w:r>
        <w:rPr>
          <w:rFonts w:ascii="Arial" w:hAnsi="Arial" w:cs="Arial"/>
          <w:b/>
          <w:bCs/>
          <w:sz w:val="28"/>
        </w:rPr>
        <w:tab/>
      </w:r>
    </w:p>
    <w:p w14:paraId="217D31CB">
      <w:pPr>
        <w:spacing w:line="360" w:lineRule="auto"/>
        <w:ind w:firstLine="560" w:firstLineChars="200"/>
        <w:jc w:val="both"/>
        <w:rPr>
          <w:rFonts w:ascii="Arial" w:hAnsi="Arial" w:cs="Arial"/>
          <w:sz w:val="28"/>
        </w:rPr>
      </w:pPr>
      <w:r>
        <w:rPr>
          <w:rFonts w:hint="eastAsia" w:ascii="Arial" w:hAnsi="Arial" w:cs="Arial"/>
          <w:sz w:val="28"/>
        </w:rPr>
        <w:t>2025年6月22日</w:t>
      </w:r>
      <w:r>
        <w:rPr>
          <w:rFonts w:ascii="Arial" w:hAnsi="Arial" w:cs="Arial"/>
          <w:sz w:val="28"/>
        </w:rPr>
        <w:t>至</w:t>
      </w:r>
      <w:bookmarkStart w:id="42" w:name="_Toc418750884"/>
      <w:bookmarkStart w:id="43" w:name="_Toc425250306"/>
      <w:bookmarkStart w:id="44" w:name="_Toc469066306"/>
      <w:bookmarkStart w:id="45" w:name="_Toc416783522"/>
      <w:r>
        <w:rPr>
          <w:rFonts w:hint="eastAsia" w:ascii="Arial" w:hAnsi="Arial" w:cs="Arial"/>
          <w:sz w:val="28"/>
        </w:rPr>
        <w:t>2025年7月1日</w:t>
      </w:r>
    </w:p>
    <w:p w14:paraId="01BCECE1">
      <w:pPr>
        <w:spacing w:line="360" w:lineRule="auto"/>
        <w:ind w:firstLine="560" w:firstLineChars="200"/>
        <w:jc w:val="both"/>
        <w:rPr>
          <w:rFonts w:ascii="Arial" w:hAnsi="Arial" w:cs="Arial"/>
          <w:sz w:val="28"/>
        </w:rPr>
      </w:pPr>
    </w:p>
    <w:p w14:paraId="2A48A2D2">
      <w:pPr>
        <w:tabs>
          <w:tab w:val="left" w:pos="6957"/>
        </w:tabs>
        <w:spacing w:line="360" w:lineRule="auto"/>
        <w:jc w:val="both"/>
        <w:outlineLvl w:val="1"/>
        <w:rPr>
          <w:rFonts w:ascii="Arial" w:hAnsi="Arial" w:cs="Arial"/>
          <w:b/>
          <w:bCs/>
          <w:sz w:val="28"/>
        </w:rPr>
      </w:pPr>
      <w:bookmarkStart w:id="46" w:name="_Toc27364"/>
      <w:bookmarkStart w:id="47" w:name="_Toc32705"/>
      <w:bookmarkStart w:id="48" w:name="_Toc1743"/>
      <w:r>
        <w:rPr>
          <w:rFonts w:ascii="Arial" w:hAnsi="Arial" w:cs="Arial"/>
          <w:b/>
          <w:bCs/>
          <w:sz w:val="28"/>
        </w:rPr>
        <w:t>六、地价定义</w:t>
      </w:r>
      <w:bookmarkEnd w:id="42"/>
      <w:bookmarkEnd w:id="43"/>
      <w:bookmarkEnd w:id="44"/>
      <w:bookmarkEnd w:id="45"/>
      <w:bookmarkEnd w:id="46"/>
      <w:bookmarkEnd w:id="47"/>
      <w:bookmarkEnd w:id="48"/>
    </w:p>
    <w:p w14:paraId="7A2C3308">
      <w:pPr>
        <w:spacing w:line="360" w:lineRule="auto"/>
        <w:jc w:val="both"/>
        <w:rPr>
          <w:rFonts w:ascii="Arial" w:hAnsi="Arial" w:cs="Arial"/>
          <w:sz w:val="28"/>
        </w:rPr>
      </w:pPr>
      <w:r>
        <w:rPr>
          <w:rFonts w:ascii="Arial" w:hAnsi="Arial" w:cs="Arial"/>
          <w:sz w:val="28"/>
        </w:rPr>
        <w:t>（一）用途</w:t>
      </w:r>
    </w:p>
    <w:p w14:paraId="207D26D2">
      <w:pPr>
        <w:spacing w:line="360" w:lineRule="auto"/>
        <w:ind w:firstLine="560" w:firstLineChars="200"/>
        <w:jc w:val="both"/>
        <w:rPr>
          <w:rFonts w:ascii="Arial" w:hAnsi="Arial" w:cs="Arial"/>
          <w:sz w:val="28"/>
        </w:rPr>
      </w:pPr>
      <w:r>
        <w:rPr>
          <w:rFonts w:hint="eastAsia" w:ascii="Arial" w:hAnsi="Arial" w:cs="Arial"/>
          <w:sz w:val="28"/>
        </w:rPr>
        <w:t>经委托方介绍，拟与百泉庄</w:t>
      </w:r>
      <w:r>
        <w:rPr>
          <w:rFonts w:ascii="Arial" w:hAnsi="Arial" w:cs="Arial"/>
          <w:sz w:val="28"/>
        </w:rPr>
        <w:t>村经济</w:t>
      </w:r>
      <w:r>
        <w:rPr>
          <w:rFonts w:hint="eastAsia" w:ascii="Arial" w:hAnsi="Arial" w:cs="Arial"/>
          <w:sz w:val="28"/>
        </w:rPr>
        <w:t>组织采用股权合作模式开发建设昌平区马池口镇百泉庄村集体土地租赁住房项目，总</w:t>
      </w:r>
      <w:r>
        <w:rPr>
          <w:rFonts w:ascii="Arial" w:hAnsi="Arial" w:cs="Arial"/>
          <w:sz w:val="28"/>
        </w:rPr>
        <w:t>建设用地</w:t>
      </w:r>
      <w:r>
        <w:rPr>
          <w:rFonts w:hint="eastAsia" w:ascii="Arial" w:hAnsi="Arial" w:cs="Arial"/>
          <w:sz w:val="28"/>
        </w:rPr>
        <w:t>18132平方米</w:t>
      </w:r>
      <w:r>
        <w:rPr>
          <w:rFonts w:ascii="Arial" w:hAnsi="Arial" w:cs="Arial"/>
          <w:sz w:val="28"/>
        </w:rPr>
        <w:t>（</w:t>
      </w:r>
      <w:r>
        <w:rPr>
          <w:rFonts w:hint="eastAsia" w:ascii="Arial" w:hAnsi="Arial" w:cs="Arial"/>
          <w:sz w:val="28"/>
        </w:rPr>
        <w:t>27.20</w:t>
      </w:r>
      <w:r>
        <w:rPr>
          <w:rFonts w:ascii="Arial" w:hAnsi="Arial" w:cs="Arial"/>
          <w:sz w:val="28"/>
        </w:rPr>
        <w:t>亩）。</w:t>
      </w:r>
    </w:p>
    <w:p w14:paraId="2D808D4B">
      <w:pPr>
        <w:spacing w:line="360" w:lineRule="auto"/>
        <w:jc w:val="both"/>
        <w:rPr>
          <w:rFonts w:ascii="Arial" w:hAnsi="Arial" w:cs="Arial"/>
          <w:sz w:val="28"/>
        </w:rPr>
      </w:pPr>
      <w:r>
        <w:rPr>
          <w:rFonts w:ascii="Arial" w:hAnsi="Arial" w:cs="Arial"/>
          <w:sz w:val="28"/>
        </w:rPr>
        <w:t>（二）土地开发程度</w:t>
      </w:r>
    </w:p>
    <w:p w14:paraId="1C8884D4">
      <w:pPr>
        <w:spacing w:line="360" w:lineRule="auto"/>
        <w:ind w:firstLine="560" w:firstLineChars="200"/>
        <w:jc w:val="both"/>
        <w:rPr>
          <w:rFonts w:ascii="Arial" w:hAnsi="Arial" w:cs="Arial"/>
          <w:i/>
          <w:sz w:val="28"/>
        </w:rPr>
      </w:pPr>
      <w:r>
        <w:rPr>
          <w:rFonts w:ascii="Arial" w:hAnsi="Arial" w:cs="Arial"/>
          <w:sz w:val="28"/>
        </w:rPr>
        <w:t>根据委托方介绍及评估专业人员实地查勘，本次评估咨询对象实际土地开发程度为红线外市政基础设施为“三通”、宗地红线内场地未平整，宗地内有需要移除的树木。依据委托方介绍，该宗地以“三通一平”的形式作价入股，因此本次评估设定土地开发程度为红线外市政基础设施达“三通”、宗地红线内场地平整。</w:t>
      </w:r>
      <w:r>
        <w:rPr>
          <w:rFonts w:ascii="Arial" w:hAnsi="Arial" w:cs="Arial"/>
          <w:spacing w:val="-12"/>
          <w:sz w:val="28"/>
        </w:rPr>
        <w:t>咨询结果</w:t>
      </w:r>
      <w:r>
        <w:rPr>
          <w:rFonts w:ascii="Arial" w:hAnsi="Arial" w:cs="Arial"/>
          <w:sz w:val="28"/>
        </w:rPr>
        <w:t>未扣除</w:t>
      </w:r>
      <w:r>
        <w:rPr>
          <w:rFonts w:hint="eastAsia" w:ascii="Arial" w:hAnsi="Arial" w:cs="Arial"/>
          <w:sz w:val="28"/>
        </w:rPr>
        <w:t>宗地红线内</w:t>
      </w:r>
      <w:commentRangeStart w:id="0"/>
      <w:r>
        <w:rPr>
          <w:rFonts w:ascii="Arial" w:hAnsi="Arial" w:cs="Arial"/>
          <w:sz w:val="28"/>
        </w:rPr>
        <w:t>树木移除</w:t>
      </w:r>
      <w:commentRangeEnd w:id="0"/>
      <w:r>
        <w:rPr>
          <w:rStyle w:val="38"/>
        </w:rPr>
        <w:commentReference w:id="0"/>
      </w:r>
      <w:r>
        <w:rPr>
          <w:rFonts w:ascii="Arial" w:hAnsi="Arial" w:cs="Arial"/>
          <w:sz w:val="28"/>
        </w:rPr>
        <w:t>的费用。</w:t>
      </w:r>
    </w:p>
    <w:p w14:paraId="3CA0BA1C">
      <w:pPr>
        <w:numPr>
          <w:ilvl w:val="0"/>
          <w:numId w:val="6"/>
        </w:numPr>
        <w:spacing w:line="360" w:lineRule="auto"/>
        <w:jc w:val="both"/>
        <w:rPr>
          <w:rFonts w:ascii="Arial" w:hAnsi="Arial" w:cs="Arial"/>
          <w:sz w:val="28"/>
        </w:rPr>
      </w:pPr>
      <w:r>
        <w:rPr>
          <w:rFonts w:ascii="Arial" w:hAnsi="Arial" w:cs="Arial"/>
          <w:sz w:val="28"/>
        </w:rPr>
        <w:t>规划利用条件</w:t>
      </w:r>
    </w:p>
    <w:p w14:paraId="06D854E6">
      <w:pPr>
        <w:spacing w:line="360" w:lineRule="auto"/>
        <w:ind w:firstLine="560" w:firstLineChars="200"/>
        <w:jc w:val="both"/>
        <w:rPr>
          <w:rFonts w:ascii="Arial" w:hAnsi="Arial" w:cs="Arial"/>
          <w:sz w:val="28"/>
        </w:rPr>
      </w:pPr>
      <w:r>
        <w:rPr>
          <w:rFonts w:hint="eastAsia" w:ascii="Arial" w:hAnsi="Arial" w:cs="Arial"/>
          <w:sz w:val="28"/>
        </w:rPr>
        <w:t>根据委托方提供的经济技术指标，</w:t>
      </w:r>
      <w:r>
        <w:rPr>
          <w:rFonts w:ascii="Arial" w:hAnsi="Arial" w:cs="Arial"/>
          <w:sz w:val="28"/>
        </w:rPr>
        <w:t>咨询对象土地面积为</w:t>
      </w:r>
      <w:r>
        <w:rPr>
          <w:rFonts w:hint="eastAsia" w:ascii="Arial" w:hAnsi="Arial" w:cs="Arial"/>
          <w:sz w:val="28"/>
        </w:rPr>
        <w:t>18132</w:t>
      </w:r>
      <w:r>
        <w:rPr>
          <w:rFonts w:ascii="Arial" w:hAnsi="Arial" w:cs="Arial"/>
          <w:sz w:val="28"/>
        </w:rPr>
        <w:t>平方米，规划建筑面积为</w:t>
      </w:r>
      <w:r>
        <w:rPr>
          <w:rFonts w:hint="eastAsia" w:ascii="Arial" w:hAnsi="Arial" w:cs="Arial"/>
          <w:sz w:val="28"/>
        </w:rPr>
        <w:t>43300</w:t>
      </w:r>
      <w:r>
        <w:rPr>
          <w:rFonts w:ascii="Arial" w:hAnsi="Arial" w:cs="Arial"/>
          <w:sz w:val="28"/>
        </w:rPr>
        <w:t>平方米。其中</w:t>
      </w:r>
      <w:r>
        <w:rPr>
          <w:rFonts w:hint="eastAsia" w:ascii="Arial" w:hAnsi="Arial" w:cs="Arial"/>
          <w:sz w:val="28"/>
        </w:rPr>
        <w:t>地上</w:t>
      </w:r>
      <w:r>
        <w:rPr>
          <w:rFonts w:ascii="Arial" w:hAnsi="Arial" w:cs="Arial"/>
          <w:sz w:val="28"/>
        </w:rPr>
        <w:t>经营性用途用房</w:t>
      </w:r>
      <w:r>
        <w:rPr>
          <w:rFonts w:hint="eastAsia" w:ascii="Arial" w:hAnsi="Arial" w:cs="Arial"/>
          <w:sz w:val="28"/>
        </w:rPr>
        <w:t>31948</w:t>
      </w:r>
      <w:r>
        <w:rPr>
          <w:rFonts w:ascii="Arial" w:hAnsi="Arial" w:cs="Arial"/>
          <w:sz w:val="28"/>
        </w:rPr>
        <w:t>平方米（其中：</w:t>
      </w:r>
      <w:r>
        <w:rPr>
          <w:rFonts w:hint="eastAsia" w:ascii="Arial" w:hAnsi="Arial" w:cs="Arial"/>
          <w:sz w:val="28"/>
        </w:rPr>
        <w:t>公寓31152</w:t>
      </w:r>
      <w:r>
        <w:rPr>
          <w:rFonts w:ascii="Arial" w:hAnsi="Arial" w:cs="Arial"/>
          <w:sz w:val="28"/>
        </w:rPr>
        <w:t>平方米，商业</w:t>
      </w:r>
      <w:r>
        <w:rPr>
          <w:rFonts w:hint="eastAsia" w:ascii="Arial" w:hAnsi="Arial" w:cs="Arial"/>
          <w:sz w:val="28"/>
        </w:rPr>
        <w:t>796</w:t>
      </w:r>
      <w:r>
        <w:rPr>
          <w:rFonts w:ascii="Arial" w:hAnsi="Arial" w:cs="Arial"/>
          <w:sz w:val="28"/>
        </w:rPr>
        <w:t>平方米）；非经营性用途用房</w:t>
      </w:r>
      <w:r>
        <w:rPr>
          <w:rFonts w:hint="eastAsia" w:ascii="Arial" w:hAnsi="Arial" w:cs="Arial"/>
          <w:sz w:val="28"/>
        </w:rPr>
        <w:t>690</w:t>
      </w:r>
      <w:r>
        <w:rPr>
          <w:rFonts w:ascii="Arial" w:hAnsi="Arial" w:cs="Arial"/>
          <w:sz w:val="28"/>
        </w:rPr>
        <w:t>平方米（其中：配套设施</w:t>
      </w:r>
      <w:r>
        <w:rPr>
          <w:rFonts w:hint="eastAsia" w:ascii="Arial" w:hAnsi="Arial" w:cs="Arial"/>
          <w:sz w:val="28"/>
        </w:rPr>
        <w:t>540</w:t>
      </w:r>
      <w:r>
        <w:rPr>
          <w:rFonts w:ascii="Arial" w:hAnsi="Arial" w:cs="Arial"/>
          <w:sz w:val="28"/>
        </w:rPr>
        <w:t>平方米，</w:t>
      </w:r>
      <w:r>
        <w:rPr>
          <w:rFonts w:hint="eastAsia" w:ascii="Arial" w:hAnsi="Arial" w:cs="Arial"/>
          <w:sz w:val="28"/>
        </w:rPr>
        <w:t>地下建筑出入口150</w:t>
      </w:r>
      <w:r>
        <w:rPr>
          <w:rFonts w:ascii="Arial" w:hAnsi="Arial" w:cs="Arial"/>
          <w:sz w:val="28"/>
        </w:rPr>
        <w:t>平方米）</w:t>
      </w:r>
      <w:r>
        <w:rPr>
          <w:rFonts w:hint="eastAsia" w:ascii="Arial" w:hAnsi="Arial" w:cs="Arial"/>
          <w:sz w:val="28"/>
        </w:rPr>
        <w:t>；地下车库218个（约5556平方米），其他</w:t>
      </w:r>
      <w:r>
        <w:rPr>
          <w:rFonts w:ascii="Arial" w:hAnsi="Arial" w:cs="Arial"/>
          <w:sz w:val="28"/>
        </w:rPr>
        <w:t>非经营性用途用房</w:t>
      </w:r>
      <w:r>
        <w:rPr>
          <w:rFonts w:hint="eastAsia" w:ascii="Arial" w:hAnsi="Arial" w:cs="Arial"/>
          <w:sz w:val="28"/>
        </w:rPr>
        <w:t>约5106平方米。规划利用条件如下：</w:t>
      </w:r>
    </w:p>
    <w:tbl>
      <w:tblPr>
        <w:tblStyle w:val="32"/>
        <w:tblpPr w:leftFromText="180" w:rightFromText="180" w:vertAnchor="text" w:horzAnchor="margin" w:tblpX="1" w:tblpY="143"/>
        <w:tblW w:w="945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65"/>
        <w:gridCol w:w="1020"/>
        <w:gridCol w:w="3341"/>
        <w:gridCol w:w="1488"/>
        <w:gridCol w:w="2436"/>
      </w:tblGrid>
      <w:tr w14:paraId="65885AF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bottom w:val="single" w:color="auto" w:sz="4" w:space="0"/>
              <w:right w:val="single" w:color="auto" w:sz="4" w:space="0"/>
            </w:tcBorders>
            <w:noWrap/>
            <w:vAlign w:val="center"/>
          </w:tcPr>
          <w:p w14:paraId="0C63A68D">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color="auto" w:sz="4" w:space="0"/>
              <w:right w:val="single" w:color="auto" w:sz="4" w:space="0"/>
            </w:tcBorders>
            <w:noWrap/>
            <w:vAlign w:val="center"/>
          </w:tcPr>
          <w:p w14:paraId="14746EF7">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color="auto" w:sz="4" w:space="0"/>
              <w:right w:val="single" w:color="auto" w:sz="4" w:space="0"/>
            </w:tcBorders>
            <w:noWrap/>
            <w:vAlign w:val="center"/>
          </w:tcPr>
          <w:p w14:paraId="412D48D9">
            <w:pPr>
              <w:widowControl/>
              <w:spacing w:line="240" w:lineRule="auto"/>
              <w:jc w:val="center"/>
              <w:rPr>
                <w:rFonts w:ascii="Arial" w:hAnsi="Arial" w:cs="Arial"/>
                <w:color w:val="000000"/>
                <w:sz w:val="20"/>
              </w:rPr>
            </w:pPr>
            <w:commentRangeStart w:id="1"/>
            <w:r>
              <w:rPr>
                <w:rFonts w:ascii="Arial" w:hAnsi="Arial" w:cs="Arial"/>
                <w:color w:val="000000"/>
                <w:sz w:val="20"/>
              </w:rPr>
              <w:t>数量</w:t>
            </w:r>
            <w:commentRangeEnd w:id="1"/>
            <w:r>
              <w:rPr>
                <w:rStyle w:val="38"/>
              </w:rPr>
              <w:commentReference w:id="1"/>
            </w:r>
          </w:p>
        </w:tc>
      </w:tr>
      <w:tr w14:paraId="57AD54E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F7AC284">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color="auto" w:sz="4" w:space="0"/>
              <w:right w:val="single" w:color="auto" w:sz="4" w:space="0"/>
            </w:tcBorders>
            <w:noWrap/>
            <w:vAlign w:val="center"/>
          </w:tcPr>
          <w:p w14:paraId="480984CA">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6EA4C48">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1FCBF8E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721D7D47">
            <w:pPr>
              <w:widowControl/>
              <w:spacing w:line="240" w:lineRule="auto"/>
              <w:jc w:val="center"/>
              <w:rPr>
                <w:rFonts w:ascii="Arial" w:hAnsi="Arial" w:cs="Arial"/>
                <w:color w:val="000000"/>
                <w:sz w:val="20"/>
              </w:rPr>
            </w:pPr>
            <w:r>
              <w:rPr>
                <w:rFonts w:hint="eastAsia" w:ascii="Arial" w:hAnsi="Arial" w:cs="Arial"/>
                <w:color w:val="000000"/>
                <w:sz w:val="20"/>
              </w:rPr>
              <w:t>建设用地面积</w:t>
            </w:r>
          </w:p>
        </w:tc>
        <w:tc>
          <w:tcPr>
            <w:tcW w:w="1488" w:type="dxa"/>
            <w:tcBorders>
              <w:top w:val="nil"/>
              <w:left w:val="nil"/>
              <w:bottom w:val="single" w:color="auto" w:sz="4" w:space="0"/>
              <w:right w:val="single" w:color="auto" w:sz="4" w:space="0"/>
            </w:tcBorders>
            <w:noWrap/>
            <w:vAlign w:val="center"/>
          </w:tcPr>
          <w:p w14:paraId="613F1F81">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427636E">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3083B28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ED370AA">
            <w:pPr>
              <w:widowControl/>
              <w:spacing w:line="240" w:lineRule="auto"/>
              <w:jc w:val="center"/>
              <w:rPr>
                <w:rFonts w:ascii="Arial" w:hAnsi="Arial" w:cs="Arial"/>
                <w:color w:val="000000"/>
                <w:sz w:val="20"/>
              </w:rPr>
            </w:pPr>
            <w:r>
              <w:rPr>
                <w:rFonts w:hint="eastAsia" w:ascii="Arial" w:hAnsi="Arial" w:cs="Arial"/>
                <w:color w:val="000000"/>
                <w:sz w:val="20"/>
              </w:rPr>
              <w:t>总建筑面积</w:t>
            </w:r>
          </w:p>
        </w:tc>
        <w:tc>
          <w:tcPr>
            <w:tcW w:w="1488" w:type="dxa"/>
            <w:tcBorders>
              <w:top w:val="nil"/>
              <w:left w:val="nil"/>
              <w:bottom w:val="single" w:color="auto" w:sz="4" w:space="0"/>
              <w:right w:val="single" w:color="auto" w:sz="4" w:space="0"/>
            </w:tcBorders>
            <w:noWrap/>
            <w:vAlign w:val="center"/>
          </w:tcPr>
          <w:p w14:paraId="11D94023">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C891166">
            <w:pPr>
              <w:widowControl/>
              <w:spacing w:line="240" w:lineRule="auto"/>
              <w:jc w:val="center"/>
              <w:rPr>
                <w:rFonts w:ascii="Arial" w:hAnsi="Arial" w:cs="Arial"/>
                <w:color w:val="000000"/>
                <w:sz w:val="20"/>
              </w:rPr>
            </w:pPr>
            <w:r>
              <w:rPr>
                <w:rFonts w:hint="eastAsia" w:ascii="Arial" w:hAnsi="Arial" w:cs="Arial"/>
                <w:color w:val="000000"/>
                <w:sz w:val="20"/>
              </w:rPr>
              <w:t>43300</w:t>
            </w:r>
          </w:p>
        </w:tc>
      </w:tr>
      <w:tr w14:paraId="444C1F6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restart"/>
            <w:tcBorders>
              <w:top w:val="nil"/>
              <w:right w:val="single" w:color="auto" w:sz="4" w:space="0"/>
            </w:tcBorders>
            <w:noWrap/>
            <w:vAlign w:val="center"/>
          </w:tcPr>
          <w:p w14:paraId="38D0C096">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color="auto" w:sz="4" w:space="0"/>
              <w:left w:val="nil"/>
              <w:bottom w:val="single" w:color="auto" w:sz="4" w:space="0"/>
              <w:right w:val="single" w:color="auto" w:sz="4" w:space="0"/>
            </w:tcBorders>
            <w:noWrap/>
            <w:vAlign w:val="center"/>
          </w:tcPr>
          <w:p w14:paraId="7BBE89F3">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color="auto" w:sz="4" w:space="0"/>
              <w:right w:val="single" w:color="auto" w:sz="4" w:space="0"/>
            </w:tcBorders>
            <w:noWrap/>
            <w:vAlign w:val="center"/>
          </w:tcPr>
          <w:p w14:paraId="0DE1BBA7">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F243770">
            <w:pPr>
              <w:widowControl/>
              <w:spacing w:line="240" w:lineRule="auto"/>
              <w:jc w:val="center"/>
              <w:rPr>
                <w:rFonts w:ascii="Arial" w:hAnsi="Arial" w:cs="Arial"/>
                <w:color w:val="000000"/>
                <w:sz w:val="20"/>
              </w:rPr>
            </w:pPr>
            <w:r>
              <w:rPr>
                <w:rFonts w:hint="eastAsia" w:ascii="Arial" w:hAnsi="Arial" w:cs="Arial"/>
                <w:color w:val="000000"/>
                <w:sz w:val="20"/>
              </w:rPr>
              <w:t>32638</w:t>
            </w:r>
          </w:p>
        </w:tc>
      </w:tr>
      <w:tr w14:paraId="0B45DBC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D3FF890">
            <w:pPr>
              <w:widowControl/>
              <w:spacing w:line="240" w:lineRule="auto"/>
              <w:jc w:val="center"/>
              <w:rPr>
                <w:rFonts w:ascii="Arial" w:hAnsi="Arial" w:cs="Arial"/>
                <w:color w:val="000000"/>
                <w:sz w:val="20"/>
              </w:rPr>
            </w:pPr>
          </w:p>
        </w:tc>
        <w:tc>
          <w:tcPr>
            <w:tcW w:w="1020" w:type="dxa"/>
            <w:vMerge w:val="restart"/>
            <w:tcBorders>
              <w:top w:val="nil"/>
              <w:left w:val="single" w:color="auto" w:sz="4" w:space="0"/>
              <w:bottom w:val="single" w:color="auto" w:sz="4" w:space="0"/>
              <w:right w:val="single" w:color="auto" w:sz="4" w:space="0"/>
            </w:tcBorders>
            <w:noWrap/>
            <w:vAlign w:val="center"/>
          </w:tcPr>
          <w:p w14:paraId="15B1E032">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color="auto" w:sz="4" w:space="0"/>
              <w:right w:val="single" w:color="auto" w:sz="4" w:space="0"/>
            </w:tcBorders>
            <w:noWrap/>
            <w:vAlign w:val="center"/>
          </w:tcPr>
          <w:p w14:paraId="51CB3C05">
            <w:pPr>
              <w:widowControl/>
              <w:spacing w:line="240" w:lineRule="auto"/>
              <w:jc w:val="center"/>
              <w:rPr>
                <w:rFonts w:ascii="Arial" w:hAnsi="Arial" w:cs="Arial"/>
                <w:color w:val="000000"/>
                <w:sz w:val="20"/>
              </w:rPr>
            </w:pPr>
            <w:r>
              <w:rPr>
                <w:rFonts w:hint="eastAsia" w:ascii="Arial" w:hAnsi="Arial" w:cs="Arial"/>
                <w:color w:val="000000"/>
                <w:sz w:val="20"/>
              </w:rPr>
              <w:t>公寓建筑面积</w:t>
            </w:r>
          </w:p>
        </w:tc>
        <w:tc>
          <w:tcPr>
            <w:tcW w:w="1488" w:type="dxa"/>
            <w:tcBorders>
              <w:top w:val="nil"/>
              <w:left w:val="nil"/>
              <w:bottom w:val="single" w:color="auto" w:sz="4" w:space="0"/>
              <w:right w:val="single" w:color="auto" w:sz="4" w:space="0"/>
            </w:tcBorders>
            <w:noWrap/>
            <w:vAlign w:val="center"/>
          </w:tcPr>
          <w:p w14:paraId="5E0EE97C">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E1D47E2">
            <w:pPr>
              <w:widowControl/>
              <w:spacing w:line="240" w:lineRule="auto"/>
              <w:jc w:val="center"/>
              <w:rPr>
                <w:rFonts w:ascii="Arial" w:hAnsi="Arial" w:cs="Arial"/>
                <w:color w:val="000000"/>
                <w:sz w:val="20"/>
              </w:rPr>
            </w:pPr>
            <w:r>
              <w:rPr>
                <w:rFonts w:hint="eastAsia" w:ascii="Arial" w:hAnsi="Arial" w:cs="Arial"/>
                <w:color w:val="000000"/>
                <w:sz w:val="20"/>
              </w:rPr>
              <w:t>31152</w:t>
            </w:r>
          </w:p>
        </w:tc>
      </w:tr>
      <w:tr w14:paraId="459EC28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722790BC">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10BE5046">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75E0C06B">
            <w:pPr>
              <w:widowControl/>
              <w:spacing w:line="240" w:lineRule="auto"/>
              <w:jc w:val="center"/>
              <w:rPr>
                <w:rFonts w:ascii="Arial" w:hAnsi="Arial" w:cs="Arial"/>
                <w:color w:val="000000"/>
                <w:sz w:val="20"/>
              </w:rPr>
            </w:pPr>
            <w:r>
              <w:rPr>
                <w:rFonts w:hint="eastAsia" w:ascii="Arial" w:hAnsi="Arial" w:cs="Arial"/>
                <w:color w:val="000000"/>
                <w:sz w:val="20"/>
              </w:rPr>
              <w:t>商业建筑面积</w:t>
            </w:r>
          </w:p>
        </w:tc>
        <w:tc>
          <w:tcPr>
            <w:tcW w:w="1488" w:type="dxa"/>
            <w:tcBorders>
              <w:top w:val="nil"/>
              <w:left w:val="nil"/>
              <w:bottom w:val="single" w:color="auto" w:sz="4" w:space="0"/>
              <w:right w:val="single" w:color="auto" w:sz="4" w:space="0"/>
            </w:tcBorders>
            <w:noWrap/>
            <w:vAlign w:val="center"/>
          </w:tcPr>
          <w:p w14:paraId="3EB051AC">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2B69429">
            <w:pPr>
              <w:widowControl/>
              <w:spacing w:line="240" w:lineRule="auto"/>
              <w:jc w:val="center"/>
              <w:rPr>
                <w:rFonts w:ascii="Arial" w:hAnsi="Arial" w:cs="Arial"/>
                <w:color w:val="000000"/>
                <w:sz w:val="20"/>
              </w:rPr>
            </w:pPr>
            <w:r>
              <w:rPr>
                <w:rFonts w:hint="eastAsia" w:ascii="Arial" w:hAnsi="Arial" w:cs="Arial"/>
                <w:color w:val="000000"/>
                <w:sz w:val="20"/>
              </w:rPr>
              <w:t>796</w:t>
            </w:r>
          </w:p>
        </w:tc>
      </w:tr>
      <w:tr w14:paraId="72D016C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6071B47">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600D5982">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7A9754A6">
            <w:pPr>
              <w:widowControl/>
              <w:spacing w:line="240" w:lineRule="auto"/>
              <w:jc w:val="center"/>
              <w:rPr>
                <w:rFonts w:ascii="Arial" w:hAnsi="Arial" w:cs="Arial"/>
                <w:color w:val="000000"/>
                <w:sz w:val="20"/>
              </w:rPr>
            </w:pPr>
            <w:r>
              <w:rPr>
                <w:rFonts w:hint="eastAsia" w:ascii="Arial" w:hAnsi="Arial" w:cs="Arial"/>
                <w:color w:val="000000"/>
                <w:sz w:val="20"/>
              </w:rPr>
              <w:t>地下建筑出入口</w:t>
            </w:r>
          </w:p>
        </w:tc>
        <w:tc>
          <w:tcPr>
            <w:tcW w:w="1488" w:type="dxa"/>
            <w:tcBorders>
              <w:top w:val="nil"/>
              <w:left w:val="nil"/>
              <w:bottom w:val="single" w:color="auto" w:sz="4" w:space="0"/>
              <w:right w:val="single" w:color="auto" w:sz="4" w:space="0"/>
            </w:tcBorders>
            <w:noWrap/>
            <w:vAlign w:val="center"/>
          </w:tcPr>
          <w:p w14:paraId="60001DC9">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8E23484">
            <w:pPr>
              <w:widowControl/>
              <w:spacing w:line="240" w:lineRule="auto"/>
              <w:jc w:val="center"/>
              <w:rPr>
                <w:rFonts w:ascii="Arial" w:hAnsi="Arial" w:cs="Arial"/>
                <w:color w:val="000000"/>
                <w:sz w:val="20"/>
              </w:rPr>
            </w:pPr>
            <w:r>
              <w:rPr>
                <w:rFonts w:hint="eastAsia" w:ascii="Arial" w:hAnsi="Arial" w:cs="Arial"/>
                <w:color w:val="000000"/>
                <w:sz w:val="20"/>
              </w:rPr>
              <w:t>150</w:t>
            </w:r>
          </w:p>
        </w:tc>
      </w:tr>
      <w:tr w14:paraId="20FA8AC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739F3046">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6F193980">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3BABCE57">
            <w:pPr>
              <w:widowControl/>
              <w:spacing w:line="240" w:lineRule="auto"/>
              <w:jc w:val="center"/>
              <w:rPr>
                <w:rFonts w:ascii="Arial" w:hAnsi="Arial" w:cs="Arial"/>
                <w:color w:val="000000"/>
                <w:sz w:val="20"/>
              </w:rPr>
            </w:pPr>
            <w:r>
              <w:rPr>
                <w:rFonts w:hint="eastAsia" w:ascii="Arial" w:hAnsi="Arial" w:cs="Arial"/>
                <w:color w:val="000000"/>
                <w:sz w:val="20"/>
              </w:rPr>
              <w:t>配套设施面积</w:t>
            </w:r>
          </w:p>
        </w:tc>
        <w:tc>
          <w:tcPr>
            <w:tcW w:w="1488" w:type="dxa"/>
            <w:tcBorders>
              <w:top w:val="nil"/>
              <w:left w:val="nil"/>
              <w:bottom w:val="single" w:color="auto" w:sz="4" w:space="0"/>
              <w:right w:val="single" w:color="auto" w:sz="4" w:space="0"/>
            </w:tcBorders>
            <w:noWrap/>
            <w:vAlign w:val="center"/>
          </w:tcPr>
          <w:p w14:paraId="0437B5C8">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7DBB1DD">
            <w:pPr>
              <w:widowControl/>
              <w:spacing w:line="240" w:lineRule="auto"/>
              <w:jc w:val="center"/>
              <w:rPr>
                <w:rFonts w:ascii="Arial" w:hAnsi="Arial" w:cs="Arial"/>
                <w:color w:val="000000"/>
                <w:sz w:val="20"/>
              </w:rPr>
            </w:pPr>
            <w:r>
              <w:rPr>
                <w:rFonts w:hint="eastAsia" w:ascii="Arial" w:hAnsi="Arial" w:cs="Arial"/>
                <w:color w:val="000000"/>
                <w:sz w:val="20"/>
              </w:rPr>
              <w:t>540</w:t>
            </w:r>
          </w:p>
        </w:tc>
      </w:tr>
      <w:tr w14:paraId="18B3A23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7A49BEED">
            <w:pPr>
              <w:widowControl/>
              <w:spacing w:line="240" w:lineRule="auto"/>
              <w:jc w:val="center"/>
              <w:rPr>
                <w:rFonts w:ascii="Arial" w:hAnsi="Arial" w:cs="Arial"/>
                <w:color w:val="000000"/>
                <w:sz w:val="20"/>
              </w:rPr>
            </w:pPr>
          </w:p>
        </w:tc>
        <w:tc>
          <w:tcPr>
            <w:tcW w:w="4361" w:type="dxa"/>
            <w:gridSpan w:val="2"/>
            <w:tcBorders>
              <w:top w:val="single" w:color="auto" w:sz="4" w:space="0"/>
              <w:left w:val="single" w:color="auto" w:sz="4" w:space="0"/>
              <w:bottom w:val="single" w:color="auto" w:sz="4" w:space="0"/>
              <w:right w:val="single" w:color="auto" w:sz="4" w:space="0"/>
            </w:tcBorders>
            <w:vAlign w:val="center"/>
          </w:tcPr>
          <w:p w14:paraId="13C9374A">
            <w:pPr>
              <w:widowControl/>
              <w:spacing w:line="240" w:lineRule="auto"/>
              <w:jc w:val="center"/>
              <w:rPr>
                <w:rFonts w:ascii="Arial" w:hAnsi="Arial" w:cs="Arial"/>
                <w:color w:val="000000"/>
                <w:sz w:val="20"/>
              </w:rPr>
            </w:pPr>
            <w:r>
              <w:rPr>
                <w:rFonts w:ascii="Arial" w:hAnsi="Arial" w:cs="Arial"/>
                <w:color w:val="000000"/>
                <w:sz w:val="20"/>
              </w:rPr>
              <w:t>地下建筑面积</w:t>
            </w:r>
          </w:p>
        </w:tc>
        <w:tc>
          <w:tcPr>
            <w:tcW w:w="1488" w:type="dxa"/>
            <w:tcBorders>
              <w:top w:val="nil"/>
              <w:left w:val="nil"/>
              <w:bottom w:val="single" w:color="auto" w:sz="4" w:space="0"/>
              <w:right w:val="single" w:color="auto" w:sz="4" w:space="0"/>
            </w:tcBorders>
            <w:noWrap/>
            <w:vAlign w:val="center"/>
          </w:tcPr>
          <w:p w14:paraId="50BFFED3">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2786B38">
            <w:pPr>
              <w:widowControl/>
              <w:spacing w:line="240" w:lineRule="auto"/>
              <w:jc w:val="center"/>
              <w:rPr>
                <w:rFonts w:ascii="Arial" w:hAnsi="Arial" w:cs="Arial"/>
                <w:color w:val="000000"/>
                <w:sz w:val="20"/>
              </w:rPr>
            </w:pPr>
            <w:r>
              <w:rPr>
                <w:rFonts w:hint="eastAsia" w:ascii="Arial" w:hAnsi="Arial" w:cs="Arial"/>
                <w:color w:val="000000"/>
                <w:sz w:val="20"/>
              </w:rPr>
              <w:t>10662</w:t>
            </w:r>
          </w:p>
        </w:tc>
      </w:tr>
      <w:tr w14:paraId="3CDE6F0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1F157906">
            <w:pPr>
              <w:widowControl/>
              <w:spacing w:line="240" w:lineRule="auto"/>
              <w:jc w:val="center"/>
              <w:rPr>
                <w:rFonts w:ascii="Arial" w:hAnsi="Arial" w:cs="Arial"/>
                <w:color w:val="000000"/>
                <w:sz w:val="20"/>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14:paraId="7AE409CA">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color="auto" w:sz="4" w:space="0"/>
              <w:left w:val="nil"/>
              <w:bottom w:val="single" w:color="auto" w:sz="4" w:space="0"/>
              <w:right w:val="single" w:color="auto" w:sz="4" w:space="0"/>
            </w:tcBorders>
            <w:noWrap/>
            <w:vAlign w:val="center"/>
          </w:tcPr>
          <w:p w14:paraId="1949A6E8">
            <w:pPr>
              <w:widowControl/>
              <w:spacing w:line="240" w:lineRule="auto"/>
              <w:jc w:val="center"/>
              <w:rPr>
                <w:rFonts w:ascii="Arial" w:hAnsi="Arial" w:cs="Arial"/>
                <w:color w:val="000000"/>
                <w:sz w:val="20"/>
              </w:rPr>
            </w:pPr>
            <w:r>
              <w:rPr>
                <w:rFonts w:hint="eastAsia" w:ascii="Arial" w:hAnsi="Arial" w:cs="Arial"/>
                <w:color w:val="000000"/>
                <w:sz w:val="20"/>
              </w:rPr>
              <w:t>人防建筑面积</w:t>
            </w:r>
          </w:p>
        </w:tc>
        <w:tc>
          <w:tcPr>
            <w:tcW w:w="1488" w:type="dxa"/>
            <w:tcBorders>
              <w:top w:val="nil"/>
              <w:left w:val="nil"/>
              <w:bottom w:val="single" w:color="auto" w:sz="4" w:space="0"/>
              <w:right w:val="single" w:color="auto" w:sz="4" w:space="0"/>
            </w:tcBorders>
            <w:noWrap/>
            <w:vAlign w:val="center"/>
          </w:tcPr>
          <w:p w14:paraId="4B0AB606">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5794D34">
            <w:pPr>
              <w:widowControl/>
              <w:spacing w:line="240" w:lineRule="auto"/>
              <w:jc w:val="center"/>
              <w:rPr>
                <w:rFonts w:ascii="Arial" w:hAnsi="Arial" w:cs="Arial"/>
                <w:color w:val="000000"/>
                <w:sz w:val="20"/>
              </w:rPr>
            </w:pPr>
            <w:r>
              <w:rPr>
                <w:rFonts w:hint="eastAsia" w:ascii="Arial" w:hAnsi="Arial" w:cs="Arial"/>
                <w:color w:val="000000"/>
                <w:sz w:val="20"/>
              </w:rPr>
              <w:t>2837</w:t>
            </w:r>
          </w:p>
        </w:tc>
      </w:tr>
      <w:tr w14:paraId="28770CE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546648DA">
            <w:pPr>
              <w:widowControl/>
              <w:spacing w:line="240" w:lineRule="auto"/>
              <w:jc w:val="center"/>
              <w:rPr>
                <w:rFonts w:ascii="Arial" w:hAnsi="Arial" w:cs="Arial"/>
                <w:color w:val="000000"/>
                <w:sz w:val="20"/>
              </w:rPr>
            </w:pPr>
          </w:p>
        </w:tc>
        <w:tc>
          <w:tcPr>
            <w:tcW w:w="1020" w:type="dxa"/>
            <w:vMerge w:val="continue"/>
            <w:tcBorders>
              <w:top w:val="single" w:color="auto" w:sz="4" w:space="0"/>
              <w:left w:val="single" w:color="auto" w:sz="4" w:space="0"/>
              <w:right w:val="single" w:color="auto" w:sz="4" w:space="0"/>
            </w:tcBorders>
            <w:vAlign w:val="center"/>
          </w:tcPr>
          <w:p w14:paraId="146ECBE4">
            <w:pPr>
              <w:widowControl/>
              <w:spacing w:line="240" w:lineRule="auto"/>
              <w:jc w:val="center"/>
              <w:rPr>
                <w:rFonts w:ascii="Arial" w:hAnsi="Arial" w:cs="Arial"/>
                <w:color w:val="000000"/>
                <w:sz w:val="20"/>
              </w:rPr>
            </w:pPr>
          </w:p>
        </w:tc>
        <w:tc>
          <w:tcPr>
            <w:tcW w:w="3341" w:type="dxa"/>
            <w:tcBorders>
              <w:top w:val="single" w:color="auto" w:sz="4" w:space="0"/>
              <w:left w:val="nil"/>
              <w:bottom w:val="single" w:color="auto" w:sz="4" w:space="0"/>
              <w:right w:val="single" w:color="auto" w:sz="4" w:space="0"/>
            </w:tcBorders>
            <w:noWrap/>
            <w:vAlign w:val="center"/>
          </w:tcPr>
          <w:p w14:paraId="2AB13D8D">
            <w:pPr>
              <w:widowControl/>
              <w:spacing w:line="240" w:lineRule="auto"/>
              <w:jc w:val="center"/>
              <w:rPr>
                <w:rFonts w:ascii="Arial" w:hAnsi="Arial" w:cs="Arial"/>
                <w:color w:val="000000"/>
                <w:sz w:val="20"/>
              </w:rPr>
            </w:pPr>
            <w:r>
              <w:rPr>
                <w:rFonts w:hint="eastAsia" w:ascii="Arial" w:hAnsi="Arial" w:cs="Arial"/>
                <w:color w:val="000000"/>
                <w:sz w:val="20"/>
              </w:rPr>
              <w:t>地下机动车库面积</w:t>
            </w:r>
          </w:p>
        </w:tc>
        <w:tc>
          <w:tcPr>
            <w:tcW w:w="1488" w:type="dxa"/>
            <w:tcBorders>
              <w:top w:val="nil"/>
              <w:left w:val="nil"/>
              <w:bottom w:val="single" w:color="auto" w:sz="4" w:space="0"/>
              <w:right w:val="single" w:color="auto" w:sz="4" w:space="0"/>
            </w:tcBorders>
            <w:noWrap/>
            <w:vAlign w:val="center"/>
          </w:tcPr>
          <w:p w14:paraId="578F83B1">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8EBB5D0">
            <w:pPr>
              <w:widowControl/>
              <w:spacing w:line="240" w:lineRule="auto"/>
              <w:jc w:val="center"/>
              <w:rPr>
                <w:rFonts w:ascii="Arial" w:hAnsi="Arial" w:cs="Arial"/>
                <w:color w:val="000000"/>
                <w:sz w:val="20"/>
              </w:rPr>
            </w:pPr>
            <w:r>
              <w:rPr>
                <w:rFonts w:hint="eastAsia" w:ascii="Arial" w:hAnsi="Arial" w:cs="Arial"/>
                <w:color w:val="000000"/>
                <w:sz w:val="20"/>
              </w:rPr>
              <w:t>5556</w:t>
            </w:r>
          </w:p>
        </w:tc>
      </w:tr>
      <w:tr w14:paraId="2E3AF8D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2545A2D8">
            <w:pPr>
              <w:widowControl/>
              <w:spacing w:line="240" w:lineRule="auto"/>
              <w:jc w:val="center"/>
              <w:rPr>
                <w:rFonts w:ascii="Arial" w:hAnsi="Arial" w:cs="Arial"/>
                <w:color w:val="000000"/>
                <w:sz w:val="20"/>
              </w:rPr>
            </w:pPr>
          </w:p>
        </w:tc>
        <w:tc>
          <w:tcPr>
            <w:tcW w:w="1020" w:type="dxa"/>
            <w:vMerge w:val="continue"/>
            <w:tcBorders>
              <w:left w:val="single" w:color="auto" w:sz="4" w:space="0"/>
              <w:right w:val="single" w:color="auto" w:sz="4" w:space="0"/>
            </w:tcBorders>
            <w:vAlign w:val="center"/>
          </w:tcPr>
          <w:p w14:paraId="51CC21ED">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2E3016A4">
            <w:pPr>
              <w:widowControl/>
              <w:spacing w:line="240" w:lineRule="auto"/>
              <w:jc w:val="center"/>
              <w:rPr>
                <w:rFonts w:ascii="Arial" w:hAnsi="Arial" w:cs="Arial"/>
                <w:color w:val="000000"/>
                <w:sz w:val="20"/>
              </w:rPr>
            </w:pPr>
            <w:r>
              <w:rPr>
                <w:rFonts w:hint="eastAsia" w:ascii="Arial" w:hAnsi="Arial" w:cs="Arial"/>
                <w:color w:val="000000"/>
                <w:sz w:val="20"/>
              </w:rPr>
              <w:t>自行车</w:t>
            </w:r>
          </w:p>
        </w:tc>
        <w:tc>
          <w:tcPr>
            <w:tcW w:w="1488" w:type="dxa"/>
            <w:tcBorders>
              <w:top w:val="nil"/>
              <w:left w:val="nil"/>
              <w:bottom w:val="single" w:color="auto" w:sz="4" w:space="0"/>
              <w:right w:val="single" w:color="auto" w:sz="4" w:space="0"/>
            </w:tcBorders>
            <w:noWrap/>
            <w:vAlign w:val="center"/>
          </w:tcPr>
          <w:p w14:paraId="7FF3143F">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5B3C08C">
            <w:pPr>
              <w:widowControl/>
              <w:spacing w:line="240" w:lineRule="auto"/>
              <w:jc w:val="center"/>
              <w:rPr>
                <w:rFonts w:ascii="Arial" w:hAnsi="Arial" w:cs="Arial"/>
                <w:color w:val="000000"/>
                <w:sz w:val="20"/>
              </w:rPr>
            </w:pPr>
            <w:r>
              <w:rPr>
                <w:rFonts w:hint="eastAsia" w:ascii="Arial" w:hAnsi="Arial" w:cs="Arial"/>
                <w:color w:val="000000"/>
                <w:sz w:val="20"/>
              </w:rPr>
              <w:t>979</w:t>
            </w:r>
          </w:p>
        </w:tc>
      </w:tr>
      <w:tr w14:paraId="23B7964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1EBD7F57">
            <w:pPr>
              <w:widowControl/>
              <w:spacing w:line="240" w:lineRule="auto"/>
              <w:jc w:val="center"/>
              <w:rPr>
                <w:rFonts w:ascii="Arial" w:hAnsi="Arial" w:cs="Arial"/>
                <w:color w:val="000000"/>
                <w:sz w:val="20"/>
              </w:rPr>
            </w:pPr>
          </w:p>
        </w:tc>
        <w:tc>
          <w:tcPr>
            <w:tcW w:w="1020" w:type="dxa"/>
            <w:vMerge w:val="continue"/>
            <w:tcBorders>
              <w:left w:val="single" w:color="auto" w:sz="4" w:space="0"/>
              <w:bottom w:val="single" w:color="auto" w:sz="4" w:space="0"/>
              <w:right w:val="single" w:color="auto" w:sz="4" w:space="0"/>
            </w:tcBorders>
            <w:vAlign w:val="center"/>
          </w:tcPr>
          <w:p w14:paraId="5999F8EC">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778FA381">
            <w:pPr>
              <w:widowControl/>
              <w:spacing w:line="240" w:lineRule="auto"/>
              <w:jc w:val="center"/>
              <w:rPr>
                <w:rFonts w:ascii="Arial" w:hAnsi="Arial" w:cs="Arial"/>
                <w:color w:val="000000"/>
                <w:sz w:val="20"/>
              </w:rPr>
            </w:pPr>
            <w:r>
              <w:rPr>
                <w:rFonts w:hint="eastAsia" w:ascii="Arial" w:hAnsi="Arial" w:cs="Arial"/>
                <w:color w:val="000000"/>
                <w:sz w:val="20"/>
              </w:rPr>
              <w:t>设备用房</w:t>
            </w:r>
          </w:p>
        </w:tc>
        <w:tc>
          <w:tcPr>
            <w:tcW w:w="1488" w:type="dxa"/>
            <w:tcBorders>
              <w:top w:val="nil"/>
              <w:left w:val="nil"/>
              <w:bottom w:val="single" w:color="auto" w:sz="4" w:space="0"/>
              <w:right w:val="single" w:color="auto" w:sz="4" w:space="0"/>
            </w:tcBorders>
            <w:noWrap/>
            <w:vAlign w:val="center"/>
          </w:tcPr>
          <w:p w14:paraId="6EC6E87E">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A04089A">
            <w:pPr>
              <w:widowControl/>
              <w:spacing w:line="240" w:lineRule="auto"/>
              <w:jc w:val="center"/>
              <w:rPr>
                <w:rFonts w:ascii="Arial" w:hAnsi="Arial" w:cs="Arial"/>
                <w:color w:val="000000"/>
                <w:sz w:val="20"/>
              </w:rPr>
            </w:pPr>
            <w:r>
              <w:rPr>
                <w:rFonts w:hint="eastAsia" w:ascii="Arial" w:hAnsi="Arial" w:cs="Arial"/>
                <w:color w:val="000000"/>
                <w:sz w:val="20"/>
              </w:rPr>
              <w:t>12900</w:t>
            </w:r>
          </w:p>
        </w:tc>
      </w:tr>
      <w:tr w14:paraId="679682D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4DE2ACD6">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color="auto" w:sz="4" w:space="0"/>
              <w:right w:val="single" w:color="auto" w:sz="4" w:space="0"/>
            </w:tcBorders>
            <w:noWrap/>
            <w:vAlign w:val="center"/>
          </w:tcPr>
          <w:p w14:paraId="015F2C71">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color="auto" w:sz="4" w:space="0"/>
              <w:right w:val="single" w:color="auto" w:sz="4" w:space="0"/>
            </w:tcBorders>
            <w:noWrap/>
            <w:vAlign w:val="center"/>
          </w:tcPr>
          <w:p w14:paraId="29E1906D">
            <w:pPr>
              <w:widowControl/>
              <w:spacing w:line="240" w:lineRule="auto"/>
              <w:jc w:val="center"/>
              <w:rPr>
                <w:rFonts w:ascii="Arial" w:hAnsi="Arial" w:cs="Arial"/>
                <w:color w:val="000000"/>
                <w:sz w:val="20"/>
              </w:rPr>
            </w:pPr>
            <w:r>
              <w:rPr>
                <w:rFonts w:hint="eastAsia" w:ascii="Arial" w:hAnsi="Arial" w:cs="Arial"/>
                <w:color w:val="000000"/>
                <w:sz w:val="20"/>
              </w:rPr>
              <w:t>1090</w:t>
            </w:r>
          </w:p>
        </w:tc>
      </w:tr>
      <w:tr w14:paraId="2347770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6ACBE1DF">
            <w:pPr>
              <w:widowControl/>
              <w:spacing w:line="240" w:lineRule="auto"/>
              <w:jc w:val="center"/>
              <w:rPr>
                <w:rFonts w:ascii="Arial" w:hAnsi="Arial" w:cs="Arial"/>
                <w:color w:val="000000"/>
                <w:sz w:val="20"/>
              </w:rPr>
            </w:pPr>
            <w:r>
              <w:rPr>
                <w:rFonts w:hint="eastAsia" w:ascii="Arial" w:hAnsi="Arial" w:cs="Arial"/>
                <w:color w:val="000000"/>
                <w:sz w:val="20"/>
              </w:rPr>
              <w:t>机动车停车位</w:t>
            </w:r>
          </w:p>
        </w:tc>
        <w:tc>
          <w:tcPr>
            <w:tcW w:w="1488" w:type="dxa"/>
            <w:tcBorders>
              <w:top w:val="nil"/>
              <w:left w:val="nil"/>
              <w:bottom w:val="single" w:color="auto" w:sz="4" w:space="0"/>
              <w:right w:val="single" w:color="auto" w:sz="4" w:space="0"/>
            </w:tcBorders>
            <w:noWrap/>
            <w:vAlign w:val="center"/>
          </w:tcPr>
          <w:p w14:paraId="27A779F9">
            <w:pPr>
              <w:widowControl/>
              <w:spacing w:line="240" w:lineRule="auto"/>
              <w:jc w:val="center"/>
              <w:rPr>
                <w:rFonts w:ascii="Arial" w:hAnsi="Arial" w:cs="Arial"/>
                <w:color w:val="000000"/>
                <w:sz w:val="20"/>
              </w:rPr>
            </w:pPr>
            <w:r>
              <w:rPr>
                <w:rFonts w:hint="eastAsia" w:ascii="Arial" w:hAnsi="Arial" w:cs="Arial"/>
                <w:color w:val="000000"/>
                <w:sz w:val="20"/>
              </w:rPr>
              <w:t>个</w:t>
            </w:r>
          </w:p>
        </w:tc>
        <w:tc>
          <w:tcPr>
            <w:tcW w:w="2436" w:type="dxa"/>
            <w:tcBorders>
              <w:top w:val="nil"/>
              <w:left w:val="nil"/>
              <w:bottom w:val="single" w:color="auto" w:sz="4" w:space="0"/>
              <w:right w:val="single" w:color="auto" w:sz="4" w:space="0"/>
            </w:tcBorders>
            <w:noWrap/>
            <w:vAlign w:val="center"/>
          </w:tcPr>
          <w:p w14:paraId="35FE736B">
            <w:pPr>
              <w:widowControl/>
              <w:spacing w:line="240" w:lineRule="auto"/>
              <w:jc w:val="center"/>
              <w:rPr>
                <w:rFonts w:ascii="Arial" w:hAnsi="Arial" w:cs="Arial"/>
                <w:color w:val="000000"/>
                <w:sz w:val="20"/>
              </w:rPr>
            </w:pPr>
            <w:r>
              <w:rPr>
                <w:rFonts w:hint="eastAsia" w:ascii="Arial" w:hAnsi="Arial" w:cs="Arial"/>
                <w:color w:val="000000"/>
                <w:sz w:val="20"/>
              </w:rPr>
              <w:t>218</w:t>
            </w:r>
          </w:p>
        </w:tc>
      </w:tr>
      <w:tr w14:paraId="2E6A6FE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7D108ABB">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color="auto" w:sz="4" w:space="0"/>
              <w:right w:val="single" w:color="auto" w:sz="4" w:space="0"/>
            </w:tcBorders>
            <w:noWrap/>
            <w:vAlign w:val="center"/>
          </w:tcPr>
          <w:p w14:paraId="54536525">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0787FF0">
            <w:pPr>
              <w:widowControl/>
              <w:spacing w:line="240" w:lineRule="auto"/>
              <w:jc w:val="center"/>
              <w:rPr>
                <w:rFonts w:ascii="Arial" w:hAnsi="Arial" w:cs="Arial"/>
                <w:color w:val="000000"/>
                <w:sz w:val="20"/>
              </w:rPr>
            </w:pPr>
            <w:r>
              <w:rPr>
                <w:rFonts w:hint="eastAsia" w:ascii="Arial" w:hAnsi="Arial" w:cs="Arial"/>
                <w:color w:val="000000"/>
                <w:sz w:val="20"/>
              </w:rPr>
              <w:t>1.8</w:t>
            </w:r>
          </w:p>
        </w:tc>
      </w:tr>
      <w:tr w14:paraId="613492B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55D7FC9">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color="auto" w:sz="4" w:space="0"/>
              <w:right w:val="single" w:color="auto" w:sz="4" w:space="0"/>
            </w:tcBorders>
            <w:noWrap/>
            <w:vAlign w:val="center"/>
          </w:tcPr>
          <w:p w14:paraId="47CE80BA">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B9E08E0">
            <w:pPr>
              <w:widowControl/>
              <w:spacing w:line="240" w:lineRule="auto"/>
              <w:jc w:val="center"/>
              <w:rPr>
                <w:rFonts w:ascii="Arial" w:hAnsi="Arial" w:cs="Arial"/>
                <w:color w:val="000000"/>
                <w:sz w:val="20"/>
              </w:rPr>
            </w:pPr>
            <w:r>
              <w:rPr>
                <w:rFonts w:hint="eastAsia" w:ascii="Arial" w:hAnsi="Arial" w:cs="Arial"/>
                <w:color w:val="000000"/>
                <w:sz w:val="20"/>
              </w:rPr>
              <w:t>29.93</w:t>
            </w:r>
            <w:r>
              <w:rPr>
                <w:rFonts w:ascii="Arial" w:hAnsi="Arial" w:cs="Arial"/>
                <w:color w:val="000000"/>
                <w:sz w:val="20"/>
              </w:rPr>
              <w:t>%</w:t>
            </w:r>
          </w:p>
        </w:tc>
      </w:tr>
      <w:tr w14:paraId="4EF3FB2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1412BE3B">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color="auto" w:sz="4" w:space="0"/>
              <w:right w:val="single" w:color="auto" w:sz="4" w:space="0"/>
            </w:tcBorders>
            <w:noWrap/>
            <w:vAlign w:val="center"/>
          </w:tcPr>
          <w:p w14:paraId="5D7EA870">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9ADFE85">
            <w:pPr>
              <w:widowControl/>
              <w:spacing w:line="240" w:lineRule="auto"/>
              <w:jc w:val="center"/>
              <w:rPr>
                <w:rFonts w:ascii="Arial" w:hAnsi="Arial" w:cs="Arial"/>
                <w:color w:val="000000"/>
                <w:sz w:val="20"/>
              </w:rPr>
            </w:pPr>
            <w:r>
              <w:rPr>
                <w:rFonts w:ascii="Arial" w:hAnsi="Arial" w:cs="Arial"/>
                <w:color w:val="000000"/>
                <w:sz w:val="20"/>
              </w:rPr>
              <w:t>30.0</w:t>
            </w:r>
            <w:r>
              <w:rPr>
                <w:rFonts w:hint="eastAsia" w:ascii="Arial" w:hAnsi="Arial" w:cs="Arial"/>
                <w:color w:val="000000"/>
                <w:sz w:val="20"/>
              </w:rPr>
              <w:t>0%</w:t>
            </w:r>
          </w:p>
        </w:tc>
      </w:tr>
    </w:tbl>
    <w:p w14:paraId="4A6FA2B4">
      <w:pPr>
        <w:spacing w:line="360" w:lineRule="auto"/>
        <w:ind w:firstLine="560" w:firstLineChars="200"/>
        <w:jc w:val="both"/>
        <w:rPr>
          <w:rFonts w:ascii="Arial" w:hAnsi="Arial" w:cs="Arial"/>
          <w:sz w:val="28"/>
        </w:rPr>
      </w:pPr>
    </w:p>
    <w:p w14:paraId="59865C88">
      <w:pPr>
        <w:numPr>
          <w:ilvl w:val="0"/>
          <w:numId w:val="6"/>
        </w:numPr>
        <w:spacing w:line="360" w:lineRule="auto"/>
        <w:jc w:val="both"/>
        <w:rPr>
          <w:rFonts w:ascii="Arial" w:hAnsi="Arial" w:cs="Arial"/>
          <w:sz w:val="28"/>
        </w:rPr>
      </w:pPr>
      <w:r>
        <w:rPr>
          <w:rFonts w:ascii="Arial" w:hAnsi="Arial" w:cs="Arial"/>
          <w:sz w:val="28"/>
        </w:rPr>
        <w:t>土地使用年限</w:t>
      </w:r>
    </w:p>
    <w:p w14:paraId="77B0AEFD">
      <w:pPr>
        <w:spacing w:line="360" w:lineRule="auto"/>
        <w:ind w:firstLine="560" w:firstLineChars="200"/>
        <w:jc w:val="both"/>
        <w:rPr>
          <w:rFonts w:ascii="Arial" w:hAnsi="Arial" w:cs="Arial"/>
          <w:sz w:val="28"/>
        </w:rPr>
      </w:pPr>
      <w:r>
        <w:rPr>
          <w:rFonts w:ascii="Arial" w:hAnsi="Arial" w:cs="Arial"/>
          <w:sz w:val="28"/>
        </w:rPr>
        <w:t>集体建设用地使用权没有使用年限限制。根据北京市政府发布的《关于我市利用集体土地建设租赁住房相关政策的补充意见》</w:t>
      </w:r>
      <w:r>
        <w:rPr>
          <w:rFonts w:hint="eastAsia" w:ascii="Arial" w:hAnsi="Arial" w:cs="Arial"/>
          <w:sz w:val="28"/>
        </w:rPr>
        <w:t>[京规自发[2018]64号]</w:t>
      </w:r>
      <w:r>
        <w:rPr>
          <w:rFonts w:ascii="Arial" w:hAnsi="Arial" w:cs="Arial"/>
          <w:sz w:val="28"/>
        </w:rPr>
        <w:t>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w:t>
      </w:r>
    </w:p>
    <w:p w14:paraId="49DF5D33">
      <w:pPr>
        <w:spacing w:line="360" w:lineRule="auto"/>
        <w:ind w:firstLine="560" w:firstLineChars="200"/>
        <w:jc w:val="both"/>
        <w:rPr>
          <w:rFonts w:ascii="Arial" w:hAnsi="Arial" w:cs="Arial"/>
          <w:sz w:val="28"/>
        </w:rPr>
      </w:pPr>
      <w:r>
        <w:rPr>
          <w:rFonts w:ascii="Arial" w:hAnsi="Arial" w:cs="Arial"/>
          <w:sz w:val="28"/>
        </w:rPr>
        <w:t>本次估价的“集体建设用地使用权价格”是指咨询对象土地所有权为集体所有，在公开市场条件下，于咨询期日</w:t>
      </w:r>
      <w:r>
        <w:rPr>
          <w:rFonts w:hint="eastAsia" w:ascii="Arial" w:hAnsi="Arial" w:cs="Arial"/>
          <w:sz w:val="28"/>
        </w:rPr>
        <w:t>2025年6月22日</w:t>
      </w:r>
      <w:r>
        <w:rPr>
          <w:rFonts w:ascii="Arial" w:hAnsi="Arial" w:cs="Arial"/>
          <w:sz w:val="28"/>
        </w:rPr>
        <w:t>，在规划利用条件下，设定土地开发程度为宗地红线外市政基础设施达“三通”（即通路、通上水、通下水）、宗地红线内场地平整，设定用途为</w:t>
      </w:r>
      <w:r>
        <w:rPr>
          <w:rFonts w:hint="eastAsia" w:ascii="Arial" w:hAnsi="Arial" w:cs="Arial"/>
          <w:sz w:val="28"/>
        </w:rPr>
        <w:t>公寓</w:t>
      </w:r>
      <w:r>
        <w:rPr>
          <w:rFonts w:ascii="Arial" w:hAnsi="Arial" w:cs="Arial"/>
          <w:sz w:val="28"/>
        </w:rPr>
        <w:t>、商业、地下车库，剩余土地使用年限为</w:t>
      </w:r>
      <w:r>
        <w:rPr>
          <w:rFonts w:hint="eastAsia" w:ascii="Arial" w:hAnsi="Arial" w:cs="Arial"/>
          <w:sz w:val="28"/>
        </w:rPr>
        <w:t>47.5</w:t>
      </w:r>
      <w:r>
        <w:rPr>
          <w:rFonts w:ascii="Arial" w:hAnsi="Arial" w:cs="Arial"/>
          <w:sz w:val="28"/>
        </w:rPr>
        <w:t>年的集体建设用地使用权价格。</w:t>
      </w:r>
    </w:p>
    <w:p w14:paraId="248019B5">
      <w:pPr>
        <w:spacing w:line="360" w:lineRule="auto"/>
        <w:ind w:firstLine="562" w:firstLineChars="200"/>
        <w:jc w:val="both"/>
        <w:rPr>
          <w:rFonts w:ascii="Arial" w:hAnsi="Arial" w:cs="Arial"/>
          <w:b/>
          <w:sz w:val="28"/>
        </w:rPr>
      </w:pPr>
    </w:p>
    <w:p w14:paraId="6673A0A3">
      <w:pPr>
        <w:spacing w:line="360" w:lineRule="auto"/>
        <w:outlineLvl w:val="1"/>
        <w:rPr>
          <w:rFonts w:ascii="Arial" w:hAnsi="Arial" w:cs="Arial"/>
          <w:b/>
          <w:sz w:val="28"/>
        </w:rPr>
      </w:pPr>
      <w:bookmarkStart w:id="49" w:name="_Toc418750885"/>
      <w:bookmarkStart w:id="50" w:name="_Toc11103"/>
      <w:bookmarkStart w:id="51" w:name="_Toc469066307"/>
      <w:bookmarkStart w:id="52" w:name="_Toc17152"/>
      <w:bookmarkStart w:id="53" w:name="_Toc25526"/>
      <w:bookmarkStart w:id="54" w:name="_Toc425250307"/>
      <w:bookmarkStart w:id="55" w:name="_Toc416783523"/>
      <w:r>
        <w:rPr>
          <w:rFonts w:ascii="Arial" w:hAnsi="Arial" w:cs="Arial"/>
          <w:b/>
          <w:sz w:val="28"/>
        </w:rPr>
        <w:t>七、咨询结果</w:t>
      </w:r>
      <w:bookmarkEnd w:id="49"/>
      <w:bookmarkEnd w:id="50"/>
      <w:bookmarkEnd w:id="51"/>
      <w:bookmarkEnd w:id="52"/>
      <w:bookmarkEnd w:id="53"/>
      <w:bookmarkEnd w:id="54"/>
      <w:bookmarkEnd w:id="55"/>
    </w:p>
    <w:p w14:paraId="58B376DC">
      <w:pPr>
        <w:spacing w:line="360" w:lineRule="auto"/>
        <w:ind w:firstLine="560" w:firstLineChars="200"/>
        <w:jc w:val="both"/>
        <w:rPr>
          <w:rFonts w:ascii="Arial" w:hAnsi="Arial" w:cs="Arial"/>
          <w:kern w:val="2"/>
          <w:sz w:val="28"/>
        </w:rPr>
      </w:pPr>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咨询对象于咨询期日的集体建设用地使用权评估价格为（币种：人民币）：</w:t>
      </w:r>
    </w:p>
    <w:p w14:paraId="7090DA0B">
      <w:pPr>
        <w:spacing w:line="360" w:lineRule="auto"/>
        <w:ind w:firstLine="560" w:firstLineChars="200"/>
        <w:jc w:val="both"/>
        <w:rPr>
          <w:rFonts w:ascii="Arial" w:hAnsi="Arial" w:cs="Arial"/>
          <w:sz w:val="28"/>
        </w:rPr>
      </w:pPr>
      <w:r>
        <w:rPr>
          <w:rFonts w:ascii="Arial" w:hAnsi="Arial" w:cs="Arial"/>
          <w:sz w:val="28"/>
        </w:rPr>
        <w:t>集体建设用地使用权价格：</w:t>
      </w:r>
      <w:r>
        <w:rPr>
          <w:rFonts w:hint="eastAsia" w:ascii="Arial" w:hAnsi="Arial" w:cs="Arial"/>
          <w:sz w:val="28"/>
        </w:rPr>
        <w:t>1804.54</w:t>
      </w:r>
      <w:r>
        <w:rPr>
          <w:rFonts w:ascii="Arial" w:hAnsi="Arial" w:cs="Arial"/>
          <w:sz w:val="28"/>
        </w:rPr>
        <w:t>万元</w:t>
      </w:r>
    </w:p>
    <w:p w14:paraId="6C757EEC">
      <w:pPr>
        <w:spacing w:line="360" w:lineRule="auto"/>
        <w:ind w:firstLine="570"/>
        <w:jc w:val="both"/>
        <w:rPr>
          <w:rFonts w:ascii="Arial" w:hAnsi="Arial" w:cs="Arial"/>
          <w:sz w:val="28"/>
        </w:rPr>
      </w:pPr>
      <w:r>
        <w:rPr>
          <w:rFonts w:ascii="Arial" w:hAnsi="Arial" w:cs="Arial"/>
          <w:sz w:val="28"/>
        </w:rPr>
        <w:t>大写金额：人民币</w:t>
      </w:r>
      <w:r>
        <w:rPr>
          <w:rFonts w:hint="eastAsia" w:ascii="Arial" w:hAnsi="Arial" w:cs="Arial"/>
          <w:sz w:val="28"/>
        </w:rPr>
        <w:t>壹仟捌佰零肆万伍仟肆佰</w:t>
      </w:r>
      <w:r>
        <w:rPr>
          <w:rFonts w:ascii="Arial" w:hAnsi="Arial" w:cs="Arial"/>
          <w:sz w:val="28"/>
        </w:rPr>
        <w:t>元整</w:t>
      </w:r>
    </w:p>
    <w:p w14:paraId="74171851">
      <w:pPr>
        <w:spacing w:line="360" w:lineRule="auto"/>
        <w:ind w:firstLine="570"/>
        <w:jc w:val="both"/>
        <w:rPr>
          <w:rFonts w:ascii="Arial" w:hAnsi="Arial" w:cs="Arial"/>
          <w:sz w:val="28"/>
        </w:rPr>
      </w:pPr>
      <w:r>
        <w:rPr>
          <w:rFonts w:ascii="Arial" w:hAnsi="Arial" w:cs="Arial"/>
          <w:sz w:val="28"/>
        </w:rPr>
        <w:t>单位面积地价：</w:t>
      </w:r>
      <w:r>
        <w:rPr>
          <w:rFonts w:hint="eastAsia" w:ascii="Arial" w:hAnsi="Arial" w:cs="Arial"/>
          <w:sz w:val="28"/>
        </w:rPr>
        <w:t>1065</w:t>
      </w:r>
      <w:r>
        <w:rPr>
          <w:rFonts w:ascii="Arial" w:hAnsi="Arial" w:cs="Arial"/>
          <w:sz w:val="28"/>
        </w:rPr>
        <w:t>元/平方米</w:t>
      </w:r>
    </w:p>
    <w:p w14:paraId="0DCFDEF4">
      <w:pPr>
        <w:spacing w:line="360" w:lineRule="auto"/>
        <w:ind w:firstLine="570"/>
        <w:jc w:val="both"/>
        <w:rPr>
          <w:rFonts w:ascii="Arial" w:hAnsi="Arial" w:cs="Arial"/>
          <w:sz w:val="28"/>
        </w:rPr>
      </w:pPr>
      <w:r>
        <w:rPr>
          <w:rFonts w:ascii="Arial" w:hAnsi="Arial" w:cs="Arial"/>
          <w:sz w:val="28"/>
        </w:rPr>
        <w:t>楼面地价：</w:t>
      </w:r>
      <w:r>
        <w:rPr>
          <w:rFonts w:hint="eastAsia" w:ascii="Arial" w:hAnsi="Arial" w:cs="Arial"/>
          <w:sz w:val="28"/>
        </w:rPr>
        <w:t>446</w:t>
      </w:r>
      <w:r>
        <w:rPr>
          <w:rFonts w:ascii="Arial" w:hAnsi="Arial" w:cs="Arial"/>
          <w:sz w:val="28"/>
        </w:rPr>
        <w:t>元/平方米</w:t>
      </w:r>
    </w:p>
    <w:p w14:paraId="6CE7B68B">
      <w:pPr>
        <w:spacing w:line="360" w:lineRule="auto"/>
        <w:ind w:firstLine="560" w:firstLineChars="200"/>
        <w:jc w:val="both"/>
        <w:rPr>
          <w:rFonts w:ascii="Arial" w:hAnsi="Arial" w:cs="Arial"/>
          <w:sz w:val="28"/>
        </w:rPr>
      </w:pPr>
      <w:r>
        <w:rPr>
          <w:rFonts w:ascii="Arial" w:hAnsi="Arial" w:cs="Arial"/>
          <w:sz w:val="28"/>
        </w:rPr>
        <w:t>备注：</w:t>
      </w:r>
    </w:p>
    <w:p w14:paraId="0B350953">
      <w:pPr>
        <w:spacing w:line="360" w:lineRule="auto"/>
        <w:ind w:firstLine="560" w:firstLineChars="200"/>
        <w:jc w:val="both"/>
        <w:rPr>
          <w:rFonts w:ascii="Arial" w:hAnsi="Arial" w:cs="Arial"/>
          <w:sz w:val="28"/>
        </w:rPr>
      </w:pPr>
      <w:r>
        <w:rPr>
          <w:rFonts w:ascii="Arial" w:hAnsi="Arial" w:cs="Arial"/>
          <w:sz w:val="28"/>
        </w:rPr>
        <w:t>1. 在本次评估过程中，目前该开发项目尚未正式进行开发施工，评估专业人员尚未取得《 “多规合一”协同平台初审意见的函》、《北京市发展和改革委员会关于</w:t>
      </w:r>
      <w:r>
        <w:rPr>
          <w:rFonts w:hint="eastAsia" w:ascii="Arial" w:hAnsi="Arial" w:cs="Arial"/>
          <w:sz w:val="28"/>
        </w:rPr>
        <w:t>昌平区马池口镇百泉庄村</w:t>
      </w:r>
      <w:r>
        <w:rPr>
          <w:rFonts w:ascii="Arial" w:hAnsi="Arial" w:cs="Arial"/>
          <w:sz w:val="28"/>
        </w:rPr>
        <w:t>经济</w:t>
      </w:r>
      <w:r>
        <w:rPr>
          <w:rFonts w:hint="eastAsia" w:ascii="Arial" w:hAnsi="Arial" w:cs="Arial"/>
          <w:sz w:val="28"/>
        </w:rPr>
        <w:t>组织</w:t>
      </w:r>
      <w:r>
        <w:rPr>
          <w:rFonts w:ascii="Arial" w:hAnsi="Arial" w:cs="Arial"/>
          <w:sz w:val="28"/>
        </w:rPr>
        <w:t>集体土地租赁住房项目核准的批复》等相关项目资料，本次评估过程中涉及的相关测算参数主要是依据委托方提供的</w:t>
      </w:r>
      <w:r>
        <w:rPr>
          <w:rFonts w:hint="eastAsia" w:ascii="Arial" w:hAnsi="Arial" w:cs="Arial"/>
          <w:sz w:val="28"/>
        </w:rPr>
        <w:t>相关资料</w:t>
      </w:r>
      <w:r>
        <w:rPr>
          <w:rFonts w:ascii="Arial" w:hAnsi="Arial" w:cs="Arial"/>
          <w:sz w:val="28"/>
        </w:rPr>
        <w:t>及介绍的情况</w:t>
      </w:r>
      <w:r>
        <w:rPr>
          <w:rFonts w:hint="eastAsia" w:ascii="Arial" w:hAnsi="Arial" w:cs="Arial"/>
          <w:sz w:val="28"/>
        </w:rPr>
        <w:t>进行</w:t>
      </w:r>
      <w:r>
        <w:rPr>
          <w:rFonts w:ascii="Arial" w:hAnsi="Arial" w:cs="Arial"/>
          <w:sz w:val="28"/>
        </w:rPr>
        <w:t>测算，如上述数据发生变化，可能会对目前的</w:t>
      </w:r>
      <w:r>
        <w:rPr>
          <w:rFonts w:hint="eastAsia" w:ascii="Arial" w:hAnsi="Arial" w:cs="Arial"/>
          <w:sz w:val="28"/>
        </w:rPr>
        <w:t>咨询</w:t>
      </w:r>
      <w:r>
        <w:rPr>
          <w:rFonts w:ascii="Arial" w:hAnsi="Arial" w:cs="Arial"/>
          <w:sz w:val="28"/>
        </w:rPr>
        <w:t>结论产生影响。</w:t>
      </w:r>
    </w:p>
    <w:p w14:paraId="3331BD45">
      <w:pPr>
        <w:spacing w:line="360" w:lineRule="auto"/>
        <w:ind w:firstLine="560" w:firstLineChars="200"/>
        <w:jc w:val="both"/>
        <w:rPr>
          <w:rFonts w:ascii="Arial" w:hAnsi="Arial" w:cs="Arial"/>
          <w:sz w:val="28"/>
        </w:rPr>
      </w:pPr>
      <w:r>
        <w:rPr>
          <w:rFonts w:ascii="Arial" w:hAnsi="Arial" w:cs="Arial"/>
          <w:sz w:val="28"/>
        </w:rPr>
        <w:t>2．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14:paraId="1DF65F32">
      <w:pPr>
        <w:spacing w:line="360" w:lineRule="auto"/>
        <w:ind w:firstLine="560" w:firstLineChars="200"/>
        <w:jc w:val="both"/>
        <w:rPr>
          <w:rFonts w:ascii="Arial" w:hAnsi="Arial" w:cs="Arial"/>
          <w:sz w:val="28"/>
        </w:rPr>
      </w:pPr>
      <w:r>
        <w:rPr>
          <w:rFonts w:ascii="Arial" w:hAnsi="Arial" w:cs="Arial"/>
          <w:sz w:val="28"/>
        </w:rPr>
        <w:t>3．本次剩余法测算过程中，项目运营收入、成本、费用等为开发项目过程中以及建成后出租经济行为产生的相关收入和成本、费用，未包含开发项目建成后运营期与物业管理相关的收入、成本、费用；</w:t>
      </w:r>
    </w:p>
    <w:p w14:paraId="6FFCA9A6">
      <w:pPr>
        <w:spacing w:line="360" w:lineRule="auto"/>
        <w:ind w:firstLine="560" w:firstLineChars="200"/>
        <w:jc w:val="both"/>
        <w:rPr>
          <w:rFonts w:ascii="Arial" w:hAnsi="Arial" w:cs="Arial"/>
          <w:sz w:val="28"/>
        </w:rPr>
      </w:pPr>
      <w:r>
        <w:rPr>
          <w:rFonts w:ascii="Arial" w:hAnsi="Arial" w:cs="Arial"/>
          <w:sz w:val="28"/>
        </w:rPr>
        <w:t>4．集体建设用地使用权没有使用年限限制。根据北京市政府发布的《关于我市利用集体土地建设租赁住房相关政策的补充意见》[京规自发[2018]64号]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根据相关规定，该开发项目只能采取出租的形式获得项目收入，</w:t>
      </w:r>
      <w:r>
        <w:rPr>
          <w:rFonts w:hint="eastAsia" w:ascii="Arial" w:hAnsi="Arial" w:cs="Arial"/>
          <w:sz w:val="28"/>
        </w:rPr>
        <w:t>鉴于</w:t>
      </w:r>
      <w:r>
        <w:rPr>
          <w:rFonts w:ascii="Arial" w:hAnsi="Arial" w:cs="Arial"/>
          <w:sz w:val="28"/>
        </w:rPr>
        <w:t>收益期过长，本次评估考虑折现；合作期限50年结束后的后续处理模式，由于目前针对退出时相关政策文件尚未正式出台，故届时将按照有关规定执行。综上所述，本次评估</w:t>
      </w:r>
      <w:r>
        <w:rPr>
          <w:rFonts w:hint="eastAsia" w:ascii="Arial" w:hAnsi="Arial" w:cs="Arial"/>
          <w:sz w:val="28"/>
        </w:rPr>
        <w:t>设定土地开发期及建筑物建设期为2.5年，</w:t>
      </w:r>
      <w:r>
        <w:rPr>
          <w:rFonts w:ascii="Arial" w:hAnsi="Arial" w:cs="Arial"/>
          <w:sz w:val="28"/>
        </w:rPr>
        <w:t>只考虑</w:t>
      </w:r>
      <w:r>
        <w:rPr>
          <w:rFonts w:hint="eastAsia" w:ascii="Arial" w:hAnsi="Arial" w:cs="Arial"/>
          <w:sz w:val="28"/>
        </w:rPr>
        <w:t>47.5</w:t>
      </w:r>
      <w:r>
        <w:rPr>
          <w:rFonts w:ascii="Arial" w:hAnsi="Arial" w:cs="Arial"/>
          <w:sz w:val="28"/>
        </w:rPr>
        <w:t>年合作期限内的收益。</w:t>
      </w:r>
    </w:p>
    <w:p w14:paraId="31959E10">
      <w:pPr>
        <w:spacing w:line="360" w:lineRule="auto"/>
        <w:ind w:firstLine="560" w:firstLineChars="200"/>
        <w:jc w:val="both"/>
        <w:rPr>
          <w:rFonts w:ascii="Arial" w:hAnsi="Arial" w:cs="Arial"/>
          <w:sz w:val="28"/>
        </w:rPr>
      </w:pPr>
    </w:p>
    <w:p w14:paraId="5CB0ADE0">
      <w:pPr>
        <w:numPr>
          <w:ilvl w:val="0"/>
          <w:numId w:val="7"/>
        </w:numPr>
        <w:spacing w:line="360" w:lineRule="auto"/>
        <w:rPr>
          <w:rFonts w:ascii="Arial" w:hAnsi="Arial" w:cs="Arial"/>
          <w:b/>
          <w:sz w:val="28"/>
        </w:rPr>
      </w:pPr>
      <w:bookmarkStart w:id="56" w:name="_Toc416783526"/>
      <w:bookmarkStart w:id="57" w:name="_Toc425250311"/>
      <w:bookmarkStart w:id="58" w:name="_Toc418750889"/>
      <w:bookmarkStart w:id="59" w:name="_Toc469066309"/>
      <w:r>
        <w:rPr>
          <w:rFonts w:ascii="Arial" w:hAnsi="Arial" w:cs="Arial"/>
          <w:b/>
          <w:sz w:val="28"/>
        </w:rPr>
        <w:t>土地估价机构</w:t>
      </w:r>
      <w:bookmarkEnd w:id="56"/>
      <w:bookmarkEnd w:id="57"/>
      <w:bookmarkEnd w:id="58"/>
      <w:bookmarkEnd w:id="59"/>
    </w:p>
    <w:p w14:paraId="0DD75E9B">
      <w:pPr>
        <w:spacing w:line="360" w:lineRule="auto"/>
        <w:rPr>
          <w:rFonts w:ascii="Arial" w:hAnsi="Arial" w:cs="Arial"/>
          <w:b/>
          <w:sz w:val="28"/>
        </w:rPr>
      </w:pPr>
    </w:p>
    <w:p w14:paraId="0FEF1AEF">
      <w:pPr>
        <w:spacing w:line="360" w:lineRule="auto"/>
        <w:rPr>
          <w:rFonts w:ascii="Arial" w:hAnsi="Arial" w:cs="Arial"/>
          <w:b/>
          <w:sz w:val="28"/>
        </w:rPr>
      </w:pPr>
    </w:p>
    <w:p w14:paraId="2BC33024">
      <w:pPr>
        <w:spacing w:line="360" w:lineRule="auto"/>
        <w:rPr>
          <w:rFonts w:ascii="Arial" w:hAnsi="Arial" w:cs="Arial"/>
          <w:b/>
          <w:sz w:val="28"/>
        </w:rPr>
      </w:pPr>
    </w:p>
    <w:p w14:paraId="7D3F7B8A">
      <w:pPr>
        <w:spacing w:line="360" w:lineRule="auto"/>
        <w:rPr>
          <w:rFonts w:ascii="Arial" w:hAnsi="Arial" w:cs="Arial"/>
          <w:sz w:val="28"/>
        </w:rPr>
      </w:pPr>
      <w:r>
        <w:rPr>
          <w:rFonts w:ascii="Arial" w:hAnsi="Arial" w:cs="Arial"/>
          <w:sz w:val="28"/>
        </w:rPr>
        <w:t xml:space="preserve"> </w:t>
      </w:r>
    </w:p>
    <w:p w14:paraId="433F7CEA">
      <w:pPr>
        <w:spacing w:line="360" w:lineRule="auto"/>
        <w:rPr>
          <w:rFonts w:ascii="Arial" w:hAnsi="Arial" w:cs="Arial"/>
          <w:sz w:val="28"/>
        </w:rPr>
      </w:pPr>
      <w:r>
        <w:rPr>
          <w:rFonts w:ascii="Arial" w:hAnsi="Arial" w:cs="Arial"/>
          <w:sz w:val="28"/>
        </w:rPr>
        <w:t xml:space="preserve">                              </w:t>
      </w:r>
    </w:p>
    <w:tbl>
      <w:tblPr>
        <w:tblStyle w:val="32"/>
        <w:tblW w:w="0" w:type="auto"/>
        <w:jc w:val="right"/>
        <w:tblLayout w:type="fixed"/>
        <w:tblCellMar>
          <w:top w:w="28" w:type="dxa"/>
          <w:left w:w="85" w:type="dxa"/>
          <w:bottom w:w="28" w:type="dxa"/>
          <w:right w:w="85" w:type="dxa"/>
        </w:tblCellMar>
      </w:tblPr>
      <w:tblGrid>
        <w:gridCol w:w="4445"/>
      </w:tblGrid>
      <w:tr w14:paraId="4D968469">
        <w:trPr>
          <w:jc w:val="right"/>
        </w:trPr>
        <w:tc>
          <w:tcPr>
            <w:tcW w:w="4445" w:type="dxa"/>
          </w:tcPr>
          <w:p w14:paraId="1A7E7124">
            <w:pPr>
              <w:spacing w:line="360" w:lineRule="auto"/>
              <w:rPr>
                <w:rFonts w:ascii="Arial" w:hAnsi="Arial" w:cs="Arial"/>
                <w:sz w:val="28"/>
                <w:szCs w:val="21"/>
              </w:rPr>
            </w:pPr>
            <w:r>
              <w:rPr>
                <w:rFonts w:ascii="Arial" w:hAnsi="Arial" w:cs="Arial"/>
                <w:sz w:val="28"/>
                <w:szCs w:val="21"/>
              </w:rPr>
              <w:t>北京康正宏基房地产评估有限公司</w:t>
            </w:r>
          </w:p>
        </w:tc>
      </w:tr>
      <w:tr w14:paraId="628EE08C">
        <w:trPr>
          <w:trHeight w:val="231" w:hRule="atLeast"/>
          <w:jc w:val="right"/>
        </w:trPr>
        <w:tc>
          <w:tcPr>
            <w:tcW w:w="4445" w:type="dxa"/>
          </w:tcPr>
          <w:p w14:paraId="2B810AFC">
            <w:pPr>
              <w:spacing w:line="480" w:lineRule="auto"/>
              <w:rPr>
                <w:rFonts w:ascii="Arial" w:hAnsi="Arial" w:cs="Arial"/>
                <w:sz w:val="28"/>
                <w:szCs w:val="21"/>
              </w:rPr>
            </w:pPr>
          </w:p>
        </w:tc>
      </w:tr>
      <w:tr w14:paraId="6F3CB9D8">
        <w:trPr>
          <w:cantSplit/>
          <w:jc w:val="right"/>
        </w:trPr>
        <w:tc>
          <w:tcPr>
            <w:tcW w:w="4445" w:type="dxa"/>
          </w:tcPr>
          <w:p w14:paraId="2AFF9894">
            <w:pPr>
              <w:spacing w:line="240" w:lineRule="auto"/>
              <w:jc w:val="right"/>
              <w:rPr>
                <w:rFonts w:ascii="Arial" w:hAnsi="Arial" w:cs="Arial"/>
                <w:sz w:val="28"/>
                <w:szCs w:val="21"/>
              </w:rPr>
            </w:pPr>
            <w:r>
              <w:rPr>
                <w:rFonts w:hint="eastAsia" w:ascii="Arial" w:hAnsi="Arial" w:cs="Arial"/>
                <w:sz w:val="28"/>
                <w:szCs w:val="21"/>
              </w:rPr>
              <w:t>二〇二五年七月一日</w:t>
            </w:r>
          </w:p>
        </w:tc>
      </w:tr>
    </w:tbl>
    <w:p w14:paraId="6387F3D0">
      <w:pPr>
        <w:spacing w:line="360" w:lineRule="auto"/>
        <w:rPr>
          <w:rFonts w:ascii="Arial" w:hAnsi="Arial" w:cs="Arial"/>
          <w:sz w:val="28"/>
        </w:rPr>
      </w:pPr>
    </w:p>
    <w:p w14:paraId="03CB073E">
      <w:pPr>
        <w:spacing w:line="360" w:lineRule="auto"/>
        <w:ind w:firstLine="4480" w:firstLineChars="1600"/>
        <w:jc w:val="right"/>
        <w:rPr>
          <w:rFonts w:ascii="Arial" w:hAnsi="Arial" w:cs="Arial"/>
          <w:sz w:val="28"/>
        </w:rPr>
      </w:pPr>
    </w:p>
    <w:p w14:paraId="1369FE4B">
      <w:pPr>
        <w:spacing w:line="360" w:lineRule="auto"/>
        <w:ind w:firstLine="4480" w:firstLineChars="1600"/>
        <w:rPr>
          <w:rFonts w:ascii="Arial" w:hAnsi="Arial" w:cs="Arial"/>
          <w:sz w:val="28"/>
        </w:rPr>
        <w:sectPr>
          <w:footerReference r:id="rId18" w:type="first"/>
          <w:pgSz w:w="11907" w:h="16840"/>
          <w:pgMar w:top="1843" w:right="1304" w:bottom="1134" w:left="1304" w:header="1134" w:footer="907" w:gutter="0"/>
          <w:pgNumType w:start="1"/>
          <w:cols w:space="720" w:num="1"/>
          <w:titlePg/>
          <w:docGrid w:linePitch="326" w:charSpace="0"/>
        </w:sectPr>
      </w:pPr>
    </w:p>
    <w:p w14:paraId="62B01105">
      <w:pPr>
        <w:spacing w:line="240" w:lineRule="auto"/>
        <w:outlineLvl w:val="1"/>
        <w:rPr>
          <w:rFonts w:ascii="Arial" w:hAnsi="Arial" w:cs="Arial"/>
          <w:b/>
          <w:sz w:val="28"/>
        </w:rPr>
      </w:pPr>
      <w:bookmarkStart w:id="60" w:name="_Toc425250312"/>
      <w:bookmarkStart w:id="61" w:name="_Toc418750890"/>
      <w:bookmarkStart w:id="62" w:name="_Toc5679"/>
      <w:bookmarkStart w:id="63" w:name="_Toc16094"/>
      <w:bookmarkStart w:id="64" w:name="_Toc23949"/>
      <w:bookmarkStart w:id="65" w:name="_Toc416783527"/>
      <w:bookmarkStart w:id="66" w:name="_Toc469066310"/>
      <w:bookmarkStart w:id="67" w:name="_Toc25816"/>
      <w:r>
        <w:rPr>
          <w:rFonts w:ascii="Arial" w:hAnsi="Arial" w:cs="Arial"/>
          <w:bCs/>
          <w:sz w:val="28"/>
        </w:rPr>
        <w:t>附</w:t>
      </w:r>
      <w:r>
        <w:rPr>
          <w:rFonts w:ascii="Arial" w:hAnsi="Arial" w:cs="Arial"/>
          <w:b/>
          <w:sz w:val="28"/>
        </w:rPr>
        <w:t xml:space="preserve">                                           咨询结果一览表</w:t>
      </w:r>
      <w:bookmarkEnd w:id="60"/>
      <w:bookmarkEnd w:id="61"/>
      <w:bookmarkEnd w:id="62"/>
      <w:bookmarkEnd w:id="63"/>
      <w:bookmarkEnd w:id="64"/>
      <w:bookmarkEnd w:id="65"/>
      <w:bookmarkEnd w:id="66"/>
      <w:bookmarkEnd w:id="67"/>
    </w:p>
    <w:p w14:paraId="31DE8DE1">
      <w:pPr>
        <w:spacing w:line="240" w:lineRule="auto"/>
        <w:rPr>
          <w:rFonts w:ascii="Arial" w:hAnsi="Arial" w:cs="Arial"/>
          <w:bCs/>
          <w:sz w:val="18"/>
        </w:rPr>
      </w:pPr>
      <w:r>
        <w:rPr>
          <w:rFonts w:ascii="Arial" w:hAnsi="Arial" w:cs="Arial"/>
          <w:bCs/>
          <w:sz w:val="18"/>
        </w:rPr>
        <w:t>估价机构：</w:t>
      </w:r>
      <w:r>
        <w:rPr>
          <w:rFonts w:ascii="Arial" w:hAnsi="Arial" w:cs="Arial"/>
          <w:sz w:val="18"/>
        </w:rPr>
        <w:t xml:space="preserve">北京康正宏基房地产评估有限公司 </w:t>
      </w:r>
      <w:r>
        <w:rPr>
          <w:rFonts w:ascii="Arial" w:hAnsi="Arial" w:cs="Arial"/>
          <w:bCs/>
          <w:sz w:val="18"/>
        </w:rPr>
        <w:t xml:space="preserve">  </w:t>
      </w:r>
      <w:r>
        <w:rPr>
          <w:rFonts w:hint="eastAsia" w:ascii="Arial" w:hAnsi="Arial" w:cs="Arial"/>
          <w:bCs/>
          <w:sz w:val="18"/>
        </w:rPr>
        <w:t>咨询报告</w:t>
      </w:r>
      <w:r>
        <w:rPr>
          <w:rFonts w:ascii="Arial" w:hAnsi="Arial" w:cs="Arial"/>
          <w:bCs/>
          <w:sz w:val="18"/>
        </w:rPr>
        <w:t>编号：康正评</w:t>
      </w:r>
      <w:r>
        <w:rPr>
          <w:rFonts w:hint="eastAsia" w:ascii="Arial" w:hAnsi="Arial" w:cs="Arial"/>
          <w:bCs/>
          <w:sz w:val="18"/>
        </w:rPr>
        <w:t xml:space="preserve">字2025-1-0732-F01TDCR6号   </w:t>
      </w:r>
      <w:r>
        <w:rPr>
          <w:rFonts w:ascii="Arial" w:hAnsi="Arial" w:cs="Arial"/>
          <w:bCs/>
          <w:sz w:val="18"/>
        </w:rPr>
        <w:t>咨询期日：</w:t>
      </w:r>
      <w:r>
        <w:rPr>
          <w:rFonts w:hint="eastAsia" w:ascii="Arial" w:hAnsi="Arial" w:cs="Arial"/>
          <w:bCs/>
          <w:sz w:val="18"/>
        </w:rPr>
        <w:t>2025年6月22日</w:t>
      </w:r>
      <w:r>
        <w:rPr>
          <w:rFonts w:ascii="Arial" w:hAnsi="Arial" w:cs="Arial"/>
          <w:bCs/>
          <w:sz w:val="18"/>
        </w:rPr>
        <w:t xml:space="preserve">  </w:t>
      </w:r>
    </w:p>
    <w:tbl>
      <w:tblPr>
        <w:tblStyle w:val="32"/>
        <w:tblW w:w="15876" w:type="dxa"/>
        <w:jc w:val="center"/>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Layout w:type="fixed"/>
        <w:tblCellMar>
          <w:top w:w="57" w:type="dxa"/>
          <w:left w:w="57" w:type="dxa"/>
          <w:bottom w:w="57" w:type="dxa"/>
          <w:right w:w="57" w:type="dxa"/>
        </w:tblCellMar>
      </w:tblPr>
      <w:tblGrid>
        <w:gridCol w:w="991"/>
        <w:gridCol w:w="795"/>
        <w:gridCol w:w="1187"/>
        <w:gridCol w:w="1148"/>
        <w:gridCol w:w="1039"/>
        <w:gridCol w:w="747"/>
        <w:gridCol w:w="747"/>
        <w:gridCol w:w="576"/>
        <w:gridCol w:w="576"/>
        <w:gridCol w:w="576"/>
        <w:gridCol w:w="862"/>
        <w:gridCol w:w="862"/>
        <w:gridCol w:w="1005"/>
        <w:gridCol w:w="953"/>
        <w:gridCol w:w="953"/>
        <w:gridCol w:w="953"/>
        <w:gridCol w:w="953"/>
        <w:gridCol w:w="953"/>
      </w:tblGrid>
      <w:tr w14:paraId="1A2F49A7">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Merge w:val="restart"/>
            <w:vAlign w:val="center"/>
          </w:tcPr>
          <w:p w14:paraId="59757983">
            <w:pPr>
              <w:spacing w:line="240" w:lineRule="exact"/>
              <w:rPr>
                <w:rFonts w:ascii="Arial" w:hAnsi="Arial" w:cs="Arial"/>
                <w:bCs/>
                <w:sz w:val="18"/>
                <w:szCs w:val="18"/>
              </w:rPr>
            </w:pPr>
            <w:r>
              <w:rPr>
                <w:rFonts w:ascii="Arial" w:hAnsi="Arial" w:cs="Arial"/>
                <w:bCs/>
                <w:sz w:val="18"/>
                <w:szCs w:val="18"/>
              </w:rPr>
              <w:t>咨询期日土地使用</w:t>
            </w:r>
            <w:r>
              <w:rPr>
                <w:rFonts w:hint="eastAsia" w:ascii="Arial" w:hAnsi="Arial" w:cs="Arial"/>
                <w:bCs/>
                <w:sz w:val="18"/>
                <w:szCs w:val="18"/>
              </w:rPr>
              <w:t>权人</w:t>
            </w:r>
          </w:p>
        </w:tc>
        <w:tc>
          <w:tcPr>
            <w:tcW w:w="795" w:type="dxa"/>
            <w:vMerge w:val="restart"/>
            <w:vAlign w:val="center"/>
          </w:tcPr>
          <w:p w14:paraId="003710FF">
            <w:pPr>
              <w:spacing w:line="240" w:lineRule="exact"/>
              <w:rPr>
                <w:rFonts w:ascii="Arial" w:hAnsi="Arial" w:cs="Arial"/>
                <w:bCs/>
                <w:sz w:val="18"/>
                <w:szCs w:val="18"/>
              </w:rPr>
            </w:pPr>
            <w:r>
              <w:rPr>
                <w:rFonts w:ascii="Arial" w:hAnsi="Arial" w:cs="Arial"/>
                <w:bCs/>
                <w:sz w:val="18"/>
                <w:szCs w:val="18"/>
              </w:rPr>
              <w:t>宗地编号</w:t>
            </w:r>
          </w:p>
        </w:tc>
        <w:tc>
          <w:tcPr>
            <w:tcW w:w="1187" w:type="dxa"/>
            <w:vMerge w:val="restart"/>
            <w:vAlign w:val="center"/>
          </w:tcPr>
          <w:p w14:paraId="0138E361">
            <w:pPr>
              <w:spacing w:line="240" w:lineRule="exact"/>
              <w:rPr>
                <w:rFonts w:ascii="Arial" w:hAnsi="Arial" w:cs="Arial"/>
                <w:bCs/>
                <w:sz w:val="18"/>
                <w:szCs w:val="18"/>
              </w:rPr>
            </w:pPr>
            <w:r>
              <w:rPr>
                <w:rFonts w:ascii="Arial" w:hAnsi="Arial" w:cs="Arial"/>
                <w:bCs/>
                <w:sz w:val="18"/>
                <w:szCs w:val="18"/>
              </w:rPr>
              <w:t>宗地名称</w:t>
            </w:r>
          </w:p>
        </w:tc>
        <w:tc>
          <w:tcPr>
            <w:tcW w:w="1148" w:type="dxa"/>
            <w:vMerge w:val="restart"/>
            <w:vAlign w:val="center"/>
          </w:tcPr>
          <w:p w14:paraId="469D0D83">
            <w:pPr>
              <w:spacing w:line="240" w:lineRule="exact"/>
              <w:rPr>
                <w:rFonts w:ascii="Arial" w:hAnsi="Arial" w:cs="Arial"/>
                <w:bCs/>
                <w:sz w:val="18"/>
                <w:szCs w:val="18"/>
              </w:rPr>
            </w:pPr>
            <w:r>
              <w:rPr>
                <w:rFonts w:ascii="Arial" w:hAnsi="Arial" w:cs="Arial"/>
                <w:bCs/>
                <w:sz w:val="18"/>
                <w:szCs w:val="18"/>
              </w:rPr>
              <w:t>土地使用证编号</w:t>
            </w:r>
          </w:p>
        </w:tc>
        <w:tc>
          <w:tcPr>
            <w:tcW w:w="2533" w:type="dxa"/>
            <w:gridSpan w:val="3"/>
            <w:vAlign w:val="center"/>
          </w:tcPr>
          <w:p w14:paraId="061B45FC">
            <w:pPr>
              <w:spacing w:line="240" w:lineRule="exact"/>
              <w:ind w:right="-108" w:rightChars="-45"/>
              <w:rPr>
                <w:rFonts w:ascii="Arial" w:hAnsi="Arial" w:cs="Arial"/>
                <w:bCs/>
                <w:sz w:val="18"/>
                <w:szCs w:val="18"/>
              </w:rPr>
            </w:pPr>
            <w:r>
              <w:rPr>
                <w:rFonts w:ascii="Arial" w:hAnsi="Arial" w:cs="Arial"/>
                <w:bCs/>
                <w:sz w:val="18"/>
                <w:szCs w:val="18"/>
              </w:rPr>
              <w:t>咨询期日的用途</w:t>
            </w:r>
          </w:p>
        </w:tc>
        <w:tc>
          <w:tcPr>
            <w:tcW w:w="1728" w:type="dxa"/>
            <w:gridSpan w:val="3"/>
            <w:vAlign w:val="center"/>
          </w:tcPr>
          <w:p w14:paraId="1ACFD66B">
            <w:pPr>
              <w:spacing w:line="240" w:lineRule="exact"/>
              <w:rPr>
                <w:rFonts w:ascii="Arial" w:hAnsi="Arial" w:cs="Arial"/>
                <w:bCs/>
                <w:sz w:val="18"/>
                <w:szCs w:val="18"/>
              </w:rPr>
            </w:pPr>
            <w:r>
              <w:rPr>
                <w:rFonts w:ascii="Arial" w:hAnsi="Arial" w:cs="Arial"/>
                <w:bCs/>
                <w:sz w:val="18"/>
                <w:szCs w:val="18"/>
              </w:rPr>
              <w:t>容积率</w:t>
            </w:r>
          </w:p>
        </w:tc>
        <w:tc>
          <w:tcPr>
            <w:tcW w:w="862" w:type="dxa"/>
            <w:vMerge w:val="restart"/>
            <w:vAlign w:val="center"/>
          </w:tcPr>
          <w:p w14:paraId="0068EE52">
            <w:pPr>
              <w:spacing w:line="240" w:lineRule="exact"/>
              <w:rPr>
                <w:rFonts w:ascii="Arial" w:hAnsi="Arial" w:cs="Arial"/>
                <w:bCs/>
                <w:sz w:val="18"/>
                <w:szCs w:val="18"/>
              </w:rPr>
            </w:pPr>
            <w:r>
              <w:rPr>
                <w:rFonts w:ascii="Arial" w:hAnsi="Arial" w:cs="Arial"/>
                <w:bCs/>
                <w:sz w:val="18"/>
                <w:szCs w:val="18"/>
              </w:rPr>
              <w:t>咨询期日的实际土地开发程度</w:t>
            </w:r>
          </w:p>
        </w:tc>
        <w:tc>
          <w:tcPr>
            <w:tcW w:w="862" w:type="dxa"/>
            <w:vMerge w:val="restart"/>
            <w:vAlign w:val="center"/>
          </w:tcPr>
          <w:p w14:paraId="30518D96">
            <w:pPr>
              <w:spacing w:line="240" w:lineRule="exact"/>
              <w:rPr>
                <w:rFonts w:ascii="Arial" w:hAnsi="Arial" w:cs="Arial"/>
                <w:bCs/>
                <w:sz w:val="18"/>
                <w:szCs w:val="18"/>
              </w:rPr>
            </w:pPr>
            <w:r>
              <w:rPr>
                <w:rFonts w:ascii="Arial" w:hAnsi="Arial" w:cs="Arial"/>
                <w:bCs/>
                <w:sz w:val="18"/>
                <w:szCs w:val="18"/>
              </w:rPr>
              <w:t>估价设定的土地开发程度</w:t>
            </w:r>
          </w:p>
        </w:tc>
        <w:tc>
          <w:tcPr>
            <w:tcW w:w="1005" w:type="dxa"/>
            <w:vMerge w:val="restart"/>
            <w:vAlign w:val="center"/>
          </w:tcPr>
          <w:p w14:paraId="61EA7F00">
            <w:pPr>
              <w:spacing w:line="240" w:lineRule="exact"/>
              <w:rPr>
                <w:rFonts w:ascii="Arial" w:hAnsi="Arial" w:cs="Arial"/>
                <w:bCs/>
                <w:sz w:val="18"/>
                <w:szCs w:val="18"/>
              </w:rPr>
            </w:pPr>
            <w:r>
              <w:rPr>
                <w:rFonts w:ascii="Arial" w:hAnsi="Arial" w:cs="Arial"/>
                <w:bCs/>
                <w:sz w:val="18"/>
                <w:szCs w:val="18"/>
              </w:rPr>
              <w:t>土地使用年限/年</w:t>
            </w:r>
          </w:p>
        </w:tc>
        <w:tc>
          <w:tcPr>
            <w:tcW w:w="953" w:type="dxa"/>
            <w:vMerge w:val="restart"/>
            <w:vAlign w:val="center"/>
          </w:tcPr>
          <w:p w14:paraId="4104BB3C">
            <w:pPr>
              <w:spacing w:line="240" w:lineRule="exact"/>
              <w:rPr>
                <w:rFonts w:ascii="Arial" w:hAnsi="Arial" w:cs="Arial"/>
                <w:bCs/>
                <w:sz w:val="18"/>
                <w:szCs w:val="18"/>
              </w:rPr>
            </w:pPr>
            <w:r>
              <w:rPr>
                <w:rFonts w:ascii="Arial" w:hAnsi="Arial" w:cs="Arial"/>
                <w:bCs/>
                <w:sz w:val="18"/>
                <w:szCs w:val="18"/>
              </w:rPr>
              <w:t>土地面积/㎡</w:t>
            </w:r>
          </w:p>
        </w:tc>
        <w:tc>
          <w:tcPr>
            <w:tcW w:w="953" w:type="dxa"/>
            <w:vMerge w:val="restart"/>
            <w:vAlign w:val="center"/>
          </w:tcPr>
          <w:p w14:paraId="6A5B8956">
            <w:pPr>
              <w:spacing w:line="240" w:lineRule="exact"/>
              <w:rPr>
                <w:rFonts w:ascii="Arial" w:hAnsi="Arial" w:cs="Arial"/>
                <w:bCs/>
                <w:sz w:val="18"/>
                <w:szCs w:val="18"/>
              </w:rPr>
            </w:pPr>
            <w:r>
              <w:rPr>
                <w:rFonts w:ascii="Arial" w:hAnsi="Arial" w:cs="Arial"/>
                <w:bCs/>
                <w:sz w:val="18"/>
                <w:szCs w:val="18"/>
              </w:rPr>
              <w:t>规划建筑面积/㎡</w:t>
            </w:r>
          </w:p>
        </w:tc>
        <w:tc>
          <w:tcPr>
            <w:tcW w:w="953" w:type="dxa"/>
            <w:vMerge w:val="restart"/>
            <w:vAlign w:val="center"/>
          </w:tcPr>
          <w:p w14:paraId="260BA116">
            <w:pPr>
              <w:spacing w:line="240" w:lineRule="exact"/>
              <w:rPr>
                <w:rFonts w:ascii="Arial" w:hAnsi="Arial" w:cs="Arial"/>
                <w:bCs/>
                <w:sz w:val="18"/>
                <w:szCs w:val="18"/>
              </w:rPr>
            </w:pPr>
            <w:r>
              <w:rPr>
                <w:rFonts w:ascii="Arial" w:hAnsi="Arial" w:cs="Arial"/>
                <w:bCs/>
                <w:sz w:val="18"/>
                <w:szCs w:val="18"/>
              </w:rPr>
              <w:t>单位面积地价/</w:t>
            </w:r>
          </w:p>
          <w:p w14:paraId="21EA14E8">
            <w:pPr>
              <w:spacing w:line="240" w:lineRule="exact"/>
              <w:rPr>
                <w:rFonts w:ascii="Arial" w:hAnsi="Arial" w:cs="Arial"/>
                <w:bCs/>
                <w:sz w:val="18"/>
                <w:szCs w:val="18"/>
              </w:rPr>
            </w:pPr>
            <w:r>
              <w:rPr>
                <w:rFonts w:ascii="Arial" w:hAnsi="Arial" w:cs="Arial"/>
                <w:bCs/>
                <w:sz w:val="18"/>
                <w:szCs w:val="18"/>
              </w:rPr>
              <w:t>元/㎡</w:t>
            </w:r>
          </w:p>
        </w:tc>
        <w:tc>
          <w:tcPr>
            <w:tcW w:w="953" w:type="dxa"/>
            <w:vMerge w:val="restart"/>
            <w:vAlign w:val="center"/>
          </w:tcPr>
          <w:p w14:paraId="294419C0">
            <w:pPr>
              <w:spacing w:line="240" w:lineRule="exact"/>
              <w:rPr>
                <w:rFonts w:ascii="Arial" w:hAnsi="Arial" w:cs="Arial"/>
                <w:bCs/>
                <w:sz w:val="18"/>
                <w:szCs w:val="18"/>
              </w:rPr>
            </w:pPr>
            <w:r>
              <w:rPr>
                <w:rFonts w:ascii="Arial" w:hAnsi="Arial" w:cs="Arial"/>
                <w:bCs/>
                <w:sz w:val="18"/>
                <w:szCs w:val="18"/>
              </w:rPr>
              <w:t>楼面地价/元/㎡</w:t>
            </w:r>
          </w:p>
        </w:tc>
        <w:tc>
          <w:tcPr>
            <w:tcW w:w="953" w:type="dxa"/>
            <w:vMerge w:val="restart"/>
            <w:vAlign w:val="center"/>
          </w:tcPr>
          <w:p w14:paraId="26172D13">
            <w:pPr>
              <w:spacing w:line="240" w:lineRule="exact"/>
              <w:rPr>
                <w:rFonts w:ascii="Arial" w:hAnsi="Arial" w:cs="Arial"/>
                <w:bCs/>
                <w:sz w:val="18"/>
                <w:szCs w:val="18"/>
              </w:rPr>
            </w:pPr>
            <w:r>
              <w:rPr>
                <w:rFonts w:ascii="Arial" w:hAnsi="Arial" w:cs="Arial"/>
                <w:bCs/>
                <w:sz w:val="18"/>
                <w:szCs w:val="18"/>
              </w:rPr>
              <w:t>总地价/万元</w:t>
            </w:r>
          </w:p>
        </w:tc>
      </w:tr>
      <w:tr w14:paraId="14FE91E9">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Merge w:val="continue"/>
            <w:vAlign w:val="center"/>
          </w:tcPr>
          <w:p w14:paraId="5CF0C824">
            <w:pPr>
              <w:spacing w:line="240" w:lineRule="exact"/>
              <w:rPr>
                <w:rFonts w:ascii="Arial" w:hAnsi="Arial" w:cs="Arial"/>
                <w:bCs/>
                <w:sz w:val="18"/>
                <w:szCs w:val="18"/>
              </w:rPr>
            </w:pPr>
          </w:p>
        </w:tc>
        <w:tc>
          <w:tcPr>
            <w:tcW w:w="795" w:type="dxa"/>
            <w:vMerge w:val="continue"/>
          </w:tcPr>
          <w:p w14:paraId="1215FB26">
            <w:pPr>
              <w:spacing w:line="240" w:lineRule="exact"/>
              <w:rPr>
                <w:rFonts w:ascii="Arial" w:hAnsi="Arial" w:cs="Arial"/>
                <w:bCs/>
                <w:sz w:val="18"/>
                <w:szCs w:val="18"/>
              </w:rPr>
            </w:pPr>
          </w:p>
        </w:tc>
        <w:tc>
          <w:tcPr>
            <w:tcW w:w="1187" w:type="dxa"/>
            <w:vMerge w:val="continue"/>
            <w:vAlign w:val="center"/>
          </w:tcPr>
          <w:p w14:paraId="6A12CC3F">
            <w:pPr>
              <w:spacing w:line="240" w:lineRule="exact"/>
              <w:rPr>
                <w:rFonts w:ascii="Arial" w:hAnsi="Arial" w:cs="Arial"/>
                <w:bCs/>
                <w:sz w:val="18"/>
                <w:szCs w:val="18"/>
              </w:rPr>
            </w:pPr>
          </w:p>
        </w:tc>
        <w:tc>
          <w:tcPr>
            <w:tcW w:w="1148" w:type="dxa"/>
            <w:vMerge w:val="continue"/>
            <w:vAlign w:val="center"/>
          </w:tcPr>
          <w:p w14:paraId="7A5912B6">
            <w:pPr>
              <w:spacing w:line="240" w:lineRule="exact"/>
              <w:rPr>
                <w:rFonts w:ascii="Arial" w:hAnsi="Arial" w:cs="Arial"/>
                <w:bCs/>
                <w:sz w:val="18"/>
                <w:szCs w:val="18"/>
              </w:rPr>
            </w:pPr>
          </w:p>
        </w:tc>
        <w:tc>
          <w:tcPr>
            <w:tcW w:w="1039" w:type="dxa"/>
            <w:vAlign w:val="center"/>
          </w:tcPr>
          <w:p w14:paraId="1C2F62DC">
            <w:pPr>
              <w:spacing w:line="240" w:lineRule="exact"/>
              <w:rPr>
                <w:rFonts w:ascii="Arial" w:hAnsi="Arial" w:cs="Arial"/>
                <w:bCs/>
                <w:sz w:val="18"/>
                <w:szCs w:val="18"/>
              </w:rPr>
            </w:pPr>
            <w:r>
              <w:rPr>
                <w:rFonts w:ascii="Arial" w:hAnsi="Arial" w:cs="Arial"/>
                <w:bCs/>
                <w:sz w:val="18"/>
                <w:szCs w:val="18"/>
              </w:rPr>
              <w:t>证载</w:t>
            </w:r>
          </w:p>
        </w:tc>
        <w:tc>
          <w:tcPr>
            <w:tcW w:w="747" w:type="dxa"/>
            <w:vAlign w:val="center"/>
          </w:tcPr>
          <w:p w14:paraId="728F64C2">
            <w:pPr>
              <w:spacing w:line="240" w:lineRule="exact"/>
              <w:rPr>
                <w:rFonts w:ascii="Arial" w:hAnsi="Arial" w:cs="Arial"/>
                <w:bCs/>
                <w:sz w:val="18"/>
                <w:szCs w:val="18"/>
              </w:rPr>
            </w:pPr>
            <w:r>
              <w:rPr>
                <w:rFonts w:ascii="Arial" w:hAnsi="Arial" w:cs="Arial"/>
                <w:bCs/>
                <w:sz w:val="18"/>
                <w:szCs w:val="18"/>
              </w:rPr>
              <w:t>实际</w:t>
            </w:r>
          </w:p>
        </w:tc>
        <w:tc>
          <w:tcPr>
            <w:tcW w:w="747" w:type="dxa"/>
            <w:vAlign w:val="center"/>
          </w:tcPr>
          <w:p w14:paraId="57AE821B">
            <w:pPr>
              <w:spacing w:line="240" w:lineRule="exact"/>
              <w:ind w:right="-108" w:rightChars="-45"/>
              <w:rPr>
                <w:rFonts w:ascii="Arial" w:hAnsi="Arial" w:cs="Arial"/>
                <w:bCs/>
                <w:sz w:val="18"/>
                <w:szCs w:val="18"/>
              </w:rPr>
            </w:pPr>
            <w:r>
              <w:rPr>
                <w:rFonts w:ascii="Arial" w:hAnsi="Arial" w:cs="Arial"/>
                <w:bCs/>
                <w:sz w:val="18"/>
                <w:szCs w:val="18"/>
              </w:rPr>
              <w:t>设定</w:t>
            </w:r>
          </w:p>
        </w:tc>
        <w:tc>
          <w:tcPr>
            <w:tcW w:w="576" w:type="dxa"/>
            <w:vAlign w:val="center"/>
          </w:tcPr>
          <w:p w14:paraId="1C9ED41C">
            <w:pPr>
              <w:spacing w:line="240" w:lineRule="exact"/>
              <w:rPr>
                <w:rFonts w:ascii="Arial" w:hAnsi="Arial" w:cs="Arial"/>
                <w:bCs/>
                <w:sz w:val="18"/>
                <w:szCs w:val="18"/>
              </w:rPr>
            </w:pPr>
            <w:r>
              <w:rPr>
                <w:rFonts w:ascii="Arial" w:hAnsi="Arial" w:cs="Arial"/>
                <w:bCs/>
                <w:sz w:val="18"/>
                <w:szCs w:val="18"/>
              </w:rPr>
              <w:t>规划</w:t>
            </w:r>
          </w:p>
        </w:tc>
        <w:tc>
          <w:tcPr>
            <w:tcW w:w="576" w:type="dxa"/>
            <w:vAlign w:val="center"/>
          </w:tcPr>
          <w:p w14:paraId="488A2DBF">
            <w:pPr>
              <w:spacing w:line="240" w:lineRule="exact"/>
              <w:rPr>
                <w:rFonts w:ascii="Arial" w:hAnsi="Arial" w:cs="Arial"/>
                <w:bCs/>
                <w:sz w:val="18"/>
                <w:szCs w:val="18"/>
              </w:rPr>
            </w:pPr>
            <w:r>
              <w:rPr>
                <w:rFonts w:ascii="Arial" w:hAnsi="Arial" w:cs="Arial"/>
                <w:bCs/>
                <w:sz w:val="18"/>
                <w:szCs w:val="18"/>
              </w:rPr>
              <w:t>实际</w:t>
            </w:r>
          </w:p>
        </w:tc>
        <w:tc>
          <w:tcPr>
            <w:tcW w:w="576" w:type="dxa"/>
            <w:vAlign w:val="center"/>
          </w:tcPr>
          <w:p w14:paraId="45CEB303">
            <w:pPr>
              <w:spacing w:line="240" w:lineRule="exact"/>
              <w:rPr>
                <w:rFonts w:ascii="Arial" w:hAnsi="Arial" w:cs="Arial"/>
                <w:bCs/>
                <w:sz w:val="18"/>
                <w:szCs w:val="18"/>
              </w:rPr>
            </w:pPr>
            <w:r>
              <w:rPr>
                <w:rFonts w:ascii="Arial" w:hAnsi="Arial" w:cs="Arial"/>
                <w:bCs/>
                <w:sz w:val="18"/>
                <w:szCs w:val="18"/>
              </w:rPr>
              <w:t>设定</w:t>
            </w:r>
          </w:p>
        </w:tc>
        <w:tc>
          <w:tcPr>
            <w:tcW w:w="862" w:type="dxa"/>
            <w:vMerge w:val="continue"/>
            <w:vAlign w:val="center"/>
          </w:tcPr>
          <w:p w14:paraId="0F26BF65">
            <w:pPr>
              <w:spacing w:line="240" w:lineRule="exact"/>
              <w:rPr>
                <w:rFonts w:ascii="Arial" w:hAnsi="Arial" w:cs="Arial"/>
                <w:bCs/>
                <w:sz w:val="18"/>
                <w:szCs w:val="18"/>
              </w:rPr>
            </w:pPr>
          </w:p>
        </w:tc>
        <w:tc>
          <w:tcPr>
            <w:tcW w:w="862" w:type="dxa"/>
            <w:vMerge w:val="continue"/>
            <w:vAlign w:val="center"/>
          </w:tcPr>
          <w:p w14:paraId="6ACA2852">
            <w:pPr>
              <w:spacing w:line="240" w:lineRule="exact"/>
              <w:rPr>
                <w:rFonts w:ascii="Arial" w:hAnsi="Arial" w:cs="Arial"/>
                <w:bCs/>
                <w:sz w:val="18"/>
                <w:szCs w:val="18"/>
              </w:rPr>
            </w:pPr>
          </w:p>
        </w:tc>
        <w:tc>
          <w:tcPr>
            <w:tcW w:w="1005" w:type="dxa"/>
            <w:vMerge w:val="continue"/>
            <w:vAlign w:val="center"/>
          </w:tcPr>
          <w:p w14:paraId="109D7855">
            <w:pPr>
              <w:spacing w:line="240" w:lineRule="exact"/>
              <w:rPr>
                <w:rFonts w:ascii="Arial" w:hAnsi="Arial" w:cs="Arial"/>
                <w:bCs/>
                <w:sz w:val="18"/>
                <w:szCs w:val="18"/>
              </w:rPr>
            </w:pPr>
          </w:p>
        </w:tc>
        <w:tc>
          <w:tcPr>
            <w:tcW w:w="953" w:type="dxa"/>
            <w:vMerge w:val="continue"/>
            <w:vAlign w:val="center"/>
          </w:tcPr>
          <w:p w14:paraId="343FD40B">
            <w:pPr>
              <w:spacing w:line="240" w:lineRule="exact"/>
              <w:rPr>
                <w:rFonts w:ascii="Arial" w:hAnsi="Arial" w:cs="Arial"/>
                <w:bCs/>
                <w:sz w:val="18"/>
                <w:szCs w:val="18"/>
              </w:rPr>
            </w:pPr>
          </w:p>
        </w:tc>
        <w:tc>
          <w:tcPr>
            <w:tcW w:w="953" w:type="dxa"/>
            <w:vMerge w:val="continue"/>
            <w:vAlign w:val="center"/>
          </w:tcPr>
          <w:p w14:paraId="672FC897">
            <w:pPr>
              <w:spacing w:line="240" w:lineRule="exact"/>
              <w:rPr>
                <w:rFonts w:ascii="Arial" w:hAnsi="Arial" w:cs="Arial"/>
                <w:bCs/>
                <w:sz w:val="18"/>
                <w:szCs w:val="18"/>
              </w:rPr>
            </w:pPr>
          </w:p>
        </w:tc>
        <w:tc>
          <w:tcPr>
            <w:tcW w:w="953" w:type="dxa"/>
            <w:vMerge w:val="continue"/>
            <w:vAlign w:val="center"/>
          </w:tcPr>
          <w:p w14:paraId="3A660DF7">
            <w:pPr>
              <w:spacing w:line="240" w:lineRule="exact"/>
              <w:rPr>
                <w:rFonts w:ascii="Arial" w:hAnsi="Arial" w:cs="Arial"/>
                <w:bCs/>
                <w:sz w:val="18"/>
                <w:szCs w:val="18"/>
              </w:rPr>
            </w:pPr>
          </w:p>
        </w:tc>
        <w:tc>
          <w:tcPr>
            <w:tcW w:w="953" w:type="dxa"/>
            <w:vMerge w:val="continue"/>
            <w:vAlign w:val="center"/>
          </w:tcPr>
          <w:p w14:paraId="7F2E7229">
            <w:pPr>
              <w:spacing w:line="240" w:lineRule="exact"/>
              <w:rPr>
                <w:rFonts w:ascii="Arial" w:hAnsi="Arial" w:cs="Arial"/>
                <w:bCs/>
                <w:sz w:val="18"/>
                <w:szCs w:val="18"/>
              </w:rPr>
            </w:pPr>
          </w:p>
        </w:tc>
        <w:tc>
          <w:tcPr>
            <w:tcW w:w="953" w:type="dxa"/>
            <w:vMerge w:val="continue"/>
            <w:vAlign w:val="center"/>
          </w:tcPr>
          <w:p w14:paraId="55EAB0EF">
            <w:pPr>
              <w:spacing w:line="240" w:lineRule="exact"/>
              <w:rPr>
                <w:rFonts w:ascii="Arial" w:hAnsi="Arial" w:cs="Arial"/>
                <w:bCs/>
                <w:sz w:val="18"/>
                <w:szCs w:val="18"/>
              </w:rPr>
            </w:pPr>
          </w:p>
        </w:tc>
      </w:tr>
      <w:tr w14:paraId="480E4BF3">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Align w:val="center"/>
          </w:tcPr>
          <w:p w14:paraId="3C1865A8">
            <w:pPr>
              <w:spacing w:line="240" w:lineRule="exact"/>
              <w:rPr>
                <w:rFonts w:ascii="Arial" w:hAnsi="Arial" w:cs="Arial"/>
                <w:bCs/>
                <w:sz w:val="18"/>
                <w:szCs w:val="18"/>
              </w:rPr>
            </w:pPr>
            <w:r>
              <w:rPr>
                <w:rFonts w:hint="eastAsia" w:ascii="Arial" w:hAnsi="Arial" w:cs="Arial"/>
                <w:bCs/>
                <w:sz w:val="18"/>
                <w:szCs w:val="18"/>
              </w:rPr>
              <w:t>百泉庄村经济组织</w:t>
            </w:r>
          </w:p>
        </w:tc>
        <w:tc>
          <w:tcPr>
            <w:tcW w:w="795" w:type="dxa"/>
            <w:vAlign w:val="center"/>
          </w:tcPr>
          <w:p w14:paraId="05725619">
            <w:pPr>
              <w:spacing w:line="240" w:lineRule="exact"/>
              <w:rPr>
                <w:rFonts w:ascii="Arial" w:hAnsi="Arial" w:cs="Arial"/>
                <w:bCs/>
                <w:sz w:val="18"/>
                <w:szCs w:val="18"/>
              </w:rPr>
            </w:pPr>
            <w:r>
              <w:rPr>
                <w:rFonts w:hint="eastAsia" w:ascii="Arial" w:hAnsi="Arial" w:cs="Arial"/>
                <w:bCs/>
                <w:sz w:val="18"/>
                <w:szCs w:val="18"/>
              </w:rPr>
              <w:t>——</w:t>
            </w:r>
          </w:p>
        </w:tc>
        <w:tc>
          <w:tcPr>
            <w:tcW w:w="1187" w:type="dxa"/>
            <w:vAlign w:val="center"/>
          </w:tcPr>
          <w:p w14:paraId="2B821C33">
            <w:pPr>
              <w:spacing w:line="240" w:lineRule="exact"/>
              <w:rPr>
                <w:rFonts w:ascii="Arial" w:hAnsi="Arial" w:cs="Arial"/>
                <w:bCs/>
                <w:sz w:val="18"/>
                <w:szCs w:val="18"/>
              </w:rPr>
            </w:pPr>
            <w:r>
              <w:rPr>
                <w:rFonts w:ascii="Arial" w:hAnsi="Arial" w:cs="Arial"/>
                <w:bCs/>
                <w:sz w:val="18"/>
                <w:szCs w:val="18"/>
              </w:rPr>
              <w:t>北京市</w:t>
            </w:r>
            <w:r>
              <w:rPr>
                <w:rFonts w:hint="eastAsia" w:ascii="Arial" w:hAnsi="Arial" w:cs="Arial"/>
                <w:bCs/>
                <w:sz w:val="18"/>
                <w:szCs w:val="18"/>
              </w:rPr>
              <w:t>昌平区马池口镇百泉庄村集体土地租赁住房项目集体经营性建设用地使用权</w:t>
            </w:r>
          </w:p>
        </w:tc>
        <w:tc>
          <w:tcPr>
            <w:tcW w:w="1148" w:type="dxa"/>
            <w:vAlign w:val="center"/>
          </w:tcPr>
          <w:p w14:paraId="2DFFAD6A">
            <w:pPr>
              <w:spacing w:line="240" w:lineRule="exact"/>
              <w:rPr>
                <w:rFonts w:ascii="Arial" w:hAnsi="Arial" w:cs="Arial"/>
                <w:bCs/>
                <w:sz w:val="18"/>
                <w:szCs w:val="18"/>
              </w:rPr>
            </w:pPr>
            <w:r>
              <w:rPr>
                <w:rFonts w:hint="eastAsia" w:ascii="Arial" w:hAnsi="Arial" w:cs="Arial"/>
                <w:bCs/>
                <w:sz w:val="18"/>
                <w:szCs w:val="18"/>
              </w:rPr>
              <w:t>——</w:t>
            </w:r>
          </w:p>
        </w:tc>
        <w:tc>
          <w:tcPr>
            <w:tcW w:w="1039" w:type="dxa"/>
            <w:vAlign w:val="center"/>
          </w:tcPr>
          <w:p w14:paraId="778F7B5C">
            <w:pPr>
              <w:spacing w:line="240" w:lineRule="exact"/>
              <w:rPr>
                <w:rFonts w:ascii="Arial" w:hAnsi="Arial" w:cs="Arial"/>
                <w:bCs/>
                <w:sz w:val="18"/>
                <w:szCs w:val="18"/>
              </w:rPr>
            </w:pPr>
            <w:r>
              <w:rPr>
                <w:rFonts w:hint="eastAsia" w:ascii="Arial" w:hAnsi="Arial" w:cs="Arial"/>
                <w:bCs/>
                <w:sz w:val="18"/>
                <w:szCs w:val="18"/>
              </w:rPr>
              <w:t>——</w:t>
            </w:r>
          </w:p>
        </w:tc>
        <w:tc>
          <w:tcPr>
            <w:tcW w:w="747" w:type="dxa"/>
            <w:vAlign w:val="center"/>
          </w:tcPr>
          <w:p w14:paraId="4D6484FE">
            <w:pPr>
              <w:spacing w:line="240" w:lineRule="exact"/>
              <w:rPr>
                <w:rFonts w:ascii="Arial" w:hAnsi="Arial" w:cs="Arial"/>
                <w:bCs/>
                <w:sz w:val="18"/>
                <w:szCs w:val="18"/>
              </w:rPr>
            </w:pPr>
            <w:r>
              <w:rPr>
                <w:rFonts w:hint="eastAsia" w:ascii="Arial" w:hAnsi="Arial" w:cs="Arial"/>
                <w:bCs/>
                <w:sz w:val="18"/>
                <w:szCs w:val="18"/>
              </w:rPr>
              <w:t>——</w:t>
            </w:r>
          </w:p>
        </w:tc>
        <w:tc>
          <w:tcPr>
            <w:tcW w:w="747" w:type="dxa"/>
            <w:vAlign w:val="center"/>
          </w:tcPr>
          <w:p w14:paraId="7912F0AA">
            <w:pPr>
              <w:spacing w:line="240" w:lineRule="exact"/>
              <w:rPr>
                <w:rFonts w:ascii="Arial" w:hAnsi="Arial" w:cs="Arial"/>
                <w:bCs/>
                <w:sz w:val="18"/>
                <w:szCs w:val="18"/>
              </w:rPr>
            </w:pPr>
            <w:r>
              <w:rPr>
                <w:rFonts w:hint="eastAsia" w:ascii="Arial" w:hAnsi="Arial" w:cs="Arial"/>
                <w:bCs/>
                <w:sz w:val="18"/>
                <w:szCs w:val="18"/>
              </w:rPr>
              <w:t>集租房</w:t>
            </w:r>
          </w:p>
        </w:tc>
        <w:tc>
          <w:tcPr>
            <w:tcW w:w="576" w:type="dxa"/>
            <w:vAlign w:val="center"/>
          </w:tcPr>
          <w:p w14:paraId="4BAC2D39">
            <w:pPr>
              <w:spacing w:line="240" w:lineRule="exact"/>
              <w:rPr>
                <w:rFonts w:ascii="Arial" w:hAnsi="Arial" w:cs="Arial"/>
                <w:bCs/>
                <w:sz w:val="18"/>
                <w:szCs w:val="18"/>
              </w:rPr>
            </w:pPr>
            <w:r>
              <w:rPr>
                <w:rFonts w:ascii="Arial" w:hAnsi="Arial" w:cs="Arial"/>
                <w:bCs/>
                <w:sz w:val="18"/>
                <w:szCs w:val="18"/>
              </w:rPr>
              <w:t>1.8</w:t>
            </w:r>
          </w:p>
        </w:tc>
        <w:tc>
          <w:tcPr>
            <w:tcW w:w="576" w:type="dxa"/>
            <w:vAlign w:val="center"/>
          </w:tcPr>
          <w:p w14:paraId="62FF9C4E">
            <w:pPr>
              <w:spacing w:line="240" w:lineRule="exact"/>
              <w:rPr>
                <w:rFonts w:ascii="Arial" w:hAnsi="Arial" w:cs="Arial"/>
                <w:bCs/>
                <w:sz w:val="18"/>
                <w:szCs w:val="18"/>
              </w:rPr>
            </w:pPr>
            <w:r>
              <w:rPr>
                <w:rFonts w:hint="eastAsia" w:ascii="Arial" w:hAnsi="Arial" w:cs="Arial"/>
                <w:bCs/>
                <w:sz w:val="18"/>
                <w:szCs w:val="18"/>
              </w:rPr>
              <w:t>——</w:t>
            </w:r>
          </w:p>
        </w:tc>
        <w:tc>
          <w:tcPr>
            <w:tcW w:w="576" w:type="dxa"/>
            <w:vAlign w:val="center"/>
          </w:tcPr>
          <w:p w14:paraId="1E7B6017">
            <w:pPr>
              <w:spacing w:line="240" w:lineRule="exact"/>
              <w:rPr>
                <w:rFonts w:ascii="Arial" w:hAnsi="Arial" w:cs="Arial"/>
                <w:bCs/>
                <w:sz w:val="18"/>
                <w:szCs w:val="18"/>
              </w:rPr>
            </w:pPr>
            <w:r>
              <w:rPr>
                <w:rFonts w:ascii="Arial" w:hAnsi="Arial" w:cs="Arial"/>
                <w:bCs/>
                <w:sz w:val="18"/>
                <w:szCs w:val="18"/>
              </w:rPr>
              <w:t>1.8</w:t>
            </w:r>
          </w:p>
        </w:tc>
        <w:tc>
          <w:tcPr>
            <w:tcW w:w="862" w:type="dxa"/>
            <w:vAlign w:val="center"/>
          </w:tcPr>
          <w:p w14:paraId="7355AEF6">
            <w:pPr>
              <w:spacing w:line="240" w:lineRule="exact"/>
              <w:rPr>
                <w:rFonts w:ascii="Arial" w:hAnsi="Arial" w:cs="Arial"/>
                <w:bCs/>
                <w:sz w:val="18"/>
                <w:szCs w:val="18"/>
              </w:rPr>
            </w:pPr>
            <w:r>
              <w:rPr>
                <w:rFonts w:ascii="Arial" w:hAnsi="Arial" w:cs="Arial"/>
                <w:bCs/>
                <w:sz w:val="18"/>
                <w:szCs w:val="18"/>
              </w:rPr>
              <w:t>三通</w:t>
            </w:r>
            <w:r>
              <w:rPr>
                <w:rFonts w:hint="eastAsia" w:ascii="Arial" w:hAnsi="Arial" w:cs="Arial"/>
                <w:bCs/>
                <w:sz w:val="18"/>
                <w:szCs w:val="18"/>
              </w:rPr>
              <w:t>、宗地红线内场地未平整，宗地内有需要移除的树木</w:t>
            </w:r>
            <w:r>
              <w:rPr>
                <w:rFonts w:ascii="Arial" w:hAnsi="Arial" w:cs="Arial"/>
                <w:bCs/>
                <w:sz w:val="18"/>
                <w:szCs w:val="18"/>
              </w:rPr>
              <w:t>一平</w:t>
            </w:r>
          </w:p>
        </w:tc>
        <w:tc>
          <w:tcPr>
            <w:tcW w:w="862" w:type="dxa"/>
            <w:vAlign w:val="center"/>
          </w:tcPr>
          <w:p w14:paraId="3AE696D9">
            <w:pPr>
              <w:spacing w:line="240" w:lineRule="exact"/>
              <w:rPr>
                <w:rFonts w:ascii="Arial" w:hAnsi="Arial" w:cs="Arial"/>
                <w:bCs/>
                <w:sz w:val="18"/>
                <w:szCs w:val="18"/>
              </w:rPr>
            </w:pPr>
            <w:r>
              <w:rPr>
                <w:rFonts w:ascii="Arial" w:hAnsi="Arial" w:cs="Arial"/>
                <w:bCs/>
                <w:sz w:val="18"/>
                <w:szCs w:val="18"/>
              </w:rPr>
              <w:t>三通一平</w:t>
            </w:r>
          </w:p>
        </w:tc>
        <w:tc>
          <w:tcPr>
            <w:tcW w:w="1005" w:type="dxa"/>
            <w:vAlign w:val="center"/>
          </w:tcPr>
          <w:p w14:paraId="4453C63B">
            <w:pPr>
              <w:spacing w:line="240" w:lineRule="exact"/>
              <w:rPr>
                <w:rFonts w:ascii="Arial" w:hAnsi="Arial" w:cs="Arial"/>
                <w:bCs/>
                <w:sz w:val="18"/>
                <w:szCs w:val="18"/>
              </w:rPr>
            </w:pPr>
            <w:r>
              <w:rPr>
                <w:rFonts w:hint="eastAsia" w:ascii="Arial" w:hAnsi="Arial" w:cs="Arial"/>
                <w:bCs/>
                <w:sz w:val="18"/>
                <w:szCs w:val="18"/>
              </w:rPr>
              <w:t>50</w:t>
            </w:r>
          </w:p>
        </w:tc>
        <w:tc>
          <w:tcPr>
            <w:tcW w:w="953" w:type="dxa"/>
            <w:vAlign w:val="center"/>
          </w:tcPr>
          <w:p w14:paraId="69C65677">
            <w:pPr>
              <w:spacing w:line="240" w:lineRule="exact"/>
              <w:rPr>
                <w:rFonts w:ascii="Arial" w:hAnsi="Arial" w:cs="Arial"/>
                <w:bCs/>
                <w:sz w:val="18"/>
                <w:szCs w:val="18"/>
              </w:rPr>
            </w:pPr>
            <w:r>
              <w:rPr>
                <w:rFonts w:hint="eastAsia" w:ascii="Arial" w:hAnsi="Arial" w:cs="Arial"/>
                <w:bCs/>
                <w:sz w:val="18"/>
                <w:szCs w:val="18"/>
              </w:rPr>
              <w:t>18132</w:t>
            </w:r>
          </w:p>
        </w:tc>
        <w:tc>
          <w:tcPr>
            <w:tcW w:w="953" w:type="dxa"/>
            <w:vAlign w:val="center"/>
          </w:tcPr>
          <w:p w14:paraId="29775A41">
            <w:pPr>
              <w:spacing w:line="240" w:lineRule="exact"/>
              <w:rPr>
                <w:rFonts w:ascii="Arial" w:hAnsi="Arial" w:cs="Arial"/>
                <w:bCs/>
                <w:sz w:val="18"/>
                <w:szCs w:val="18"/>
              </w:rPr>
            </w:pPr>
            <w:r>
              <w:rPr>
                <w:rFonts w:hint="eastAsia" w:ascii="Arial" w:hAnsi="Arial" w:cs="Arial"/>
                <w:bCs/>
                <w:sz w:val="18"/>
                <w:szCs w:val="18"/>
              </w:rPr>
              <w:t>43300</w:t>
            </w:r>
          </w:p>
        </w:tc>
        <w:tc>
          <w:tcPr>
            <w:tcW w:w="953" w:type="dxa"/>
            <w:vAlign w:val="center"/>
          </w:tcPr>
          <w:p w14:paraId="762A1C6C">
            <w:pPr>
              <w:spacing w:line="240" w:lineRule="exact"/>
              <w:rPr>
                <w:rFonts w:ascii="Arial" w:hAnsi="Arial" w:cs="Arial"/>
                <w:bCs/>
                <w:sz w:val="18"/>
                <w:szCs w:val="18"/>
              </w:rPr>
            </w:pPr>
            <w:r>
              <w:rPr>
                <w:rFonts w:hint="eastAsia" w:ascii="Arial" w:hAnsi="Arial" w:cs="Arial"/>
                <w:bCs/>
                <w:sz w:val="18"/>
                <w:szCs w:val="18"/>
              </w:rPr>
              <w:t>1065</w:t>
            </w:r>
          </w:p>
        </w:tc>
        <w:tc>
          <w:tcPr>
            <w:tcW w:w="953" w:type="dxa"/>
            <w:vAlign w:val="center"/>
          </w:tcPr>
          <w:p w14:paraId="3369912F">
            <w:pPr>
              <w:spacing w:line="240" w:lineRule="exact"/>
              <w:rPr>
                <w:rFonts w:ascii="Arial" w:hAnsi="Arial" w:cs="Arial"/>
                <w:bCs/>
                <w:sz w:val="18"/>
                <w:szCs w:val="18"/>
              </w:rPr>
            </w:pPr>
            <w:r>
              <w:rPr>
                <w:rFonts w:hint="eastAsia" w:ascii="Arial" w:hAnsi="Arial" w:cs="Arial"/>
                <w:bCs/>
                <w:sz w:val="18"/>
                <w:szCs w:val="18"/>
              </w:rPr>
              <w:t>446</w:t>
            </w:r>
          </w:p>
        </w:tc>
        <w:tc>
          <w:tcPr>
            <w:tcW w:w="953" w:type="dxa"/>
            <w:vAlign w:val="center"/>
          </w:tcPr>
          <w:p w14:paraId="54930302">
            <w:pPr>
              <w:spacing w:line="240" w:lineRule="exact"/>
              <w:rPr>
                <w:rFonts w:ascii="Arial" w:hAnsi="Arial" w:cs="Arial"/>
                <w:bCs/>
                <w:sz w:val="18"/>
                <w:szCs w:val="18"/>
              </w:rPr>
            </w:pPr>
            <w:r>
              <w:rPr>
                <w:rFonts w:hint="eastAsia" w:ascii="Arial" w:hAnsi="Arial" w:cs="Arial"/>
                <w:bCs/>
                <w:sz w:val="18"/>
                <w:szCs w:val="18"/>
              </w:rPr>
              <w:t>1804.54</w:t>
            </w:r>
          </w:p>
        </w:tc>
      </w:tr>
      <w:tr w14:paraId="11229ABD">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PrEx>
        <w:trPr>
          <w:cantSplit/>
          <w:jc w:val="center"/>
        </w:trPr>
        <w:tc>
          <w:tcPr>
            <w:tcW w:w="14923" w:type="dxa"/>
            <w:gridSpan w:val="17"/>
            <w:tcBorders>
              <w:left w:val="nil"/>
              <w:bottom w:val="nil"/>
              <w:right w:val="nil"/>
            </w:tcBorders>
            <w:vAlign w:val="center"/>
          </w:tcPr>
          <w:p w14:paraId="3B22C78C">
            <w:pPr>
              <w:spacing w:line="240" w:lineRule="exact"/>
              <w:rPr>
                <w:rFonts w:ascii="Arial" w:hAnsi="Arial" w:cs="Arial"/>
                <w:b/>
                <w:bCs/>
                <w:sz w:val="18"/>
                <w:szCs w:val="18"/>
              </w:rPr>
            </w:pPr>
            <w:r>
              <w:rPr>
                <w:rFonts w:ascii="Arial" w:hAnsi="Arial" w:cs="Arial"/>
                <w:sz w:val="18"/>
                <w:szCs w:val="18"/>
              </w:rPr>
              <w:t>币种：人民币</w:t>
            </w:r>
          </w:p>
        </w:tc>
        <w:tc>
          <w:tcPr>
            <w:tcW w:w="953" w:type="dxa"/>
            <w:tcBorders>
              <w:left w:val="nil"/>
              <w:bottom w:val="nil"/>
              <w:right w:val="nil"/>
            </w:tcBorders>
            <w:vAlign w:val="center"/>
          </w:tcPr>
          <w:p w14:paraId="4B68F64A">
            <w:pPr>
              <w:spacing w:line="240" w:lineRule="exact"/>
              <w:rPr>
                <w:rFonts w:ascii="Arial" w:hAnsi="Arial" w:cs="Arial"/>
                <w:b/>
                <w:bCs/>
                <w:sz w:val="18"/>
                <w:szCs w:val="18"/>
                <w:u w:val="single"/>
              </w:rPr>
            </w:pPr>
          </w:p>
        </w:tc>
      </w:tr>
    </w:tbl>
    <w:p w14:paraId="62922101">
      <w:pPr>
        <w:spacing w:line="360" w:lineRule="auto"/>
        <w:rPr>
          <w:rFonts w:ascii="Arial" w:hAnsi="Arial" w:cs="Arial"/>
          <w:sz w:val="18"/>
          <w:szCs w:val="18"/>
        </w:rPr>
      </w:pPr>
    </w:p>
    <w:p w14:paraId="2AB20B8C">
      <w:pPr>
        <w:spacing w:line="360" w:lineRule="auto"/>
        <w:rPr>
          <w:rFonts w:ascii="Arial" w:hAnsi="Arial" w:cs="Arial"/>
          <w:sz w:val="28"/>
          <w:szCs w:val="28"/>
        </w:rPr>
      </w:pPr>
      <w:r>
        <w:rPr>
          <w:rFonts w:ascii="Arial" w:hAnsi="Arial" w:cs="Arial"/>
          <w:sz w:val="28"/>
          <w:szCs w:val="28"/>
        </w:rPr>
        <w:t>（转下页）</w:t>
      </w:r>
    </w:p>
    <w:p w14:paraId="7F0BA9E2">
      <w:pPr>
        <w:spacing w:line="360" w:lineRule="auto"/>
        <w:jc w:val="right"/>
        <w:rPr>
          <w:rFonts w:ascii="Arial" w:hAnsi="Arial" w:cs="Arial"/>
          <w:b/>
          <w:sz w:val="18"/>
          <w:szCs w:val="18"/>
        </w:rPr>
        <w:sectPr>
          <w:headerReference r:id="rId20" w:type="first"/>
          <w:headerReference r:id="rId19" w:type="default"/>
          <w:footerReference r:id="rId21" w:type="default"/>
          <w:pgSz w:w="16840" w:h="11907" w:orient="landscape"/>
          <w:pgMar w:top="2041" w:right="1134" w:bottom="1134" w:left="1134" w:header="1304" w:footer="1020" w:gutter="0"/>
          <w:cols w:space="720" w:num="1"/>
          <w:titlePg/>
          <w:docGrid w:linePitch="326" w:charSpace="0"/>
        </w:sectPr>
      </w:pPr>
    </w:p>
    <w:p w14:paraId="0C35F718">
      <w:pPr>
        <w:spacing w:line="360" w:lineRule="auto"/>
        <w:ind w:left="1"/>
        <w:jc w:val="both"/>
        <w:rPr>
          <w:rFonts w:ascii="Arial" w:hAnsi="Arial" w:cs="Arial"/>
          <w:b/>
        </w:rPr>
      </w:pPr>
      <w:r>
        <w:rPr>
          <w:rFonts w:ascii="Arial" w:hAnsi="Arial" w:cs="Arial"/>
          <w:b/>
        </w:rPr>
        <w:t>一、上述咨询结果的限定条件</w:t>
      </w:r>
    </w:p>
    <w:p w14:paraId="0C5B15D6">
      <w:pPr>
        <w:spacing w:line="360" w:lineRule="auto"/>
        <w:jc w:val="both"/>
        <w:rPr>
          <w:rFonts w:ascii="Arial" w:hAnsi="Arial" w:cs="Arial"/>
          <w:bCs/>
        </w:rPr>
      </w:pPr>
      <w:r>
        <w:rPr>
          <w:rFonts w:ascii="Arial" w:hAnsi="Arial" w:cs="Arial"/>
          <w:bCs/>
        </w:rPr>
        <w:t xml:space="preserve">（一）土地权利限制：截至咨询期日，咨询对象未设定抵押、租赁等他项权利； </w:t>
      </w:r>
    </w:p>
    <w:p w14:paraId="7DDA3E02">
      <w:pPr>
        <w:spacing w:line="360" w:lineRule="auto"/>
        <w:jc w:val="both"/>
        <w:rPr>
          <w:rFonts w:ascii="Arial" w:hAnsi="Arial" w:cs="Arial"/>
          <w:bCs/>
        </w:rPr>
      </w:pPr>
      <w:r>
        <w:rPr>
          <w:rFonts w:ascii="Arial" w:hAnsi="Arial" w:cs="Arial"/>
          <w:bCs/>
        </w:rPr>
        <w:t>（二）基础设施条件：咨询对象实际开发程度为</w:t>
      </w:r>
      <w:r>
        <w:rPr>
          <w:rFonts w:hint="eastAsia" w:ascii="Arial" w:hAnsi="Arial" w:cs="Arial"/>
          <w:bCs/>
        </w:rPr>
        <w:t>“三通”、宗地红线内场地未平整，宗地内有需要移除的树木</w:t>
      </w:r>
      <w:r>
        <w:rPr>
          <w:rFonts w:ascii="Arial" w:hAnsi="Arial" w:cs="Arial"/>
          <w:bCs/>
        </w:rPr>
        <w:t>；本次评估设定开发程度为“ 三通一平”；</w:t>
      </w:r>
    </w:p>
    <w:p w14:paraId="70DE98CF">
      <w:pPr>
        <w:spacing w:line="360" w:lineRule="auto"/>
        <w:ind w:left="2"/>
        <w:jc w:val="both"/>
        <w:rPr>
          <w:rFonts w:ascii="Arial" w:hAnsi="Arial" w:cs="Arial"/>
          <w:bCs/>
        </w:rPr>
      </w:pPr>
      <w:r>
        <w:rPr>
          <w:rFonts w:ascii="Arial" w:hAnsi="Arial" w:cs="Arial"/>
          <w:bCs/>
        </w:rPr>
        <w:t>（三）规划限制条件：</w:t>
      </w:r>
      <w:r>
        <w:rPr>
          <w:rFonts w:ascii="Arial" w:hAnsi="Arial" w:eastAsia="仿宋_GB2312;仿宋" w:cs="Arial"/>
          <w:bCs/>
        </w:rPr>
        <w:t>委托方及</w:t>
      </w:r>
      <w:r>
        <w:rPr>
          <w:rFonts w:hint="eastAsia" w:ascii="Arial" w:hAnsi="Arial" w:eastAsia="仿宋_GB2312;仿宋" w:cs="Arial"/>
          <w:bCs/>
        </w:rPr>
        <w:t>土地使用权人</w:t>
      </w:r>
      <w:r>
        <w:rPr>
          <w:rFonts w:ascii="Arial" w:hAnsi="Arial" w:eastAsia="仿宋_GB2312;仿宋" w:cs="Arial"/>
          <w:bCs/>
        </w:rPr>
        <w:t>未提供咨询对象的规划资料</w:t>
      </w:r>
      <w:r>
        <w:rPr>
          <w:rFonts w:ascii="Arial" w:hAnsi="Arial" w:cs="Arial"/>
          <w:bCs/>
        </w:rPr>
        <w:t xml:space="preserve">； </w:t>
      </w:r>
    </w:p>
    <w:p w14:paraId="48F78287">
      <w:pPr>
        <w:spacing w:line="360" w:lineRule="auto"/>
        <w:ind w:left="2"/>
        <w:jc w:val="both"/>
        <w:rPr>
          <w:rFonts w:ascii="Arial" w:hAnsi="Arial" w:cs="Arial"/>
          <w:bCs/>
        </w:rPr>
      </w:pPr>
      <w:r>
        <w:rPr>
          <w:rFonts w:ascii="Arial" w:hAnsi="Arial" w:cs="Arial"/>
          <w:bCs/>
        </w:rPr>
        <w:t>（四）影响土地价格的其他限定条件：无。</w:t>
      </w:r>
    </w:p>
    <w:p w14:paraId="6FB845C8">
      <w:pPr>
        <w:spacing w:line="360" w:lineRule="auto"/>
        <w:jc w:val="both"/>
        <w:rPr>
          <w:rFonts w:ascii="Arial" w:hAnsi="Arial" w:cs="Arial"/>
          <w:bCs/>
        </w:rPr>
      </w:pPr>
      <w:r>
        <w:rPr>
          <w:rFonts w:ascii="Arial" w:hAnsi="Arial" w:cs="Arial"/>
          <w:b/>
        </w:rPr>
        <w:t>二、其他需要说明的事项</w:t>
      </w:r>
      <w:r>
        <w:rPr>
          <w:rFonts w:ascii="Arial" w:hAnsi="Arial" w:cs="Arial"/>
          <w:bCs/>
        </w:rPr>
        <w:t>：详见报告中的特殊事项说明及假设和限制条件。</w:t>
      </w:r>
    </w:p>
    <w:p w14:paraId="6E36F71F">
      <w:pPr>
        <w:spacing w:line="360" w:lineRule="auto"/>
        <w:rPr>
          <w:rFonts w:ascii="Arial" w:hAnsi="Arial" w:cs="Arial"/>
          <w:bCs/>
        </w:rPr>
      </w:pPr>
      <w:r>
        <w:rPr>
          <w:rFonts w:ascii="Arial" w:hAnsi="Arial" w:cs="Arial"/>
          <w:bCs/>
        </w:rPr>
        <w:t xml:space="preserve"> </w:t>
      </w:r>
    </w:p>
    <w:p w14:paraId="6628A5BD">
      <w:pPr>
        <w:spacing w:line="360" w:lineRule="auto"/>
        <w:ind w:firstLine="7500"/>
        <w:jc w:val="right"/>
        <w:rPr>
          <w:rFonts w:ascii="Arial" w:hAnsi="Arial" w:cs="Arial"/>
          <w:bCs/>
        </w:rPr>
      </w:pPr>
    </w:p>
    <w:p w14:paraId="46EDC42F">
      <w:pPr>
        <w:spacing w:line="360" w:lineRule="auto"/>
        <w:ind w:firstLine="7500"/>
        <w:jc w:val="right"/>
        <w:rPr>
          <w:rFonts w:ascii="Arial" w:hAnsi="Arial" w:cs="Arial"/>
          <w:bCs/>
        </w:rPr>
      </w:pPr>
    </w:p>
    <w:p w14:paraId="0305C805">
      <w:pPr>
        <w:spacing w:line="360" w:lineRule="auto"/>
        <w:ind w:firstLine="3828"/>
        <w:jc w:val="right"/>
        <w:rPr>
          <w:rFonts w:ascii="Arial" w:hAnsi="Arial" w:cs="Arial"/>
          <w:bCs/>
        </w:rPr>
      </w:pPr>
      <w:r>
        <w:rPr>
          <w:rFonts w:ascii="Arial" w:hAnsi="Arial" w:cs="Arial"/>
          <w:bCs/>
        </w:rPr>
        <w:t>估价机构：北京康正宏基房地产评估有限公司</w:t>
      </w:r>
    </w:p>
    <w:p w14:paraId="50872407">
      <w:pPr>
        <w:spacing w:line="360" w:lineRule="auto"/>
        <w:jc w:val="right"/>
        <w:rPr>
          <w:rFonts w:ascii="Arial" w:hAnsi="Arial" w:cs="Arial"/>
          <w:sz w:val="28"/>
        </w:rPr>
      </w:pPr>
      <w:r>
        <w:rPr>
          <w:rFonts w:hint="eastAsia" w:ascii="Arial" w:hAnsi="Arial" w:cs="Arial"/>
          <w:bCs/>
        </w:rPr>
        <w:t>2025年7月1日</w:t>
      </w:r>
    </w:p>
    <w:p w14:paraId="6608D74C">
      <w:pPr>
        <w:spacing w:line="360" w:lineRule="auto"/>
        <w:ind w:firstLine="4480" w:firstLineChars="1600"/>
        <w:rPr>
          <w:rFonts w:ascii="Arial" w:hAnsi="Arial" w:cs="Arial"/>
          <w:sz w:val="28"/>
        </w:rPr>
        <w:sectPr>
          <w:headerReference r:id="rId22" w:type="first"/>
          <w:pgSz w:w="11907" w:h="16840"/>
          <w:pgMar w:top="1843" w:right="1304" w:bottom="1134" w:left="1304" w:header="1134" w:footer="850" w:gutter="0"/>
          <w:cols w:space="720" w:num="1"/>
          <w:titlePg/>
          <w:docGrid w:linePitch="326" w:charSpace="0"/>
        </w:sectPr>
      </w:pPr>
    </w:p>
    <w:p w14:paraId="62CB2A48">
      <w:pPr>
        <w:spacing w:line="360" w:lineRule="auto"/>
        <w:jc w:val="center"/>
        <w:outlineLvl w:val="0"/>
        <w:rPr>
          <w:rFonts w:ascii="Arial" w:hAnsi="Arial" w:cs="Arial"/>
          <w:b/>
          <w:sz w:val="32"/>
        </w:rPr>
      </w:pPr>
      <w:bookmarkStart w:id="68" w:name="_Toc9223"/>
      <w:bookmarkStart w:id="69" w:name="_Toc416783528"/>
      <w:bookmarkStart w:id="70" w:name="_Toc5219"/>
      <w:bookmarkStart w:id="71" w:name="_Toc4982"/>
      <w:bookmarkStart w:id="72" w:name="_Toc425250313"/>
      <w:bookmarkStart w:id="73" w:name="_Toc418750891"/>
      <w:bookmarkStart w:id="74" w:name="_Toc469066311"/>
      <w:r>
        <w:rPr>
          <w:rFonts w:ascii="Arial" w:hAnsi="Arial" w:cs="Arial"/>
          <w:b/>
          <w:sz w:val="32"/>
        </w:rPr>
        <w:t>第二部分  咨询对象界定</w:t>
      </w:r>
      <w:bookmarkEnd w:id="68"/>
      <w:bookmarkEnd w:id="69"/>
      <w:bookmarkEnd w:id="70"/>
      <w:bookmarkEnd w:id="71"/>
      <w:bookmarkEnd w:id="72"/>
      <w:bookmarkEnd w:id="73"/>
      <w:bookmarkEnd w:id="74"/>
    </w:p>
    <w:p w14:paraId="0E44C189">
      <w:pPr>
        <w:spacing w:line="360" w:lineRule="auto"/>
        <w:rPr>
          <w:rFonts w:ascii="Arial" w:hAnsi="Arial" w:cs="Arial"/>
          <w:sz w:val="28"/>
        </w:rPr>
      </w:pPr>
    </w:p>
    <w:p w14:paraId="38BAE18D">
      <w:pPr>
        <w:spacing w:line="360" w:lineRule="auto"/>
        <w:outlineLvl w:val="1"/>
        <w:rPr>
          <w:rFonts w:ascii="Arial" w:hAnsi="Arial" w:cs="Arial"/>
          <w:b/>
          <w:sz w:val="28"/>
        </w:rPr>
      </w:pPr>
      <w:bookmarkStart w:id="75" w:name="_Toc21404"/>
      <w:bookmarkStart w:id="76" w:name="_Toc18492"/>
      <w:bookmarkStart w:id="77" w:name="_Toc425250314"/>
      <w:bookmarkStart w:id="78" w:name="_Toc418750892"/>
      <w:bookmarkStart w:id="79" w:name="_Toc469066312"/>
      <w:bookmarkStart w:id="80" w:name="_Toc416783529"/>
      <w:bookmarkStart w:id="81" w:name="_Toc11661"/>
      <w:r>
        <w:rPr>
          <w:rFonts w:ascii="Arial" w:hAnsi="Arial" w:cs="Arial"/>
          <w:b/>
          <w:sz w:val="28"/>
        </w:rPr>
        <w:t>一、委托方</w:t>
      </w:r>
      <w:bookmarkEnd w:id="75"/>
      <w:bookmarkEnd w:id="76"/>
      <w:bookmarkEnd w:id="77"/>
      <w:bookmarkEnd w:id="78"/>
      <w:bookmarkEnd w:id="79"/>
      <w:bookmarkEnd w:id="80"/>
      <w:bookmarkEnd w:id="81"/>
    </w:p>
    <w:p w14:paraId="2F937636">
      <w:pPr>
        <w:spacing w:line="360" w:lineRule="auto"/>
        <w:ind w:firstLine="570"/>
        <w:jc w:val="both"/>
        <w:rPr>
          <w:rFonts w:ascii="Arial" w:hAnsi="Arial" w:cs="Arial"/>
          <w:sz w:val="28"/>
        </w:rPr>
      </w:pPr>
      <w:r>
        <w:rPr>
          <w:rFonts w:ascii="Arial" w:hAnsi="Arial" w:cs="Arial"/>
          <w:sz w:val="28"/>
        </w:rPr>
        <w:t>本次评估委托方为</w:t>
      </w:r>
      <w:r>
        <w:rPr>
          <w:rFonts w:hint="eastAsia" w:ascii="Arial" w:hAnsi="Arial" w:cs="Arial"/>
          <w:sz w:val="28"/>
        </w:rPr>
        <w:t>北京保障房中心有限公司</w:t>
      </w:r>
      <w:r>
        <w:rPr>
          <w:rFonts w:ascii="Arial" w:hAnsi="Arial" w:cs="Arial"/>
          <w:sz w:val="28"/>
        </w:rPr>
        <w:t>，</w:t>
      </w:r>
      <w:r>
        <w:rPr>
          <w:rFonts w:hint="eastAsia" w:ascii="Arial" w:hAnsi="Arial" w:cs="Arial"/>
          <w:sz w:val="28"/>
        </w:rPr>
        <w:t>非</w:t>
      </w:r>
      <w:r>
        <w:rPr>
          <w:rFonts w:ascii="Arial" w:hAnsi="Arial" w:cs="Arial"/>
          <w:sz w:val="28"/>
        </w:rPr>
        <w:t>咨询对象的土地使用权人。</w:t>
      </w:r>
    </w:p>
    <w:p w14:paraId="2367BF04">
      <w:pPr>
        <w:spacing w:line="360" w:lineRule="auto"/>
        <w:ind w:firstLine="560" w:firstLineChars="200"/>
        <w:jc w:val="both"/>
        <w:rPr>
          <w:rFonts w:ascii="Arial" w:hAnsi="Arial" w:cs="Arial"/>
          <w:sz w:val="28"/>
        </w:rPr>
      </w:pPr>
      <w:r>
        <w:rPr>
          <w:rFonts w:ascii="Arial" w:hAnsi="Arial" w:cs="Arial"/>
          <w:sz w:val="28"/>
        </w:rPr>
        <w:t>单位名称：</w:t>
      </w:r>
      <w:r>
        <w:rPr>
          <w:rFonts w:hint="eastAsia" w:ascii="Arial" w:hAnsi="Arial" w:cs="Arial"/>
          <w:sz w:val="28"/>
        </w:rPr>
        <w:t>北京保障房中心有限公司</w:t>
      </w:r>
    </w:p>
    <w:p w14:paraId="7E83C64E">
      <w:pPr>
        <w:spacing w:line="360" w:lineRule="auto"/>
        <w:ind w:left="1957" w:leftChars="232" w:hanging="1400" w:hangingChars="500"/>
        <w:jc w:val="both"/>
        <w:rPr>
          <w:rFonts w:ascii="Arial" w:hAnsi="Arial" w:cs="Arial"/>
          <w:sz w:val="28"/>
        </w:rPr>
      </w:pPr>
      <w:r>
        <w:rPr>
          <w:rFonts w:hint="eastAsia" w:ascii="Arial" w:hAnsi="Arial" w:cs="Arial"/>
          <w:sz w:val="28"/>
        </w:rPr>
        <w:t>地    址</w:t>
      </w:r>
      <w:r>
        <w:rPr>
          <w:rFonts w:ascii="Arial" w:hAnsi="Arial" w:cs="Arial"/>
          <w:sz w:val="28"/>
        </w:rPr>
        <w:t>：</w:t>
      </w:r>
      <w:r>
        <w:rPr>
          <w:rFonts w:ascii="仿宋_GB2312;仿宋" w:hAnsi="仿宋_GB2312;仿宋" w:eastAsia="仿宋_GB2312;仿宋" w:cs="Arial Narrow"/>
          <w:sz w:val="28"/>
        </w:rPr>
        <w:t>北京市丰台区南四环中路10号</w:t>
      </w:r>
    </w:p>
    <w:p w14:paraId="608C3862">
      <w:pPr>
        <w:spacing w:line="360" w:lineRule="auto"/>
        <w:ind w:firstLine="560" w:firstLineChars="200"/>
        <w:jc w:val="both"/>
        <w:rPr>
          <w:rFonts w:ascii="Arial" w:hAnsi="Arial" w:cs="Arial"/>
          <w:sz w:val="28"/>
        </w:rPr>
      </w:pPr>
      <w:r>
        <w:rPr>
          <w:rFonts w:ascii="Arial" w:hAnsi="Arial" w:cs="Arial"/>
          <w:sz w:val="28"/>
        </w:rPr>
        <w:t>联 系 人：</w:t>
      </w:r>
      <w:r>
        <w:rPr>
          <w:rFonts w:ascii="Arial" w:hAnsi="Arial" w:eastAsia="仿宋_GB2312;仿宋" w:cs="Arial"/>
          <w:sz w:val="28"/>
        </w:rPr>
        <w:t>岳翠兰</w:t>
      </w:r>
    </w:p>
    <w:p w14:paraId="63E543A8">
      <w:pPr>
        <w:spacing w:line="360" w:lineRule="auto"/>
        <w:jc w:val="both"/>
        <w:rPr>
          <w:rFonts w:ascii="Arial" w:hAnsi="Arial" w:cs="Arial"/>
          <w:b/>
          <w:sz w:val="28"/>
        </w:rPr>
      </w:pPr>
    </w:p>
    <w:p w14:paraId="0576A00F">
      <w:pPr>
        <w:spacing w:line="360" w:lineRule="auto"/>
        <w:outlineLvl w:val="1"/>
        <w:rPr>
          <w:rFonts w:ascii="Arial" w:hAnsi="Arial" w:cs="Arial"/>
          <w:b/>
          <w:sz w:val="28"/>
        </w:rPr>
      </w:pPr>
      <w:bookmarkStart w:id="82" w:name="_Toc425250315"/>
      <w:bookmarkStart w:id="83" w:name="_Toc24106"/>
      <w:bookmarkStart w:id="84" w:name="_Toc416783530"/>
      <w:bookmarkStart w:id="85" w:name="_Toc469066313"/>
      <w:bookmarkStart w:id="86" w:name="_Toc14440"/>
      <w:bookmarkStart w:id="87" w:name="_Toc418750893"/>
      <w:bookmarkStart w:id="88" w:name="_Toc12506"/>
      <w:r>
        <w:rPr>
          <w:rFonts w:ascii="Arial" w:hAnsi="Arial" w:cs="Arial"/>
          <w:b/>
          <w:sz w:val="28"/>
        </w:rPr>
        <w:t>二、咨询对象</w:t>
      </w:r>
      <w:bookmarkEnd w:id="82"/>
      <w:bookmarkEnd w:id="83"/>
      <w:bookmarkEnd w:id="84"/>
      <w:bookmarkEnd w:id="85"/>
      <w:bookmarkEnd w:id="86"/>
      <w:bookmarkEnd w:id="87"/>
      <w:bookmarkEnd w:id="88"/>
    </w:p>
    <w:p w14:paraId="4A59CCD8">
      <w:pPr>
        <w:tabs>
          <w:tab w:val="left" w:pos="9027"/>
        </w:tabs>
        <w:spacing w:line="360" w:lineRule="auto"/>
        <w:ind w:firstLine="560" w:firstLineChars="200"/>
        <w:jc w:val="both"/>
        <w:rPr>
          <w:rFonts w:ascii="Arial" w:hAnsi="Arial" w:cs="Arial"/>
          <w:sz w:val="18"/>
          <w:szCs w:val="18"/>
        </w:rPr>
      </w:pPr>
      <w:r>
        <w:rPr>
          <w:rFonts w:hint="eastAsia" w:ascii="Arial" w:hAnsi="Arial" w:cs="Arial"/>
          <w:sz w:val="28"/>
        </w:rPr>
        <w:t>根据委托方介绍,</w:t>
      </w:r>
      <w:r>
        <w:rPr>
          <w:rFonts w:ascii="Arial" w:hAnsi="Arial" w:cs="Arial"/>
          <w:sz w:val="28"/>
        </w:rPr>
        <w:t>咨询对象为</w:t>
      </w:r>
      <w:r>
        <w:rPr>
          <w:rFonts w:hint="eastAsia" w:ascii="Arial" w:hAnsi="Arial" w:cs="Arial"/>
          <w:sz w:val="28"/>
        </w:rPr>
        <w:t>北京保障房中心有限公司拟</w:t>
      </w:r>
      <w:r>
        <w:rPr>
          <w:rFonts w:ascii="Arial" w:hAnsi="Arial" w:cs="Arial"/>
          <w:sz w:val="28"/>
        </w:rPr>
        <w:t>使用的集体建设用地。咨询对象土地面积为</w:t>
      </w:r>
      <w:r>
        <w:rPr>
          <w:rFonts w:hint="eastAsia" w:ascii="Arial" w:hAnsi="Arial" w:cs="Arial"/>
          <w:sz w:val="28"/>
        </w:rPr>
        <w:t>18132</w:t>
      </w:r>
      <w:r>
        <w:rPr>
          <w:rFonts w:ascii="Arial" w:hAnsi="Arial" w:cs="Arial"/>
          <w:sz w:val="28"/>
        </w:rPr>
        <w:t>平方米，规划建筑面积为</w:t>
      </w:r>
      <w:r>
        <w:rPr>
          <w:rFonts w:hint="eastAsia" w:ascii="Arial" w:hAnsi="Arial" w:cs="Arial"/>
          <w:sz w:val="28"/>
        </w:rPr>
        <w:t>43300</w:t>
      </w:r>
      <w:r>
        <w:rPr>
          <w:rFonts w:ascii="Arial" w:hAnsi="Arial" w:cs="Arial"/>
          <w:sz w:val="28"/>
        </w:rPr>
        <w:t>平方米。其中</w:t>
      </w:r>
      <w:r>
        <w:rPr>
          <w:rFonts w:hint="eastAsia" w:ascii="Arial" w:hAnsi="Arial" w:cs="Arial"/>
          <w:sz w:val="28"/>
        </w:rPr>
        <w:t>地上</w:t>
      </w:r>
      <w:r>
        <w:rPr>
          <w:rFonts w:ascii="Arial" w:hAnsi="Arial" w:cs="Arial"/>
          <w:sz w:val="28"/>
        </w:rPr>
        <w:t>经营性用途用房</w:t>
      </w:r>
      <w:r>
        <w:rPr>
          <w:rFonts w:hint="eastAsia" w:ascii="Arial" w:hAnsi="Arial" w:cs="Arial"/>
          <w:sz w:val="28"/>
        </w:rPr>
        <w:t>31948</w:t>
      </w:r>
      <w:r>
        <w:rPr>
          <w:rFonts w:ascii="Arial" w:hAnsi="Arial" w:cs="Arial"/>
          <w:sz w:val="28"/>
        </w:rPr>
        <w:t>平方米（其中：</w:t>
      </w:r>
      <w:r>
        <w:rPr>
          <w:rFonts w:hint="eastAsia" w:ascii="Arial" w:hAnsi="Arial" w:cs="Arial"/>
          <w:sz w:val="28"/>
        </w:rPr>
        <w:t>公寓31152</w:t>
      </w:r>
      <w:r>
        <w:rPr>
          <w:rFonts w:ascii="Arial" w:hAnsi="Arial" w:cs="Arial"/>
          <w:sz w:val="28"/>
        </w:rPr>
        <w:t>平方米，商业</w:t>
      </w:r>
      <w:r>
        <w:rPr>
          <w:rFonts w:hint="eastAsia" w:ascii="Arial" w:hAnsi="Arial" w:cs="Arial"/>
          <w:sz w:val="28"/>
        </w:rPr>
        <w:t>796</w:t>
      </w:r>
      <w:r>
        <w:rPr>
          <w:rFonts w:ascii="Arial" w:hAnsi="Arial" w:cs="Arial"/>
          <w:sz w:val="28"/>
        </w:rPr>
        <w:t>平方米）；非经营性用途用房</w:t>
      </w:r>
      <w:r>
        <w:rPr>
          <w:rFonts w:hint="eastAsia" w:ascii="Arial" w:hAnsi="Arial" w:cs="Arial"/>
          <w:sz w:val="28"/>
        </w:rPr>
        <w:t>690</w:t>
      </w:r>
      <w:r>
        <w:rPr>
          <w:rFonts w:ascii="Arial" w:hAnsi="Arial" w:cs="Arial"/>
          <w:sz w:val="28"/>
        </w:rPr>
        <w:t>平方米（其中：配套设施</w:t>
      </w:r>
      <w:r>
        <w:rPr>
          <w:rFonts w:hint="eastAsia" w:ascii="Arial" w:hAnsi="Arial" w:cs="Arial"/>
          <w:sz w:val="28"/>
        </w:rPr>
        <w:t>540</w:t>
      </w:r>
      <w:r>
        <w:rPr>
          <w:rFonts w:ascii="Arial" w:hAnsi="Arial" w:cs="Arial"/>
          <w:sz w:val="28"/>
        </w:rPr>
        <w:t>平方米，</w:t>
      </w:r>
      <w:r>
        <w:rPr>
          <w:rFonts w:hint="eastAsia" w:ascii="Arial" w:hAnsi="Arial" w:cs="Arial"/>
          <w:sz w:val="28"/>
        </w:rPr>
        <w:t>地下建筑出入口150</w:t>
      </w:r>
      <w:r>
        <w:rPr>
          <w:rFonts w:ascii="Arial" w:hAnsi="Arial" w:cs="Arial"/>
          <w:sz w:val="28"/>
        </w:rPr>
        <w:t>平方米）</w:t>
      </w:r>
      <w:r>
        <w:rPr>
          <w:rFonts w:hint="eastAsia" w:ascii="Arial" w:hAnsi="Arial" w:cs="Arial"/>
          <w:sz w:val="28"/>
        </w:rPr>
        <w:t>；地下车库218个（约5556平方米），其他</w:t>
      </w:r>
      <w:r>
        <w:rPr>
          <w:rFonts w:ascii="Arial" w:hAnsi="Arial" w:cs="Arial"/>
          <w:sz w:val="28"/>
        </w:rPr>
        <w:t>非经营性用途用房</w:t>
      </w:r>
      <w:r>
        <w:rPr>
          <w:rFonts w:hint="eastAsia" w:ascii="Arial" w:hAnsi="Arial" w:cs="Arial"/>
          <w:sz w:val="28"/>
        </w:rPr>
        <w:t>约5106平方米。</w:t>
      </w:r>
    </w:p>
    <w:p w14:paraId="4A2CCD78">
      <w:pPr>
        <w:spacing w:line="360" w:lineRule="auto"/>
        <w:jc w:val="both"/>
        <w:rPr>
          <w:rFonts w:ascii="Arial" w:hAnsi="Arial" w:cs="Arial"/>
          <w:b/>
          <w:sz w:val="21"/>
          <w:szCs w:val="21"/>
        </w:rPr>
      </w:pPr>
    </w:p>
    <w:p w14:paraId="50D213FC">
      <w:pPr>
        <w:spacing w:line="360" w:lineRule="auto"/>
        <w:outlineLvl w:val="1"/>
        <w:rPr>
          <w:rFonts w:ascii="Arial" w:hAnsi="Arial" w:cs="Arial"/>
          <w:b/>
          <w:sz w:val="28"/>
        </w:rPr>
      </w:pPr>
      <w:bookmarkStart w:id="89" w:name="_Toc416783531"/>
      <w:bookmarkStart w:id="90" w:name="_Toc736"/>
      <w:bookmarkStart w:id="91" w:name="_Toc29392"/>
      <w:bookmarkStart w:id="92" w:name="_Toc15413"/>
      <w:bookmarkStart w:id="93" w:name="_Toc469066314"/>
      <w:bookmarkStart w:id="94" w:name="_Toc425250316"/>
      <w:bookmarkStart w:id="95" w:name="_Toc418750894"/>
      <w:r>
        <w:rPr>
          <w:rFonts w:ascii="Arial" w:hAnsi="Arial" w:cs="Arial"/>
          <w:b/>
          <w:sz w:val="28"/>
        </w:rPr>
        <w:t>三、咨询对象概况</w:t>
      </w:r>
      <w:bookmarkEnd w:id="89"/>
      <w:bookmarkEnd w:id="90"/>
      <w:bookmarkEnd w:id="91"/>
      <w:bookmarkEnd w:id="92"/>
      <w:bookmarkEnd w:id="93"/>
      <w:bookmarkEnd w:id="94"/>
      <w:bookmarkEnd w:id="95"/>
    </w:p>
    <w:p w14:paraId="67F5B123">
      <w:pPr>
        <w:spacing w:line="360" w:lineRule="auto"/>
        <w:jc w:val="both"/>
        <w:rPr>
          <w:rFonts w:ascii="Arial" w:hAnsi="Arial" w:cs="Arial"/>
          <w:sz w:val="28"/>
        </w:rPr>
      </w:pPr>
      <w:r>
        <w:rPr>
          <w:rFonts w:ascii="Arial" w:hAnsi="Arial" w:cs="Arial"/>
          <w:sz w:val="28"/>
        </w:rPr>
        <w:t>（一）土地登记状况</w:t>
      </w:r>
    </w:p>
    <w:p w14:paraId="216C1293">
      <w:pPr>
        <w:spacing w:line="360" w:lineRule="auto"/>
        <w:ind w:firstLine="560" w:firstLineChars="200"/>
        <w:jc w:val="both"/>
        <w:rPr>
          <w:rFonts w:ascii="Arial" w:hAnsi="Arial" w:cs="Arial"/>
          <w:sz w:val="28"/>
        </w:rPr>
      </w:pPr>
      <w:r>
        <w:rPr>
          <w:rFonts w:ascii="Arial" w:hAnsi="Arial" w:cs="Arial"/>
          <w:bCs/>
          <w:sz w:val="28"/>
        </w:rPr>
        <w:t>土地来源：咨询对象为</w:t>
      </w:r>
      <w:r>
        <w:rPr>
          <w:rFonts w:ascii="Arial" w:hAnsi="Arial" w:cs="Arial"/>
          <w:sz w:val="28"/>
        </w:rPr>
        <w:t>北京市</w:t>
      </w:r>
      <w:r>
        <w:rPr>
          <w:rFonts w:hint="eastAsia" w:ascii="Arial" w:hAnsi="Arial" w:cs="Arial"/>
          <w:sz w:val="28"/>
        </w:rPr>
        <w:t>昌平区马池口镇百泉庄村集体土地租赁住房项目</w:t>
      </w:r>
      <w:r>
        <w:rPr>
          <w:rFonts w:ascii="Arial" w:hAnsi="Arial" w:cs="Arial"/>
          <w:sz w:val="28"/>
        </w:rPr>
        <w:t>用地</w:t>
      </w:r>
      <w:r>
        <w:rPr>
          <w:rFonts w:ascii="Arial" w:hAnsi="Arial" w:cs="Arial"/>
          <w:bCs/>
          <w:sz w:val="28"/>
        </w:rPr>
        <w:t>，</w:t>
      </w:r>
      <w:bookmarkStart w:id="96" w:name="_Hlk108623027"/>
      <w:r>
        <w:rPr>
          <w:rFonts w:hint="eastAsia" w:ascii="Arial" w:hAnsi="Arial" w:cs="Arial"/>
          <w:bCs/>
          <w:sz w:val="28"/>
        </w:rPr>
        <w:t>根据委托方介绍，</w:t>
      </w:r>
      <w:bookmarkEnd w:id="96"/>
      <w:r>
        <w:rPr>
          <w:rFonts w:hint="eastAsia" w:ascii="Arial" w:hAnsi="Arial" w:cs="Arial"/>
          <w:sz w:val="28"/>
        </w:rPr>
        <w:t>百泉庄村经济组织</w:t>
      </w:r>
      <w:r>
        <w:rPr>
          <w:rFonts w:ascii="Arial" w:hAnsi="Arial" w:cs="Arial"/>
          <w:sz w:val="28"/>
        </w:rPr>
        <w:t>为</w:t>
      </w:r>
      <w:r>
        <w:rPr>
          <w:rFonts w:ascii="Arial" w:hAnsi="Arial" w:cs="Arial"/>
          <w:bCs/>
          <w:sz w:val="28"/>
        </w:rPr>
        <w:t>咨询对象</w:t>
      </w:r>
      <w:bookmarkStart w:id="97" w:name="_Hlk108623014"/>
      <w:r>
        <w:rPr>
          <w:rFonts w:ascii="Arial" w:hAnsi="Arial" w:cs="Arial"/>
          <w:bCs/>
          <w:sz w:val="28"/>
        </w:rPr>
        <w:t>集体建设用地使用权人</w:t>
      </w:r>
      <w:bookmarkEnd w:id="97"/>
      <w:r>
        <w:rPr>
          <w:rFonts w:ascii="Arial" w:hAnsi="Arial" w:cs="Arial"/>
          <w:sz w:val="28"/>
        </w:rPr>
        <w:t>。</w:t>
      </w:r>
    </w:p>
    <w:p w14:paraId="40E35CF5">
      <w:pPr>
        <w:spacing w:line="360" w:lineRule="auto"/>
        <w:ind w:firstLine="560" w:firstLineChars="200"/>
        <w:jc w:val="both"/>
        <w:rPr>
          <w:rFonts w:ascii="Arial" w:hAnsi="Arial" w:cs="Arial"/>
          <w:sz w:val="28"/>
        </w:rPr>
      </w:pPr>
      <w:r>
        <w:rPr>
          <w:rFonts w:ascii="Arial" w:hAnsi="Arial" w:cs="Arial"/>
          <w:sz w:val="28"/>
        </w:rPr>
        <w:t>土地面积：</w:t>
      </w:r>
      <w:r>
        <w:rPr>
          <w:rFonts w:hint="eastAsia" w:ascii="Arial" w:hAnsi="Arial" w:cs="Arial"/>
          <w:sz w:val="28"/>
        </w:rPr>
        <w:t>18132</w:t>
      </w:r>
      <w:r>
        <w:rPr>
          <w:rFonts w:ascii="Arial" w:hAnsi="Arial" w:cs="Arial"/>
          <w:sz w:val="28"/>
        </w:rPr>
        <w:t>平方米</w:t>
      </w:r>
    </w:p>
    <w:p w14:paraId="55879D10">
      <w:pPr>
        <w:spacing w:line="360" w:lineRule="auto"/>
        <w:ind w:firstLine="560" w:firstLineChars="200"/>
        <w:jc w:val="both"/>
        <w:rPr>
          <w:rFonts w:ascii="Arial" w:hAnsi="Arial" w:cs="Arial"/>
          <w:sz w:val="28"/>
        </w:rPr>
      </w:pPr>
      <w:r>
        <w:rPr>
          <w:rFonts w:ascii="Arial" w:hAnsi="Arial" w:cs="Arial"/>
          <w:sz w:val="28"/>
        </w:rPr>
        <w:t>咨询对象现状四至：</w:t>
      </w:r>
      <w:r>
        <w:rPr>
          <w:rFonts w:hint="eastAsia" w:ascii="Arial" w:hAnsi="Arial" w:cs="Arial"/>
          <w:sz w:val="28"/>
        </w:rPr>
        <w:t>东至水屯路，北至规划城市支路，西至规划城市支路，南至规划工业园区。</w:t>
      </w:r>
    </w:p>
    <w:p w14:paraId="3AAC2CB4">
      <w:pPr>
        <w:spacing w:line="360" w:lineRule="auto"/>
        <w:jc w:val="both"/>
        <w:rPr>
          <w:rFonts w:ascii="Arial" w:hAnsi="Arial" w:cs="Arial"/>
          <w:sz w:val="28"/>
        </w:rPr>
      </w:pPr>
      <w:r>
        <w:rPr>
          <w:rFonts w:ascii="Arial" w:hAnsi="Arial" w:cs="Arial"/>
          <w:sz w:val="28"/>
        </w:rPr>
        <w:t>（二）土地权利状况</w:t>
      </w:r>
    </w:p>
    <w:p w14:paraId="244AFD06">
      <w:pPr>
        <w:spacing w:line="360" w:lineRule="auto"/>
        <w:ind w:firstLine="560" w:firstLineChars="200"/>
        <w:jc w:val="both"/>
        <w:rPr>
          <w:rFonts w:ascii="Arial" w:hAnsi="Arial" w:cs="Arial"/>
          <w:sz w:val="28"/>
        </w:rPr>
      </w:pPr>
      <w:r>
        <w:rPr>
          <w:rFonts w:ascii="Arial" w:hAnsi="Arial" w:cs="Arial"/>
          <w:sz w:val="28"/>
        </w:rPr>
        <w:t>咨询对象为集体土地，土地使用权人为</w:t>
      </w:r>
      <w:r>
        <w:rPr>
          <w:rFonts w:hint="eastAsia" w:ascii="Arial" w:hAnsi="Arial" w:cs="Arial"/>
          <w:sz w:val="28"/>
        </w:rPr>
        <w:t>百泉庄村经济组织</w:t>
      </w:r>
      <w:r>
        <w:rPr>
          <w:rFonts w:ascii="Arial" w:hAnsi="Arial" w:cs="Arial"/>
          <w:sz w:val="28"/>
        </w:rPr>
        <w:t>，</w:t>
      </w:r>
      <w:r>
        <w:rPr>
          <w:rFonts w:hint="eastAsia" w:ascii="Arial" w:hAnsi="Arial" w:cs="Arial"/>
          <w:sz w:val="28"/>
        </w:rPr>
        <w:t>根据委托方介绍，截至报告出具日，</w:t>
      </w:r>
      <w:r>
        <w:rPr>
          <w:rFonts w:ascii="Arial" w:hAnsi="Arial" w:cs="Arial"/>
          <w:sz w:val="28"/>
        </w:rPr>
        <w:t>咨询对象</w:t>
      </w:r>
      <w:r>
        <w:rPr>
          <w:rFonts w:hint="eastAsia" w:ascii="Arial" w:hAnsi="Arial" w:cs="Arial"/>
          <w:sz w:val="28"/>
        </w:rPr>
        <w:t>尚未</w:t>
      </w:r>
      <w:r>
        <w:rPr>
          <w:rFonts w:ascii="Arial" w:hAnsi="Arial" w:cs="Arial"/>
          <w:sz w:val="28"/>
        </w:rPr>
        <w:t>取得《集体土地所有权证》。</w:t>
      </w:r>
    </w:p>
    <w:p w14:paraId="0D51E03C">
      <w:pPr>
        <w:spacing w:line="360" w:lineRule="auto"/>
        <w:ind w:firstLine="560" w:firstLineChars="200"/>
        <w:jc w:val="both"/>
        <w:rPr>
          <w:rFonts w:ascii="Arial" w:hAnsi="Arial" w:cs="Arial"/>
          <w:sz w:val="28"/>
        </w:rPr>
      </w:pPr>
      <w:r>
        <w:rPr>
          <w:rFonts w:ascii="Arial" w:hAnsi="Arial" w:cs="Arial"/>
          <w:sz w:val="28"/>
        </w:rPr>
        <w:t>评估专业人员根据委托方所提供的资料，未发现有抵押、租赁的登记信息，本次评估设定咨询对象不存在抵押、租赁等他项权利。</w:t>
      </w:r>
    </w:p>
    <w:p w14:paraId="79785D9F">
      <w:pPr>
        <w:spacing w:line="360" w:lineRule="auto"/>
        <w:jc w:val="both"/>
        <w:rPr>
          <w:rFonts w:ascii="Arial" w:hAnsi="Arial" w:cs="Arial"/>
          <w:sz w:val="28"/>
        </w:rPr>
      </w:pPr>
      <w:r>
        <w:rPr>
          <w:rFonts w:ascii="Arial" w:hAnsi="Arial" w:cs="Arial"/>
          <w:sz w:val="28"/>
        </w:rPr>
        <w:t>（三）土地利用状况</w:t>
      </w:r>
    </w:p>
    <w:p w14:paraId="5BBF3916">
      <w:pPr>
        <w:spacing w:line="360" w:lineRule="auto"/>
        <w:ind w:firstLine="560" w:firstLineChars="200"/>
        <w:jc w:val="both"/>
        <w:rPr>
          <w:rFonts w:ascii="Arial" w:hAnsi="Arial" w:cs="Arial"/>
          <w:sz w:val="28"/>
        </w:rPr>
      </w:pPr>
      <w:r>
        <w:rPr>
          <w:rFonts w:ascii="Arial" w:hAnsi="Arial" w:cs="Arial"/>
          <w:sz w:val="28"/>
        </w:rPr>
        <w:t>1.土地规划设计条件</w:t>
      </w:r>
    </w:p>
    <w:p w14:paraId="496108EC">
      <w:pPr>
        <w:spacing w:line="360" w:lineRule="auto"/>
        <w:ind w:firstLine="560" w:firstLineChars="200"/>
        <w:jc w:val="both"/>
        <w:rPr>
          <w:rFonts w:ascii="Arial" w:hAnsi="Arial" w:cs="Arial"/>
          <w:sz w:val="28"/>
        </w:rPr>
      </w:pPr>
      <w:r>
        <w:rPr>
          <w:rFonts w:hint="eastAsia" w:ascii="Arial" w:hAnsi="Arial" w:cs="Arial"/>
          <w:sz w:val="28"/>
        </w:rPr>
        <w:t>根据委托方提供的经济技术指标，规划利用条件如下：</w:t>
      </w:r>
    </w:p>
    <w:tbl>
      <w:tblPr>
        <w:tblStyle w:val="32"/>
        <w:tblpPr w:leftFromText="180" w:rightFromText="180" w:vertAnchor="text" w:horzAnchor="margin" w:tblpX="1" w:tblpY="143"/>
        <w:tblW w:w="945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65"/>
        <w:gridCol w:w="1020"/>
        <w:gridCol w:w="3341"/>
        <w:gridCol w:w="1488"/>
        <w:gridCol w:w="2436"/>
      </w:tblGrid>
      <w:tr w14:paraId="077C4A5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bottom w:val="single" w:color="auto" w:sz="4" w:space="0"/>
              <w:right w:val="single" w:color="auto" w:sz="4" w:space="0"/>
            </w:tcBorders>
            <w:noWrap/>
            <w:vAlign w:val="center"/>
          </w:tcPr>
          <w:p w14:paraId="1046ED9B">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color="auto" w:sz="4" w:space="0"/>
              <w:right w:val="single" w:color="auto" w:sz="4" w:space="0"/>
            </w:tcBorders>
            <w:noWrap/>
            <w:vAlign w:val="center"/>
          </w:tcPr>
          <w:p w14:paraId="0BA00282">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color="auto" w:sz="4" w:space="0"/>
              <w:right w:val="single" w:color="auto" w:sz="4" w:space="0"/>
            </w:tcBorders>
            <w:noWrap/>
            <w:vAlign w:val="center"/>
          </w:tcPr>
          <w:p w14:paraId="339AF1AB">
            <w:pPr>
              <w:widowControl/>
              <w:spacing w:line="240" w:lineRule="auto"/>
              <w:jc w:val="center"/>
              <w:rPr>
                <w:rFonts w:ascii="Arial" w:hAnsi="Arial" w:cs="Arial"/>
                <w:color w:val="000000"/>
                <w:sz w:val="20"/>
              </w:rPr>
            </w:pPr>
            <w:r>
              <w:rPr>
                <w:rFonts w:ascii="Arial" w:hAnsi="Arial" w:cs="Arial"/>
                <w:color w:val="000000"/>
                <w:sz w:val="20"/>
              </w:rPr>
              <w:t>数量</w:t>
            </w:r>
          </w:p>
        </w:tc>
      </w:tr>
      <w:tr w14:paraId="50FBDA7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439D6167">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color="auto" w:sz="4" w:space="0"/>
              <w:right w:val="single" w:color="auto" w:sz="4" w:space="0"/>
            </w:tcBorders>
            <w:noWrap/>
            <w:vAlign w:val="center"/>
          </w:tcPr>
          <w:p w14:paraId="6E933407">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B6CEB95">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5B8FD35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1A5AB7F6">
            <w:pPr>
              <w:widowControl/>
              <w:spacing w:line="240" w:lineRule="auto"/>
              <w:jc w:val="center"/>
              <w:rPr>
                <w:rFonts w:ascii="Arial" w:hAnsi="Arial" w:cs="Arial"/>
                <w:color w:val="000000"/>
                <w:sz w:val="20"/>
              </w:rPr>
            </w:pPr>
            <w:r>
              <w:rPr>
                <w:rFonts w:hint="eastAsia" w:ascii="Arial" w:hAnsi="Arial" w:cs="Arial"/>
                <w:color w:val="000000"/>
                <w:sz w:val="20"/>
              </w:rPr>
              <w:t>建设用地面积</w:t>
            </w:r>
          </w:p>
        </w:tc>
        <w:tc>
          <w:tcPr>
            <w:tcW w:w="1488" w:type="dxa"/>
            <w:tcBorders>
              <w:top w:val="nil"/>
              <w:left w:val="nil"/>
              <w:bottom w:val="single" w:color="auto" w:sz="4" w:space="0"/>
              <w:right w:val="single" w:color="auto" w:sz="4" w:space="0"/>
            </w:tcBorders>
            <w:noWrap/>
            <w:vAlign w:val="center"/>
          </w:tcPr>
          <w:p w14:paraId="4C2E04EB">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159D425">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45ED5C6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7755AE41">
            <w:pPr>
              <w:widowControl/>
              <w:spacing w:line="240" w:lineRule="auto"/>
              <w:jc w:val="center"/>
              <w:rPr>
                <w:rFonts w:ascii="Arial" w:hAnsi="Arial" w:cs="Arial"/>
                <w:color w:val="000000"/>
                <w:sz w:val="20"/>
              </w:rPr>
            </w:pPr>
            <w:r>
              <w:rPr>
                <w:rFonts w:hint="eastAsia" w:ascii="Arial" w:hAnsi="Arial" w:cs="Arial"/>
                <w:color w:val="000000"/>
                <w:sz w:val="20"/>
              </w:rPr>
              <w:t>总建筑面积</w:t>
            </w:r>
          </w:p>
        </w:tc>
        <w:tc>
          <w:tcPr>
            <w:tcW w:w="1488" w:type="dxa"/>
            <w:tcBorders>
              <w:top w:val="nil"/>
              <w:left w:val="nil"/>
              <w:bottom w:val="single" w:color="auto" w:sz="4" w:space="0"/>
              <w:right w:val="single" w:color="auto" w:sz="4" w:space="0"/>
            </w:tcBorders>
            <w:noWrap/>
            <w:vAlign w:val="center"/>
          </w:tcPr>
          <w:p w14:paraId="79E0E22E">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18E686D">
            <w:pPr>
              <w:widowControl/>
              <w:spacing w:line="240" w:lineRule="auto"/>
              <w:jc w:val="center"/>
              <w:rPr>
                <w:rFonts w:ascii="Arial" w:hAnsi="Arial" w:cs="Arial"/>
                <w:color w:val="000000"/>
                <w:sz w:val="20"/>
              </w:rPr>
            </w:pPr>
            <w:r>
              <w:rPr>
                <w:rFonts w:hint="eastAsia" w:ascii="Arial" w:hAnsi="Arial" w:cs="Arial"/>
                <w:color w:val="000000"/>
                <w:sz w:val="20"/>
              </w:rPr>
              <w:t>43300</w:t>
            </w:r>
          </w:p>
        </w:tc>
      </w:tr>
      <w:tr w14:paraId="37134BA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restart"/>
            <w:tcBorders>
              <w:top w:val="nil"/>
              <w:right w:val="single" w:color="auto" w:sz="4" w:space="0"/>
            </w:tcBorders>
            <w:noWrap/>
            <w:vAlign w:val="center"/>
          </w:tcPr>
          <w:p w14:paraId="2BDAD67A">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color="auto" w:sz="4" w:space="0"/>
              <w:left w:val="nil"/>
              <w:bottom w:val="single" w:color="auto" w:sz="4" w:space="0"/>
              <w:right w:val="single" w:color="auto" w:sz="4" w:space="0"/>
            </w:tcBorders>
            <w:noWrap/>
            <w:vAlign w:val="center"/>
          </w:tcPr>
          <w:p w14:paraId="7A415318">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color="auto" w:sz="4" w:space="0"/>
              <w:right w:val="single" w:color="auto" w:sz="4" w:space="0"/>
            </w:tcBorders>
            <w:noWrap/>
            <w:vAlign w:val="center"/>
          </w:tcPr>
          <w:p w14:paraId="0EFABB03">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BB26F25">
            <w:pPr>
              <w:widowControl/>
              <w:spacing w:line="240" w:lineRule="auto"/>
              <w:jc w:val="center"/>
              <w:rPr>
                <w:rFonts w:ascii="Arial" w:hAnsi="Arial" w:cs="Arial"/>
                <w:color w:val="000000"/>
                <w:sz w:val="20"/>
              </w:rPr>
            </w:pPr>
            <w:r>
              <w:rPr>
                <w:rFonts w:hint="eastAsia" w:ascii="Arial" w:hAnsi="Arial" w:cs="Arial"/>
                <w:color w:val="000000"/>
                <w:sz w:val="20"/>
              </w:rPr>
              <w:t>32638</w:t>
            </w:r>
          </w:p>
        </w:tc>
      </w:tr>
      <w:tr w14:paraId="1C1615C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50E03A8D">
            <w:pPr>
              <w:widowControl/>
              <w:spacing w:line="240" w:lineRule="auto"/>
              <w:jc w:val="center"/>
              <w:rPr>
                <w:rFonts w:ascii="Arial" w:hAnsi="Arial" w:cs="Arial"/>
                <w:color w:val="000000"/>
                <w:sz w:val="20"/>
              </w:rPr>
            </w:pPr>
          </w:p>
        </w:tc>
        <w:tc>
          <w:tcPr>
            <w:tcW w:w="1020" w:type="dxa"/>
            <w:vMerge w:val="restart"/>
            <w:tcBorders>
              <w:top w:val="nil"/>
              <w:left w:val="single" w:color="auto" w:sz="4" w:space="0"/>
              <w:bottom w:val="single" w:color="auto" w:sz="4" w:space="0"/>
              <w:right w:val="single" w:color="auto" w:sz="4" w:space="0"/>
            </w:tcBorders>
            <w:noWrap/>
            <w:vAlign w:val="center"/>
          </w:tcPr>
          <w:p w14:paraId="17134938">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color="auto" w:sz="4" w:space="0"/>
              <w:right w:val="single" w:color="auto" w:sz="4" w:space="0"/>
            </w:tcBorders>
            <w:noWrap/>
            <w:vAlign w:val="center"/>
          </w:tcPr>
          <w:p w14:paraId="015EF6BF">
            <w:pPr>
              <w:widowControl/>
              <w:spacing w:line="240" w:lineRule="auto"/>
              <w:jc w:val="center"/>
              <w:rPr>
                <w:rFonts w:ascii="Arial" w:hAnsi="Arial" w:cs="Arial"/>
                <w:color w:val="000000"/>
                <w:sz w:val="20"/>
              </w:rPr>
            </w:pPr>
            <w:r>
              <w:rPr>
                <w:rFonts w:hint="eastAsia" w:ascii="Arial" w:hAnsi="Arial" w:cs="Arial"/>
                <w:color w:val="000000"/>
                <w:sz w:val="20"/>
              </w:rPr>
              <w:t>公寓建筑面积</w:t>
            </w:r>
          </w:p>
        </w:tc>
        <w:tc>
          <w:tcPr>
            <w:tcW w:w="1488" w:type="dxa"/>
            <w:tcBorders>
              <w:top w:val="nil"/>
              <w:left w:val="nil"/>
              <w:bottom w:val="single" w:color="auto" w:sz="4" w:space="0"/>
              <w:right w:val="single" w:color="auto" w:sz="4" w:space="0"/>
            </w:tcBorders>
            <w:noWrap/>
            <w:vAlign w:val="center"/>
          </w:tcPr>
          <w:p w14:paraId="5F3D4E1F">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5CD0F08">
            <w:pPr>
              <w:widowControl/>
              <w:spacing w:line="240" w:lineRule="auto"/>
              <w:jc w:val="center"/>
              <w:rPr>
                <w:rFonts w:ascii="Arial" w:hAnsi="Arial" w:cs="Arial"/>
                <w:color w:val="000000"/>
                <w:sz w:val="20"/>
              </w:rPr>
            </w:pPr>
            <w:r>
              <w:rPr>
                <w:rFonts w:hint="eastAsia" w:ascii="Arial" w:hAnsi="Arial" w:cs="Arial"/>
                <w:color w:val="000000"/>
                <w:sz w:val="20"/>
              </w:rPr>
              <w:t>31152</w:t>
            </w:r>
          </w:p>
        </w:tc>
      </w:tr>
      <w:tr w14:paraId="5C74043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4FDA57B">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78E0DAF7">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20D5713C">
            <w:pPr>
              <w:widowControl/>
              <w:spacing w:line="240" w:lineRule="auto"/>
              <w:jc w:val="center"/>
              <w:rPr>
                <w:rFonts w:ascii="Arial" w:hAnsi="Arial" w:cs="Arial"/>
                <w:color w:val="000000"/>
                <w:sz w:val="20"/>
              </w:rPr>
            </w:pPr>
            <w:r>
              <w:rPr>
                <w:rFonts w:hint="eastAsia" w:ascii="Arial" w:hAnsi="Arial" w:cs="Arial"/>
                <w:color w:val="000000"/>
                <w:sz w:val="20"/>
              </w:rPr>
              <w:t>商业建筑面积</w:t>
            </w:r>
          </w:p>
        </w:tc>
        <w:tc>
          <w:tcPr>
            <w:tcW w:w="1488" w:type="dxa"/>
            <w:tcBorders>
              <w:top w:val="nil"/>
              <w:left w:val="nil"/>
              <w:bottom w:val="single" w:color="auto" w:sz="4" w:space="0"/>
              <w:right w:val="single" w:color="auto" w:sz="4" w:space="0"/>
            </w:tcBorders>
            <w:noWrap/>
            <w:vAlign w:val="center"/>
          </w:tcPr>
          <w:p w14:paraId="0C4391D4">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F723421">
            <w:pPr>
              <w:widowControl/>
              <w:spacing w:line="240" w:lineRule="auto"/>
              <w:jc w:val="center"/>
              <w:rPr>
                <w:rFonts w:ascii="Arial" w:hAnsi="Arial" w:cs="Arial"/>
                <w:color w:val="000000"/>
                <w:sz w:val="20"/>
              </w:rPr>
            </w:pPr>
            <w:r>
              <w:rPr>
                <w:rFonts w:hint="eastAsia" w:ascii="Arial" w:hAnsi="Arial" w:cs="Arial"/>
                <w:color w:val="000000"/>
                <w:sz w:val="20"/>
              </w:rPr>
              <w:t>796</w:t>
            </w:r>
          </w:p>
        </w:tc>
      </w:tr>
      <w:tr w14:paraId="65C26D8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640779C7">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3E4BFBEA">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32A06369">
            <w:pPr>
              <w:widowControl/>
              <w:spacing w:line="240" w:lineRule="auto"/>
              <w:jc w:val="center"/>
              <w:rPr>
                <w:rFonts w:ascii="Arial" w:hAnsi="Arial" w:cs="Arial"/>
                <w:color w:val="000000"/>
                <w:sz w:val="20"/>
              </w:rPr>
            </w:pPr>
            <w:r>
              <w:rPr>
                <w:rFonts w:hint="eastAsia" w:ascii="Arial" w:hAnsi="Arial" w:cs="Arial"/>
                <w:color w:val="000000"/>
                <w:sz w:val="20"/>
              </w:rPr>
              <w:t>地下建筑出入口</w:t>
            </w:r>
          </w:p>
        </w:tc>
        <w:tc>
          <w:tcPr>
            <w:tcW w:w="1488" w:type="dxa"/>
            <w:tcBorders>
              <w:top w:val="nil"/>
              <w:left w:val="nil"/>
              <w:bottom w:val="single" w:color="auto" w:sz="4" w:space="0"/>
              <w:right w:val="single" w:color="auto" w:sz="4" w:space="0"/>
            </w:tcBorders>
            <w:noWrap/>
            <w:vAlign w:val="center"/>
          </w:tcPr>
          <w:p w14:paraId="5A3962C9">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E3ECC87">
            <w:pPr>
              <w:widowControl/>
              <w:spacing w:line="240" w:lineRule="auto"/>
              <w:jc w:val="center"/>
              <w:rPr>
                <w:rFonts w:ascii="Arial" w:hAnsi="Arial" w:cs="Arial"/>
                <w:color w:val="000000"/>
                <w:sz w:val="20"/>
              </w:rPr>
            </w:pPr>
            <w:r>
              <w:rPr>
                <w:rFonts w:hint="eastAsia" w:ascii="Arial" w:hAnsi="Arial" w:cs="Arial"/>
                <w:color w:val="000000"/>
                <w:sz w:val="20"/>
              </w:rPr>
              <w:t>150</w:t>
            </w:r>
          </w:p>
        </w:tc>
      </w:tr>
      <w:tr w14:paraId="47FB975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7D2AE2E">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3CEF0BFB">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0B03F56A">
            <w:pPr>
              <w:widowControl/>
              <w:spacing w:line="240" w:lineRule="auto"/>
              <w:jc w:val="center"/>
              <w:rPr>
                <w:rFonts w:ascii="Arial" w:hAnsi="Arial" w:cs="Arial"/>
                <w:color w:val="000000"/>
                <w:sz w:val="20"/>
              </w:rPr>
            </w:pPr>
            <w:r>
              <w:rPr>
                <w:rFonts w:hint="eastAsia" w:ascii="Arial" w:hAnsi="Arial" w:cs="Arial"/>
                <w:color w:val="000000"/>
                <w:sz w:val="20"/>
              </w:rPr>
              <w:t>配套设施面积</w:t>
            </w:r>
          </w:p>
        </w:tc>
        <w:tc>
          <w:tcPr>
            <w:tcW w:w="1488" w:type="dxa"/>
            <w:tcBorders>
              <w:top w:val="nil"/>
              <w:left w:val="nil"/>
              <w:bottom w:val="single" w:color="auto" w:sz="4" w:space="0"/>
              <w:right w:val="single" w:color="auto" w:sz="4" w:space="0"/>
            </w:tcBorders>
            <w:noWrap/>
            <w:vAlign w:val="center"/>
          </w:tcPr>
          <w:p w14:paraId="34F4511F">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75F5EB8">
            <w:pPr>
              <w:widowControl/>
              <w:spacing w:line="240" w:lineRule="auto"/>
              <w:jc w:val="center"/>
              <w:rPr>
                <w:rFonts w:ascii="Arial" w:hAnsi="Arial" w:cs="Arial"/>
                <w:color w:val="000000"/>
                <w:sz w:val="20"/>
              </w:rPr>
            </w:pPr>
            <w:r>
              <w:rPr>
                <w:rFonts w:hint="eastAsia" w:ascii="Arial" w:hAnsi="Arial" w:cs="Arial"/>
                <w:color w:val="000000"/>
                <w:sz w:val="20"/>
              </w:rPr>
              <w:t>540</w:t>
            </w:r>
          </w:p>
        </w:tc>
      </w:tr>
      <w:tr w14:paraId="42AAACA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30B1D80">
            <w:pPr>
              <w:widowControl/>
              <w:spacing w:line="240" w:lineRule="auto"/>
              <w:jc w:val="center"/>
              <w:rPr>
                <w:rFonts w:ascii="Arial" w:hAnsi="Arial" w:cs="Arial"/>
                <w:color w:val="000000"/>
                <w:sz w:val="20"/>
              </w:rPr>
            </w:pPr>
          </w:p>
        </w:tc>
        <w:tc>
          <w:tcPr>
            <w:tcW w:w="4361" w:type="dxa"/>
            <w:gridSpan w:val="2"/>
            <w:tcBorders>
              <w:top w:val="single" w:color="auto" w:sz="4" w:space="0"/>
              <w:left w:val="single" w:color="auto" w:sz="4" w:space="0"/>
              <w:bottom w:val="single" w:color="auto" w:sz="4" w:space="0"/>
              <w:right w:val="single" w:color="auto" w:sz="4" w:space="0"/>
            </w:tcBorders>
            <w:vAlign w:val="center"/>
          </w:tcPr>
          <w:p w14:paraId="34528029">
            <w:pPr>
              <w:widowControl/>
              <w:spacing w:line="240" w:lineRule="auto"/>
              <w:jc w:val="center"/>
              <w:rPr>
                <w:rFonts w:ascii="Arial" w:hAnsi="Arial" w:cs="Arial"/>
                <w:color w:val="000000"/>
                <w:sz w:val="20"/>
              </w:rPr>
            </w:pPr>
            <w:r>
              <w:rPr>
                <w:rFonts w:ascii="Arial" w:hAnsi="Arial" w:cs="Arial"/>
                <w:color w:val="000000"/>
                <w:sz w:val="20"/>
              </w:rPr>
              <w:t>地下建筑面积</w:t>
            </w:r>
          </w:p>
        </w:tc>
        <w:tc>
          <w:tcPr>
            <w:tcW w:w="1488" w:type="dxa"/>
            <w:tcBorders>
              <w:top w:val="nil"/>
              <w:left w:val="nil"/>
              <w:bottom w:val="single" w:color="auto" w:sz="4" w:space="0"/>
              <w:right w:val="single" w:color="auto" w:sz="4" w:space="0"/>
            </w:tcBorders>
            <w:noWrap/>
            <w:vAlign w:val="center"/>
          </w:tcPr>
          <w:p w14:paraId="68A42F0A">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6D2BDF1">
            <w:pPr>
              <w:widowControl/>
              <w:spacing w:line="240" w:lineRule="auto"/>
              <w:jc w:val="center"/>
              <w:rPr>
                <w:rFonts w:ascii="Arial" w:hAnsi="Arial" w:cs="Arial"/>
                <w:color w:val="000000"/>
                <w:sz w:val="20"/>
              </w:rPr>
            </w:pPr>
            <w:r>
              <w:rPr>
                <w:rFonts w:hint="eastAsia" w:ascii="Arial" w:hAnsi="Arial" w:cs="Arial"/>
                <w:color w:val="000000"/>
                <w:sz w:val="20"/>
              </w:rPr>
              <w:t>10662</w:t>
            </w:r>
          </w:p>
        </w:tc>
      </w:tr>
      <w:tr w14:paraId="3493A4C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711F8F7">
            <w:pPr>
              <w:widowControl/>
              <w:spacing w:line="240" w:lineRule="auto"/>
              <w:jc w:val="center"/>
              <w:rPr>
                <w:rFonts w:ascii="Arial" w:hAnsi="Arial" w:cs="Arial"/>
                <w:color w:val="000000"/>
                <w:sz w:val="20"/>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14:paraId="5ECA9F48">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color="auto" w:sz="4" w:space="0"/>
              <w:left w:val="nil"/>
              <w:bottom w:val="single" w:color="auto" w:sz="4" w:space="0"/>
              <w:right w:val="single" w:color="auto" w:sz="4" w:space="0"/>
            </w:tcBorders>
            <w:noWrap/>
            <w:vAlign w:val="center"/>
          </w:tcPr>
          <w:p w14:paraId="45DC4938">
            <w:pPr>
              <w:widowControl/>
              <w:spacing w:line="240" w:lineRule="auto"/>
              <w:jc w:val="center"/>
              <w:rPr>
                <w:rFonts w:ascii="Arial" w:hAnsi="Arial" w:cs="Arial"/>
                <w:color w:val="000000"/>
                <w:sz w:val="20"/>
              </w:rPr>
            </w:pPr>
            <w:r>
              <w:rPr>
                <w:rFonts w:hint="eastAsia" w:ascii="Arial" w:hAnsi="Arial" w:cs="Arial"/>
                <w:color w:val="000000"/>
                <w:sz w:val="20"/>
              </w:rPr>
              <w:t>人防建筑面积</w:t>
            </w:r>
          </w:p>
        </w:tc>
        <w:tc>
          <w:tcPr>
            <w:tcW w:w="1488" w:type="dxa"/>
            <w:tcBorders>
              <w:top w:val="nil"/>
              <w:left w:val="nil"/>
              <w:bottom w:val="single" w:color="auto" w:sz="4" w:space="0"/>
              <w:right w:val="single" w:color="auto" w:sz="4" w:space="0"/>
            </w:tcBorders>
            <w:noWrap/>
            <w:vAlign w:val="center"/>
          </w:tcPr>
          <w:p w14:paraId="101A7725">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57A6B3E">
            <w:pPr>
              <w:widowControl/>
              <w:spacing w:line="240" w:lineRule="auto"/>
              <w:jc w:val="center"/>
              <w:rPr>
                <w:rFonts w:ascii="Arial" w:hAnsi="Arial" w:cs="Arial"/>
                <w:color w:val="000000"/>
                <w:sz w:val="20"/>
              </w:rPr>
            </w:pPr>
            <w:r>
              <w:rPr>
                <w:rFonts w:hint="eastAsia" w:ascii="Arial" w:hAnsi="Arial" w:cs="Arial"/>
                <w:color w:val="000000"/>
                <w:sz w:val="20"/>
              </w:rPr>
              <w:t>2837</w:t>
            </w:r>
          </w:p>
        </w:tc>
      </w:tr>
      <w:tr w14:paraId="768924F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F64EF55">
            <w:pPr>
              <w:widowControl/>
              <w:spacing w:line="240" w:lineRule="auto"/>
              <w:jc w:val="center"/>
              <w:rPr>
                <w:rFonts w:ascii="Arial" w:hAnsi="Arial" w:cs="Arial"/>
                <w:color w:val="000000"/>
                <w:sz w:val="20"/>
              </w:rPr>
            </w:pPr>
          </w:p>
        </w:tc>
        <w:tc>
          <w:tcPr>
            <w:tcW w:w="1020" w:type="dxa"/>
            <w:vMerge w:val="continue"/>
            <w:tcBorders>
              <w:top w:val="single" w:color="auto" w:sz="4" w:space="0"/>
              <w:left w:val="single" w:color="auto" w:sz="4" w:space="0"/>
              <w:right w:val="single" w:color="auto" w:sz="4" w:space="0"/>
            </w:tcBorders>
            <w:vAlign w:val="center"/>
          </w:tcPr>
          <w:p w14:paraId="67D54424">
            <w:pPr>
              <w:widowControl/>
              <w:spacing w:line="240" w:lineRule="auto"/>
              <w:jc w:val="center"/>
              <w:rPr>
                <w:rFonts w:ascii="Arial" w:hAnsi="Arial" w:cs="Arial"/>
                <w:color w:val="000000"/>
                <w:sz w:val="20"/>
              </w:rPr>
            </w:pPr>
          </w:p>
        </w:tc>
        <w:tc>
          <w:tcPr>
            <w:tcW w:w="3341" w:type="dxa"/>
            <w:tcBorders>
              <w:top w:val="single" w:color="auto" w:sz="4" w:space="0"/>
              <w:left w:val="nil"/>
              <w:bottom w:val="single" w:color="auto" w:sz="4" w:space="0"/>
              <w:right w:val="single" w:color="auto" w:sz="4" w:space="0"/>
            </w:tcBorders>
            <w:noWrap/>
            <w:vAlign w:val="center"/>
          </w:tcPr>
          <w:p w14:paraId="1D8216B8">
            <w:pPr>
              <w:widowControl/>
              <w:spacing w:line="240" w:lineRule="auto"/>
              <w:jc w:val="center"/>
              <w:rPr>
                <w:rFonts w:ascii="Arial" w:hAnsi="Arial" w:cs="Arial"/>
                <w:color w:val="000000"/>
                <w:sz w:val="20"/>
              </w:rPr>
            </w:pPr>
            <w:r>
              <w:rPr>
                <w:rFonts w:hint="eastAsia" w:ascii="Arial" w:hAnsi="Arial" w:cs="Arial"/>
                <w:color w:val="000000"/>
                <w:sz w:val="20"/>
              </w:rPr>
              <w:t>地下机动车库面积</w:t>
            </w:r>
          </w:p>
        </w:tc>
        <w:tc>
          <w:tcPr>
            <w:tcW w:w="1488" w:type="dxa"/>
            <w:tcBorders>
              <w:top w:val="nil"/>
              <w:left w:val="nil"/>
              <w:bottom w:val="single" w:color="auto" w:sz="4" w:space="0"/>
              <w:right w:val="single" w:color="auto" w:sz="4" w:space="0"/>
            </w:tcBorders>
            <w:noWrap/>
            <w:vAlign w:val="center"/>
          </w:tcPr>
          <w:p w14:paraId="24A1A92E">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D12E6D1">
            <w:pPr>
              <w:widowControl/>
              <w:spacing w:line="240" w:lineRule="auto"/>
              <w:jc w:val="center"/>
              <w:rPr>
                <w:rFonts w:ascii="Arial" w:hAnsi="Arial" w:cs="Arial"/>
                <w:color w:val="000000"/>
                <w:sz w:val="20"/>
              </w:rPr>
            </w:pPr>
            <w:r>
              <w:rPr>
                <w:rFonts w:hint="eastAsia" w:ascii="Arial" w:hAnsi="Arial" w:cs="Arial"/>
                <w:color w:val="000000"/>
                <w:sz w:val="20"/>
              </w:rPr>
              <w:t>5556</w:t>
            </w:r>
          </w:p>
        </w:tc>
      </w:tr>
      <w:tr w14:paraId="2EF687D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D2EA361">
            <w:pPr>
              <w:widowControl/>
              <w:spacing w:line="240" w:lineRule="auto"/>
              <w:jc w:val="center"/>
              <w:rPr>
                <w:rFonts w:ascii="Arial" w:hAnsi="Arial" w:cs="Arial"/>
                <w:color w:val="000000"/>
                <w:sz w:val="20"/>
              </w:rPr>
            </w:pPr>
          </w:p>
        </w:tc>
        <w:tc>
          <w:tcPr>
            <w:tcW w:w="1020" w:type="dxa"/>
            <w:vMerge w:val="continue"/>
            <w:tcBorders>
              <w:left w:val="single" w:color="auto" w:sz="4" w:space="0"/>
              <w:right w:val="single" w:color="auto" w:sz="4" w:space="0"/>
            </w:tcBorders>
            <w:vAlign w:val="center"/>
          </w:tcPr>
          <w:p w14:paraId="17EA827B">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1E73564C">
            <w:pPr>
              <w:widowControl/>
              <w:spacing w:line="240" w:lineRule="auto"/>
              <w:jc w:val="center"/>
              <w:rPr>
                <w:rFonts w:ascii="Arial" w:hAnsi="Arial" w:cs="Arial"/>
                <w:color w:val="000000"/>
                <w:sz w:val="20"/>
              </w:rPr>
            </w:pPr>
            <w:r>
              <w:rPr>
                <w:rFonts w:hint="eastAsia" w:ascii="Arial" w:hAnsi="Arial" w:cs="Arial"/>
                <w:color w:val="000000"/>
                <w:sz w:val="20"/>
              </w:rPr>
              <w:t>自行车</w:t>
            </w:r>
          </w:p>
        </w:tc>
        <w:tc>
          <w:tcPr>
            <w:tcW w:w="1488" w:type="dxa"/>
            <w:tcBorders>
              <w:top w:val="nil"/>
              <w:left w:val="nil"/>
              <w:bottom w:val="single" w:color="auto" w:sz="4" w:space="0"/>
              <w:right w:val="single" w:color="auto" w:sz="4" w:space="0"/>
            </w:tcBorders>
            <w:noWrap/>
            <w:vAlign w:val="center"/>
          </w:tcPr>
          <w:p w14:paraId="79A3680B">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65B35D6">
            <w:pPr>
              <w:widowControl/>
              <w:spacing w:line="240" w:lineRule="auto"/>
              <w:jc w:val="center"/>
              <w:rPr>
                <w:rFonts w:ascii="Arial" w:hAnsi="Arial" w:cs="Arial"/>
                <w:color w:val="000000"/>
                <w:sz w:val="20"/>
              </w:rPr>
            </w:pPr>
            <w:r>
              <w:rPr>
                <w:rFonts w:hint="eastAsia" w:ascii="Arial" w:hAnsi="Arial" w:cs="Arial"/>
                <w:color w:val="000000"/>
                <w:sz w:val="20"/>
              </w:rPr>
              <w:t>979</w:t>
            </w:r>
          </w:p>
        </w:tc>
      </w:tr>
      <w:tr w14:paraId="6FF4761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3D91A46">
            <w:pPr>
              <w:widowControl/>
              <w:spacing w:line="240" w:lineRule="auto"/>
              <w:jc w:val="center"/>
              <w:rPr>
                <w:rFonts w:ascii="Arial" w:hAnsi="Arial" w:cs="Arial"/>
                <w:color w:val="000000"/>
                <w:sz w:val="20"/>
              </w:rPr>
            </w:pPr>
          </w:p>
        </w:tc>
        <w:tc>
          <w:tcPr>
            <w:tcW w:w="1020" w:type="dxa"/>
            <w:vMerge w:val="continue"/>
            <w:tcBorders>
              <w:left w:val="single" w:color="auto" w:sz="4" w:space="0"/>
              <w:bottom w:val="single" w:color="auto" w:sz="4" w:space="0"/>
              <w:right w:val="single" w:color="auto" w:sz="4" w:space="0"/>
            </w:tcBorders>
            <w:vAlign w:val="center"/>
          </w:tcPr>
          <w:p w14:paraId="5B471C19">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4F5C0D5A">
            <w:pPr>
              <w:widowControl/>
              <w:spacing w:line="240" w:lineRule="auto"/>
              <w:jc w:val="center"/>
              <w:rPr>
                <w:rFonts w:ascii="Arial" w:hAnsi="Arial" w:cs="Arial"/>
                <w:color w:val="000000"/>
                <w:sz w:val="20"/>
              </w:rPr>
            </w:pPr>
            <w:r>
              <w:rPr>
                <w:rFonts w:hint="eastAsia" w:ascii="Arial" w:hAnsi="Arial" w:cs="Arial"/>
                <w:color w:val="000000"/>
                <w:sz w:val="20"/>
              </w:rPr>
              <w:t>设备用房</w:t>
            </w:r>
          </w:p>
        </w:tc>
        <w:tc>
          <w:tcPr>
            <w:tcW w:w="1488" w:type="dxa"/>
            <w:tcBorders>
              <w:top w:val="nil"/>
              <w:left w:val="nil"/>
              <w:bottom w:val="single" w:color="auto" w:sz="4" w:space="0"/>
              <w:right w:val="single" w:color="auto" w:sz="4" w:space="0"/>
            </w:tcBorders>
            <w:noWrap/>
            <w:vAlign w:val="center"/>
          </w:tcPr>
          <w:p w14:paraId="5215CC95">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C217EE4">
            <w:pPr>
              <w:widowControl/>
              <w:spacing w:line="240" w:lineRule="auto"/>
              <w:jc w:val="center"/>
              <w:rPr>
                <w:rFonts w:ascii="Arial" w:hAnsi="Arial" w:cs="Arial"/>
                <w:color w:val="000000"/>
                <w:sz w:val="20"/>
              </w:rPr>
            </w:pPr>
            <w:r>
              <w:rPr>
                <w:rFonts w:hint="eastAsia" w:ascii="Arial" w:hAnsi="Arial" w:cs="Arial"/>
                <w:color w:val="000000"/>
                <w:sz w:val="20"/>
              </w:rPr>
              <w:t>12900</w:t>
            </w:r>
          </w:p>
        </w:tc>
      </w:tr>
      <w:tr w14:paraId="21F060C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9032516">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color="auto" w:sz="4" w:space="0"/>
              <w:right w:val="single" w:color="auto" w:sz="4" w:space="0"/>
            </w:tcBorders>
            <w:noWrap/>
            <w:vAlign w:val="center"/>
          </w:tcPr>
          <w:p w14:paraId="2D11FC63">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color="auto" w:sz="4" w:space="0"/>
              <w:right w:val="single" w:color="auto" w:sz="4" w:space="0"/>
            </w:tcBorders>
            <w:noWrap/>
            <w:vAlign w:val="center"/>
          </w:tcPr>
          <w:p w14:paraId="58785FC4">
            <w:pPr>
              <w:widowControl/>
              <w:spacing w:line="240" w:lineRule="auto"/>
              <w:jc w:val="center"/>
              <w:rPr>
                <w:rFonts w:ascii="Arial" w:hAnsi="Arial" w:cs="Arial"/>
                <w:color w:val="000000"/>
                <w:sz w:val="20"/>
              </w:rPr>
            </w:pPr>
            <w:r>
              <w:rPr>
                <w:rFonts w:hint="eastAsia" w:ascii="Arial" w:hAnsi="Arial" w:cs="Arial"/>
                <w:color w:val="000000"/>
                <w:sz w:val="20"/>
              </w:rPr>
              <w:t>1090</w:t>
            </w:r>
          </w:p>
        </w:tc>
      </w:tr>
      <w:tr w14:paraId="20AC012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2B4B9E50">
            <w:pPr>
              <w:widowControl/>
              <w:spacing w:line="240" w:lineRule="auto"/>
              <w:jc w:val="center"/>
              <w:rPr>
                <w:rFonts w:ascii="Arial" w:hAnsi="Arial" w:cs="Arial"/>
                <w:color w:val="000000"/>
                <w:sz w:val="20"/>
              </w:rPr>
            </w:pPr>
            <w:r>
              <w:rPr>
                <w:rFonts w:hint="eastAsia" w:ascii="Arial" w:hAnsi="Arial" w:cs="Arial"/>
                <w:color w:val="000000"/>
                <w:sz w:val="20"/>
              </w:rPr>
              <w:t>机动车停车位</w:t>
            </w:r>
          </w:p>
        </w:tc>
        <w:tc>
          <w:tcPr>
            <w:tcW w:w="1488" w:type="dxa"/>
            <w:tcBorders>
              <w:top w:val="nil"/>
              <w:left w:val="nil"/>
              <w:bottom w:val="single" w:color="auto" w:sz="4" w:space="0"/>
              <w:right w:val="single" w:color="auto" w:sz="4" w:space="0"/>
            </w:tcBorders>
            <w:noWrap/>
            <w:vAlign w:val="center"/>
          </w:tcPr>
          <w:p w14:paraId="3F2003FC">
            <w:pPr>
              <w:widowControl/>
              <w:spacing w:line="240" w:lineRule="auto"/>
              <w:jc w:val="center"/>
              <w:rPr>
                <w:rFonts w:ascii="Arial" w:hAnsi="Arial" w:cs="Arial"/>
                <w:color w:val="000000"/>
                <w:sz w:val="20"/>
              </w:rPr>
            </w:pPr>
            <w:r>
              <w:rPr>
                <w:rFonts w:hint="eastAsia" w:ascii="Arial" w:hAnsi="Arial" w:cs="Arial"/>
                <w:color w:val="000000"/>
                <w:sz w:val="20"/>
              </w:rPr>
              <w:t>个</w:t>
            </w:r>
          </w:p>
        </w:tc>
        <w:tc>
          <w:tcPr>
            <w:tcW w:w="2436" w:type="dxa"/>
            <w:tcBorders>
              <w:top w:val="nil"/>
              <w:left w:val="nil"/>
              <w:bottom w:val="single" w:color="auto" w:sz="4" w:space="0"/>
              <w:right w:val="single" w:color="auto" w:sz="4" w:space="0"/>
            </w:tcBorders>
            <w:noWrap/>
            <w:vAlign w:val="center"/>
          </w:tcPr>
          <w:p w14:paraId="6EC23737">
            <w:pPr>
              <w:widowControl/>
              <w:spacing w:line="240" w:lineRule="auto"/>
              <w:jc w:val="center"/>
              <w:rPr>
                <w:rFonts w:ascii="Arial" w:hAnsi="Arial" w:cs="Arial"/>
                <w:color w:val="000000"/>
                <w:sz w:val="20"/>
              </w:rPr>
            </w:pPr>
            <w:r>
              <w:rPr>
                <w:rFonts w:hint="eastAsia" w:ascii="Arial" w:hAnsi="Arial" w:cs="Arial"/>
                <w:color w:val="000000"/>
                <w:sz w:val="20"/>
              </w:rPr>
              <w:t>218</w:t>
            </w:r>
          </w:p>
        </w:tc>
      </w:tr>
      <w:tr w14:paraId="72B4A45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2B077F7">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color="auto" w:sz="4" w:space="0"/>
              <w:right w:val="single" w:color="auto" w:sz="4" w:space="0"/>
            </w:tcBorders>
            <w:noWrap/>
            <w:vAlign w:val="center"/>
          </w:tcPr>
          <w:p w14:paraId="2F3D3C46">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EFF37AB">
            <w:pPr>
              <w:widowControl/>
              <w:spacing w:line="240" w:lineRule="auto"/>
              <w:jc w:val="center"/>
              <w:rPr>
                <w:rFonts w:ascii="Arial" w:hAnsi="Arial" w:cs="Arial"/>
                <w:color w:val="000000"/>
                <w:sz w:val="20"/>
              </w:rPr>
            </w:pPr>
            <w:r>
              <w:rPr>
                <w:rFonts w:hint="eastAsia" w:ascii="Arial" w:hAnsi="Arial" w:cs="Arial"/>
                <w:color w:val="000000"/>
                <w:sz w:val="20"/>
              </w:rPr>
              <w:t>1.8</w:t>
            </w:r>
          </w:p>
        </w:tc>
      </w:tr>
      <w:tr w14:paraId="2BB72DE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4E3B7168">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color="auto" w:sz="4" w:space="0"/>
              <w:right w:val="single" w:color="auto" w:sz="4" w:space="0"/>
            </w:tcBorders>
            <w:noWrap/>
            <w:vAlign w:val="center"/>
          </w:tcPr>
          <w:p w14:paraId="529C1BC1">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BDB28C4">
            <w:pPr>
              <w:widowControl/>
              <w:spacing w:line="240" w:lineRule="auto"/>
              <w:jc w:val="center"/>
              <w:rPr>
                <w:rFonts w:ascii="Arial" w:hAnsi="Arial" w:cs="Arial"/>
                <w:color w:val="000000"/>
                <w:sz w:val="20"/>
              </w:rPr>
            </w:pPr>
            <w:r>
              <w:rPr>
                <w:rFonts w:hint="eastAsia" w:ascii="Arial" w:hAnsi="Arial" w:cs="Arial"/>
                <w:color w:val="000000"/>
                <w:sz w:val="20"/>
              </w:rPr>
              <w:t>29.93</w:t>
            </w:r>
            <w:r>
              <w:rPr>
                <w:rFonts w:ascii="Arial" w:hAnsi="Arial" w:cs="Arial"/>
                <w:color w:val="000000"/>
                <w:sz w:val="20"/>
              </w:rPr>
              <w:t>%</w:t>
            </w:r>
          </w:p>
        </w:tc>
      </w:tr>
      <w:tr w14:paraId="4039099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7ABEE32C">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color="auto" w:sz="4" w:space="0"/>
              <w:right w:val="single" w:color="auto" w:sz="4" w:space="0"/>
            </w:tcBorders>
            <w:noWrap/>
            <w:vAlign w:val="center"/>
          </w:tcPr>
          <w:p w14:paraId="6599D2B4">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8A783E4">
            <w:pPr>
              <w:widowControl/>
              <w:spacing w:line="240" w:lineRule="auto"/>
              <w:jc w:val="center"/>
              <w:rPr>
                <w:rFonts w:ascii="Arial" w:hAnsi="Arial" w:cs="Arial"/>
                <w:color w:val="000000"/>
                <w:sz w:val="20"/>
              </w:rPr>
            </w:pPr>
            <w:r>
              <w:rPr>
                <w:rFonts w:ascii="Arial" w:hAnsi="Arial" w:cs="Arial"/>
                <w:color w:val="000000"/>
                <w:sz w:val="20"/>
              </w:rPr>
              <w:t>30.0</w:t>
            </w:r>
            <w:r>
              <w:rPr>
                <w:rFonts w:hint="eastAsia" w:ascii="Arial" w:hAnsi="Arial" w:cs="Arial"/>
                <w:color w:val="000000"/>
                <w:sz w:val="20"/>
              </w:rPr>
              <w:t>0%</w:t>
            </w:r>
          </w:p>
        </w:tc>
      </w:tr>
    </w:tbl>
    <w:p w14:paraId="1AD02F5F">
      <w:pPr>
        <w:spacing w:before="240" w:beforeLines="100" w:line="360" w:lineRule="auto"/>
        <w:ind w:firstLine="552" w:firstLineChars="200"/>
        <w:jc w:val="both"/>
        <w:rPr>
          <w:rFonts w:ascii="Arial" w:hAnsi="Arial" w:cs="Arial"/>
          <w:sz w:val="28"/>
        </w:rPr>
      </w:pPr>
      <w:r>
        <w:rPr>
          <w:rFonts w:ascii="Arial" w:hAnsi="Arial" w:cs="Arial"/>
          <w:spacing w:val="-2"/>
          <w:sz w:val="28"/>
        </w:rPr>
        <w:t>综合考虑咨询对象所处地理位置、周边环境、市政配套设施以及区域房地产市场发展现状，我们分析认为上述规划条件能够保证该宗地在符合区域总体规划的前提下，达到最高最佳使用条件</w:t>
      </w:r>
      <w:r>
        <w:rPr>
          <w:rFonts w:ascii="Arial" w:hAnsi="Arial" w:cs="Arial"/>
          <w:sz w:val="28"/>
        </w:rPr>
        <w:t>。</w:t>
      </w:r>
    </w:p>
    <w:p w14:paraId="2A706C01">
      <w:pPr>
        <w:spacing w:line="360" w:lineRule="auto"/>
        <w:ind w:firstLine="512" w:firstLineChars="200"/>
        <w:jc w:val="both"/>
        <w:rPr>
          <w:rFonts w:ascii="Arial" w:hAnsi="Arial" w:cs="Arial"/>
          <w:spacing w:val="-12"/>
          <w:sz w:val="28"/>
        </w:rPr>
      </w:pPr>
      <w:r>
        <w:rPr>
          <w:rFonts w:ascii="Arial" w:hAnsi="Arial" w:cs="Arial"/>
          <w:spacing w:val="-12"/>
          <w:sz w:val="28"/>
        </w:rPr>
        <w:t>2.土地利用现状</w:t>
      </w:r>
    </w:p>
    <w:p w14:paraId="22EB2406">
      <w:pPr>
        <w:spacing w:line="360" w:lineRule="auto"/>
        <w:ind w:firstLine="512" w:firstLineChars="200"/>
        <w:jc w:val="both"/>
        <w:rPr>
          <w:rFonts w:ascii="Arial" w:hAnsi="Arial" w:cs="Arial"/>
          <w:sz w:val="28"/>
        </w:rPr>
      </w:pPr>
      <w:r>
        <w:rPr>
          <w:rFonts w:ascii="Arial" w:hAnsi="Arial" w:cs="Arial"/>
          <w:spacing w:val="-12"/>
          <w:sz w:val="28"/>
        </w:rPr>
        <w:t>根据评估专业人员实地查勘，截至咨询期日，咨询对象宗地红线外达“三通”，红线内场地尚未平整，</w:t>
      </w:r>
      <w:r>
        <w:rPr>
          <w:rFonts w:ascii="Arial" w:hAnsi="Arial" w:cs="Arial"/>
          <w:sz w:val="28"/>
        </w:rPr>
        <w:t>宗地红线内有需要移除的树木</w:t>
      </w:r>
      <w:r>
        <w:rPr>
          <w:rFonts w:ascii="Arial" w:hAnsi="Arial" w:cs="Arial"/>
          <w:spacing w:val="-12"/>
          <w:sz w:val="28"/>
        </w:rPr>
        <w:t>。本次评估咨询结果</w:t>
      </w:r>
      <w:r>
        <w:rPr>
          <w:rFonts w:ascii="Arial" w:hAnsi="Arial" w:cs="Arial"/>
          <w:sz w:val="28"/>
        </w:rPr>
        <w:t>未扣除树木移除的费用。</w:t>
      </w:r>
    </w:p>
    <w:p w14:paraId="39110073">
      <w:pPr>
        <w:spacing w:line="360" w:lineRule="auto"/>
        <w:outlineLvl w:val="1"/>
        <w:rPr>
          <w:rFonts w:ascii="Arial" w:hAnsi="Arial" w:cs="Arial"/>
          <w:b/>
          <w:sz w:val="28"/>
        </w:rPr>
      </w:pPr>
      <w:bookmarkStart w:id="98" w:name="_Toc416783532"/>
      <w:bookmarkStart w:id="99" w:name="_Toc469066315"/>
      <w:bookmarkStart w:id="100" w:name="_Toc425250317"/>
      <w:bookmarkStart w:id="101" w:name="_Toc418750895"/>
      <w:bookmarkStart w:id="102" w:name="_Toc3101"/>
      <w:bookmarkStart w:id="103" w:name="_Toc22688"/>
      <w:bookmarkStart w:id="104" w:name="_Toc18209"/>
      <w:r>
        <w:rPr>
          <w:rFonts w:ascii="Arial" w:hAnsi="Arial" w:cs="Arial"/>
          <w:b/>
          <w:sz w:val="28"/>
        </w:rPr>
        <w:t>四、影响地价的因素说明</w:t>
      </w:r>
      <w:bookmarkEnd w:id="98"/>
      <w:bookmarkEnd w:id="99"/>
      <w:bookmarkEnd w:id="100"/>
      <w:bookmarkEnd w:id="101"/>
      <w:bookmarkEnd w:id="102"/>
      <w:bookmarkEnd w:id="103"/>
      <w:bookmarkEnd w:id="104"/>
    </w:p>
    <w:p w14:paraId="1161F058">
      <w:pPr>
        <w:spacing w:line="360" w:lineRule="auto"/>
        <w:jc w:val="both"/>
        <w:rPr>
          <w:rFonts w:ascii="宋体" w:hAnsi="宋体" w:cs="宋体"/>
          <w:sz w:val="28"/>
          <w:szCs w:val="28"/>
        </w:rPr>
      </w:pPr>
      <w:r>
        <w:rPr>
          <w:rFonts w:hint="eastAsia" w:ascii="宋体" w:hAnsi="宋体" w:cs="宋体"/>
          <w:sz w:val="28"/>
          <w:szCs w:val="28"/>
        </w:rPr>
        <w:t>（一） 一般因素</w:t>
      </w:r>
    </w:p>
    <w:p w14:paraId="224A4FA7">
      <w:pPr>
        <w:spacing w:line="360" w:lineRule="auto"/>
        <w:ind w:firstLine="560" w:firstLineChars="200"/>
        <w:jc w:val="both"/>
        <w:rPr>
          <w:rFonts w:ascii="Arial" w:hAnsi="Arial" w:cs="Arial"/>
          <w:sz w:val="28"/>
        </w:rPr>
      </w:pPr>
      <w:r>
        <w:rPr>
          <w:rFonts w:hint="eastAsia" w:ascii="Arial" w:hAnsi="Arial" w:cs="Arial"/>
          <w:sz w:val="28"/>
        </w:rPr>
        <w:t>1.城市资源状况</w:t>
      </w:r>
    </w:p>
    <w:p w14:paraId="4B70FAB6">
      <w:pPr>
        <w:spacing w:line="360" w:lineRule="auto"/>
        <w:ind w:firstLine="560" w:firstLineChars="200"/>
        <w:jc w:val="both"/>
        <w:rPr>
          <w:rFonts w:ascii="Arial" w:hAnsi="Arial" w:cs="Arial"/>
          <w:sz w:val="28"/>
        </w:rPr>
      </w:pPr>
      <w:r>
        <w:rPr>
          <w:rFonts w:hint="eastAsia" w:ascii="Arial" w:hAnsi="Arial" w:cs="Arial"/>
          <w:sz w:val="28"/>
        </w:rPr>
        <w:t>地理位置：北京，简称“京”，是中华人民共和国的首都，是全国的政治中心、文化中心，是世界著名古都和现代化国际城市。北京位于北纬39度56分、东经116度20分，地处华北大平原的北部，东面与天津市毗连，其余均与河北省相邻。</w:t>
      </w:r>
    </w:p>
    <w:p w14:paraId="6BF9CF44">
      <w:pPr>
        <w:spacing w:line="360" w:lineRule="auto"/>
        <w:ind w:firstLine="560" w:firstLineChars="200"/>
        <w:jc w:val="both"/>
        <w:rPr>
          <w:rFonts w:ascii="Arial" w:hAnsi="Arial" w:cs="Arial"/>
          <w:sz w:val="28"/>
        </w:rPr>
      </w:pPr>
      <w:r>
        <w:rPr>
          <w:rFonts w:hint="eastAsia" w:ascii="Arial" w:hAnsi="Arial" w:cs="Arial"/>
          <w:sz w:val="28"/>
        </w:rPr>
        <w:t>城市人口：</w:t>
      </w:r>
      <w:bookmarkStart w:id="105" w:name="OLE_LINK33"/>
      <w:bookmarkStart w:id="106" w:name="OLE_LINK34"/>
      <w:bookmarkStart w:id="107" w:name="OLE_LINK38"/>
      <w:r>
        <w:rPr>
          <w:rFonts w:hint="eastAsia" w:ascii="Arial" w:hAnsi="Arial" w:cs="Arial"/>
          <w:sz w:val="28"/>
        </w:rPr>
        <w:t>截至2024年年末，北京市常住人口为2183.2万人，从年龄构成看，0-14岁常住人口261.2万人，占全市常住人口的比重为12.0%；15-59岁常住人口1408.0万人，占64.5%；60岁及以上常住人口514.0万人，占23.5%。</w:t>
      </w:r>
    </w:p>
    <w:p w14:paraId="3C9D1815">
      <w:pPr>
        <w:spacing w:line="360" w:lineRule="auto"/>
        <w:ind w:firstLine="560" w:firstLineChars="200"/>
        <w:jc w:val="both"/>
        <w:rPr>
          <w:rFonts w:ascii="Arial" w:hAnsi="Arial" w:cs="Arial"/>
          <w:sz w:val="28"/>
        </w:rPr>
      </w:pPr>
      <w:r>
        <w:rPr>
          <w:rFonts w:hint="eastAsia" w:ascii="Arial" w:hAnsi="Arial" w:cs="Arial"/>
          <w:sz w:val="28"/>
        </w:rPr>
        <w:t>2020-2024年常住人口增量及增长速度</w:t>
      </w:r>
    </w:p>
    <w:bookmarkEnd w:id="105"/>
    <w:bookmarkEnd w:id="106"/>
    <w:bookmarkEnd w:id="107"/>
    <w:p w14:paraId="06B213FA">
      <w:pPr>
        <w:spacing w:line="360" w:lineRule="auto"/>
        <w:ind w:firstLine="560" w:firstLineChars="200"/>
        <w:jc w:val="both"/>
        <w:rPr>
          <w:rFonts w:ascii="Arial" w:hAnsi="Arial" w:cs="Arial"/>
          <w:sz w:val="28"/>
        </w:rPr>
      </w:pPr>
      <w:bookmarkStart w:id="108" w:name="_Hlk195084670"/>
      <w:r>
        <w:rPr>
          <w:rFonts w:hint="eastAsia" w:ascii="Arial" w:hAnsi="Arial" w:cs="Arial"/>
          <w:sz w:val="28"/>
        </w:rPr>
        <w:drawing>
          <wp:inline distT="0" distB="0" distL="0" distR="0">
            <wp:extent cx="5906770" cy="2172335"/>
            <wp:effectExtent l="0" t="0" r="0" b="0"/>
            <wp:docPr id="8" name="图片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108"/>
    </w:p>
    <w:p w14:paraId="38B5993B">
      <w:pPr>
        <w:spacing w:line="360" w:lineRule="auto"/>
        <w:ind w:firstLine="560" w:firstLineChars="200"/>
        <w:jc w:val="both"/>
        <w:rPr>
          <w:rFonts w:ascii="Arial" w:hAnsi="Arial" w:cs="Arial"/>
          <w:sz w:val="28"/>
        </w:rPr>
      </w:pPr>
      <w:r>
        <w:rPr>
          <w:rFonts w:hint="eastAsia" w:ascii="Arial" w:hAnsi="Arial" w:cs="Arial"/>
          <w:sz w:val="28"/>
        </w:rPr>
        <w:t>城市面积：北京市下辖16个区（即东城、西城、海淀、朝阳、丰台、顺义、昌平、通州、门头沟、石景山、房山、大兴、怀柔、平谷、密云、延庆），行政辖区总面积为16410平方公里。</w:t>
      </w:r>
    </w:p>
    <w:p w14:paraId="29B50B52">
      <w:pPr>
        <w:spacing w:line="360" w:lineRule="auto"/>
        <w:ind w:firstLine="560" w:firstLineChars="200"/>
        <w:jc w:val="both"/>
        <w:rPr>
          <w:rFonts w:ascii="Arial" w:hAnsi="Arial" w:cs="Arial"/>
          <w:sz w:val="28"/>
        </w:rPr>
      </w:pPr>
      <w:r>
        <w:rPr>
          <w:rFonts w:hint="eastAsia" w:ascii="Arial" w:hAnsi="Arial" w:cs="Arial"/>
          <w:sz w:val="28"/>
        </w:rPr>
        <w:t>城市自然条件：北京气候属暖温带半湿润半干旱季风气候，夏季高温多雨，冬季寒冷干燥，春、秋短促。全年无霜期180～200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85座，其中大型水库有密云水库、官厅水库、怀柔水库、海子水库。北京市地下水多年平均补给量约为29.21亿立方米，平均年可开采量约24~25亿立方米。一次性天然水资源年平均总量为55.21亿立方米。</w:t>
      </w:r>
    </w:p>
    <w:p w14:paraId="7C1DAB1B">
      <w:pPr>
        <w:spacing w:line="360" w:lineRule="auto"/>
        <w:ind w:firstLine="560" w:firstLineChars="200"/>
        <w:jc w:val="both"/>
        <w:rPr>
          <w:rFonts w:ascii="Arial" w:hAnsi="Arial" w:cs="Arial"/>
          <w:sz w:val="28"/>
        </w:rPr>
      </w:pPr>
      <w:r>
        <w:rPr>
          <w:rFonts w:hint="eastAsia" w:ascii="Arial" w:hAnsi="Arial" w:cs="Arial"/>
          <w:sz w:val="28"/>
        </w:rPr>
        <w:t>土地利用状况：2021年11月5日，北京市发布第三次全国国土调查主要数据公报。数据显示，北京市现有耕地93547.9公顷（1403218.5亩）、园地126274.55公顷（1894118.25亩）、林地967628.62公顷（14514429.3亩）、草地14460.44公顷（216906.6亩）、湿地3107.98公顷（46619.7亩）、城镇村及工矿用地313643.87公顷（4704658.05亩）、交通运输用地49281.38公顷（739220.7亩）、水域及水利设施用地61704公顷（925560亩），其余为其他土地。三调数据显示，北京市以林、园、水、草、湿地和公园绿地为主的生态用地逐年增加，城乡建设用地明显减少，初步实现减量目标。</w:t>
      </w:r>
    </w:p>
    <w:p w14:paraId="326D55DB">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887085" cy="3335655"/>
            <wp:effectExtent l="0" t="0" r="0" b="0"/>
            <wp:docPr id="9" name="图片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AD0A55A">
      <w:pPr>
        <w:spacing w:line="360" w:lineRule="auto"/>
        <w:ind w:firstLine="560" w:firstLineChars="200"/>
        <w:jc w:val="both"/>
        <w:rPr>
          <w:rFonts w:ascii="Arial" w:hAnsi="Arial" w:cs="Arial"/>
          <w:sz w:val="28"/>
        </w:rPr>
      </w:pPr>
      <w:r>
        <w:rPr>
          <w:rFonts w:hint="eastAsia" w:ascii="Arial" w:hAnsi="Arial" w:cs="Arial"/>
          <w:sz w:val="28"/>
        </w:rPr>
        <w:t>2.不动产制度与不动产市场状况</w:t>
      </w:r>
    </w:p>
    <w:p w14:paraId="6011860E">
      <w:pPr>
        <w:spacing w:line="360" w:lineRule="auto"/>
        <w:ind w:firstLine="560" w:firstLineChars="200"/>
        <w:jc w:val="both"/>
        <w:rPr>
          <w:rFonts w:ascii="Arial" w:hAnsi="Arial" w:cs="Arial"/>
          <w:sz w:val="28"/>
        </w:rPr>
      </w:pPr>
      <w:r>
        <w:rPr>
          <w:rFonts w:hint="eastAsia" w:ascii="Arial" w:hAnsi="Arial" w:cs="Arial"/>
          <w:sz w:val="28"/>
        </w:rPr>
        <w:t>◆ 土地使用制度及土地管理政策：</w:t>
      </w:r>
    </w:p>
    <w:p w14:paraId="1939C482">
      <w:pPr>
        <w:spacing w:line="360" w:lineRule="auto"/>
        <w:ind w:firstLine="560" w:firstLineChars="200"/>
        <w:jc w:val="both"/>
        <w:rPr>
          <w:rFonts w:ascii="Arial" w:hAnsi="Arial" w:cs="Arial"/>
          <w:sz w:val="28"/>
        </w:rPr>
      </w:pPr>
      <w:r>
        <w:rPr>
          <w:rFonts w:hint="eastAsia" w:ascii="Arial" w:hAnsi="Arial" w:cs="Arial"/>
          <w:sz w:val="28"/>
        </w:rPr>
        <w:t>我国当前实行土地招拍挂制度。土地招拍挂制度是国家土地资源出让、买卖的招标、拍卖、挂牌制度的简称，具体是指国家在土地出让或者买卖程序中的“招标”“拍卖”“挂牌”交易的政策或规定。2004年，国土资源部颁布第71令，《关于继续开展经营性土地使用权招标拍卖挂牌出让情况执法监察工作的通知》，规定2004年8月31号以后所有经营性用地出让全部实行招拍挂制度。该方式作为我国经营性用地出让的指定方式，对规范土地市场、提高政府的对城市土地的管理水平、促进房地产市场的有序发展等方面都有着重要意义。</w:t>
      </w:r>
    </w:p>
    <w:p w14:paraId="4C74C3A0">
      <w:pPr>
        <w:spacing w:line="360" w:lineRule="auto"/>
        <w:ind w:firstLine="560" w:firstLineChars="200"/>
        <w:jc w:val="both"/>
        <w:rPr>
          <w:rFonts w:ascii="Arial" w:hAnsi="Arial" w:cs="Arial"/>
          <w:sz w:val="28"/>
        </w:rPr>
      </w:pPr>
      <w:r>
        <w:rPr>
          <w:rFonts w:hint="eastAsia" w:ascii="Arial" w:hAnsi="Arial" w:cs="Arial"/>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7A932A46">
      <w:pPr>
        <w:spacing w:line="360" w:lineRule="auto"/>
        <w:ind w:firstLine="560" w:firstLineChars="200"/>
        <w:jc w:val="both"/>
        <w:rPr>
          <w:rFonts w:ascii="Arial" w:hAnsi="Arial" w:cs="Arial"/>
          <w:sz w:val="28"/>
        </w:rPr>
      </w:pPr>
      <w:r>
        <w:rPr>
          <w:rFonts w:hint="eastAsia" w:ascii="Arial" w:hAnsi="Arial" w:cs="Arial"/>
          <w:sz w:val="28"/>
        </w:rPr>
        <w:t>（1）在国土空间规划中统筹划定落实永久基本农田、生态保护红线、城镇开发边界三条控制线（以下简称三条控制线），确定国土空间开发保护刚性管控边界。统筹全域全类型国土空间用途管制，划定覆盖全域的11类国土空间规划分区。</w:t>
      </w:r>
    </w:p>
    <w:p w14:paraId="5150D2FC">
      <w:pPr>
        <w:spacing w:line="360" w:lineRule="auto"/>
        <w:ind w:firstLine="560" w:firstLineChars="200"/>
        <w:jc w:val="both"/>
        <w:rPr>
          <w:rFonts w:ascii="Arial" w:hAnsi="Arial" w:cs="Arial"/>
          <w:sz w:val="28"/>
        </w:rPr>
      </w:pPr>
      <w:r>
        <w:rPr>
          <w:rFonts w:hint="eastAsia" w:ascii="Arial" w:hAnsi="Arial" w:cs="Arial"/>
          <w:sz w:val="28"/>
        </w:rPr>
        <w:t>（2）严守耕地规模底线，划定耕地保护空间。</w:t>
      </w:r>
    </w:p>
    <w:p w14:paraId="707D74AB">
      <w:pPr>
        <w:spacing w:line="360" w:lineRule="auto"/>
        <w:ind w:firstLine="560" w:firstLineChars="200"/>
        <w:jc w:val="both"/>
        <w:rPr>
          <w:rFonts w:ascii="Arial" w:hAnsi="Arial" w:cs="Arial"/>
          <w:sz w:val="28"/>
        </w:rPr>
      </w:pPr>
      <w:r>
        <w:rPr>
          <w:rFonts w:hint="eastAsia" w:ascii="Arial" w:hAnsi="Arial" w:cs="Arial"/>
          <w:sz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14:paraId="0A73D1E0">
      <w:pPr>
        <w:spacing w:line="360" w:lineRule="auto"/>
        <w:ind w:firstLine="560" w:firstLineChars="200"/>
        <w:jc w:val="both"/>
        <w:rPr>
          <w:rFonts w:ascii="Arial" w:hAnsi="Arial" w:cs="Arial"/>
          <w:sz w:val="28"/>
        </w:rPr>
      </w:pPr>
      <w:r>
        <w:rPr>
          <w:rFonts w:hint="eastAsia" w:ascii="Arial" w:hAnsi="Arial" w:cs="Arial"/>
          <w:sz w:val="28"/>
        </w:rPr>
        <w:t>（3）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51%提升至“十三五”时期的55%以上.</w:t>
      </w:r>
    </w:p>
    <w:p w14:paraId="16AF6199">
      <w:pPr>
        <w:spacing w:line="360" w:lineRule="auto"/>
        <w:ind w:firstLine="560" w:firstLineChars="200"/>
        <w:jc w:val="both"/>
        <w:rPr>
          <w:rFonts w:ascii="Arial" w:hAnsi="Arial" w:cs="Arial"/>
          <w:sz w:val="28"/>
        </w:rPr>
      </w:pPr>
      <w:r>
        <w:rPr>
          <w:rFonts w:hint="eastAsia" w:ascii="Arial" w:hAnsi="Arial" w:cs="Arial"/>
          <w:sz w:val="28"/>
        </w:rPr>
        <w:t>（4）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两图合一”规划编制技术指南》《北京市国土空间规划分区和用途管制规则》等一系列政策文件，初步建立首都“三级三类”国土空间规划体系，不断完善首都国土空间治理体系，着力提高国土空间治理能力现代化水平。</w:t>
      </w:r>
    </w:p>
    <w:p w14:paraId="2C9369C3">
      <w:pPr>
        <w:spacing w:line="360" w:lineRule="auto"/>
        <w:ind w:firstLine="560" w:firstLineChars="200"/>
        <w:jc w:val="both"/>
        <w:rPr>
          <w:rFonts w:ascii="Arial" w:hAnsi="Arial" w:cs="Arial"/>
          <w:sz w:val="28"/>
        </w:rPr>
      </w:pPr>
      <w:r>
        <w:rPr>
          <w:rFonts w:hint="eastAsia" w:ascii="Arial" w:hAnsi="Arial" w:cs="Arial"/>
          <w:sz w:val="28"/>
        </w:rPr>
        <w:t>逐步建立自然资源管理制度。制定《北京市自然资源资产产权制度改革方案》，统筹推进自然资源统一调查监测评价，建立全市统一的国土空间基础信息平台，结合分区规划编制，形成全市国土空间规划“一张底图”。建立北京市国有自然资源报告工作制度，自然资源统一调查、监测、确权、配置、评价、监督的管理制度逐步建立。</w:t>
      </w:r>
    </w:p>
    <w:p w14:paraId="13D6FA82">
      <w:pPr>
        <w:spacing w:line="360" w:lineRule="auto"/>
        <w:ind w:firstLine="560" w:firstLineChars="200"/>
        <w:jc w:val="both"/>
        <w:rPr>
          <w:rFonts w:ascii="Arial" w:hAnsi="Arial" w:cs="Arial"/>
          <w:sz w:val="28"/>
        </w:rPr>
      </w:pPr>
      <w:r>
        <w:rPr>
          <w:rFonts w:hint="eastAsia" w:ascii="Arial" w:hAnsi="Arial" w:cs="Arial"/>
          <w:sz w:val="28"/>
        </w:rPr>
        <w:t>加强推进农村土地管理改革。制定《关于进一步加强农村集体土地管理加快建立健全“村地区管”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2749EC7C">
      <w:pPr>
        <w:spacing w:line="360" w:lineRule="auto"/>
        <w:ind w:firstLine="560" w:firstLineChars="200"/>
        <w:jc w:val="both"/>
        <w:rPr>
          <w:rFonts w:ascii="Arial" w:hAnsi="Arial" w:cs="Arial"/>
          <w:sz w:val="28"/>
        </w:rPr>
      </w:pPr>
      <w:r>
        <w:rPr>
          <w:rFonts w:hint="eastAsia" w:ascii="Arial" w:hAnsi="Arial" w:cs="Arial"/>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2EE7AC94">
      <w:pPr>
        <w:spacing w:line="360" w:lineRule="auto"/>
        <w:ind w:firstLine="560" w:firstLineChars="200"/>
        <w:jc w:val="both"/>
        <w:rPr>
          <w:rFonts w:ascii="Arial" w:hAnsi="Arial" w:cs="Arial"/>
          <w:sz w:val="28"/>
        </w:rPr>
      </w:pPr>
      <w:r>
        <w:rPr>
          <w:rFonts w:hint="eastAsia" w:ascii="Arial" w:hAnsi="Arial" w:cs="Arial"/>
          <w:sz w:val="28"/>
        </w:rPr>
        <w:t>2022年北京市人民政府关于印发《北京市“十四五”时期土地资源保护利用规划》的通知，要求全市继续统筹土地资源保护和利用工作，强化科学布局、整体保护、系统修复、高效利用、综合治理。</w:t>
      </w:r>
    </w:p>
    <w:p w14:paraId="594AFFA5">
      <w:pPr>
        <w:spacing w:line="360" w:lineRule="auto"/>
        <w:ind w:firstLine="560" w:firstLineChars="200"/>
        <w:jc w:val="both"/>
        <w:rPr>
          <w:rFonts w:ascii="Arial" w:hAnsi="Arial" w:cs="Arial"/>
          <w:sz w:val="28"/>
        </w:rPr>
      </w:pPr>
      <w:r>
        <w:rPr>
          <w:rFonts w:hint="eastAsia" w:ascii="Arial" w:hAnsi="Arial" w:cs="Arial"/>
          <w:sz w:val="28"/>
        </w:rPr>
        <w:t xml:space="preserve"> 住房制度与不动产管理政策：</w:t>
      </w:r>
    </w:p>
    <w:p w14:paraId="4557055C">
      <w:pPr>
        <w:spacing w:line="360" w:lineRule="auto"/>
        <w:ind w:firstLine="560" w:firstLineChars="200"/>
        <w:jc w:val="both"/>
        <w:rPr>
          <w:rFonts w:ascii="Arial" w:hAnsi="Arial" w:cs="Arial"/>
          <w:sz w:val="28"/>
        </w:rPr>
      </w:pPr>
      <w:r>
        <w:rPr>
          <w:rFonts w:hint="eastAsia" w:ascii="Arial" w:hAnsi="Arial" w:cs="Arial"/>
          <w:sz w:val="28"/>
        </w:rPr>
        <w:t>根据2022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14:paraId="7CD0264C">
      <w:pPr>
        <w:spacing w:line="360" w:lineRule="auto"/>
        <w:ind w:firstLine="560" w:firstLineChars="200"/>
        <w:jc w:val="both"/>
        <w:rPr>
          <w:rFonts w:ascii="Arial" w:hAnsi="Arial" w:cs="Arial"/>
          <w:sz w:val="28"/>
        </w:rPr>
      </w:pPr>
      <w:r>
        <w:rPr>
          <w:rFonts w:hint="eastAsia" w:ascii="Arial" w:hAnsi="Arial" w:cs="Arial"/>
          <w:sz w:val="28"/>
        </w:rPr>
        <w:t>2023年12月26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04E01988">
      <w:pPr>
        <w:spacing w:line="360" w:lineRule="auto"/>
        <w:ind w:firstLine="560" w:firstLineChars="200"/>
        <w:jc w:val="both"/>
        <w:rPr>
          <w:rFonts w:ascii="Arial" w:hAnsi="Arial" w:cs="Arial"/>
          <w:sz w:val="28"/>
        </w:rPr>
      </w:pPr>
      <w:r>
        <w:rPr>
          <w:rFonts w:hint="eastAsia" w:ascii="Arial" w:hAnsi="Arial" w:cs="Arial"/>
          <w:sz w:val="28"/>
        </w:rPr>
        <w:t>2024年2月21日，住房城乡建设部发布《关于做好住房发展规划和年度计划编制工作的通知》。该文件指出，住房发展规划和年度计划是建立“人、房、地、钱”要素联动机制的重要抓手。各地要充分认识做好住房发展规划和年度计划的编制实施工作的重要性，科学编制规划，认真组织实施，根据人口变化确定住房需求，根据住房需求科学安排土地供应、引导配置金融资源，实现以人定房、以房定地、以房定钱，促进房地产市场供需平衡、结构合理，防止市场大起大落。</w:t>
      </w:r>
    </w:p>
    <w:p w14:paraId="6F712951">
      <w:pPr>
        <w:spacing w:line="360" w:lineRule="auto"/>
        <w:ind w:firstLine="560" w:firstLineChars="200"/>
        <w:jc w:val="both"/>
        <w:rPr>
          <w:rFonts w:ascii="Arial" w:hAnsi="Arial" w:cs="Arial"/>
          <w:sz w:val="28"/>
        </w:rPr>
      </w:pPr>
      <w:bookmarkStart w:id="109" w:name="_Hlk195087303"/>
      <w:r>
        <w:rPr>
          <w:rFonts w:hint="eastAsia" w:ascii="Arial" w:hAnsi="Arial" w:cs="Arial"/>
          <w:sz w:val="28"/>
        </w:rPr>
        <w:t>2025年1月17日，北京市规划和自然资源委员会和北京市发展和改革委员会联合发布《北京市2025年度建设用地供应计划》，明确了北京市2025年度建设用地供应的总量、空间布局、结构和供应导向，旨在推动首都经济高质量发展和城市空间优化。2025年计划安排建设用地供应总量3165至3665公顷，较往年基本持平。供地计划保持各地类总量稳定、优化各类要素空间结构布局，保障优势地区高质量发展。空间布局上，持续强化“一核一主一副、两轴多点一区”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25%，与去年持平，重点推进中央政务功能保障、老城保护、宜居城市建设。平原新城地区（含城市副中心）土地供应规模约占全市总量的60%，重点完善城市功能，推动京津冀协同发展用地结构。用地结构上，住宅用地安排955-1015公顷；产业用地安排470-510公顷，其中研发用地80公顷、工业用地230公顷、仓储用地50公顷、商服用地50-70公顷、乡村产业用地60-80公顷。供应导向上，坚持稳中求进、以进促稳，统筹好做优增量和盘活存量的关系，全面提高资源配置效率。推动房地产市场止跌回稳，加快建设现代化产业体系、支撑实体经济发展，不断完善居住用地周边市政、公服、交通等配套设施建设，着力打造具有活力和韧性的区域中心。坚持规划引领计划，要素保障项目，推动市区协同，提升各类设施投资效益</w:t>
      </w:r>
      <w:bookmarkEnd w:id="109"/>
      <w:r>
        <w:rPr>
          <w:rFonts w:hint="eastAsia" w:ascii="Arial" w:hAnsi="Arial" w:cs="Arial"/>
          <w:sz w:val="28"/>
        </w:rPr>
        <w:t>。</w:t>
      </w:r>
    </w:p>
    <w:p w14:paraId="47201D56">
      <w:pPr>
        <w:spacing w:line="360" w:lineRule="auto"/>
        <w:ind w:firstLine="560" w:firstLineChars="200"/>
        <w:jc w:val="both"/>
        <w:rPr>
          <w:rFonts w:ascii="Arial" w:hAnsi="Arial" w:cs="Arial"/>
          <w:sz w:val="28"/>
        </w:rPr>
      </w:pPr>
      <w:r>
        <w:rPr>
          <w:rFonts w:hint="eastAsia" w:ascii="Arial" w:hAnsi="Arial" w:cs="Arial"/>
          <w:sz w:val="28"/>
        </w:rPr>
        <w:t>◆  不动产市场状况</w:t>
      </w:r>
    </w:p>
    <w:p w14:paraId="65AFDAAE">
      <w:pPr>
        <w:spacing w:line="360" w:lineRule="auto"/>
        <w:ind w:firstLine="560" w:firstLineChars="200"/>
        <w:jc w:val="both"/>
        <w:rPr>
          <w:rFonts w:ascii="Arial" w:hAnsi="Arial" w:cs="Arial"/>
          <w:sz w:val="28"/>
        </w:rPr>
      </w:pPr>
      <w:r>
        <w:rPr>
          <w:rFonts w:hint="eastAsia" w:ascii="Arial" w:hAnsi="Arial" w:cs="Arial"/>
          <w:sz w:val="28"/>
        </w:rPr>
        <w:t>（1）土地市场</w:t>
      </w:r>
    </w:p>
    <w:p w14:paraId="76A026E9">
      <w:pPr>
        <w:spacing w:line="360" w:lineRule="auto"/>
        <w:ind w:firstLine="560" w:firstLineChars="200"/>
        <w:jc w:val="both"/>
        <w:rPr>
          <w:rFonts w:ascii="Arial" w:hAnsi="Arial" w:cs="Arial"/>
          <w:sz w:val="28"/>
        </w:rPr>
      </w:pPr>
      <w:r>
        <w:rPr>
          <w:rFonts w:hint="eastAsia" w:ascii="Arial" w:hAnsi="Arial" w:cs="Arial"/>
          <w:sz w:val="28"/>
        </w:rPr>
        <w:t>1）土地供求分析</w:t>
      </w:r>
    </w:p>
    <w:p w14:paraId="7636D4BF">
      <w:pPr>
        <w:spacing w:line="360" w:lineRule="auto"/>
        <w:ind w:firstLine="560" w:firstLineChars="200"/>
        <w:jc w:val="both"/>
        <w:rPr>
          <w:rFonts w:ascii="Arial" w:hAnsi="Arial" w:cs="Arial"/>
          <w:sz w:val="28"/>
        </w:rPr>
      </w:pPr>
      <w:r>
        <w:rPr>
          <w:rFonts w:hint="eastAsia" w:ascii="Arial" w:hAnsi="Arial" w:cs="Arial"/>
          <w:sz w:val="28"/>
        </w:rPr>
        <w:t>2025年上半年北京商品住宅用地共推出17宗，累计供应规划建面169.70万平方米，同比减少28.2%；2025年上半年北京商品住宅用地累计成交22宗，分布在海淀、通州、朝阳、丰台、石景山、大兴、昌平、顺义、怀柔等9个区，成交规划建面234.42万平方米，同比下降1.2%；得益于海淀、通州热点地块的成交，土地成交价款合计1005.56亿元，同比增长37.3%，创2022年以来同期新高。</w:t>
      </w:r>
    </w:p>
    <w:p w14:paraId="7324C138">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179695" cy="2572385"/>
            <wp:effectExtent l="0" t="0" r="0" b="0"/>
            <wp:docPr id="10" name="图片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3ED3271">
      <w:pPr>
        <w:spacing w:line="360" w:lineRule="auto"/>
        <w:ind w:firstLine="560" w:firstLineChars="200"/>
        <w:jc w:val="both"/>
        <w:rPr>
          <w:rFonts w:ascii="Arial" w:hAnsi="Arial" w:cs="Arial"/>
          <w:sz w:val="28"/>
        </w:rPr>
      </w:pPr>
      <w:r>
        <w:rPr>
          <w:rFonts w:hint="eastAsia" w:ascii="Arial" w:hAnsi="Arial" w:cs="Arial"/>
          <w:sz w:val="28"/>
        </w:rPr>
        <w:t>2）土地成交情况</w:t>
      </w:r>
    </w:p>
    <w:p w14:paraId="105A9DC3">
      <w:pPr>
        <w:spacing w:line="360" w:lineRule="auto"/>
        <w:ind w:firstLine="560" w:firstLineChars="200"/>
        <w:jc w:val="both"/>
        <w:rPr>
          <w:rFonts w:ascii="Arial" w:hAnsi="Arial" w:cs="Arial"/>
          <w:sz w:val="28"/>
        </w:rPr>
      </w:pPr>
      <w:r>
        <w:rPr>
          <w:rFonts w:hint="eastAsia" w:ascii="Arial" w:hAnsi="Arial" w:cs="Arial"/>
          <w:sz w:val="28"/>
        </w:rPr>
        <w:t>2025年上半年，北京市商品住宅用地中心城区海淀、朝阳、丰台、石景山累计成交12宗宅地，累计成交规划建面128.38万平方米，占比55%，较上年同期增长9个百分点。近郊区主要集中在通州、大兴、顺义和昌平，累计成交9宗宅地，共103.88万平方米，占比为44%，较去年同期下降3个百分点；远郊区宅地成交1宗，位于怀柔区，成交规划建面2.17万平方米。</w:t>
      </w:r>
    </w:p>
    <w:p w14:paraId="1280E927">
      <w:pPr>
        <w:spacing w:line="360" w:lineRule="auto"/>
        <w:jc w:val="both"/>
        <w:rPr>
          <w:rFonts w:ascii="Arial" w:hAnsi="Arial" w:cs="Arial"/>
          <w:sz w:val="28"/>
        </w:rPr>
      </w:pPr>
      <w:r>
        <w:rPr>
          <w:rFonts w:hint="eastAsia" w:ascii="Arial" w:hAnsi="Arial" w:cs="Arial"/>
          <w:sz w:val="28"/>
        </w:rPr>
        <w:drawing>
          <wp:inline distT="0" distB="0" distL="0" distR="0">
            <wp:extent cx="5909310" cy="2970530"/>
            <wp:effectExtent l="0" t="0" r="0" b="0"/>
            <wp:docPr id="1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09310" cy="2970530"/>
                    </a:xfrm>
                    <a:prstGeom prst="rect">
                      <a:avLst/>
                    </a:prstGeom>
                    <a:noFill/>
                    <a:ln>
                      <a:noFill/>
                    </a:ln>
                  </pic:spPr>
                </pic:pic>
              </a:graphicData>
            </a:graphic>
          </wp:inline>
        </w:drawing>
      </w:r>
    </w:p>
    <w:p w14:paraId="6C056461">
      <w:pPr>
        <w:spacing w:line="360" w:lineRule="auto"/>
        <w:ind w:firstLine="560" w:firstLineChars="200"/>
        <w:jc w:val="both"/>
        <w:rPr>
          <w:rFonts w:ascii="Arial" w:hAnsi="Arial" w:cs="Arial"/>
          <w:sz w:val="28"/>
        </w:rPr>
      </w:pPr>
      <w:r>
        <w:rPr>
          <w:rFonts w:hint="eastAsia" w:ascii="Arial" w:hAnsi="Arial" w:cs="Arial"/>
          <w:sz w:val="28"/>
        </w:rPr>
        <w:t>从不同区域来看，中心城区成交规模同比增长17%，其中海淀、朝阳、石景山成交规模均同比增长，丰台下降44%；近郊区成交规模同比下降7.7%，其中顺义区同比增长45.5%，大兴、昌平均同比下降，而房山、门头沟无宅地成交；远郊区成交规模同比下降85.4%。</w:t>
      </w:r>
    </w:p>
    <w:p w14:paraId="3ECCC417">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4392295" cy="3974465"/>
            <wp:effectExtent l="0" t="0" r="0" b="0"/>
            <wp:docPr id="1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392295" cy="3974465"/>
                    </a:xfrm>
                    <a:prstGeom prst="rect">
                      <a:avLst/>
                    </a:prstGeom>
                    <a:noFill/>
                    <a:ln>
                      <a:noFill/>
                    </a:ln>
                  </pic:spPr>
                </pic:pic>
              </a:graphicData>
            </a:graphic>
          </wp:inline>
        </w:drawing>
      </w:r>
    </w:p>
    <w:p w14:paraId="0C1EBF41">
      <w:pPr>
        <w:spacing w:line="360" w:lineRule="auto"/>
        <w:ind w:firstLine="560" w:firstLineChars="200"/>
        <w:jc w:val="both"/>
        <w:rPr>
          <w:rFonts w:ascii="Arial" w:hAnsi="Arial" w:cs="Arial"/>
          <w:sz w:val="28"/>
        </w:rPr>
      </w:pPr>
      <w:r>
        <w:rPr>
          <w:rFonts w:hint="eastAsia" w:ascii="Arial" w:hAnsi="Arial" w:cs="Arial"/>
          <w:sz w:val="28"/>
        </w:rPr>
        <w:t>3）土地成交价格</w:t>
      </w:r>
    </w:p>
    <w:p w14:paraId="5A0F689C">
      <w:pPr>
        <w:spacing w:line="360" w:lineRule="auto"/>
        <w:ind w:firstLine="560" w:firstLineChars="200"/>
        <w:jc w:val="both"/>
        <w:rPr>
          <w:rFonts w:ascii="Arial" w:hAnsi="Arial" w:cs="Arial"/>
          <w:sz w:val="28"/>
        </w:rPr>
      </w:pPr>
      <w:r>
        <w:rPr>
          <w:rFonts w:hint="eastAsia" w:ascii="Arial" w:hAnsi="Arial" w:cs="Arial"/>
          <w:sz w:val="28"/>
        </w:rPr>
        <w:t>2025年上半年，在海淀朱房村、树村核心热点地块带动下，北京宅地整体成交楼面均价42895元/平方米，同比增长39%。溢价率方面，受海淀树村、朱房以及通州梨园高溢价地块的带动下，北京上半年宅地成交溢价率7.17%，同比提升3.3个百分点。但整体来看市场热度依然分化明显，成交的22宗地块中，9宗地块溢价成交，海淀树村、朱房、半壁店，朝阳三间房，通州梨园及八里桥地块竞争激烈，海淀宝山地块低溢价成交，其余13宗地块以底价成交。</w:t>
      </w:r>
    </w:p>
    <w:p w14:paraId="66E51A69">
      <w:pPr>
        <w:spacing w:line="360" w:lineRule="auto"/>
        <w:ind w:firstLine="560" w:firstLineChars="200"/>
        <w:jc w:val="both"/>
        <w:rPr>
          <w:rFonts w:ascii="Arial" w:hAnsi="Arial" w:cs="Arial"/>
          <w:sz w:val="28"/>
        </w:rPr>
      </w:pPr>
      <w:r>
        <w:rPr>
          <w:rFonts w:hint="eastAsia" w:ascii="Arial" w:hAnsi="Arial" w:cs="Arial"/>
          <w:sz w:val="28"/>
        </w:rPr>
        <w:t>图：2023年Q3至今北京市区涉宅用地楼面价和溢价率季度走势</w:t>
      </w:r>
    </w:p>
    <w:p w14:paraId="6473C6F0">
      <w:pPr>
        <w:spacing w:line="360" w:lineRule="auto"/>
        <w:jc w:val="both"/>
        <w:rPr>
          <w:rFonts w:ascii="Arial" w:hAnsi="Arial" w:cs="Arial"/>
          <w:sz w:val="28"/>
        </w:rPr>
      </w:pPr>
      <w:r>
        <w:rPr>
          <w:rFonts w:hint="eastAsia" w:ascii="Arial" w:hAnsi="Arial" w:cs="Arial"/>
          <w:sz w:val="28"/>
        </w:rPr>
        <w:drawing>
          <wp:inline distT="0" distB="0" distL="0" distR="0">
            <wp:extent cx="5906770" cy="2714625"/>
            <wp:effectExtent l="0" t="0" r="0" b="0"/>
            <wp:docPr id="13" name="图片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B395BEF">
      <w:pPr>
        <w:spacing w:line="360" w:lineRule="auto"/>
        <w:ind w:firstLine="560" w:firstLineChars="200"/>
        <w:jc w:val="both"/>
        <w:rPr>
          <w:rFonts w:ascii="Arial" w:hAnsi="Arial" w:cs="Arial"/>
          <w:sz w:val="28"/>
        </w:rPr>
      </w:pPr>
      <w:r>
        <w:rPr>
          <w:rFonts w:hint="eastAsia" w:ascii="Arial" w:hAnsi="Arial" w:cs="Arial"/>
          <w:sz w:val="28"/>
        </w:rPr>
        <w:t>4）供应计划</w:t>
      </w:r>
    </w:p>
    <w:p w14:paraId="6B23E8A5">
      <w:pPr>
        <w:spacing w:line="360" w:lineRule="auto"/>
        <w:ind w:firstLine="560" w:firstLineChars="200"/>
        <w:jc w:val="both"/>
        <w:rPr>
          <w:rFonts w:ascii="Arial" w:hAnsi="Arial" w:cs="Arial"/>
          <w:sz w:val="28"/>
        </w:rPr>
      </w:pPr>
      <w:bookmarkStart w:id="110" w:name="_Hlk195087344"/>
      <w:r>
        <w:rPr>
          <w:rFonts w:hint="eastAsia" w:ascii="Arial" w:hAnsi="Arial" w:cs="Arial"/>
          <w:sz w:val="28"/>
        </w:rPr>
        <w:t>2025年1月17日，北京市规划和自然资源委员会、北京市发展和改革委员会联合发布《北京市2025年度建设用地供应计划》，2025年计划安排建设用地供应总量3165至3665公顷，较往年基本持平。住宅用地安排955-1015公顷，较去年略降。本次供地计划保持各地类总量稳定、优化各类要素空间结构布局，保障优势地区高质量发展，稳定预期、激发活力，推动首都经济持续回升向好</w:t>
      </w:r>
      <w:bookmarkEnd w:id="110"/>
      <w:r>
        <w:rPr>
          <w:rFonts w:hint="eastAsia" w:ascii="Arial" w:hAnsi="Arial" w:cs="Arial"/>
          <w:sz w:val="28"/>
        </w:rPr>
        <w:t>。</w:t>
      </w:r>
    </w:p>
    <w:p w14:paraId="128540AE">
      <w:pPr>
        <w:spacing w:line="360" w:lineRule="auto"/>
        <w:ind w:firstLine="560" w:firstLineChars="200"/>
        <w:jc w:val="both"/>
        <w:rPr>
          <w:rFonts w:ascii="Arial" w:hAnsi="Arial" w:cs="Arial"/>
          <w:sz w:val="28"/>
        </w:rPr>
      </w:pPr>
      <w:r>
        <w:rPr>
          <w:rFonts w:hint="eastAsia" w:ascii="Arial" w:hAnsi="Arial" w:cs="Arial"/>
          <w:sz w:val="28"/>
        </w:rPr>
        <w:t>2025年2月25日北京市举办“2025年北京商品住宅用地推介会”，会上北京对外推介了69宗优质地块、建设用地面积427公顷、建筑规模828万㎡。69宗地块中，中心城区占其中25宗住宅用地，分别为海淀区4宗、朝阳区6宗、丰台区9宗、石景山区6宗。</w:t>
      </w:r>
    </w:p>
    <w:p w14:paraId="43BD8477">
      <w:pPr>
        <w:spacing w:line="360" w:lineRule="auto"/>
        <w:ind w:firstLine="560" w:firstLineChars="200"/>
        <w:jc w:val="both"/>
        <w:rPr>
          <w:rFonts w:ascii="Arial" w:hAnsi="Arial" w:cs="Arial"/>
          <w:sz w:val="28"/>
        </w:rPr>
      </w:pPr>
      <w:r>
        <w:rPr>
          <w:rFonts w:hint="eastAsia" w:ascii="Arial" w:hAnsi="Arial" w:cs="Arial"/>
          <w:sz w:val="28"/>
        </w:rPr>
        <w:t>（2）商品房住宅市场</w:t>
      </w:r>
    </w:p>
    <w:p w14:paraId="247A587B">
      <w:pPr>
        <w:spacing w:line="360" w:lineRule="auto"/>
        <w:ind w:firstLine="560" w:firstLineChars="200"/>
        <w:jc w:val="both"/>
        <w:rPr>
          <w:rFonts w:ascii="Arial" w:hAnsi="Arial" w:cs="Arial"/>
          <w:sz w:val="28"/>
        </w:rPr>
      </w:pPr>
      <w:r>
        <w:rPr>
          <w:rFonts w:hint="eastAsia" w:ascii="Arial" w:hAnsi="Arial" w:cs="Arial"/>
          <w:sz w:val="28"/>
        </w:rPr>
        <w:t>1）商品住宅供给状况</w:t>
      </w:r>
    </w:p>
    <w:p w14:paraId="1D36629C">
      <w:pPr>
        <w:spacing w:line="360" w:lineRule="auto"/>
        <w:ind w:firstLine="560" w:firstLineChars="200"/>
        <w:jc w:val="both"/>
        <w:rPr>
          <w:rFonts w:ascii="Arial" w:hAnsi="Arial" w:cs="Arial"/>
          <w:sz w:val="28"/>
        </w:rPr>
      </w:pPr>
      <w:r>
        <w:rPr>
          <w:rFonts w:hint="eastAsia" w:ascii="Arial" w:hAnsi="Arial" w:cs="Arial"/>
          <w:sz w:val="28"/>
        </w:rPr>
        <w:t>2025年上半年，北京商品住宅（不含保障性住房）累计供应251.35万平方米，同比增长26%。中海丽金府、保利建工·嘉华天珺、懋源云纪、颐海澐颂、和樾望雲、建发·海晏、中海萬吉玖序等中高端项目积极入市，带动北京楼市供应量上行。具体来看，1月新增供应规模约24万平方米，环比增加近八成；2月受春节假期影响，新增供应规模不足5万平方米；3月，随着市场的逐步恢复，房企供应节奏有所加快，在和樾望雲、颐海澐颂、和樾玉鸣等高端改善项目积极入市带动下，新房供应量环比涨幅达1718%，但整体供应规模仍不及去年同期；4月新增供应60.19万平方米，连续两月供应量超60万平方米；5月，懋源云纪、中海丽金府、华润臻云、中海丽泽叁號院等项目入市加推，带动北京楼市新增供应量连续三个月超60万平方米；6月，房企入市节奏放缓，新增供应量38.63万平方米，环比下降40%。</w:t>
      </w:r>
    </w:p>
    <w:p w14:paraId="049E138C">
      <w:pPr>
        <w:spacing w:line="360" w:lineRule="auto"/>
        <w:jc w:val="both"/>
        <w:rPr>
          <w:rFonts w:ascii="Arial" w:hAnsi="Arial" w:cs="Arial"/>
          <w:sz w:val="28"/>
        </w:rPr>
      </w:pPr>
      <w:r>
        <w:rPr>
          <w:rFonts w:hint="eastAsia" w:ascii="Arial" w:hAnsi="Arial" w:cs="Arial"/>
          <w:sz w:val="28"/>
        </w:rPr>
        <w:drawing>
          <wp:inline distT="0" distB="0" distL="0" distR="0">
            <wp:extent cx="5782945" cy="3028315"/>
            <wp:effectExtent l="0" t="0" r="8255" b="4445"/>
            <wp:docPr id="1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782945" cy="3028315"/>
                    </a:xfrm>
                    <a:prstGeom prst="rect">
                      <a:avLst/>
                    </a:prstGeom>
                    <a:noFill/>
                    <a:ln>
                      <a:noFill/>
                    </a:ln>
                  </pic:spPr>
                </pic:pic>
              </a:graphicData>
            </a:graphic>
          </wp:inline>
        </w:drawing>
      </w:r>
    </w:p>
    <w:p w14:paraId="5F4B2369">
      <w:pPr>
        <w:spacing w:line="360" w:lineRule="auto"/>
        <w:ind w:firstLine="560" w:firstLineChars="200"/>
        <w:jc w:val="both"/>
        <w:rPr>
          <w:rFonts w:ascii="Arial" w:hAnsi="Arial" w:cs="Arial"/>
          <w:sz w:val="28"/>
        </w:rPr>
      </w:pPr>
      <w:r>
        <w:rPr>
          <w:rFonts w:hint="eastAsia" w:ascii="Arial" w:hAnsi="Arial" w:cs="Arial"/>
          <w:sz w:val="28"/>
        </w:rPr>
        <w:t>2025年上半年北京商品住宅（不含保障房）供应量略高于成交量，导致库存规模有所回升。截至6月底，北京商品住宅（不含保障房）库存量约为981.88万平方米，较去年同期增加5%；月度来看，3-5月北京楼市供应量持续高位，连续三个月超60万平方米，带动库存规模回升。整体来看，930新政后，北京房地产市场平均去化速度明显加快，叠加库存规模的逐步回落，出清周期呈现出明显的下滑趋势；进入2025年2季度，伴随着供应量增加带动库存规模的回升，导致去化周期有所回升，截至到6月，北京楼市去化周期为22.8个月。</w:t>
      </w:r>
    </w:p>
    <w:p w14:paraId="44BEE0C2">
      <w:pPr>
        <w:spacing w:line="360" w:lineRule="auto"/>
        <w:jc w:val="both"/>
        <w:rPr>
          <w:rFonts w:ascii="Arial" w:hAnsi="Arial" w:cs="Arial"/>
          <w:sz w:val="28"/>
        </w:rPr>
      </w:pPr>
      <w:r>
        <w:rPr>
          <w:rFonts w:hint="eastAsia" w:ascii="Arial" w:hAnsi="Arial" w:cs="Arial"/>
          <w:sz w:val="28"/>
        </w:rPr>
        <w:drawing>
          <wp:inline distT="0" distB="0" distL="0" distR="0">
            <wp:extent cx="5904230" cy="1887220"/>
            <wp:effectExtent l="0" t="0" r="0" b="0"/>
            <wp:docPr id="1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904230" cy="1887220"/>
                    </a:xfrm>
                    <a:prstGeom prst="rect">
                      <a:avLst/>
                    </a:prstGeom>
                    <a:noFill/>
                    <a:ln>
                      <a:noFill/>
                    </a:ln>
                  </pic:spPr>
                </pic:pic>
              </a:graphicData>
            </a:graphic>
          </wp:inline>
        </w:drawing>
      </w:r>
    </w:p>
    <w:p w14:paraId="78798121">
      <w:pPr>
        <w:spacing w:line="360" w:lineRule="auto"/>
        <w:ind w:firstLine="560" w:firstLineChars="200"/>
        <w:jc w:val="both"/>
        <w:rPr>
          <w:rFonts w:ascii="Arial" w:hAnsi="Arial" w:cs="Arial"/>
          <w:sz w:val="28"/>
        </w:rPr>
      </w:pPr>
      <w:r>
        <w:rPr>
          <w:rFonts w:hint="eastAsia" w:ascii="Arial" w:hAnsi="Arial" w:cs="Arial"/>
          <w:sz w:val="28"/>
        </w:rPr>
        <w:t>2）商品住宅成交情况</w:t>
      </w:r>
    </w:p>
    <w:p w14:paraId="63D809BB">
      <w:pPr>
        <w:spacing w:line="360" w:lineRule="auto"/>
        <w:ind w:firstLine="560" w:firstLineChars="200"/>
        <w:jc w:val="both"/>
        <w:rPr>
          <w:rFonts w:ascii="Arial" w:hAnsi="Arial" w:cs="Arial"/>
          <w:sz w:val="28"/>
        </w:rPr>
      </w:pPr>
      <w:r>
        <w:rPr>
          <w:rFonts w:hint="eastAsia" w:ascii="Arial" w:hAnsi="Arial" w:cs="Arial"/>
          <w:sz w:val="28"/>
        </w:rPr>
        <w:t>A.成交量</w:t>
      </w:r>
    </w:p>
    <w:p w14:paraId="7BE157AB">
      <w:pPr>
        <w:spacing w:line="360" w:lineRule="auto"/>
        <w:ind w:firstLine="560" w:firstLineChars="200"/>
        <w:jc w:val="both"/>
        <w:rPr>
          <w:rFonts w:ascii="Arial" w:hAnsi="Arial" w:cs="Arial"/>
          <w:sz w:val="28"/>
        </w:rPr>
      </w:pPr>
      <w:r>
        <w:rPr>
          <w:rFonts w:hint="eastAsia" w:ascii="Arial" w:hAnsi="Arial" w:cs="Arial"/>
          <w:sz w:val="28"/>
        </w:rPr>
        <w:t>2025年上半年北京商品住宅成交规模约为234.13万平方米，同比增加20%，成交规模低位回升。分月度来看，受房企业绩冲刺节点影响，1月市场活跃度下滑，成交规模环比下滑；2月，在春节假期、自然日较少等多重因素影响下，市场活跃度季节性下滑；春节过后，高端改善项目积极入市、宅地市场局部高热为市场注入信心，带动市场积压需求持续释放，3月北京房地产市场热度回温；随着前期需求的快速释放，4月、5月市场活跃度下滑，成交走低；6月，房企为冲刺年中业绩，加大营销力度，叠加宽松政策环境的影响，成交规模回升。政策层面，两会政府工作报告首次将“稳住楼市”写进总体要求，同时指出调减房地产市场限制性措施，为市场传递了信心；4月25日政治局会议定调之后，金融部门积极跟进落实各项举措，5月7日国常会发布降准降息等一揽子金融政策，对提振房地产市场信心、稳定市场预期产生积极作用；6月13日，国常会定调更大力度推动房地产市场止跌回稳，而北京作为仍存限购等政策的城市，预计后续有望进一步优化楼市政策，逐步落实因区施策、调减楼市限制性措施等，进一步释放刚需和改善型需求积极入市，带动市场活跃度的提升。</w:t>
      </w:r>
    </w:p>
    <w:p w14:paraId="32E5D399">
      <w:pPr>
        <w:spacing w:line="360" w:lineRule="auto"/>
        <w:jc w:val="both"/>
        <w:rPr>
          <w:rFonts w:ascii="Arial" w:hAnsi="Arial" w:cs="Arial"/>
          <w:sz w:val="28"/>
        </w:rPr>
      </w:pPr>
      <w:r>
        <w:rPr>
          <w:rFonts w:hint="eastAsia" w:ascii="Arial" w:hAnsi="Arial" w:cs="Arial"/>
          <w:sz w:val="28"/>
        </w:rPr>
        <w:drawing>
          <wp:inline distT="0" distB="0" distL="0" distR="0">
            <wp:extent cx="5909310" cy="1585595"/>
            <wp:effectExtent l="0" t="0" r="0" b="0"/>
            <wp:docPr id="1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909310" cy="1585595"/>
                    </a:xfrm>
                    <a:prstGeom prst="rect">
                      <a:avLst/>
                    </a:prstGeom>
                    <a:noFill/>
                    <a:ln>
                      <a:noFill/>
                    </a:ln>
                  </pic:spPr>
                </pic:pic>
              </a:graphicData>
            </a:graphic>
          </wp:inline>
        </w:drawing>
      </w:r>
    </w:p>
    <w:p w14:paraId="486A74B6">
      <w:pPr>
        <w:spacing w:line="360" w:lineRule="auto"/>
        <w:ind w:firstLine="560" w:firstLineChars="200"/>
        <w:jc w:val="both"/>
        <w:rPr>
          <w:rFonts w:ascii="Arial" w:hAnsi="Arial" w:cs="Arial"/>
          <w:sz w:val="28"/>
        </w:rPr>
      </w:pPr>
      <w:r>
        <w:rPr>
          <w:rFonts w:hint="eastAsia" w:ascii="Arial" w:hAnsi="Arial" w:cs="Arial"/>
          <w:sz w:val="28"/>
        </w:rPr>
        <w:t>B.成交价格</w:t>
      </w:r>
    </w:p>
    <w:p w14:paraId="4CCBB52D">
      <w:pPr>
        <w:spacing w:line="360" w:lineRule="auto"/>
        <w:ind w:firstLine="560" w:firstLineChars="200"/>
        <w:jc w:val="both"/>
        <w:rPr>
          <w:rFonts w:ascii="Arial" w:hAnsi="Arial" w:cs="Arial"/>
          <w:sz w:val="28"/>
        </w:rPr>
      </w:pPr>
      <w:r>
        <w:rPr>
          <w:rFonts w:hint="eastAsia" w:ascii="Arial" w:hAnsi="Arial" w:cs="Arial"/>
          <w:sz w:val="28"/>
        </w:rPr>
        <w:t>a.成交价格</w:t>
      </w:r>
    </w:p>
    <w:p w14:paraId="1CCFEE46">
      <w:pPr>
        <w:spacing w:line="360" w:lineRule="auto"/>
        <w:ind w:firstLine="560" w:firstLineChars="200"/>
        <w:jc w:val="both"/>
        <w:rPr>
          <w:rFonts w:ascii="Arial" w:hAnsi="Arial" w:cs="Arial"/>
          <w:sz w:val="28"/>
        </w:rPr>
      </w:pPr>
      <w:r>
        <w:rPr>
          <w:rFonts w:hint="eastAsia" w:ascii="Arial" w:hAnsi="Arial" w:cs="Arial"/>
          <w:sz w:val="28"/>
        </w:rPr>
        <w:t>受结构性因素的影响，2025年上半年北京商品住宅价格同比上涨。2025年上半年，北京商品住宅（不含保障房）平均成交价格为60708元/平方米，同比上涨0.9%。主要原因是，伴随着房地产市场的持续调整，房企拿地趋于理性谨慎。为提升房企拿地积极性，近年来中心城区（含核心区）推出了多宗优质地块，中高端改善产品入市量增加，导致北京楼市成交均价呈现出结构性上涨的趋势。季度来看，一季度北京新建商品住宅成交均价为59093元/平方米，同比上涨2.1%；二季度，楼市成交均价为62050元/平方米，与去年同期基本持平。从房价指数来看，北京楼市房价指数仍延续上涨的趋势，上半年商品住房价格指数累计上涨1.9%，涨幅较去年同期扩大0.8个百分点。</w:t>
      </w:r>
    </w:p>
    <w:p w14:paraId="3044BCA0">
      <w:pPr>
        <w:spacing w:line="360" w:lineRule="auto"/>
        <w:jc w:val="both"/>
        <w:rPr>
          <w:rFonts w:ascii="Arial" w:hAnsi="Arial" w:cs="Arial"/>
          <w:sz w:val="28"/>
        </w:rPr>
      </w:pPr>
      <w:r>
        <w:rPr>
          <w:rFonts w:hint="eastAsia" w:ascii="Arial" w:hAnsi="Arial" w:cs="Arial"/>
          <w:sz w:val="28"/>
        </w:rPr>
        <w:drawing>
          <wp:inline distT="0" distB="0" distL="0" distR="0">
            <wp:extent cx="5909310" cy="1828800"/>
            <wp:effectExtent l="0" t="0" r="0" b="0"/>
            <wp:docPr id="1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909310" cy="1828800"/>
                    </a:xfrm>
                    <a:prstGeom prst="rect">
                      <a:avLst/>
                    </a:prstGeom>
                    <a:noFill/>
                    <a:ln>
                      <a:noFill/>
                    </a:ln>
                  </pic:spPr>
                </pic:pic>
              </a:graphicData>
            </a:graphic>
          </wp:inline>
        </w:drawing>
      </w:r>
    </w:p>
    <w:p w14:paraId="5AF736A0">
      <w:pPr>
        <w:spacing w:line="360" w:lineRule="auto"/>
        <w:ind w:firstLine="560" w:firstLineChars="200"/>
        <w:jc w:val="both"/>
        <w:rPr>
          <w:rFonts w:ascii="Arial" w:hAnsi="Arial" w:cs="Arial"/>
          <w:sz w:val="28"/>
        </w:rPr>
      </w:pPr>
      <w:r>
        <w:rPr>
          <w:rFonts w:hint="eastAsia" w:ascii="Arial" w:hAnsi="Arial" w:cs="Arial"/>
          <w:sz w:val="28"/>
        </w:rPr>
        <w:t>b.成交结构</w:t>
      </w:r>
    </w:p>
    <w:p w14:paraId="3AF974E5">
      <w:pPr>
        <w:spacing w:line="360" w:lineRule="auto"/>
        <w:ind w:firstLine="560" w:firstLineChars="200"/>
        <w:jc w:val="both"/>
        <w:rPr>
          <w:rFonts w:ascii="Arial" w:hAnsi="Arial" w:cs="Arial"/>
          <w:sz w:val="28"/>
        </w:rPr>
      </w:pPr>
      <w:r>
        <w:rPr>
          <w:rFonts w:hint="eastAsia" w:ascii="Arial" w:hAnsi="Arial" w:cs="Arial"/>
          <w:sz w:val="28"/>
        </w:rPr>
        <w:t>2025年</w:t>
      </w:r>
      <w:bookmarkStart w:id="111" w:name="OLE_LINK1"/>
      <w:r>
        <w:rPr>
          <w:rFonts w:hint="eastAsia" w:ascii="Arial" w:hAnsi="Arial" w:cs="Arial"/>
          <w:sz w:val="28"/>
        </w:rPr>
        <w:t>上半年</w:t>
      </w:r>
      <w:bookmarkEnd w:id="111"/>
      <w:r>
        <w:rPr>
          <w:rFonts w:hint="eastAsia" w:ascii="Arial" w:hAnsi="Arial" w:cs="Arial"/>
          <w:sz w:val="28"/>
        </w:rPr>
        <w:t>，90-200平米面积段的刚改和改善型产品成交占比提升，成交套数占比达71.7%，占比提升4.7个百分点，中低、高面积段产品成交占比均下滑。成交总价段在1200万之间的中高价位段产品成交占比提升较多，较去年同期增加3.8个百分点；中高总价段产品成交占比下滑，其 中500-1000万之间中高总价段产品成交占比下滑明显，较去年同期减少5.4个百分点；另外，500-800万之间产品仍为市场主力，成交占比为29.2%。</w:t>
      </w:r>
    </w:p>
    <w:p w14:paraId="44FF98D7">
      <w:pPr>
        <w:spacing w:line="360" w:lineRule="auto"/>
        <w:ind w:firstLine="560" w:firstLineChars="200"/>
        <w:jc w:val="both"/>
        <w:rPr>
          <w:rFonts w:ascii="Arial" w:hAnsi="Arial" w:cs="Arial"/>
          <w:sz w:val="28"/>
        </w:rPr>
      </w:pPr>
      <w:r>
        <w:rPr>
          <w:rFonts w:hint="eastAsia" w:ascii="Arial" w:hAnsi="Arial" w:cs="Arial"/>
          <w:sz w:val="28"/>
        </w:rPr>
        <w:t>2025年上半年，和樾望雲、颐海澐颂、和樾玉鸣、北京宸园、中海萬吉玖序、建发·海晏等高端改善项目热销，均位居全市项目销售金额榜TOP10前列，带动中高面积段和高总价产品成交占比出现明显的提升。主要原因一方面是热销项目主力户型位于120-180平之间；另一方面，入市项目区位优势较为明显，周边产业等配套资源丰富，市场需求支撑度较高，项目成交均价均超10万元/平方米。</w:t>
      </w:r>
    </w:p>
    <w:p w14:paraId="0B980CBA">
      <w:pPr>
        <w:spacing w:line="360" w:lineRule="auto"/>
        <w:jc w:val="both"/>
        <w:rPr>
          <w:rFonts w:ascii="Arial" w:hAnsi="Arial" w:cs="Arial"/>
          <w:sz w:val="28"/>
        </w:rPr>
      </w:pPr>
      <w:r>
        <w:rPr>
          <w:rFonts w:hint="eastAsia" w:ascii="Arial" w:hAnsi="Arial" w:cs="Arial"/>
          <w:sz w:val="28"/>
        </w:rPr>
        <w:drawing>
          <wp:inline distT="0" distB="0" distL="0" distR="0">
            <wp:extent cx="5898515" cy="1849755"/>
            <wp:effectExtent l="0" t="0" r="0" b="0"/>
            <wp:docPr id="1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898515" cy="1849755"/>
                    </a:xfrm>
                    <a:prstGeom prst="rect">
                      <a:avLst/>
                    </a:prstGeom>
                    <a:noFill/>
                    <a:ln>
                      <a:noFill/>
                    </a:ln>
                  </pic:spPr>
                </pic:pic>
              </a:graphicData>
            </a:graphic>
          </wp:inline>
        </w:drawing>
      </w:r>
    </w:p>
    <w:p w14:paraId="42131BE9">
      <w:pPr>
        <w:spacing w:line="360" w:lineRule="auto"/>
        <w:ind w:firstLine="560" w:firstLineChars="200"/>
        <w:jc w:val="both"/>
        <w:rPr>
          <w:rFonts w:ascii="Arial" w:hAnsi="Arial" w:cs="Arial"/>
          <w:sz w:val="28"/>
        </w:rPr>
      </w:pPr>
      <w:r>
        <w:rPr>
          <w:rFonts w:hint="eastAsia" w:ascii="Arial" w:hAnsi="Arial" w:cs="Arial"/>
          <w:sz w:val="28"/>
        </w:rPr>
        <w:t>C.区域成交</w:t>
      </w:r>
    </w:p>
    <w:p w14:paraId="7909966E">
      <w:pPr>
        <w:spacing w:line="360" w:lineRule="auto"/>
        <w:ind w:firstLine="560" w:firstLineChars="200"/>
        <w:jc w:val="both"/>
        <w:rPr>
          <w:rFonts w:ascii="Arial" w:hAnsi="Arial" w:cs="Arial"/>
          <w:sz w:val="28"/>
        </w:rPr>
      </w:pPr>
      <w:r>
        <w:rPr>
          <w:rFonts w:hint="eastAsia" w:ascii="Arial" w:hAnsi="Arial" w:cs="Arial"/>
          <w:sz w:val="28"/>
        </w:rPr>
        <w:t>从区域成交规模来看，近郊六区仍为市场成交主力区域，成交规模占比超五成。2025年上半年近郊六区成交119.41万平，占比达51.0%；其中，昌平、顺义累计成交占全市的比重均超10%。中心城区累计成交104.02万平，成交占比为44.4%，朝阳、海淀、丰台成交规模居前列，成交规模占全市的比重均超10%。</w:t>
      </w:r>
    </w:p>
    <w:p w14:paraId="4F3FFBC0">
      <w:pPr>
        <w:spacing w:line="360" w:lineRule="auto"/>
        <w:ind w:firstLine="560" w:firstLineChars="200"/>
        <w:jc w:val="both"/>
        <w:rPr>
          <w:rFonts w:ascii="Arial" w:hAnsi="Arial" w:cs="Arial"/>
          <w:sz w:val="28"/>
        </w:rPr>
      </w:pPr>
      <w:r>
        <w:rPr>
          <w:rFonts w:hint="eastAsia" w:ascii="Arial" w:hAnsi="Arial" w:cs="Arial"/>
          <w:sz w:val="28"/>
        </w:rPr>
        <w:t>从区域成交变化来看，中心城区成交规模明显增加、远郊区域同比下滑。其中，中心城区同比增加46%，海淀同比成倍增加，朝阳区和丰台区成交同比增幅超三成，东城区和西城区成交规模同比明显下滑，但基数较小；近郊区域成交同比增加7%，门头沟区同比增幅近两倍，房山区、昌平区和通州区成交同比涨幅均超10%，大兴成交同比下降24%；远郊区域成交规模同比减少15%，平谷区和延庆区成交同比领跌，同比跌幅分别为41%和25%。</w:t>
      </w:r>
    </w:p>
    <w:p w14:paraId="1C2266D8">
      <w:pPr>
        <w:spacing w:line="360" w:lineRule="auto"/>
        <w:jc w:val="both"/>
        <w:rPr>
          <w:rFonts w:ascii="Arial" w:hAnsi="Arial" w:cs="Arial"/>
          <w:sz w:val="28"/>
        </w:rPr>
      </w:pPr>
      <w:r>
        <w:rPr>
          <w:rFonts w:hint="eastAsia" w:ascii="Arial" w:hAnsi="Arial" w:cs="Arial"/>
          <w:sz w:val="28"/>
        </w:rPr>
        <w:drawing>
          <wp:inline distT="0" distB="0" distL="0" distR="0">
            <wp:extent cx="5909310" cy="1945005"/>
            <wp:effectExtent l="0" t="0" r="0" b="0"/>
            <wp:docPr id="1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909310" cy="1945005"/>
                    </a:xfrm>
                    <a:prstGeom prst="rect">
                      <a:avLst/>
                    </a:prstGeom>
                    <a:noFill/>
                    <a:ln>
                      <a:noFill/>
                    </a:ln>
                  </pic:spPr>
                </pic:pic>
              </a:graphicData>
            </a:graphic>
          </wp:inline>
        </w:drawing>
      </w:r>
    </w:p>
    <w:p w14:paraId="14EADEDE">
      <w:pPr>
        <w:spacing w:line="360" w:lineRule="auto"/>
        <w:ind w:firstLine="560" w:firstLineChars="200"/>
        <w:jc w:val="both"/>
        <w:rPr>
          <w:rFonts w:ascii="Arial" w:hAnsi="Arial" w:cs="Arial"/>
          <w:sz w:val="28"/>
        </w:rPr>
      </w:pPr>
      <w:r>
        <w:rPr>
          <w:rFonts w:hint="eastAsia" w:ascii="Arial" w:hAnsi="Arial" w:cs="Arial"/>
          <w:sz w:val="28"/>
        </w:rPr>
        <w:t>从成交价格来看，2025年上半年中心城区商品住宅（不含保障房）成交均价最高，整体均价超10万/平方米，其中东、西城成交均价均超12万元/平方米，远郊区整体成交均价最低，整体均价不足3万/平方米，其中密云区成交均价最低，上半年成交均价仅22267元/平方米。</w:t>
      </w:r>
    </w:p>
    <w:p w14:paraId="29E8E3BC">
      <w:pPr>
        <w:spacing w:line="360" w:lineRule="auto"/>
        <w:ind w:firstLine="560" w:firstLineChars="200"/>
        <w:jc w:val="both"/>
        <w:rPr>
          <w:rFonts w:ascii="Arial" w:hAnsi="Arial" w:cs="Arial"/>
          <w:sz w:val="28"/>
        </w:rPr>
      </w:pPr>
      <w:r>
        <w:rPr>
          <w:rFonts w:hint="eastAsia" w:ascii="Arial" w:hAnsi="Arial" w:cs="Arial"/>
          <w:sz w:val="28"/>
        </w:rPr>
        <w:t>从价格变化来看，2025年上半年中心城区、近郊区、远郊区房价均有所下跌；其中，中心城区商品住宅成交均价同比下跌1%，西城区和丰台区领跌，同比跌幅分别为 6%和4%；近郊区域成交均价同比下跌7%，大兴和顺义房价下跌明显，同比跌幅均超10%；远郊区域成交均价同比下跌8%，密云和评估同比跌幅超10 %。</w:t>
      </w:r>
    </w:p>
    <w:p w14:paraId="31A90A92">
      <w:pPr>
        <w:spacing w:line="360" w:lineRule="auto"/>
        <w:jc w:val="both"/>
        <w:rPr>
          <w:rFonts w:ascii="Arial" w:hAnsi="Arial" w:cs="Arial"/>
          <w:sz w:val="28"/>
        </w:rPr>
      </w:pPr>
      <w:r>
        <w:rPr>
          <w:rFonts w:hint="eastAsia" w:ascii="Arial" w:hAnsi="Arial" w:cs="Arial"/>
          <w:sz w:val="28"/>
        </w:rPr>
        <w:drawing>
          <wp:inline distT="0" distB="0" distL="0" distR="0">
            <wp:extent cx="5909310" cy="2019300"/>
            <wp:effectExtent l="0" t="0" r="0" b="0"/>
            <wp:docPr id="2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909310" cy="2019300"/>
                    </a:xfrm>
                    <a:prstGeom prst="rect">
                      <a:avLst/>
                    </a:prstGeom>
                    <a:noFill/>
                    <a:ln>
                      <a:noFill/>
                    </a:ln>
                  </pic:spPr>
                </pic:pic>
              </a:graphicData>
            </a:graphic>
          </wp:inline>
        </w:drawing>
      </w:r>
    </w:p>
    <w:p w14:paraId="6483E282">
      <w:pPr>
        <w:spacing w:line="360" w:lineRule="auto"/>
        <w:ind w:firstLine="560" w:firstLineChars="200"/>
        <w:jc w:val="both"/>
        <w:rPr>
          <w:rFonts w:ascii="Arial" w:hAnsi="Arial" w:cs="Arial"/>
          <w:sz w:val="28"/>
        </w:rPr>
      </w:pPr>
      <w:r>
        <w:rPr>
          <w:rFonts w:hint="eastAsia" w:ascii="Arial" w:hAnsi="Arial" w:cs="Arial"/>
          <w:sz w:val="28"/>
        </w:rPr>
        <w:t>（3）存量房住宅市场</w:t>
      </w:r>
    </w:p>
    <w:p w14:paraId="3F080CCB">
      <w:pPr>
        <w:spacing w:line="360" w:lineRule="auto"/>
        <w:ind w:firstLine="560" w:firstLineChars="200"/>
        <w:jc w:val="both"/>
        <w:rPr>
          <w:rFonts w:ascii="Arial" w:hAnsi="Arial" w:cs="Arial"/>
          <w:sz w:val="28"/>
        </w:rPr>
      </w:pPr>
      <w:r>
        <w:rPr>
          <w:rFonts w:hint="eastAsia" w:ascii="Arial" w:hAnsi="Arial" w:cs="Arial"/>
          <w:sz w:val="28"/>
        </w:rPr>
        <w:t>1）市场运行状况</w:t>
      </w:r>
    </w:p>
    <w:p w14:paraId="77B8E196">
      <w:pPr>
        <w:spacing w:line="360" w:lineRule="auto"/>
        <w:ind w:firstLine="560" w:firstLineChars="200"/>
        <w:jc w:val="both"/>
        <w:rPr>
          <w:rFonts w:ascii="Arial" w:hAnsi="Arial" w:cs="Arial"/>
          <w:sz w:val="28"/>
        </w:rPr>
      </w:pPr>
      <w:r>
        <w:rPr>
          <w:rFonts w:hint="eastAsia" w:ascii="Arial" w:hAnsi="Arial" w:cs="Arial"/>
          <w:sz w:val="28"/>
        </w:rPr>
        <w:t>2025年上半年，北京存量房市场活跃度较高，累计成交8.86万套，同比增长18.4%，成交规模为近三年同期新高。从月度趋势来看，北京存量房市场热度先涨后降，受2024年契税新政集中网签及春节假期影响，1/2月北京存量商品住宅网签量相对较低，但月度网签量依然在1.2万套左右；在小阳春带动下，3月北京存量商品住宅冲高至1.92万套；二季度以来市场热度有所降温，4月网签量降至1.56万套，5月回落至1.5万套以下，6月小幅回升至1.51万套，整体来看，二季度成交量虽有所下降，但仍保持较高水平。</w:t>
      </w:r>
    </w:p>
    <w:p w14:paraId="2B84D470">
      <w:pPr>
        <w:spacing w:line="360" w:lineRule="auto"/>
        <w:ind w:firstLine="560" w:firstLineChars="200"/>
        <w:jc w:val="both"/>
        <w:rPr>
          <w:rFonts w:ascii="Arial" w:hAnsi="Arial" w:cs="Arial"/>
          <w:sz w:val="28"/>
        </w:rPr>
      </w:pPr>
      <w:r>
        <w:rPr>
          <w:rFonts w:hint="eastAsia" w:ascii="Arial" w:hAnsi="Arial" w:cs="Arial"/>
          <w:sz w:val="28"/>
        </w:rPr>
        <w:t>2025年上半年，北京存量房市场延续“以价换量”主旋律。从统计局数据来看，1/2月二手房价格指数表现平稳，3月受小阳春传以及学区需求释放，购房者信心恢复，二手房价格环指数比上涨0.5%，至此，北京存量房已连续6个月环比上涨或持平。二季度以来，受存量房挂牌增加，学区需求下滑等因素影响，北京二手房价格指数环比持续下跌。</w:t>
      </w:r>
    </w:p>
    <w:p w14:paraId="611D66B9">
      <w:pPr>
        <w:spacing w:line="360" w:lineRule="auto"/>
        <w:jc w:val="both"/>
        <w:rPr>
          <w:rFonts w:ascii="Arial" w:hAnsi="Arial" w:cs="Arial"/>
          <w:sz w:val="28"/>
        </w:rPr>
      </w:pPr>
      <w:r>
        <w:rPr>
          <w:rFonts w:hint="eastAsia" w:ascii="Arial" w:hAnsi="Arial" w:cs="Arial"/>
          <w:sz w:val="28"/>
        </w:rPr>
        <w:drawing>
          <wp:inline distT="0" distB="0" distL="0" distR="0">
            <wp:extent cx="5904230" cy="1601470"/>
            <wp:effectExtent l="0" t="0" r="0" b="0"/>
            <wp:docPr id="2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904230" cy="1601470"/>
                    </a:xfrm>
                    <a:prstGeom prst="rect">
                      <a:avLst/>
                    </a:prstGeom>
                    <a:noFill/>
                    <a:ln>
                      <a:noFill/>
                    </a:ln>
                  </pic:spPr>
                </pic:pic>
              </a:graphicData>
            </a:graphic>
          </wp:inline>
        </w:drawing>
      </w:r>
    </w:p>
    <w:p w14:paraId="52D5B2EE">
      <w:pPr>
        <w:spacing w:line="360" w:lineRule="auto"/>
        <w:ind w:firstLine="560" w:firstLineChars="200"/>
        <w:jc w:val="both"/>
        <w:rPr>
          <w:rFonts w:ascii="Arial" w:hAnsi="Arial" w:cs="Arial"/>
          <w:sz w:val="28"/>
        </w:rPr>
      </w:pPr>
      <w:r>
        <w:rPr>
          <w:rFonts w:hint="eastAsia" w:ascii="Arial" w:hAnsi="Arial" w:cs="Arial"/>
          <w:sz w:val="28"/>
        </w:rPr>
        <w:t>2）各区县统计</w:t>
      </w:r>
    </w:p>
    <w:p w14:paraId="62B1850B">
      <w:pPr>
        <w:spacing w:line="360" w:lineRule="auto"/>
        <w:ind w:firstLine="560" w:firstLineChars="200"/>
        <w:jc w:val="both"/>
        <w:rPr>
          <w:rFonts w:ascii="Arial" w:hAnsi="Arial" w:cs="Arial"/>
          <w:sz w:val="28"/>
        </w:rPr>
      </w:pPr>
      <w:r>
        <w:rPr>
          <w:rFonts w:hint="eastAsia" w:ascii="Arial" w:hAnsi="Arial" w:cs="Arial"/>
          <w:sz w:val="28"/>
        </w:rPr>
        <w:t>分区域来看，2025年上半年朝阳</w:t>
      </w:r>
      <w:bookmarkStart w:id="112" w:name="OLE_LINK4"/>
      <w:r>
        <w:rPr>
          <w:rFonts w:hint="eastAsia" w:ascii="Arial" w:hAnsi="Arial" w:cs="Arial"/>
          <w:sz w:val="28"/>
        </w:rPr>
        <w:t>区</w:t>
      </w:r>
      <w:bookmarkEnd w:id="112"/>
      <w:r>
        <w:rPr>
          <w:rFonts w:hint="eastAsia" w:ascii="Arial" w:hAnsi="Arial" w:cs="Arial"/>
          <w:sz w:val="28"/>
        </w:rPr>
        <w:t>存量房成交规模较大，成交规模达201.77万平方米，居各区第一位；海淀区、丰台区、昌平区、大兴区成交面积均超过60万平方米，成交规模居第二梯队；另外，远郊的平谷区、延庆区、怀柔区以及近郊的门头沟区存量房市场活跃度相对较低，成交规模均不足20万平方米。</w:t>
      </w:r>
    </w:p>
    <w:p w14:paraId="08343744">
      <w:pPr>
        <w:spacing w:line="360" w:lineRule="auto"/>
        <w:ind w:firstLine="560" w:firstLineChars="200"/>
        <w:jc w:val="both"/>
        <w:rPr>
          <w:rFonts w:ascii="Arial" w:hAnsi="Arial" w:cs="Arial"/>
          <w:sz w:val="28"/>
        </w:rPr>
      </w:pPr>
      <w:r>
        <w:rPr>
          <w:rFonts w:hint="eastAsia" w:ascii="Arial" w:hAnsi="Arial" w:cs="Arial"/>
          <w:sz w:val="28"/>
        </w:rPr>
        <w:t>从同比变化来看，2025年上半年各区县存量房成交规模均同比上涨，其中门头沟区低基数下成交规模同比增加48%，朝阳区、东城区成交规模同比增幅超三成。成交价格方面，2025年上半年西城区成交价格最高，达115562元/平；其次为东城区，为98380元/平方米。</w:t>
      </w:r>
    </w:p>
    <w:p w14:paraId="603EDDF3">
      <w:pPr>
        <w:spacing w:line="360" w:lineRule="auto"/>
        <w:jc w:val="both"/>
        <w:rPr>
          <w:rFonts w:ascii="Arial" w:hAnsi="Arial" w:cs="Arial"/>
          <w:sz w:val="28"/>
        </w:rPr>
      </w:pPr>
      <w:r>
        <w:rPr>
          <w:rFonts w:hint="eastAsia" w:ascii="Arial" w:hAnsi="Arial" w:cs="Arial"/>
          <w:sz w:val="28"/>
        </w:rPr>
        <w:drawing>
          <wp:inline distT="0" distB="0" distL="0" distR="0">
            <wp:extent cx="5909310" cy="2119630"/>
            <wp:effectExtent l="0" t="0" r="0" b="0"/>
            <wp:docPr id="2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909310" cy="2119630"/>
                    </a:xfrm>
                    <a:prstGeom prst="rect">
                      <a:avLst/>
                    </a:prstGeom>
                    <a:noFill/>
                    <a:ln>
                      <a:noFill/>
                    </a:ln>
                  </pic:spPr>
                </pic:pic>
              </a:graphicData>
            </a:graphic>
          </wp:inline>
        </w:drawing>
      </w:r>
    </w:p>
    <w:p w14:paraId="70E1B949">
      <w:pPr>
        <w:spacing w:line="360" w:lineRule="auto"/>
        <w:ind w:firstLine="560" w:firstLineChars="200"/>
        <w:jc w:val="both"/>
        <w:rPr>
          <w:rFonts w:ascii="Arial" w:hAnsi="Arial" w:cs="Arial"/>
          <w:sz w:val="28"/>
        </w:rPr>
      </w:pPr>
      <w:r>
        <w:rPr>
          <w:rFonts w:hint="eastAsia" w:ascii="Arial" w:hAnsi="Arial" w:cs="Arial"/>
          <w:sz w:val="28"/>
        </w:rPr>
        <w:t>整体来看，北京市</w:t>
      </w:r>
      <w:bookmarkStart w:id="113" w:name="OLE_LINK5"/>
      <w:r>
        <w:rPr>
          <w:rFonts w:hint="eastAsia" w:ascii="Arial" w:hAnsi="Arial" w:cs="Arial"/>
          <w:sz w:val="28"/>
        </w:rPr>
        <w:t>存量</w:t>
      </w:r>
      <w:bookmarkEnd w:id="113"/>
      <w:r>
        <w:rPr>
          <w:rFonts w:hint="eastAsia" w:ascii="Arial" w:hAnsi="Arial" w:cs="Arial"/>
          <w:sz w:val="28"/>
        </w:rPr>
        <w:t>房对新房市场的分流效应逐步增强。2021年以来，北京市存量房成交占比波动增加。2025年上半年，北京新房市场虽有海淀、朝阳等改善项目的局部高热现象，但整体市场持续承压；反观存量房，市场热度较高，二季度虽有所下滑，但上半年成交套数升至近三年新高。2025年上半年北京存量商品住宅累计成交套数占比升至80%，较上年同期提高3个百分点。</w:t>
      </w:r>
    </w:p>
    <w:p w14:paraId="47C9568C">
      <w:pPr>
        <w:spacing w:line="360" w:lineRule="auto"/>
        <w:jc w:val="both"/>
        <w:rPr>
          <w:rFonts w:ascii="Arial" w:hAnsi="Arial" w:cs="Arial"/>
          <w:sz w:val="28"/>
        </w:rPr>
      </w:pPr>
      <w:r>
        <w:rPr>
          <w:rFonts w:hint="eastAsia" w:ascii="Arial" w:hAnsi="Arial" w:cs="Arial"/>
          <w:sz w:val="28"/>
        </w:rPr>
        <w:drawing>
          <wp:inline distT="0" distB="0" distL="0" distR="0">
            <wp:extent cx="5909310" cy="1939925"/>
            <wp:effectExtent l="0" t="0" r="0" b="0"/>
            <wp:docPr id="2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909310" cy="1939925"/>
                    </a:xfrm>
                    <a:prstGeom prst="rect">
                      <a:avLst/>
                    </a:prstGeom>
                    <a:noFill/>
                    <a:ln>
                      <a:noFill/>
                    </a:ln>
                  </pic:spPr>
                </pic:pic>
              </a:graphicData>
            </a:graphic>
          </wp:inline>
        </w:drawing>
      </w:r>
    </w:p>
    <w:p w14:paraId="17279051">
      <w:pPr>
        <w:spacing w:line="360" w:lineRule="auto"/>
        <w:ind w:firstLine="560" w:firstLineChars="200"/>
        <w:jc w:val="both"/>
        <w:rPr>
          <w:rFonts w:ascii="Arial" w:hAnsi="Arial" w:cs="Arial"/>
          <w:sz w:val="28"/>
        </w:rPr>
      </w:pPr>
      <w:r>
        <w:rPr>
          <w:rFonts w:hint="eastAsia" w:ascii="Arial" w:hAnsi="Arial" w:cs="Arial"/>
          <w:sz w:val="28"/>
        </w:rPr>
        <w:t>（4）未来市场预期</w:t>
      </w:r>
    </w:p>
    <w:p w14:paraId="28936427">
      <w:pPr>
        <w:spacing w:line="360" w:lineRule="auto"/>
        <w:ind w:firstLine="560" w:firstLineChars="200"/>
        <w:jc w:val="both"/>
        <w:rPr>
          <w:rFonts w:ascii="Arial" w:hAnsi="Arial" w:cs="Arial"/>
          <w:sz w:val="28"/>
        </w:rPr>
      </w:pPr>
      <w:bookmarkStart w:id="114" w:name="_Hlk204350337"/>
      <w:r>
        <w:rPr>
          <w:rFonts w:hint="eastAsia" w:ascii="Arial" w:hAnsi="Arial" w:cs="Arial"/>
          <w:sz w:val="28"/>
        </w:rPr>
        <w:t>北京市住宅市场正处于转型升级的关键阶段，未来将呈现“总量平稳、结构优化”的发展格局。从短期来看，2025年下半年市场将在政策支持与需求释放的双重作用下保持平稳运行，核心区域优质住宅凭借稀缺性和完善配套仍具较强抗跌性，而供应充足的远郊区域或将延续“以价换量”态势。值得注意的是，随着住房消费理念升级，改善型需求持续释放，品质住宅将成为市场交易主力，推动行业从“规模竞争”向“品质竞争”转变。从中长期看，市场将呈现三大特征：一是住房供应体系更趋完善，形成“高端有市场、中端有支持、低端有保障”的多层次供应格局；二是区域发展更趋分化，核心区资产保值功能凸显，产业新城价值逐步释放；三是产品形态持续升级，绿色、智能、适老化住宅将成为行业发展新方向。在此过程中，城市更新和存量盘活将成为主要空间供给方式，为市场注入新的发展动能。要实现市场平稳健康发展，需要政策保持连续性和稳定性，企业加快转型升级步伐，购房者树立理性消费观念。总体而言，北京住宅市场正在从高速增长阶段转向高质量发展阶段，虽然短期面临调整压力，但随着发展模式转型和市场机制完善，有望实现更加健康、可持续的发展，为首都城市功能优化和高质量发展提供有力支撑</w:t>
      </w:r>
      <w:bookmarkEnd w:id="114"/>
      <w:r>
        <w:rPr>
          <w:rFonts w:hint="eastAsia" w:ascii="Arial" w:hAnsi="Arial" w:cs="Arial"/>
          <w:sz w:val="28"/>
        </w:rPr>
        <w:t>。</w:t>
      </w:r>
    </w:p>
    <w:p w14:paraId="124EFCF4">
      <w:pPr>
        <w:spacing w:line="360" w:lineRule="auto"/>
        <w:ind w:firstLine="560" w:firstLineChars="200"/>
        <w:jc w:val="both"/>
        <w:rPr>
          <w:rFonts w:ascii="Arial" w:hAnsi="Arial" w:cs="Arial"/>
          <w:sz w:val="28"/>
        </w:rPr>
      </w:pPr>
      <w:r>
        <w:rPr>
          <w:rFonts w:hint="eastAsia" w:ascii="Arial" w:hAnsi="Arial" w:cs="Arial"/>
          <w:sz w:val="28"/>
        </w:rPr>
        <w:t>3.产业政策</w:t>
      </w:r>
    </w:p>
    <w:p w14:paraId="7B9826BC">
      <w:pPr>
        <w:spacing w:line="360" w:lineRule="auto"/>
        <w:ind w:firstLine="560" w:firstLineChars="200"/>
        <w:jc w:val="both"/>
        <w:rPr>
          <w:rFonts w:ascii="Arial" w:hAnsi="Arial" w:cs="Arial"/>
          <w:sz w:val="28"/>
        </w:rPr>
      </w:pPr>
      <w:r>
        <w:rPr>
          <w:rFonts w:hint="eastAsia" w:ascii="Arial" w:hAnsi="Arial" w:cs="Arial"/>
          <w:sz w:val="28"/>
        </w:rPr>
        <w:t>◆  产业优惠政策</w:t>
      </w:r>
    </w:p>
    <w:p w14:paraId="29D1660D">
      <w:pPr>
        <w:spacing w:line="360" w:lineRule="auto"/>
        <w:ind w:firstLine="560" w:firstLineChars="200"/>
        <w:jc w:val="both"/>
        <w:rPr>
          <w:rFonts w:ascii="Arial" w:hAnsi="Arial" w:cs="Arial"/>
          <w:sz w:val="28"/>
        </w:rPr>
      </w:pPr>
      <w:r>
        <w:rPr>
          <w:rFonts w:hint="eastAsia" w:ascii="Arial" w:hAnsi="Arial" w:cs="Arial"/>
          <w:sz w:val="28"/>
        </w:rPr>
        <w:t>全国：</w:t>
      </w:r>
    </w:p>
    <w:p w14:paraId="631A7529">
      <w:pPr>
        <w:spacing w:line="360" w:lineRule="auto"/>
        <w:ind w:firstLine="560" w:firstLineChars="200"/>
        <w:jc w:val="both"/>
        <w:rPr>
          <w:rFonts w:ascii="Arial" w:hAnsi="Arial" w:cs="Arial"/>
          <w:sz w:val="28"/>
        </w:rPr>
      </w:pPr>
      <w:r>
        <w:rPr>
          <w:rFonts w:hint="eastAsia" w:ascii="Arial" w:hAnsi="Arial" w:cs="Arial"/>
          <w:sz w:val="28"/>
        </w:rPr>
        <w:t>2024年7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49699B54">
      <w:pPr>
        <w:spacing w:line="360" w:lineRule="auto"/>
        <w:ind w:firstLine="560" w:firstLineChars="200"/>
        <w:jc w:val="both"/>
        <w:rPr>
          <w:rFonts w:ascii="Arial" w:hAnsi="Arial" w:cs="Arial"/>
          <w:sz w:val="28"/>
        </w:rPr>
      </w:pPr>
      <w:r>
        <w:rPr>
          <w:rFonts w:hint="eastAsia" w:ascii="Arial" w:hAnsi="Arial" w:cs="Arial"/>
          <w:sz w:val="28"/>
        </w:rPr>
        <w:t>2024年7月30日，中共中央政治局召开会议，分析研究当前经济形势，部署下半年经济工作。会议为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6FD06944">
      <w:pPr>
        <w:spacing w:line="360" w:lineRule="auto"/>
        <w:ind w:firstLine="560" w:firstLineChars="200"/>
        <w:jc w:val="both"/>
        <w:rPr>
          <w:rFonts w:ascii="Arial" w:hAnsi="Arial" w:cs="Arial"/>
          <w:sz w:val="28"/>
        </w:rPr>
      </w:pPr>
      <w:r>
        <w:rPr>
          <w:rFonts w:hint="eastAsia" w:ascii="Arial" w:hAnsi="Arial" w:cs="Arial"/>
          <w:sz w:val="28"/>
        </w:rPr>
        <w:t>2024年9月26日，中共中央政治局召开会议，分析研究当前经济形势，部署下一步经济工作。会议对房地产政策进行了重点部署，首次提出要“促进房地产市场止跌回稳”，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振市场信心。三、项目贷款：加大“白名单”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3C28FA67">
      <w:pPr>
        <w:spacing w:line="360" w:lineRule="auto"/>
        <w:ind w:firstLine="560" w:firstLineChars="200"/>
        <w:jc w:val="both"/>
        <w:rPr>
          <w:rFonts w:ascii="Arial" w:hAnsi="Arial" w:cs="Arial"/>
          <w:sz w:val="28"/>
        </w:rPr>
      </w:pPr>
      <w:r>
        <w:rPr>
          <w:rFonts w:hint="eastAsia" w:ascii="Arial" w:hAnsi="Arial" w:cs="Arial"/>
          <w:sz w:val="28"/>
        </w:rPr>
        <w:t>2024年12月11日至12日，2024年中央经济工作会议举行。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37C08ADA">
      <w:pPr>
        <w:spacing w:line="360" w:lineRule="auto"/>
        <w:ind w:firstLine="560" w:firstLineChars="200"/>
        <w:jc w:val="both"/>
        <w:rPr>
          <w:rFonts w:ascii="Arial" w:hAnsi="Arial" w:cs="Arial"/>
          <w:sz w:val="28"/>
        </w:rPr>
      </w:pPr>
      <w:bookmarkStart w:id="115" w:name="OLE_LINK3"/>
      <w:r>
        <w:rPr>
          <w:rFonts w:hint="eastAsia" w:ascii="Arial" w:hAnsi="Arial" w:cs="Arial"/>
          <w:sz w:val="28"/>
        </w:rPr>
        <w:t>2024年12月24日至25日，全国住房城乡建设工作会议在北京召开。会议系统总结2024年工作，部署进一步全面深化住房城乡建设领域改革，明确2025年重点任务，奋力推进住房城乡建设事业高质量发展。会议强调，2025年的工作要重点抓好5大板块22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新城建”为引擎打造高水平“数字住建”五个方面，大力实施城市更新。四、从全面深化建筑业改革、以更高质量的制度供给激发活力、整体提升工程建设标准、支持打造形成现代化建筑产业链和把绿色建筑培育发展成新的经济增长点五个方面，打造“中国建造”升级版。五、从提高住宅建设标准、构建支持住房品质提升的制度体系、支持房企打造好房子样板、推进老旧住宅更新改造和大力实施物业服务质量提升行动五个方面，建设安全、舒适、绿色、智慧的好房子。</w:t>
      </w:r>
    </w:p>
    <w:p w14:paraId="5F7BF09D">
      <w:pPr>
        <w:spacing w:line="360" w:lineRule="auto"/>
        <w:ind w:firstLine="560" w:firstLineChars="200"/>
        <w:jc w:val="both"/>
        <w:rPr>
          <w:rFonts w:ascii="Arial" w:hAnsi="Arial" w:cs="Arial"/>
          <w:sz w:val="28"/>
        </w:rPr>
      </w:pPr>
      <w:r>
        <w:rPr>
          <w:rFonts w:hint="eastAsia" w:ascii="Arial" w:hAnsi="Arial" w:cs="Arial"/>
          <w:sz w:val="28"/>
        </w:rPr>
        <w:t>2025年3月5日全国两会召开。关于房地产的定调，政府工作报告延续了去年底中央经济工作会议基调，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42CA4D0A">
      <w:pPr>
        <w:spacing w:line="360" w:lineRule="auto"/>
        <w:ind w:firstLine="560" w:firstLineChars="200"/>
        <w:jc w:val="both"/>
        <w:rPr>
          <w:rFonts w:ascii="Arial" w:hAnsi="Arial" w:cs="Arial"/>
          <w:sz w:val="28"/>
        </w:rPr>
      </w:pPr>
      <w:r>
        <w:rPr>
          <w:rFonts w:hint="eastAsia" w:ascii="Arial" w:hAnsi="Arial" w:cs="Arial"/>
          <w:sz w:val="28"/>
        </w:rPr>
        <w:t>2025年4月3日，财政部办公厅、住房城乡建设部办公厅联合发布《关于开展2025年度中央财政支持实施城市更新行动的通知》。《通知》提出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p>
    <w:p w14:paraId="740A913C">
      <w:pPr>
        <w:spacing w:line="360" w:lineRule="auto"/>
        <w:ind w:firstLine="560" w:firstLineChars="200"/>
        <w:jc w:val="both"/>
        <w:rPr>
          <w:rFonts w:ascii="Arial" w:hAnsi="Arial" w:cs="Arial"/>
          <w:sz w:val="28"/>
        </w:rPr>
      </w:pPr>
      <w:r>
        <w:rPr>
          <w:rFonts w:hint="eastAsia" w:ascii="Arial" w:hAnsi="Arial" w:cs="Arial"/>
          <w:sz w:val="28"/>
        </w:rPr>
        <w:t>2025年4月25日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46733ED2">
      <w:pPr>
        <w:spacing w:line="360" w:lineRule="auto"/>
        <w:ind w:firstLine="560" w:firstLineChars="200"/>
        <w:jc w:val="both"/>
        <w:rPr>
          <w:rFonts w:ascii="Arial" w:hAnsi="Arial" w:cs="Arial"/>
          <w:sz w:val="28"/>
        </w:rPr>
      </w:pPr>
      <w:r>
        <w:rPr>
          <w:rFonts w:hint="eastAsia" w:ascii="Arial" w:hAnsi="Arial" w:cs="Arial"/>
          <w:sz w:val="28"/>
        </w:rPr>
        <w:t>2025年5月15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41266369">
      <w:pPr>
        <w:spacing w:line="360" w:lineRule="auto"/>
        <w:ind w:firstLine="560" w:firstLineChars="200"/>
        <w:jc w:val="both"/>
        <w:rPr>
          <w:rFonts w:ascii="Arial" w:hAnsi="Arial" w:cs="Arial"/>
          <w:sz w:val="28"/>
        </w:rPr>
      </w:pPr>
      <w:r>
        <w:rPr>
          <w:rFonts w:hint="eastAsia" w:ascii="Arial" w:hAnsi="Arial" w:cs="Arial"/>
          <w:sz w:val="28"/>
        </w:rPr>
        <w:t>2025年6月13日国务院常务会议召开，其中重点部署了房地产相关政策，核心目标是“更大力度推动房地产市场止跌回稳”，并围绕构建房地产发展新模式、推进“好房子”建设、盘活存量资源等方面提出具体措施。</w:t>
      </w:r>
    </w:p>
    <w:bookmarkEnd w:id="115"/>
    <w:p w14:paraId="08115DB9">
      <w:pPr>
        <w:spacing w:line="360" w:lineRule="auto"/>
        <w:ind w:firstLine="560" w:firstLineChars="200"/>
        <w:jc w:val="both"/>
        <w:rPr>
          <w:rFonts w:ascii="Arial" w:hAnsi="Arial" w:cs="Arial"/>
          <w:sz w:val="28"/>
        </w:rPr>
      </w:pPr>
      <w:r>
        <w:rPr>
          <w:rFonts w:hint="eastAsia" w:ascii="Arial" w:hAnsi="Arial" w:cs="Arial"/>
          <w:sz w:val="28"/>
        </w:rPr>
        <w:t>北京：</w:t>
      </w:r>
    </w:p>
    <w:p w14:paraId="433F0B47">
      <w:pPr>
        <w:spacing w:line="360" w:lineRule="auto"/>
        <w:ind w:firstLine="560" w:firstLineChars="200"/>
        <w:jc w:val="both"/>
        <w:rPr>
          <w:rFonts w:ascii="Arial" w:hAnsi="Arial" w:cs="Arial"/>
          <w:sz w:val="28"/>
        </w:rPr>
      </w:pPr>
      <w:r>
        <w:rPr>
          <w:rFonts w:hint="eastAsia" w:ascii="Arial" w:hAnsi="Arial" w:cs="Arial"/>
          <w:sz w:val="28"/>
        </w:rPr>
        <w:t>2024年6月26日，北京市住房和城乡建设委员会、中国人民银行北京市分行、国家金融监督管理总局北京监管局、北京住房公积金管理中心联合发布《关于优化本市房地产市场平稳健康发展政策措施的通知》。《通知》明确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以旧换新”活动等政策措施。</w:t>
      </w:r>
    </w:p>
    <w:p w14:paraId="05AD4E89">
      <w:pPr>
        <w:spacing w:line="360" w:lineRule="auto"/>
        <w:ind w:firstLine="560" w:firstLineChars="200"/>
        <w:jc w:val="both"/>
        <w:rPr>
          <w:rFonts w:ascii="Arial" w:hAnsi="Arial" w:cs="Arial"/>
          <w:sz w:val="28"/>
        </w:rPr>
      </w:pPr>
      <w:r>
        <w:rPr>
          <w:rFonts w:hint="eastAsia" w:ascii="Arial" w:hAnsi="Arial" w:cs="Arial"/>
          <w:sz w:val="28"/>
        </w:rPr>
        <w:t>2024年7月31日，北京市住房和城乡建设委员会、中国人民银行北京市分行、国家金融监督管理总局北京监管局、北京住房公积金管理中心联合发布《关于印发北京市住房租赁押金托管和租金监管暂行办法的通知》。《通知》明确将承租他人住房从事转租的住房租赁企业收取的租金纳入监管，押金应当按照住房租赁合同约定的押金支付时间、金额存入用于押金托管的账户。住房租赁合同约定预收租金数额超过3个月租金的，全部租金应当按合同约定的租金支付时间、金额存入用于租金监管的账户。承租人可通过住房租赁合同备案编号等信息查询账户余额。该办法将于2024年10月1日起施行。</w:t>
      </w:r>
    </w:p>
    <w:p w14:paraId="261C2B46">
      <w:pPr>
        <w:spacing w:line="360" w:lineRule="auto"/>
        <w:ind w:firstLine="560" w:firstLineChars="200"/>
        <w:jc w:val="both"/>
        <w:rPr>
          <w:rFonts w:ascii="Arial" w:hAnsi="Arial" w:cs="Arial"/>
          <w:sz w:val="28"/>
        </w:rPr>
      </w:pPr>
      <w:r>
        <w:rPr>
          <w:rFonts w:hint="eastAsia" w:ascii="Arial" w:hAnsi="Arial" w:cs="Arial"/>
          <w:sz w:val="28"/>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p>
    <w:p w14:paraId="4C6E728C">
      <w:pPr>
        <w:spacing w:line="360" w:lineRule="auto"/>
        <w:ind w:firstLine="560" w:firstLineChars="200"/>
        <w:jc w:val="both"/>
        <w:rPr>
          <w:rFonts w:ascii="Arial" w:hAnsi="Arial" w:cs="Arial"/>
          <w:sz w:val="28"/>
        </w:rPr>
      </w:pPr>
      <w:r>
        <w:rPr>
          <w:rFonts w:hint="eastAsia" w:ascii="Arial" w:hAnsi="Arial" w:cs="Arial"/>
          <w:sz w:val="28"/>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p>
    <w:p w14:paraId="1087B6B7">
      <w:pPr>
        <w:spacing w:line="360" w:lineRule="auto"/>
        <w:ind w:firstLine="560" w:firstLineChars="200"/>
        <w:jc w:val="both"/>
        <w:rPr>
          <w:rFonts w:ascii="Arial" w:hAnsi="Arial" w:cs="Arial"/>
          <w:sz w:val="28"/>
        </w:rPr>
      </w:pPr>
      <w:bookmarkStart w:id="116" w:name="OLE_LINK2"/>
      <w:r>
        <w:rPr>
          <w:rFonts w:hint="eastAsia" w:ascii="Arial" w:hAnsi="Arial" w:cs="Arial"/>
          <w:sz w:val="28"/>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bookmarkEnd w:id="116"/>
    </w:p>
    <w:p w14:paraId="4E636736">
      <w:pPr>
        <w:spacing w:line="360" w:lineRule="auto"/>
        <w:ind w:firstLine="560" w:firstLineChars="200"/>
        <w:jc w:val="both"/>
        <w:rPr>
          <w:rFonts w:ascii="Arial" w:hAnsi="Arial" w:cs="Arial"/>
          <w:sz w:val="28"/>
        </w:rPr>
      </w:pPr>
      <w:r>
        <w:rPr>
          <w:rFonts w:hint="eastAsia" w:ascii="Arial" w:hAnsi="Arial" w:cs="Arial"/>
          <w:sz w:val="28"/>
        </w:rPr>
        <w:t>2025年2月12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p>
    <w:p w14:paraId="47A553D0">
      <w:pPr>
        <w:spacing w:line="360" w:lineRule="auto"/>
        <w:ind w:firstLine="560" w:firstLineChars="200"/>
        <w:jc w:val="both"/>
        <w:rPr>
          <w:rFonts w:ascii="Arial" w:hAnsi="Arial" w:cs="Arial"/>
          <w:sz w:val="28"/>
        </w:rPr>
      </w:pPr>
      <w:r>
        <w:rPr>
          <w:rFonts w:hint="eastAsia" w:ascii="Arial" w:hAnsi="Arial" w:cs="Arial"/>
          <w:sz w:val="28"/>
        </w:rPr>
        <w:t>2025年5月9日，北京市住房和城乡建设委员会发布《关于印发〈2025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79EF97EB">
      <w:pPr>
        <w:spacing w:line="360" w:lineRule="auto"/>
        <w:ind w:firstLine="560" w:firstLineChars="200"/>
        <w:jc w:val="both"/>
        <w:rPr>
          <w:rFonts w:ascii="Arial" w:hAnsi="Arial" w:cs="Arial"/>
          <w:sz w:val="28"/>
        </w:rPr>
      </w:pPr>
      <w:r>
        <w:rPr>
          <w:rFonts w:hint="eastAsia" w:ascii="Arial" w:hAnsi="Arial" w:cs="Arial"/>
          <w:sz w:val="28"/>
        </w:rPr>
        <w:t>◆  税收政策：</w:t>
      </w:r>
    </w:p>
    <w:p w14:paraId="11104998">
      <w:pPr>
        <w:spacing w:line="360" w:lineRule="auto"/>
        <w:ind w:firstLine="560" w:firstLineChars="200"/>
        <w:jc w:val="both"/>
        <w:rPr>
          <w:rFonts w:ascii="Arial" w:hAnsi="Arial" w:cs="Arial"/>
          <w:sz w:val="28"/>
        </w:rPr>
      </w:pPr>
      <w:r>
        <w:rPr>
          <w:rFonts w:hint="eastAsia" w:ascii="Arial" w:hAnsi="Arial" w:cs="Arial"/>
          <w:sz w:val="28"/>
        </w:rPr>
        <w:t>2025年4月，国家税务总局12366纳税服务平台以热点问题答复形式回应：纳税人按照《关于降低存量首套住房贷款 利率有关事项的通知》规定“二套转首套”，其商业住房贷款部分已执行首套住房贷款利率的，符合《国务院 关于印发个人所得税专项附加扣除暂行办法的通知》(国发〔2018〕41号)有关住房贷款利息专项附加扣除的 规定且之前未享受过住房贷款利息专项附加扣除的，可以自按照首套住房贷款利率开始还款的当月起享受住房贷款利息专项附加扣除。</w:t>
      </w:r>
    </w:p>
    <w:p w14:paraId="657DA644">
      <w:pPr>
        <w:spacing w:line="360" w:lineRule="auto"/>
        <w:ind w:firstLine="560" w:firstLineChars="200"/>
        <w:jc w:val="both"/>
        <w:rPr>
          <w:rFonts w:ascii="Arial" w:hAnsi="Arial" w:cs="Arial"/>
          <w:sz w:val="28"/>
        </w:rPr>
      </w:pPr>
      <w:r>
        <w:rPr>
          <w:rFonts w:hint="eastAsia" w:ascii="Arial" w:hAnsi="Arial" w:cs="Arial"/>
          <w:sz w:val="28"/>
        </w:rPr>
        <w:t>◆  金融政策：</w:t>
      </w:r>
    </w:p>
    <w:p w14:paraId="317E7F90">
      <w:pPr>
        <w:spacing w:line="360" w:lineRule="auto"/>
        <w:ind w:firstLine="560" w:firstLineChars="200"/>
        <w:jc w:val="both"/>
        <w:rPr>
          <w:rFonts w:ascii="Arial" w:hAnsi="Arial" w:cs="Arial"/>
          <w:sz w:val="28"/>
        </w:rPr>
      </w:pPr>
      <w:r>
        <w:rPr>
          <w:rFonts w:hint="eastAsia" w:ascii="Arial" w:hAnsi="Arial" w:cs="Arial"/>
          <w:sz w:val="28"/>
        </w:rPr>
        <w:t>全国：</w:t>
      </w:r>
    </w:p>
    <w:p w14:paraId="49B1E8DE">
      <w:pPr>
        <w:spacing w:line="360" w:lineRule="auto"/>
        <w:ind w:firstLine="560" w:firstLineChars="200"/>
        <w:jc w:val="both"/>
        <w:rPr>
          <w:rFonts w:ascii="Arial" w:hAnsi="Arial" w:cs="Arial"/>
          <w:sz w:val="28"/>
        </w:rPr>
      </w:pPr>
      <w:r>
        <w:rPr>
          <w:rFonts w:hint="eastAsia" w:ascii="Arial" w:hAnsi="Arial" w:cs="Arial"/>
          <w:sz w:val="28"/>
        </w:rPr>
        <w:t>2025年5月7日，中国人民银行公告，下调金融机构存款准备金率、下调再贷款利率、下调个人住房公积金贷款利率：自5月15日起，下调金融机构存款准备金率0.5个百分点；自5月7日起，下调再贷款利率0.25个百分点；自5月 8日起，下调个人住房公积金贷款利率0.25个百分点。</w:t>
      </w:r>
    </w:p>
    <w:p w14:paraId="526619D9">
      <w:pPr>
        <w:spacing w:line="360" w:lineRule="auto"/>
        <w:ind w:firstLine="560" w:firstLineChars="200"/>
        <w:jc w:val="both"/>
        <w:rPr>
          <w:rFonts w:ascii="Arial" w:hAnsi="Arial" w:cs="Arial"/>
          <w:sz w:val="28"/>
        </w:rPr>
      </w:pPr>
      <w:r>
        <w:rPr>
          <w:rFonts w:hint="eastAsia" w:ascii="Arial" w:hAnsi="Arial" w:cs="Arial"/>
          <w:sz w:val="28"/>
        </w:rPr>
        <w:t>北京：</w:t>
      </w:r>
    </w:p>
    <w:p w14:paraId="2F14B893">
      <w:pPr>
        <w:spacing w:line="360" w:lineRule="auto"/>
        <w:ind w:firstLine="560" w:firstLineChars="200"/>
        <w:jc w:val="both"/>
        <w:rPr>
          <w:rFonts w:ascii="Arial" w:hAnsi="Arial" w:cs="Arial"/>
          <w:sz w:val="28"/>
        </w:rPr>
      </w:pPr>
      <w:r>
        <w:rPr>
          <w:rFonts w:hint="eastAsia" w:ascii="Arial" w:hAnsi="Arial" w:cs="Arial"/>
          <w:sz w:val="28"/>
        </w:rPr>
        <w:t>2024年6月26日，北京市住房和城乡建设委员会、北京住房公积金管理中心联合发布《关于调整本市公积金个人住房贷款最低首付款比例政策的通知》和《关于住房公积金支持北京市建筑绿色发展的实施办法》两个文件。其中，《关于调整本市公积金个人住房贷款最低首付款比例政策的通知》明确自通知印发次日起，对于使用贷款购买首套商品住房的居民家庭，最低首付款比例调整为不低于20%。对于使用贷款购买二套商品住房的居民家庭，所购住房位于五环以内的，最低首付款比例不低于35%；所购商品住房位于五环以外的，最低首付款比例不低于30%。</w:t>
      </w:r>
    </w:p>
    <w:p w14:paraId="48DC714D">
      <w:pPr>
        <w:spacing w:line="360" w:lineRule="auto"/>
        <w:ind w:firstLine="560" w:firstLineChars="200"/>
        <w:jc w:val="both"/>
        <w:rPr>
          <w:rFonts w:ascii="Arial" w:hAnsi="Arial" w:cs="Arial"/>
          <w:sz w:val="28"/>
        </w:rPr>
      </w:pPr>
      <w:r>
        <w:rPr>
          <w:rFonts w:hint="eastAsia" w:ascii="Arial" w:hAnsi="Arial" w:cs="Arial"/>
          <w:sz w:val="28"/>
        </w:rPr>
        <w:t>2024年9月30日，北京市住房和城乡建设委员会、北京市财政局、中国人民银行北京市分行、国家金融监督管理总局北京监管局、国家税务总局北京市税务局、北京住房公积金管理中心联合发布《关于进一步优化调整本市房地产相关政策的通知》。《通知》提出，加大信贷政策支持力度。一是降低存量房贷利率。引导商业银行稳妥有序将存量房贷利率降至新发放贷款利率附近，切实减轻购房人房贷利息负担。二是下调房贷首付款比例。将商业性个人住房贷款首套房贷最低首付款比例由不低于20%下调至不低于15%，二套房贷由不低于35%（购买五环内住房）、不低于30%（购买五环外住房）统一下调至不低于20%。三是更好发挥住房公积金贷款作用。京籍二孩以上家庭购房的，公积金可贷款额度上浮40万元。</w:t>
      </w:r>
    </w:p>
    <w:p w14:paraId="6812EF05">
      <w:pPr>
        <w:spacing w:line="360" w:lineRule="auto"/>
        <w:ind w:firstLine="560" w:firstLineChars="200"/>
        <w:jc w:val="both"/>
        <w:rPr>
          <w:rFonts w:ascii="Arial" w:hAnsi="Arial" w:cs="Arial"/>
          <w:sz w:val="28"/>
        </w:rPr>
      </w:pPr>
      <w:r>
        <w:rPr>
          <w:rFonts w:hint="eastAsia" w:ascii="Arial" w:hAnsi="Arial" w:cs="Arial"/>
          <w:sz w:val="28"/>
        </w:rPr>
        <w:t>2024年12月31日，北京住房公积金管理中心发布《关于调整住房公积金个人住房贷款借款人年龄上限的通知》，将住房公积金个人住房贷款借款期限调整到可计算到借款申请人法定退休年龄后5年，原则上最高不超过68周岁，贷款期限最长为30年。《通知》自2025年1月1日起执行。</w:t>
      </w:r>
    </w:p>
    <w:p w14:paraId="3A28D319">
      <w:pPr>
        <w:spacing w:line="360" w:lineRule="auto"/>
        <w:ind w:firstLine="560" w:firstLineChars="200"/>
        <w:jc w:val="both"/>
        <w:rPr>
          <w:rFonts w:ascii="Arial" w:hAnsi="Arial" w:cs="Arial"/>
          <w:sz w:val="28"/>
        </w:rPr>
      </w:pPr>
      <w:r>
        <w:rPr>
          <w:rFonts w:hint="eastAsia" w:ascii="Arial" w:hAnsi="Arial" w:cs="Arial"/>
          <w:sz w:val="28"/>
        </w:rPr>
        <w:t>2025年5月8日，北京住房公积金管理中心发布《关于下调个人住房公积金贷款利率的公告》，2025年5月8日（含）之后新发放的贷款，5年以下（含5年）和5年以上首套个人住房公积金贷款利率分别为2.1％和2.6％，5年以下 （含5年）和5年以上第二套个人住房公积金贷款利率分别为2.525％和3.075％。</w:t>
      </w:r>
    </w:p>
    <w:p w14:paraId="3A2D9D15">
      <w:pPr>
        <w:spacing w:line="360" w:lineRule="auto"/>
        <w:ind w:firstLine="560" w:firstLineChars="200"/>
        <w:jc w:val="both"/>
        <w:rPr>
          <w:rFonts w:ascii="Arial" w:hAnsi="Arial" w:cs="Arial"/>
          <w:sz w:val="28"/>
        </w:rPr>
      </w:pPr>
      <w:r>
        <w:rPr>
          <w:rFonts w:hint="eastAsia" w:ascii="Arial" w:hAnsi="Arial" w:cs="Arial"/>
          <w:sz w:val="28"/>
        </w:rPr>
        <w:t>4.城市规划与发展目标</w:t>
      </w:r>
    </w:p>
    <w:p w14:paraId="0C4972D3">
      <w:pPr>
        <w:spacing w:line="360" w:lineRule="auto"/>
        <w:ind w:firstLine="560" w:firstLineChars="200"/>
        <w:jc w:val="both"/>
        <w:rPr>
          <w:rFonts w:ascii="Arial" w:hAnsi="Arial" w:cs="Arial"/>
          <w:sz w:val="28"/>
        </w:rPr>
      </w:pPr>
      <w:r>
        <w:rPr>
          <w:rFonts w:hint="eastAsia" w:ascii="Arial" w:hAnsi="Arial" w:cs="Arial"/>
          <w:sz w:val="28"/>
        </w:rPr>
        <w:t>（1）《北京城市总体规划(2016年-2035年)》于2017年9月29日正式发布。新版总体规划以资源环境为硬约束，确定了人口总量上限、生态控制线、城市开发边界“三条红线”。通过疏解非首都功能，实现人随功能走、人随产业走。</w:t>
      </w:r>
    </w:p>
    <w:p w14:paraId="397987B1">
      <w:pPr>
        <w:spacing w:line="360" w:lineRule="auto"/>
        <w:ind w:firstLine="560" w:firstLineChars="200"/>
        <w:jc w:val="both"/>
        <w:rPr>
          <w:rFonts w:ascii="Arial" w:hAnsi="Arial" w:cs="Arial"/>
          <w:sz w:val="28"/>
        </w:rPr>
      </w:pPr>
      <w:r>
        <w:rPr>
          <w:rFonts w:hint="eastAsia" w:ascii="Arial" w:hAnsi="Arial" w:cs="Arial"/>
          <w:sz w:val="28"/>
        </w:rPr>
        <w:t>（2）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55295A88">
      <w:pPr>
        <w:spacing w:line="360" w:lineRule="auto"/>
        <w:ind w:firstLine="560" w:firstLineChars="200"/>
        <w:jc w:val="both"/>
        <w:rPr>
          <w:rFonts w:ascii="Arial" w:hAnsi="Arial" w:cs="Arial"/>
          <w:sz w:val="28"/>
        </w:rPr>
      </w:pPr>
      <w:r>
        <w:rPr>
          <w:rFonts w:hint="eastAsia" w:ascii="Arial" w:hAnsi="Arial" w:cs="Arial"/>
          <w:sz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p>
    <w:p w14:paraId="4F659DBF">
      <w:pPr>
        <w:spacing w:line="360" w:lineRule="auto"/>
        <w:ind w:firstLine="560" w:firstLineChars="200"/>
        <w:jc w:val="both"/>
        <w:rPr>
          <w:rFonts w:ascii="Arial" w:hAnsi="Arial" w:cs="Arial"/>
          <w:sz w:val="28"/>
        </w:rPr>
      </w:pPr>
      <w:r>
        <w:rPr>
          <w:rFonts w:hint="eastAsia" w:ascii="Arial" w:hAnsi="Arial" w:cs="Arial"/>
          <w:sz w:val="28"/>
        </w:rPr>
        <w:t>完善多层次住房保障体系，加大住房有效供给，优化房地产市场管理和服务。坚持“房住不炒”，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5000公顷、供应各类住房100万套左右，基本实现总体供需平衡。加大多层次保障性租赁住房供给，针对中低收入家庭自住需求，大力筹集建设各类租赁型住房，提高公共租赁住房备案家庭保障率，新增供应套数占比不低于40%。新增集体土地租赁住房等政策性租赁住房供地占比不低于供应总量的15%，鼓励存量低效商业、办公、厂房等建筑改造为租赁型职工集体宿舍或公寓。加快高层次人才公租房和国际人才公寓建设。确保住房交易市场平稳有序，规范发展住房租赁市场，保持调控政策连续性稳定性，坚决遏制投机炒房，按照“全市统筹、因区施策”原则，逐步完善各区域调控长效机制，合理设定调控目标，全面落实稳地价、稳房价、稳预期。</w:t>
      </w:r>
    </w:p>
    <w:p w14:paraId="6241FBC8">
      <w:pPr>
        <w:spacing w:line="360" w:lineRule="auto"/>
        <w:ind w:firstLine="560" w:firstLineChars="200"/>
        <w:jc w:val="both"/>
        <w:rPr>
          <w:rFonts w:ascii="Arial" w:hAnsi="Arial" w:cs="Arial"/>
          <w:sz w:val="28"/>
        </w:rPr>
      </w:pPr>
      <w:r>
        <w:rPr>
          <w:rFonts w:hint="eastAsia" w:ascii="Arial" w:hAnsi="Arial" w:cs="Arial"/>
          <w:sz w:val="28"/>
        </w:rPr>
        <w:t>（3）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14:paraId="04599450">
      <w:pPr>
        <w:spacing w:line="360" w:lineRule="auto"/>
        <w:ind w:firstLine="560" w:firstLineChars="200"/>
        <w:jc w:val="both"/>
        <w:rPr>
          <w:rFonts w:ascii="Arial" w:hAnsi="Arial" w:cs="Arial"/>
          <w:sz w:val="28"/>
        </w:rPr>
      </w:pPr>
      <w:r>
        <w:rPr>
          <w:rFonts w:hint="eastAsia" w:ascii="Arial" w:hAnsi="Arial" w:cs="Arial"/>
          <w:sz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3F3AC693">
      <w:pPr>
        <w:spacing w:line="360" w:lineRule="auto"/>
        <w:ind w:firstLine="560" w:firstLineChars="200"/>
        <w:jc w:val="both"/>
        <w:rPr>
          <w:rFonts w:ascii="Arial" w:hAnsi="Arial" w:cs="Arial"/>
          <w:sz w:val="28"/>
        </w:rPr>
      </w:pPr>
      <w:r>
        <w:rPr>
          <w:rFonts w:hint="eastAsia" w:ascii="Arial" w:hAnsi="Arial" w:cs="Arial"/>
          <w:sz w:val="28"/>
        </w:rPr>
        <w:t>5.城市经济发展运行状况</w:t>
      </w:r>
    </w:p>
    <w:p w14:paraId="334E9016">
      <w:pPr>
        <w:spacing w:line="360" w:lineRule="auto"/>
        <w:ind w:firstLine="560" w:firstLineChars="200"/>
        <w:jc w:val="both"/>
        <w:rPr>
          <w:rFonts w:ascii="Arial" w:hAnsi="Arial" w:cs="Arial"/>
          <w:sz w:val="28"/>
        </w:rPr>
      </w:pPr>
      <w:r>
        <w:rPr>
          <w:rFonts w:hint="eastAsia" w:ascii="Arial" w:hAnsi="Arial" w:cs="Arial"/>
          <w:sz w:val="28"/>
        </w:rPr>
        <w:t>根据北京市统计局地区生产总值统一核算结果，2025年上半年，北京市实现地区生产总值25029.2亿元，按不变价格计算，同比增长5.5%。分产业看，第一产业实现增加值45.7亿元，增长1.5%；第二产业实现增加值3356.1亿元，增长4.7%；第三产业实现增加值21627.5亿元，增长5.6%。</w:t>
      </w:r>
    </w:p>
    <w:p w14:paraId="75EC05E2">
      <w:pPr>
        <w:spacing w:line="360" w:lineRule="auto"/>
        <w:ind w:firstLine="560" w:firstLineChars="200"/>
        <w:jc w:val="both"/>
        <w:rPr>
          <w:rFonts w:ascii="Arial" w:hAnsi="Arial" w:cs="Arial"/>
          <w:sz w:val="28"/>
        </w:rPr>
      </w:pPr>
      <w:r>
        <w:rPr>
          <w:rFonts w:hint="eastAsia" w:ascii="Arial" w:hAnsi="Arial" w:cs="Arial"/>
          <w:sz w:val="28"/>
        </w:rPr>
        <w:t>（1）农业生产保持增长，乡村旅游升温向好</w:t>
      </w:r>
    </w:p>
    <w:p w14:paraId="14D81928">
      <w:pPr>
        <w:spacing w:line="360" w:lineRule="auto"/>
        <w:ind w:firstLine="560" w:firstLineChars="200"/>
        <w:jc w:val="both"/>
        <w:rPr>
          <w:rFonts w:ascii="Arial" w:hAnsi="Arial" w:cs="Arial"/>
          <w:sz w:val="28"/>
        </w:rPr>
      </w:pPr>
      <w:r>
        <w:rPr>
          <w:rFonts w:hint="eastAsia" w:ascii="Arial" w:hAnsi="Arial" w:cs="Arial"/>
          <w:sz w:val="28"/>
        </w:rPr>
        <w:t>2025年上半年，北京市实现农林牧渔业总产值97.9亿元，按可比价格计算，同比增长2.2%。其中，实现农业（种植业）产值47亿元，增长3.9%，蔬菜（含食用菌）播种面积和产量分别增长4.3%和7.4%，夏粮播种面积持续扩大；实现林业产值23.6亿元，下降12.4%；实现牧业产值20.9亿元，增长11.8%，生猪、牛、禽出栏量分别增长22.4%、32.3%和14.1%。乡村休闲旅游接待1123万人次，同比增长4.7%。</w:t>
      </w:r>
    </w:p>
    <w:p w14:paraId="34D24E1C">
      <w:pPr>
        <w:spacing w:line="360" w:lineRule="auto"/>
        <w:ind w:firstLine="560" w:firstLineChars="200"/>
        <w:jc w:val="both"/>
        <w:rPr>
          <w:rFonts w:ascii="Arial" w:hAnsi="Arial" w:cs="Arial"/>
          <w:sz w:val="28"/>
        </w:rPr>
      </w:pPr>
      <w:r>
        <w:rPr>
          <w:rFonts w:hint="eastAsia" w:ascii="Arial" w:hAnsi="Arial" w:cs="Arial"/>
          <w:sz w:val="28"/>
        </w:rPr>
        <w:t>（2）工业生产增速提升，高端制造加快布局</w:t>
      </w:r>
    </w:p>
    <w:p w14:paraId="6016B7E1">
      <w:pPr>
        <w:spacing w:line="360" w:lineRule="auto"/>
        <w:ind w:firstLine="560" w:firstLineChars="200"/>
        <w:jc w:val="both"/>
        <w:rPr>
          <w:rFonts w:ascii="Arial" w:hAnsi="Arial" w:cs="Arial"/>
          <w:sz w:val="28"/>
        </w:rPr>
      </w:pPr>
      <w:r>
        <w:rPr>
          <w:rFonts w:hint="eastAsia" w:ascii="Arial" w:hAnsi="Arial" w:cs="Arial"/>
          <w:sz w:val="28"/>
        </w:rPr>
        <w:t>2025年上半年，北京市规模以上工业增加值按可比价格计算，同比增长7.0%，比一季度提高0.2个百分点。重点行业中，计算机、通信和其他电子设备制造业增长24.6%，汽车制造业增长16.7%，电力、热力生产和供应业增长3.9%，医药制造业下降9.1%，五大装备制造业[1]延续回暖态势，增长9.7%。高端制造业表现活跃，规模以上工业战略性新兴产业、高技术制造业增加值分别增长16.8%和9.9%（二者有交叉），锂电子电池、新能源汽车、医疗仪器设备及器械、集成电路等产品产量分别增长3.3倍、1.5倍、1.1倍和14.9%。规模以上工业实现销售产值13045.8亿元，增长5.9%；其中，内销产值12019.1亿元，增长6.1%，出口交货值1026.7亿元，增长4.1%。</w:t>
      </w:r>
    </w:p>
    <w:p w14:paraId="08F14320">
      <w:pPr>
        <w:spacing w:line="360" w:lineRule="auto"/>
        <w:ind w:firstLine="560" w:firstLineChars="200"/>
        <w:jc w:val="both"/>
        <w:rPr>
          <w:rFonts w:ascii="Arial" w:hAnsi="Arial" w:cs="Arial"/>
          <w:sz w:val="28"/>
        </w:rPr>
      </w:pPr>
      <w:r>
        <w:rPr>
          <w:rFonts w:hint="eastAsia" w:ascii="Arial" w:hAnsi="Arial" w:cs="Arial"/>
          <w:sz w:val="28"/>
        </w:rPr>
        <w:t>（3）服务业发挥稳定器作用，优势行业有力支撑</w:t>
      </w:r>
    </w:p>
    <w:p w14:paraId="23E1CC24">
      <w:pPr>
        <w:spacing w:line="360" w:lineRule="auto"/>
        <w:ind w:firstLine="560" w:firstLineChars="200"/>
        <w:jc w:val="both"/>
        <w:rPr>
          <w:rFonts w:ascii="Arial" w:hAnsi="Arial" w:cs="Arial"/>
          <w:sz w:val="28"/>
        </w:rPr>
      </w:pPr>
      <w:r>
        <w:rPr>
          <w:rFonts w:hint="eastAsia" w:ascii="Arial" w:hAnsi="Arial" w:cs="Arial"/>
          <w:sz w:val="28"/>
        </w:rPr>
        <w:t>2025年上半年，北京市第三产业增加值按不变价格计算，同比增长5.6%，比一季度提高0.2个百分点。其中，信息传输、软件和信息技术服务业实现增加值6193.8亿元，增长11.1%；金融业实现增加值4362.8亿元，增长8.1%，两个行业对第三产业增长的贡献率超过八成；租赁和商务服务业实现增加值1341.3亿元，增长3.4%；交通运输、仓储和邮政业实现增加值646.8亿元，增长6.0%。</w:t>
      </w:r>
    </w:p>
    <w:p w14:paraId="27908097">
      <w:pPr>
        <w:spacing w:line="360" w:lineRule="auto"/>
        <w:ind w:firstLine="560" w:firstLineChars="200"/>
        <w:jc w:val="both"/>
        <w:rPr>
          <w:rFonts w:ascii="Arial" w:hAnsi="Arial" w:cs="Arial"/>
          <w:sz w:val="28"/>
        </w:rPr>
      </w:pPr>
      <w:r>
        <w:rPr>
          <w:rFonts w:hint="eastAsia" w:ascii="Arial" w:hAnsi="Arial" w:cs="Arial"/>
          <w:sz w:val="28"/>
        </w:rPr>
        <w:t>（4）固定资产投资快速增长，设备购置投资带动明显</w:t>
      </w:r>
    </w:p>
    <w:p w14:paraId="5ACDF079">
      <w:pPr>
        <w:spacing w:line="360" w:lineRule="auto"/>
        <w:ind w:firstLine="560" w:firstLineChars="200"/>
        <w:jc w:val="both"/>
        <w:rPr>
          <w:rFonts w:ascii="Arial" w:hAnsi="Arial" w:cs="Arial"/>
          <w:sz w:val="28"/>
        </w:rPr>
      </w:pPr>
      <w:r>
        <w:rPr>
          <w:rFonts w:hint="eastAsia" w:ascii="Arial" w:hAnsi="Arial" w:cs="Arial"/>
          <w:sz w:val="28"/>
        </w:rPr>
        <w:t>2025年上半年，北京市固定资产投资（不含农户）同比增长14.1%。其中，反映企业扩大生产能力的设备购置投资增长99.0%，占全市固定资产投资的比重为28.2%，同比提高12个百分点。分领域看，基础设施投资增长2.0%，制造业投资增长8.9%，房地产开发投资下降7.5%。分产业看，第一产业投资增长80.0%，第二产业投资增长12.7%，第三产业投资增长14.2%。高技术产业投资保持活跃，增长72.9%，其中，信息传输、软件和信息技术服务业，汽车制造业，计算机、通信和其他电子设备制造业投资分别增长1.6倍、41.7%和9.4%。</w:t>
      </w:r>
    </w:p>
    <w:p w14:paraId="3EAC35BA">
      <w:pPr>
        <w:spacing w:line="360" w:lineRule="auto"/>
        <w:ind w:firstLine="560" w:firstLineChars="200"/>
        <w:jc w:val="both"/>
        <w:rPr>
          <w:rFonts w:ascii="Arial" w:hAnsi="Arial" w:cs="Arial"/>
          <w:sz w:val="28"/>
        </w:rPr>
      </w:pPr>
      <w:r>
        <w:rPr>
          <w:rFonts w:hint="eastAsia" w:ascii="Arial" w:hAnsi="Arial" w:cs="Arial"/>
          <w:sz w:val="28"/>
        </w:rPr>
        <w:t>2025年上半年，北京市房屋施工面积9896万平方米，同比下降8.0%，其中住宅施工面积4904.6万平方米，下降8.8%。全市新建商品房销售面积537.6万平方米，同比增长5.4%，其中住宅销售面积352.3万平方米，下降0.8%，住宅中的纯商品住宅销售面积增长33.8%。</w:t>
      </w:r>
    </w:p>
    <w:p w14:paraId="6EF39BD5">
      <w:pPr>
        <w:spacing w:line="360" w:lineRule="auto"/>
        <w:ind w:firstLine="560" w:firstLineChars="200"/>
        <w:jc w:val="both"/>
        <w:rPr>
          <w:rFonts w:ascii="Arial" w:hAnsi="Arial" w:cs="Arial"/>
          <w:sz w:val="28"/>
        </w:rPr>
      </w:pPr>
      <w:r>
        <w:rPr>
          <w:rFonts w:hint="eastAsia" w:ascii="Arial" w:hAnsi="Arial" w:cs="Arial"/>
          <w:sz w:val="28"/>
        </w:rPr>
        <w:t>（5）服务性消费较为活跃，社会消费品零售总额仍呈降势</w:t>
      </w:r>
    </w:p>
    <w:p w14:paraId="14FDC4C1">
      <w:pPr>
        <w:spacing w:line="360" w:lineRule="auto"/>
        <w:ind w:firstLine="560" w:firstLineChars="200"/>
        <w:jc w:val="both"/>
        <w:rPr>
          <w:rFonts w:ascii="Arial" w:hAnsi="Arial" w:cs="Arial"/>
          <w:sz w:val="28"/>
        </w:rPr>
      </w:pPr>
      <w:r>
        <w:rPr>
          <w:rFonts w:hint="eastAsia" w:ascii="Arial" w:hAnsi="Arial" w:cs="Arial"/>
          <w:sz w:val="28"/>
        </w:rPr>
        <w:t>2025年上半年，北京市市场总消费额同比增长0.9%。其中，服务性消费在信息、交通、文化娱乐等领域带动下增长4.7%；实现社会消费品零售总额6734.2亿元，下降3.8%。社会消费品零售总额中，按消费形态分，商品零售6061.6亿元，下降3.8%；餐饮收入672.6亿元，下降3.6%。从商品类别看，限额以上批发和零售业中，基本生活类和时尚类商品销售较好，粮油食品类、金银珠宝类、体育娱乐用品类、化妆品类商品零售额分别增长13.9%、36.1%、9.3%和7.6%；消费品“以旧换新”政策继续显效，家用电器和音像器材类、文化办公用品类商品零售额分别增长4.6%和3.1%；受市场竞争激烈、销售渠道更加多元影响，汽车类、通讯器材类商品零售额分别下降20.0%和24.0%，对社会消费品零售总额产生较大下拉作用。</w:t>
      </w:r>
    </w:p>
    <w:p w14:paraId="68017347">
      <w:pPr>
        <w:spacing w:line="360" w:lineRule="auto"/>
        <w:ind w:firstLine="560" w:firstLineChars="200"/>
        <w:jc w:val="both"/>
        <w:rPr>
          <w:rFonts w:ascii="Arial" w:hAnsi="Arial" w:cs="Arial"/>
          <w:sz w:val="28"/>
        </w:rPr>
      </w:pPr>
      <w:r>
        <w:rPr>
          <w:rFonts w:hint="eastAsia" w:ascii="Arial" w:hAnsi="Arial" w:cs="Arial"/>
          <w:sz w:val="28"/>
        </w:rPr>
        <w:t>（6）居民消费价格平稳运行，工业生产者出厂价格延续降势 </w:t>
      </w:r>
    </w:p>
    <w:p w14:paraId="3856D291">
      <w:pPr>
        <w:spacing w:line="360" w:lineRule="auto"/>
        <w:ind w:firstLine="560" w:firstLineChars="200"/>
        <w:jc w:val="both"/>
        <w:rPr>
          <w:rFonts w:ascii="Arial" w:hAnsi="Arial" w:cs="Arial"/>
          <w:sz w:val="28"/>
        </w:rPr>
      </w:pPr>
      <w:r>
        <w:rPr>
          <w:rFonts w:hint="eastAsia" w:ascii="Arial" w:hAnsi="Arial" w:cs="Arial"/>
          <w:sz w:val="28"/>
        </w:rPr>
        <w:t>2025年上半年，北京市居民消费价格同比下降0.3%。其中，消费品价格下降0.7%，服务价格上涨0.1%。八大类商品和服务项目中，其他用品及服务类价格上涨9.8%，生活用品及服务类价格上涨0.9%，居住类价格上涨0.3%，衣着类价格上涨0.2%，食品烟酒类价格下降1.1%，交通通信类价格下降2.7%，教育文化娱乐类价格下降1.1%，医疗保健类价格下降0.6%。6月份，居民消费价格同比下降0.1%，环比下降0.4%。</w:t>
      </w:r>
    </w:p>
    <w:p w14:paraId="193D3657">
      <w:pPr>
        <w:spacing w:line="360" w:lineRule="auto"/>
        <w:ind w:firstLine="560" w:firstLineChars="200"/>
        <w:jc w:val="both"/>
        <w:rPr>
          <w:rFonts w:ascii="Arial" w:hAnsi="Arial" w:cs="Arial"/>
          <w:sz w:val="28"/>
        </w:rPr>
      </w:pPr>
      <w:r>
        <w:rPr>
          <w:rFonts w:hint="eastAsia" w:ascii="Arial" w:hAnsi="Arial" w:cs="Arial"/>
          <w:sz w:val="28"/>
        </w:rPr>
        <w:t>2025年上半年，北京市工业生产者出厂价格同比下降1.8%，购进价格同比下降1.1%。6月份，工业生产者出厂价格同比下降1.7%，环比下降0.3%；购进价格同比下降2.3%，环比下降0.3%。</w:t>
      </w:r>
    </w:p>
    <w:p w14:paraId="03740B73">
      <w:pPr>
        <w:spacing w:line="360" w:lineRule="auto"/>
        <w:ind w:firstLine="560" w:firstLineChars="200"/>
        <w:jc w:val="both"/>
        <w:rPr>
          <w:rFonts w:ascii="Arial" w:hAnsi="Arial" w:cs="Arial"/>
          <w:sz w:val="28"/>
        </w:rPr>
      </w:pPr>
      <w:r>
        <w:rPr>
          <w:rFonts w:hint="eastAsia" w:ascii="Arial" w:hAnsi="Arial" w:cs="Arial"/>
          <w:sz w:val="28"/>
        </w:rPr>
        <w:t>（7）就业形势总体平稳，居民收入稳步增加 </w:t>
      </w:r>
    </w:p>
    <w:p w14:paraId="31A6EDA5">
      <w:pPr>
        <w:spacing w:line="360" w:lineRule="auto"/>
        <w:ind w:firstLine="560" w:firstLineChars="200"/>
        <w:jc w:val="both"/>
        <w:rPr>
          <w:rFonts w:ascii="Arial" w:hAnsi="Arial" w:cs="Arial"/>
          <w:sz w:val="28"/>
        </w:rPr>
      </w:pPr>
      <w:r>
        <w:rPr>
          <w:rFonts w:hint="eastAsia" w:ascii="Arial" w:hAnsi="Arial" w:cs="Arial"/>
          <w:sz w:val="28"/>
        </w:rPr>
        <w:t>2025年上半年，北京市城镇调查失业率均值为4.1%，与一季度持平；6月份，城镇调查失业率为4.1%，环比上升0.1个百分点。</w:t>
      </w:r>
    </w:p>
    <w:p w14:paraId="35DEE553">
      <w:pPr>
        <w:spacing w:line="360" w:lineRule="auto"/>
        <w:ind w:firstLine="560" w:firstLineChars="200"/>
        <w:jc w:val="both"/>
        <w:rPr>
          <w:rFonts w:ascii="Arial" w:hAnsi="Arial" w:cs="Arial"/>
          <w:sz w:val="28"/>
        </w:rPr>
      </w:pPr>
      <w:r>
        <w:rPr>
          <w:rFonts w:hint="eastAsia" w:ascii="Arial" w:hAnsi="Arial" w:cs="Arial"/>
          <w:sz w:val="28"/>
        </w:rPr>
        <w:t>2025年上半年，北京市居民人均可支配收入45144元，同比增长4.8%，扣除价格因素，实际增长5.1%。其中，工资性收入增长5.3%，经营净收入增长2.4%，财产净收入增长2.3%，转移净收入增长5.2%。城镇居民人均可支配收入48666元，同比增长4.6%，农村居民人均可支配收入22124元，同比增长6.1%。</w:t>
      </w:r>
    </w:p>
    <w:p w14:paraId="72884300">
      <w:pPr>
        <w:spacing w:line="360" w:lineRule="auto"/>
        <w:ind w:firstLine="560" w:firstLineChars="200"/>
        <w:jc w:val="both"/>
        <w:rPr>
          <w:rFonts w:ascii="Arial" w:hAnsi="Arial" w:cs="Arial"/>
          <w:sz w:val="28"/>
        </w:rPr>
      </w:pPr>
      <w:r>
        <w:rPr>
          <w:rFonts w:hint="eastAsia" w:ascii="Arial" w:hAnsi="Arial" w:cs="Arial"/>
          <w:sz w:val="28"/>
        </w:rPr>
        <w:t>总的来看，2025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p w14:paraId="11F0A12E">
      <w:pPr>
        <w:spacing w:line="360" w:lineRule="auto"/>
        <w:jc w:val="both"/>
        <w:rPr>
          <w:rFonts w:ascii="Arial" w:hAnsi="Arial" w:cs="Arial"/>
          <w:sz w:val="28"/>
        </w:rPr>
      </w:pPr>
      <w:r>
        <w:rPr>
          <w:rFonts w:ascii="Arial" w:hAnsi="Arial" w:cs="Arial"/>
          <w:sz w:val="28"/>
        </w:rPr>
        <w:t>（二）区域因素</w:t>
      </w:r>
    </w:p>
    <w:p w14:paraId="173D1898">
      <w:pPr>
        <w:spacing w:line="360" w:lineRule="auto"/>
        <w:ind w:firstLine="560" w:firstLineChars="200"/>
        <w:jc w:val="both"/>
        <w:rPr>
          <w:rFonts w:ascii="Arial" w:hAnsi="Arial" w:cs="Arial"/>
          <w:sz w:val="28"/>
        </w:rPr>
      </w:pPr>
      <w:r>
        <w:rPr>
          <w:rFonts w:ascii="Arial" w:hAnsi="Arial" w:cs="Arial"/>
          <w:sz w:val="28"/>
        </w:rPr>
        <w:t>1.区域概况</w:t>
      </w:r>
    </w:p>
    <w:p w14:paraId="7B2DAF36">
      <w:pPr>
        <w:spacing w:line="360" w:lineRule="auto"/>
        <w:ind w:firstLine="560" w:firstLineChars="200"/>
        <w:jc w:val="both"/>
        <w:rPr>
          <w:rFonts w:ascii="Arial" w:hAnsi="Arial" w:cs="Arial"/>
          <w:sz w:val="28"/>
        </w:rPr>
      </w:pPr>
      <w:r>
        <w:rPr>
          <w:rFonts w:ascii="Arial" w:hAnsi="Arial" w:cs="Arial"/>
          <w:sz w:val="28"/>
        </w:rPr>
        <w:t>咨询对象位于北京市</w:t>
      </w:r>
      <w:r>
        <w:rPr>
          <w:rFonts w:hint="eastAsia" w:ascii="Arial" w:hAnsi="Arial" w:cs="Arial"/>
          <w:sz w:val="28"/>
        </w:rPr>
        <w:t>昌平区马池口镇百泉庄村</w:t>
      </w:r>
      <w:r>
        <w:rPr>
          <w:rFonts w:ascii="Arial" w:hAnsi="Arial" w:cs="Arial"/>
          <w:sz w:val="28"/>
        </w:rPr>
        <w:t>。</w:t>
      </w:r>
      <w:r>
        <w:rPr>
          <w:rFonts w:hint="eastAsia" w:ascii="Arial" w:hAnsi="Arial" w:cs="Arial"/>
          <w:sz w:val="28"/>
        </w:rPr>
        <w:t>百泉庄村位于北京市昌平城区西部，距离马池口镇政府约4.7公里。东邻昌平城区，西接上念头村，南连宏道村，北邻昌平镇。村域面积286.07公顷（4291.05亩），村庄人口 2000人，其中非农业人口427人，农业人口1573人。共818户，其中非农业户200户，农业户618户。百泉庄村域面积较大，农业用地主要分布在温南路以南，经济发展平稳。第一产业以粮食作物种植、蔬菜水果种植以及塘鱼养殖为主，主要表现为经济功能的发展，其社会和生态的功能有待提高。村域西部大部分土地被征为国有土地，在村庄周边有大量的工业企业和对外服务设施。</w:t>
      </w:r>
    </w:p>
    <w:p w14:paraId="4F21F305">
      <w:pPr>
        <w:spacing w:line="360" w:lineRule="auto"/>
        <w:ind w:firstLine="560" w:firstLineChars="200"/>
        <w:jc w:val="both"/>
        <w:rPr>
          <w:rFonts w:ascii="Arial" w:hAnsi="Arial" w:cs="Arial"/>
          <w:sz w:val="28"/>
        </w:rPr>
      </w:pPr>
      <w:r>
        <w:rPr>
          <w:rFonts w:ascii="Arial" w:hAnsi="Arial" w:cs="Arial"/>
          <w:sz w:val="28"/>
        </w:rPr>
        <w:t>2.交通条件</w:t>
      </w:r>
    </w:p>
    <w:p w14:paraId="49512102">
      <w:pPr>
        <w:spacing w:line="360" w:lineRule="auto"/>
        <w:ind w:firstLine="560" w:firstLineChars="200"/>
        <w:rPr>
          <w:rFonts w:ascii="Arial" w:hAnsi="Arial" w:cs="Arial"/>
          <w:sz w:val="28"/>
        </w:rPr>
      </w:pPr>
      <w:r>
        <w:rPr>
          <w:rFonts w:ascii="Arial" w:hAnsi="Arial" w:cs="Arial"/>
          <w:sz w:val="28"/>
        </w:rPr>
        <w:t>咨询对象</w:t>
      </w:r>
      <w:r>
        <w:rPr>
          <w:rFonts w:hint="eastAsia" w:ascii="Arial" w:hAnsi="Arial" w:cs="Arial"/>
          <w:sz w:val="28"/>
        </w:rPr>
        <w:t>北侧紧临</w:t>
      </w:r>
      <w:r>
        <w:rPr>
          <w:rFonts w:ascii="Arial" w:hAnsi="Arial" w:cs="Arial"/>
          <w:sz w:val="28"/>
        </w:rPr>
        <w:t>城市次干道——</w:t>
      </w:r>
      <w:r>
        <w:rPr>
          <w:rFonts w:hint="eastAsia" w:ascii="Arial" w:hAnsi="Arial" w:cs="Arial"/>
          <w:sz w:val="28"/>
        </w:rPr>
        <w:t>水南路</w:t>
      </w:r>
      <w:r>
        <w:rPr>
          <w:rFonts w:ascii="Arial" w:hAnsi="Arial" w:cs="Arial"/>
          <w:sz w:val="28"/>
        </w:rPr>
        <w:t>，</w:t>
      </w:r>
      <w:r>
        <w:rPr>
          <w:rFonts w:hint="eastAsia" w:ascii="Arial" w:hAnsi="Arial" w:cs="Arial"/>
          <w:sz w:val="28"/>
        </w:rPr>
        <w:t>距京新高速约1.5公里，</w:t>
      </w:r>
      <w:r>
        <w:rPr>
          <w:rFonts w:ascii="Arial" w:hAnsi="Arial" w:cs="Arial"/>
          <w:sz w:val="28"/>
        </w:rPr>
        <w:t>周边有</w:t>
      </w:r>
      <w:r>
        <w:rPr>
          <w:rFonts w:hint="eastAsia" w:ascii="Arial" w:hAnsi="Arial" w:cs="Arial"/>
          <w:sz w:val="28"/>
        </w:rPr>
        <w:t>559</w:t>
      </w:r>
      <w:r>
        <w:rPr>
          <w:rFonts w:ascii="Arial" w:hAnsi="Arial" w:cs="Arial"/>
          <w:sz w:val="28"/>
        </w:rPr>
        <w:t>路、</w:t>
      </w:r>
      <w:r>
        <w:rPr>
          <w:rFonts w:hint="eastAsia" w:ascii="Arial" w:hAnsi="Arial" w:cs="Arial"/>
          <w:sz w:val="28"/>
        </w:rPr>
        <w:t>590</w:t>
      </w:r>
      <w:r>
        <w:rPr>
          <w:rFonts w:ascii="Arial" w:hAnsi="Arial" w:cs="Arial"/>
          <w:sz w:val="28"/>
        </w:rPr>
        <w:t>路、</w:t>
      </w:r>
      <w:r>
        <w:rPr>
          <w:rFonts w:hint="eastAsia" w:ascii="Arial" w:hAnsi="Arial" w:cs="Arial"/>
          <w:sz w:val="28"/>
        </w:rPr>
        <w:t>昌13</w:t>
      </w:r>
      <w:r>
        <w:rPr>
          <w:rFonts w:ascii="Arial" w:hAnsi="Arial" w:cs="Arial"/>
          <w:sz w:val="28"/>
        </w:rPr>
        <w:t>路</w:t>
      </w:r>
      <w:r>
        <w:rPr>
          <w:rFonts w:hint="eastAsia" w:ascii="Arial" w:hAnsi="Arial" w:cs="Arial"/>
          <w:sz w:val="28"/>
        </w:rPr>
        <w:t>、昌3路</w:t>
      </w:r>
      <w:r>
        <w:rPr>
          <w:rFonts w:ascii="Arial" w:hAnsi="Arial" w:cs="Arial"/>
          <w:sz w:val="28"/>
        </w:rPr>
        <w:t>等公交线路，</w:t>
      </w:r>
      <w:r>
        <w:rPr>
          <w:rFonts w:hint="eastAsia" w:ascii="Arial" w:hAnsi="Arial" w:cs="Arial"/>
          <w:sz w:val="28"/>
        </w:rPr>
        <w:t>2公里范围内无轨道交通</w:t>
      </w:r>
      <w:r>
        <w:rPr>
          <w:rFonts w:ascii="Arial" w:hAnsi="Arial" w:cs="Arial"/>
          <w:sz w:val="28"/>
        </w:rPr>
        <w:t>，综合评价交通便捷度</w:t>
      </w:r>
      <w:r>
        <w:rPr>
          <w:rFonts w:hint="eastAsia" w:ascii="Arial" w:hAnsi="Arial" w:cs="Arial"/>
          <w:sz w:val="28"/>
        </w:rPr>
        <w:t>较差</w:t>
      </w:r>
      <w:r>
        <w:rPr>
          <w:rFonts w:ascii="Arial" w:hAnsi="Arial" w:cs="Arial"/>
          <w:sz w:val="28"/>
        </w:rPr>
        <w:t>。</w:t>
      </w:r>
    </w:p>
    <w:p w14:paraId="072D937F">
      <w:pPr>
        <w:spacing w:line="360" w:lineRule="auto"/>
        <w:ind w:firstLine="560" w:firstLineChars="200"/>
        <w:rPr>
          <w:rFonts w:ascii="Arial" w:hAnsi="Arial" w:cs="Arial"/>
          <w:sz w:val="28"/>
        </w:rPr>
      </w:pPr>
      <w:r>
        <w:rPr>
          <w:rFonts w:ascii="Arial" w:hAnsi="Arial" w:cs="Arial"/>
          <w:sz w:val="28"/>
        </w:rPr>
        <w:t>3.环境条件</w:t>
      </w:r>
    </w:p>
    <w:p w14:paraId="22C6EA61">
      <w:pPr>
        <w:spacing w:line="360" w:lineRule="auto"/>
        <w:ind w:firstLine="560" w:firstLineChars="200"/>
        <w:jc w:val="both"/>
        <w:rPr>
          <w:rFonts w:ascii="Arial" w:hAnsi="Arial" w:cs="Arial"/>
          <w:sz w:val="28"/>
        </w:rPr>
      </w:pPr>
      <w:r>
        <w:rPr>
          <w:rFonts w:ascii="Arial" w:hAnsi="Arial" w:cs="Arial"/>
          <w:sz w:val="28"/>
        </w:rPr>
        <w:t>咨询对象</w:t>
      </w:r>
      <w:r>
        <w:rPr>
          <w:rFonts w:hint="eastAsia" w:ascii="Arial" w:hAnsi="Arial" w:cs="Arial"/>
          <w:sz w:val="28"/>
        </w:rPr>
        <w:t>周边有京密引水渠等</w:t>
      </w:r>
      <w:r>
        <w:rPr>
          <w:rFonts w:ascii="Arial" w:hAnsi="Arial" w:cs="Arial"/>
          <w:sz w:val="28"/>
        </w:rPr>
        <w:t>自然环境；</w:t>
      </w:r>
      <w:r>
        <w:rPr>
          <w:rFonts w:hint="eastAsia" w:ascii="Arial" w:hAnsi="Arial" w:cs="Arial"/>
          <w:sz w:val="28"/>
        </w:rPr>
        <w:t>有中国石化石油化工科学研究院、中国标准化研究院、北京汇佳职业学院等人文场所。</w:t>
      </w:r>
      <w:r>
        <w:rPr>
          <w:rFonts w:ascii="Arial" w:hAnsi="Arial" w:cs="Arial"/>
          <w:sz w:val="28"/>
        </w:rPr>
        <w:t>综合评价环境状况一般。</w:t>
      </w:r>
    </w:p>
    <w:p w14:paraId="780ADB19">
      <w:pPr>
        <w:spacing w:line="360" w:lineRule="auto"/>
        <w:ind w:firstLine="560" w:firstLineChars="200"/>
        <w:jc w:val="both"/>
        <w:rPr>
          <w:rFonts w:ascii="Arial" w:hAnsi="Arial" w:cs="Arial"/>
          <w:i/>
          <w:sz w:val="28"/>
        </w:rPr>
      </w:pPr>
      <w:r>
        <w:rPr>
          <w:rFonts w:ascii="Arial" w:hAnsi="Arial" w:cs="Arial"/>
          <w:sz w:val="28"/>
        </w:rPr>
        <w:t>4.基础设施条件</w:t>
      </w:r>
    </w:p>
    <w:p w14:paraId="42ED3407">
      <w:pPr>
        <w:spacing w:line="360" w:lineRule="auto"/>
        <w:ind w:firstLine="560" w:firstLineChars="200"/>
        <w:jc w:val="both"/>
        <w:rPr>
          <w:rFonts w:ascii="Arial" w:hAnsi="Arial" w:cs="Arial"/>
          <w:sz w:val="28"/>
        </w:rPr>
      </w:pPr>
      <w:r>
        <w:rPr>
          <w:rFonts w:hint="eastAsia" w:ascii="Arial" w:hAnsi="Arial" w:cs="Arial"/>
          <w:sz w:val="28"/>
        </w:rPr>
        <w:t>昌平</w:t>
      </w:r>
      <w:r>
        <w:rPr>
          <w:rFonts w:ascii="Arial" w:hAnsi="Arial" w:cs="Arial"/>
          <w:sz w:val="28"/>
        </w:rPr>
        <w:t>区目前已拥有完善的基础设施配套保障，区内大部分区域基础设施配套目前可达到“七通”（即通路、通电、通讯、通上水、通下水、通燃气、通热）条件。</w:t>
      </w:r>
    </w:p>
    <w:p w14:paraId="7EFED6DD">
      <w:pPr>
        <w:spacing w:line="360" w:lineRule="auto"/>
        <w:ind w:firstLine="560" w:firstLineChars="200"/>
        <w:jc w:val="both"/>
        <w:rPr>
          <w:rFonts w:ascii="Arial" w:hAnsi="Arial" w:cs="Arial"/>
          <w:sz w:val="28"/>
        </w:rPr>
      </w:pPr>
      <w:r>
        <w:rPr>
          <w:rFonts w:ascii="Arial" w:hAnsi="Arial" w:cs="Arial"/>
          <w:sz w:val="28"/>
        </w:rPr>
        <w:t>5.居住社区成熟度</w:t>
      </w:r>
    </w:p>
    <w:p w14:paraId="6E0CE206">
      <w:pPr>
        <w:spacing w:line="360" w:lineRule="auto"/>
        <w:ind w:firstLine="560" w:firstLineChars="200"/>
        <w:jc w:val="both"/>
        <w:rPr>
          <w:rFonts w:ascii="Arial" w:hAnsi="Arial" w:cs="Arial"/>
          <w:sz w:val="28"/>
        </w:rPr>
      </w:pPr>
      <w:r>
        <w:rPr>
          <w:rFonts w:ascii="Arial" w:hAnsi="Arial" w:cs="Arial"/>
          <w:sz w:val="28"/>
        </w:rPr>
        <w:t>咨询对象周边有</w:t>
      </w:r>
      <w:r>
        <w:rPr>
          <w:rFonts w:hint="eastAsia" w:ascii="Arial" w:hAnsi="Arial" w:cs="Arial"/>
          <w:sz w:val="28"/>
        </w:rPr>
        <w:t>华庭公寓</w:t>
      </w:r>
      <w:r>
        <w:rPr>
          <w:rFonts w:ascii="Arial" w:hAnsi="Arial" w:cs="Arial"/>
          <w:sz w:val="28"/>
        </w:rPr>
        <w:t>、</w:t>
      </w:r>
      <w:r>
        <w:rPr>
          <w:rFonts w:hint="eastAsia" w:ascii="Arial" w:hAnsi="Arial" w:cs="Arial"/>
          <w:sz w:val="28"/>
        </w:rPr>
        <w:t>水屯家园、水南佳苑、龙山跃、百泉花园</w:t>
      </w:r>
      <w:r>
        <w:rPr>
          <w:rFonts w:ascii="Arial" w:hAnsi="Arial" w:cs="Arial"/>
          <w:sz w:val="28"/>
        </w:rPr>
        <w:t>等居住小区，</w:t>
      </w:r>
      <w:r>
        <w:rPr>
          <w:rFonts w:hint="eastAsia" w:ascii="Arial" w:hAnsi="Arial" w:cs="Arial"/>
          <w:sz w:val="28"/>
        </w:rPr>
        <w:t>规模较小，分布</w:t>
      </w:r>
      <w:r>
        <w:rPr>
          <w:rFonts w:ascii="Arial" w:hAnsi="Arial" w:cs="Arial"/>
          <w:sz w:val="28"/>
        </w:rPr>
        <w:t>较为分散，居住社区成熟度</w:t>
      </w:r>
      <w:r>
        <w:rPr>
          <w:rFonts w:hint="eastAsia" w:ascii="Arial" w:hAnsi="Arial" w:cs="Arial"/>
          <w:sz w:val="28"/>
        </w:rPr>
        <w:t>一般</w:t>
      </w:r>
      <w:r>
        <w:rPr>
          <w:rFonts w:ascii="Arial" w:hAnsi="Arial" w:cs="Arial"/>
          <w:sz w:val="28"/>
        </w:rPr>
        <w:t>。</w:t>
      </w:r>
    </w:p>
    <w:p w14:paraId="1721BC83">
      <w:pPr>
        <w:spacing w:line="360" w:lineRule="auto"/>
        <w:ind w:firstLine="560" w:firstLineChars="200"/>
        <w:jc w:val="both"/>
        <w:rPr>
          <w:rFonts w:ascii="Arial" w:hAnsi="Arial" w:cs="Arial"/>
          <w:sz w:val="28"/>
        </w:rPr>
      </w:pPr>
      <w:r>
        <w:rPr>
          <w:rFonts w:ascii="Arial" w:hAnsi="Arial" w:cs="Arial"/>
          <w:sz w:val="28"/>
        </w:rPr>
        <w:t>6.</w:t>
      </w:r>
      <w:r>
        <w:rPr>
          <w:rFonts w:hint="eastAsia" w:ascii="Arial" w:hAnsi="Arial" w:cs="Arial"/>
          <w:sz w:val="28"/>
        </w:rPr>
        <w:t>商业繁华度</w:t>
      </w:r>
    </w:p>
    <w:p w14:paraId="152C12BD">
      <w:pPr>
        <w:spacing w:line="360" w:lineRule="auto"/>
        <w:ind w:firstLine="560" w:firstLineChars="200"/>
        <w:jc w:val="both"/>
        <w:rPr>
          <w:rFonts w:ascii="Arial" w:hAnsi="Arial" w:cs="Arial"/>
          <w:sz w:val="28"/>
        </w:rPr>
      </w:pPr>
      <w:r>
        <w:rPr>
          <w:rFonts w:ascii="Arial" w:hAnsi="Arial" w:cs="Arial"/>
          <w:sz w:val="28"/>
        </w:rPr>
        <w:t>咨询对象周边有</w:t>
      </w:r>
      <w:r>
        <w:rPr>
          <w:rFonts w:hint="eastAsia" w:ascii="Arial" w:hAnsi="Arial" w:cs="Arial"/>
          <w:sz w:val="28"/>
        </w:rPr>
        <w:t>零星住宅配套商业，商业繁华度一般。</w:t>
      </w:r>
    </w:p>
    <w:p w14:paraId="5F4DBA64">
      <w:pPr>
        <w:spacing w:line="360" w:lineRule="auto"/>
        <w:ind w:firstLine="560" w:firstLineChars="200"/>
        <w:jc w:val="both"/>
        <w:rPr>
          <w:rFonts w:ascii="Arial" w:hAnsi="Arial" w:cs="Arial"/>
          <w:sz w:val="28"/>
        </w:rPr>
      </w:pPr>
      <w:r>
        <w:rPr>
          <w:rFonts w:hint="eastAsia" w:ascii="Arial" w:hAnsi="Arial" w:cs="Arial"/>
          <w:sz w:val="28"/>
        </w:rPr>
        <w:t>7.公共配套设施齐备度</w:t>
      </w:r>
    </w:p>
    <w:p w14:paraId="1A6B245B">
      <w:pPr>
        <w:spacing w:line="360" w:lineRule="auto"/>
        <w:ind w:firstLine="560" w:firstLineChars="200"/>
        <w:jc w:val="both"/>
        <w:rPr>
          <w:rFonts w:ascii="Arial" w:hAnsi="Arial" w:cs="Arial"/>
          <w:sz w:val="28"/>
        </w:rPr>
      </w:pPr>
      <w:r>
        <w:rPr>
          <w:rFonts w:ascii="Arial" w:hAnsi="Arial" w:cs="Arial"/>
          <w:sz w:val="28"/>
        </w:rPr>
        <w:t>咨询对象所在区域周边2公里范围内有</w:t>
      </w:r>
      <w:r>
        <w:rPr>
          <w:rFonts w:hint="eastAsia" w:ascii="Arial" w:hAnsi="Arial" w:cs="Arial"/>
          <w:sz w:val="28"/>
        </w:rPr>
        <w:t>汇蕾学校、北京市昌平区马池口中心百泉庄小学、马池口小学、北京博仁祥医院、昌平区城南社区卫生服务中心水屯社区卫生服务站、北京农商银行（水南路分理处）、中国邮政储蓄银行（水屯营业所）、北京银行（水南路支行）</w:t>
      </w:r>
      <w:r>
        <w:rPr>
          <w:rFonts w:ascii="Arial" w:hAnsi="Arial" w:cs="Arial"/>
          <w:sz w:val="28"/>
        </w:rPr>
        <w:t>等，各类配套设施齐备程度</w:t>
      </w:r>
      <w:r>
        <w:rPr>
          <w:rFonts w:hint="eastAsia" w:ascii="Arial" w:hAnsi="Arial" w:cs="Arial"/>
          <w:sz w:val="28"/>
        </w:rPr>
        <w:t>一般</w:t>
      </w:r>
      <w:r>
        <w:rPr>
          <w:rFonts w:ascii="Arial" w:hAnsi="Arial" w:cs="Arial"/>
          <w:sz w:val="28"/>
        </w:rPr>
        <w:t>，故公共配套设施状况一般。</w:t>
      </w:r>
    </w:p>
    <w:p w14:paraId="4ABFC02B">
      <w:pPr>
        <w:spacing w:line="360" w:lineRule="auto"/>
        <w:ind w:firstLine="560" w:firstLineChars="200"/>
        <w:jc w:val="both"/>
        <w:rPr>
          <w:rFonts w:ascii="Arial" w:hAnsi="Arial" w:cs="Arial"/>
          <w:sz w:val="28"/>
        </w:rPr>
      </w:pPr>
      <w:r>
        <w:rPr>
          <w:rFonts w:ascii="Arial" w:hAnsi="Arial" w:cs="Arial"/>
          <w:sz w:val="28"/>
        </w:rPr>
        <w:t>综上所述，咨询对象所处区域地理位置条件</w:t>
      </w:r>
      <w:r>
        <w:rPr>
          <w:rFonts w:hint="eastAsia" w:ascii="Arial" w:hAnsi="Arial" w:cs="Arial"/>
          <w:sz w:val="28"/>
        </w:rPr>
        <w:t>一般</w:t>
      </w:r>
      <w:r>
        <w:rPr>
          <w:rFonts w:ascii="Arial" w:hAnsi="Arial" w:cs="Arial"/>
          <w:sz w:val="28"/>
        </w:rPr>
        <w:t>、交通条件</w:t>
      </w:r>
      <w:r>
        <w:rPr>
          <w:rFonts w:hint="eastAsia" w:ascii="Arial" w:hAnsi="Arial" w:cs="Arial"/>
          <w:sz w:val="28"/>
        </w:rPr>
        <w:t>较差</w:t>
      </w:r>
      <w:r>
        <w:rPr>
          <w:rFonts w:ascii="Arial" w:hAnsi="Arial" w:cs="Arial"/>
          <w:sz w:val="28"/>
        </w:rPr>
        <w:t>，基础设施水平</w:t>
      </w:r>
      <w:r>
        <w:rPr>
          <w:rFonts w:hint="eastAsia" w:ascii="Arial" w:hAnsi="Arial" w:cs="Arial"/>
          <w:sz w:val="28"/>
        </w:rPr>
        <w:t>完善</w:t>
      </w:r>
      <w:r>
        <w:rPr>
          <w:rFonts w:ascii="Arial" w:hAnsi="Arial" w:cs="Arial"/>
          <w:sz w:val="28"/>
        </w:rPr>
        <w:t>，环境条件一般，</w:t>
      </w:r>
      <w:r>
        <w:rPr>
          <w:rFonts w:hint="eastAsia" w:ascii="Arial" w:hAnsi="Arial" w:cs="Arial"/>
          <w:sz w:val="28"/>
        </w:rPr>
        <w:t>居住社区成熟度一般、商业</w:t>
      </w:r>
      <w:r>
        <w:rPr>
          <w:rFonts w:ascii="Arial" w:hAnsi="Arial" w:cs="Arial"/>
          <w:sz w:val="28"/>
        </w:rPr>
        <w:t>繁华度情况一般</w:t>
      </w:r>
      <w:r>
        <w:rPr>
          <w:rFonts w:hint="eastAsia" w:ascii="Arial" w:hAnsi="Arial" w:cs="Arial"/>
          <w:sz w:val="28"/>
        </w:rPr>
        <w:t>、公共配套设施齐备度一般</w:t>
      </w:r>
      <w:r>
        <w:rPr>
          <w:rFonts w:ascii="Arial" w:hAnsi="Arial" w:cs="Arial"/>
          <w:sz w:val="28"/>
        </w:rPr>
        <w:t>。总体评价影响咨询对象的区域因素一般。</w:t>
      </w:r>
    </w:p>
    <w:p w14:paraId="58EF035E">
      <w:pPr>
        <w:spacing w:line="360" w:lineRule="auto"/>
        <w:jc w:val="both"/>
        <w:rPr>
          <w:rFonts w:ascii="Arial" w:hAnsi="Arial" w:cs="Arial"/>
          <w:sz w:val="28"/>
        </w:rPr>
      </w:pPr>
      <w:r>
        <w:rPr>
          <w:rFonts w:ascii="Arial" w:hAnsi="Arial" w:cs="Arial"/>
          <w:sz w:val="28"/>
        </w:rPr>
        <w:t>（三）个别因素</w:t>
      </w:r>
    </w:p>
    <w:p w14:paraId="120DFE41">
      <w:pPr>
        <w:spacing w:line="360" w:lineRule="auto"/>
        <w:ind w:firstLine="560" w:firstLineChars="200"/>
        <w:jc w:val="both"/>
        <w:rPr>
          <w:rFonts w:ascii="Arial" w:hAnsi="Arial" w:cs="Arial"/>
          <w:sz w:val="28"/>
        </w:rPr>
      </w:pPr>
      <w:r>
        <w:rPr>
          <w:rFonts w:ascii="Arial" w:hAnsi="Arial" w:cs="Arial"/>
          <w:sz w:val="28"/>
        </w:rPr>
        <w:t>1.咨询对象位置：咨询对象位于北京市</w:t>
      </w:r>
      <w:r>
        <w:rPr>
          <w:rFonts w:hint="eastAsia" w:ascii="Arial" w:hAnsi="Arial" w:cs="Arial"/>
          <w:sz w:val="28"/>
        </w:rPr>
        <w:t>昌平区马池口镇百泉庄村</w:t>
      </w:r>
      <w:r>
        <w:rPr>
          <w:rFonts w:ascii="Arial" w:hAnsi="Arial" w:cs="Arial"/>
          <w:sz w:val="28"/>
        </w:rPr>
        <w:t>，</w:t>
      </w:r>
      <w:r>
        <w:rPr>
          <w:rFonts w:hint="eastAsia" w:ascii="Arial" w:hAnsi="Arial" w:cs="Arial"/>
          <w:sz w:val="28"/>
        </w:rPr>
        <w:t>拟</w:t>
      </w:r>
      <w:r>
        <w:rPr>
          <w:rFonts w:ascii="Arial" w:hAnsi="Arial" w:cs="Arial"/>
          <w:sz w:val="28"/>
        </w:rPr>
        <w:t>开发建设的集体土地租赁住房项目。</w:t>
      </w:r>
    </w:p>
    <w:p w14:paraId="10F42939">
      <w:pPr>
        <w:spacing w:line="360" w:lineRule="auto"/>
        <w:ind w:firstLine="560" w:firstLineChars="200"/>
        <w:jc w:val="both"/>
        <w:rPr>
          <w:rFonts w:ascii="Arial" w:hAnsi="Arial" w:cs="Arial"/>
          <w:sz w:val="28"/>
        </w:rPr>
      </w:pPr>
      <w:r>
        <w:rPr>
          <w:rFonts w:ascii="Arial" w:hAnsi="Arial" w:cs="Arial"/>
          <w:sz w:val="28"/>
        </w:rPr>
        <w:t>2.宗地规划用途、面积</w:t>
      </w:r>
    </w:p>
    <w:p w14:paraId="22600400">
      <w:pPr>
        <w:spacing w:line="360" w:lineRule="auto"/>
        <w:ind w:firstLine="560" w:firstLineChars="200"/>
        <w:jc w:val="both"/>
        <w:rPr>
          <w:rFonts w:ascii="Arial" w:hAnsi="Arial" w:cs="Arial"/>
          <w:sz w:val="28"/>
        </w:rPr>
      </w:pPr>
      <w:r>
        <w:rPr>
          <w:rFonts w:ascii="Arial" w:hAnsi="Arial" w:cs="Arial"/>
          <w:sz w:val="28"/>
        </w:rPr>
        <w:t>咨询对象规划土地用途为</w:t>
      </w:r>
      <w:r>
        <w:rPr>
          <w:rFonts w:hint="eastAsia" w:ascii="Arial" w:hAnsi="Arial" w:cs="Arial"/>
          <w:sz w:val="28"/>
        </w:rPr>
        <w:t>公寓</w:t>
      </w:r>
      <w:r>
        <w:rPr>
          <w:rFonts w:ascii="Arial" w:hAnsi="Arial" w:cs="Arial"/>
          <w:sz w:val="28"/>
        </w:rPr>
        <w:t>、商业、地下车库，为最佳最有效用途</w:t>
      </w:r>
      <w:r>
        <w:rPr>
          <w:rFonts w:hint="eastAsia" w:ascii="Arial" w:hAnsi="Arial" w:cs="Arial"/>
          <w:sz w:val="28"/>
        </w:rPr>
        <w:t>。</w:t>
      </w:r>
      <w:r>
        <w:rPr>
          <w:rFonts w:ascii="Arial" w:hAnsi="Arial" w:cs="Arial"/>
          <w:spacing w:val="-12"/>
          <w:sz w:val="28"/>
        </w:rPr>
        <w:t>咨询对象土地面积</w:t>
      </w:r>
      <w:r>
        <w:rPr>
          <w:rFonts w:ascii="Arial" w:hAnsi="Arial" w:cs="Arial"/>
          <w:bCs/>
          <w:kern w:val="2"/>
          <w:sz w:val="28"/>
        </w:rPr>
        <w:t>为</w:t>
      </w:r>
      <w:r>
        <w:rPr>
          <w:rFonts w:hint="eastAsia" w:ascii="Arial" w:hAnsi="Arial" w:cs="Arial"/>
          <w:sz w:val="28"/>
        </w:rPr>
        <w:t>18132</w:t>
      </w:r>
      <w:r>
        <w:rPr>
          <w:rFonts w:ascii="Arial" w:hAnsi="Arial" w:cs="Arial"/>
          <w:bCs/>
          <w:kern w:val="2"/>
          <w:sz w:val="28"/>
        </w:rPr>
        <w:t>平方</w:t>
      </w:r>
      <w:r>
        <w:rPr>
          <w:rFonts w:ascii="Arial" w:hAnsi="Arial" w:cs="Arial"/>
          <w:sz w:val="28"/>
        </w:rPr>
        <w:t>米。</w:t>
      </w:r>
    </w:p>
    <w:p w14:paraId="78A9D1E0">
      <w:pPr>
        <w:spacing w:line="360" w:lineRule="auto"/>
        <w:ind w:firstLine="560" w:firstLineChars="200"/>
        <w:jc w:val="both"/>
        <w:rPr>
          <w:rFonts w:ascii="Arial" w:hAnsi="Arial" w:cs="Arial"/>
          <w:sz w:val="28"/>
        </w:rPr>
      </w:pPr>
      <w:r>
        <w:rPr>
          <w:rFonts w:ascii="Arial" w:hAnsi="Arial" w:cs="Arial"/>
          <w:sz w:val="28"/>
        </w:rPr>
        <w:t>3.宗地容积率及可利用情况</w:t>
      </w:r>
    </w:p>
    <w:p w14:paraId="55B38902">
      <w:pPr>
        <w:spacing w:line="360" w:lineRule="auto"/>
        <w:ind w:firstLine="560" w:firstLineChars="200"/>
        <w:jc w:val="both"/>
        <w:rPr>
          <w:rFonts w:ascii="Arial" w:hAnsi="Arial" w:cs="Arial"/>
          <w:spacing w:val="-12"/>
          <w:sz w:val="28"/>
        </w:rPr>
      </w:pPr>
      <w:r>
        <w:rPr>
          <w:rFonts w:ascii="Arial" w:hAnsi="Arial" w:cs="Arial"/>
          <w:sz w:val="28"/>
        </w:rPr>
        <w:t>咨询对象规划建筑面积为</w:t>
      </w:r>
      <w:r>
        <w:rPr>
          <w:rFonts w:hint="eastAsia" w:ascii="Arial" w:hAnsi="Arial" w:cs="Arial"/>
          <w:sz w:val="28"/>
        </w:rPr>
        <w:t>43300</w:t>
      </w:r>
      <w:r>
        <w:rPr>
          <w:rFonts w:ascii="Arial" w:hAnsi="Arial" w:cs="Arial"/>
          <w:sz w:val="28"/>
        </w:rPr>
        <w:t>平方米，容积率为1.8。咨询对象宗地形状较规则、地形平坦、地质良好。综合评价咨询对象土地利用程度较好。</w:t>
      </w:r>
    </w:p>
    <w:p w14:paraId="185AC503">
      <w:pPr>
        <w:spacing w:line="360" w:lineRule="auto"/>
        <w:ind w:firstLine="560" w:firstLineChars="200"/>
        <w:jc w:val="both"/>
        <w:rPr>
          <w:rFonts w:ascii="Arial" w:hAnsi="Arial" w:cs="Arial"/>
          <w:sz w:val="28"/>
        </w:rPr>
      </w:pPr>
      <w:r>
        <w:rPr>
          <w:rFonts w:ascii="Arial" w:hAnsi="Arial" w:cs="Arial"/>
          <w:sz w:val="28"/>
        </w:rPr>
        <w:t xml:space="preserve">4.宗地基础设施 </w:t>
      </w:r>
    </w:p>
    <w:p w14:paraId="120C30F8">
      <w:pPr>
        <w:spacing w:line="360" w:lineRule="auto"/>
        <w:ind w:firstLine="528" w:firstLineChars="200"/>
        <w:jc w:val="both"/>
        <w:rPr>
          <w:rFonts w:ascii="Arial" w:hAnsi="Arial" w:cs="Arial"/>
          <w:sz w:val="28"/>
        </w:rPr>
      </w:pPr>
      <w:r>
        <w:rPr>
          <w:rFonts w:ascii="Arial" w:hAnsi="Arial" w:cs="Arial"/>
          <w:spacing w:val="-8"/>
          <w:sz w:val="28"/>
        </w:rPr>
        <w:t>根据委托方提供的资料</w:t>
      </w:r>
      <w:r>
        <w:rPr>
          <w:rFonts w:hint="eastAsia" w:ascii="Arial" w:hAnsi="Arial" w:cs="Arial"/>
          <w:spacing w:val="-8"/>
          <w:sz w:val="28"/>
        </w:rPr>
        <w:t>及介绍</w:t>
      </w:r>
      <w:r>
        <w:rPr>
          <w:rFonts w:ascii="Arial" w:hAnsi="Arial" w:cs="Arial"/>
          <w:spacing w:val="-8"/>
          <w:sz w:val="28"/>
        </w:rPr>
        <w:t>，咨询对象</w:t>
      </w:r>
      <w:r>
        <w:rPr>
          <w:rFonts w:ascii="Arial" w:hAnsi="Arial" w:cs="Arial"/>
          <w:sz w:val="28"/>
        </w:rPr>
        <w:t>开发完成后拟达到的市政基础设施条件为</w:t>
      </w:r>
      <w:r>
        <w:rPr>
          <w:rFonts w:ascii="Arial" w:hAnsi="Arial" w:cs="Arial"/>
          <w:spacing w:val="-8"/>
          <w:sz w:val="28"/>
        </w:rPr>
        <w:t>七通”，现状市政基础设施条件为红线外“三通”</w:t>
      </w:r>
      <w:r>
        <w:rPr>
          <w:rFonts w:ascii="Arial" w:hAnsi="Arial" w:cs="Arial"/>
          <w:sz w:val="28"/>
        </w:rPr>
        <w:t>。</w:t>
      </w:r>
    </w:p>
    <w:p w14:paraId="386C3834">
      <w:pPr>
        <w:spacing w:line="360" w:lineRule="auto"/>
        <w:ind w:left="568"/>
        <w:jc w:val="both"/>
        <w:rPr>
          <w:rFonts w:ascii="Arial" w:hAnsi="Arial" w:cs="Arial"/>
          <w:sz w:val="28"/>
          <w:szCs w:val="18"/>
        </w:rPr>
      </w:pPr>
    </w:p>
    <w:p w14:paraId="33865522">
      <w:pPr>
        <w:spacing w:line="360" w:lineRule="auto"/>
        <w:ind w:firstLine="565" w:firstLineChars="202"/>
        <w:jc w:val="both"/>
        <w:rPr>
          <w:rFonts w:ascii="Arial" w:hAnsi="Arial" w:cs="Arial"/>
          <w:sz w:val="28"/>
          <w:szCs w:val="18"/>
        </w:rPr>
        <w:sectPr>
          <w:headerReference r:id="rId24" w:type="first"/>
          <w:headerReference r:id="rId23" w:type="default"/>
          <w:footerReference r:id="rId25" w:type="default"/>
          <w:pgSz w:w="11907" w:h="16840"/>
          <w:pgMar w:top="1843" w:right="1304" w:bottom="1134" w:left="1304" w:header="1134" w:footer="907" w:gutter="0"/>
          <w:cols w:space="720" w:num="1"/>
          <w:titlePg/>
          <w:docGrid w:linePitch="326" w:charSpace="0"/>
        </w:sectPr>
      </w:pPr>
    </w:p>
    <w:p w14:paraId="770755BF">
      <w:pPr>
        <w:spacing w:line="360" w:lineRule="auto"/>
        <w:jc w:val="center"/>
        <w:outlineLvl w:val="0"/>
        <w:rPr>
          <w:rFonts w:ascii="Arial" w:hAnsi="Arial" w:cs="Arial"/>
          <w:b/>
          <w:sz w:val="32"/>
        </w:rPr>
      </w:pPr>
      <w:bookmarkStart w:id="117" w:name="_Toc416783534"/>
      <w:bookmarkStart w:id="118" w:name="_Toc29073"/>
      <w:bookmarkStart w:id="119" w:name="_Toc469066317"/>
      <w:bookmarkStart w:id="120" w:name="_Toc28988"/>
      <w:bookmarkStart w:id="121" w:name="_Toc418750897"/>
      <w:bookmarkStart w:id="122" w:name="_Toc425250319"/>
      <w:bookmarkStart w:id="123" w:name="_Toc14792"/>
      <w:r>
        <w:rPr>
          <w:rFonts w:ascii="Arial" w:hAnsi="Arial" w:cs="Arial"/>
          <w:b/>
          <w:sz w:val="32"/>
        </w:rPr>
        <w:t>第三部分  土地咨询结果及其使用</w:t>
      </w:r>
      <w:bookmarkEnd w:id="117"/>
      <w:bookmarkEnd w:id="118"/>
      <w:bookmarkEnd w:id="119"/>
      <w:bookmarkEnd w:id="120"/>
      <w:bookmarkEnd w:id="121"/>
      <w:bookmarkEnd w:id="122"/>
      <w:bookmarkEnd w:id="123"/>
    </w:p>
    <w:p w14:paraId="67A6BA7F">
      <w:pPr>
        <w:spacing w:line="360" w:lineRule="auto"/>
        <w:jc w:val="both"/>
        <w:rPr>
          <w:rFonts w:ascii="Arial" w:hAnsi="Arial" w:cs="Arial"/>
          <w:b/>
          <w:sz w:val="28"/>
        </w:rPr>
      </w:pPr>
    </w:p>
    <w:p w14:paraId="0724F960">
      <w:pPr>
        <w:spacing w:line="360" w:lineRule="auto"/>
        <w:outlineLvl w:val="1"/>
        <w:rPr>
          <w:rFonts w:ascii="Arial" w:hAnsi="Arial" w:cs="Arial"/>
          <w:b/>
          <w:sz w:val="28"/>
        </w:rPr>
      </w:pPr>
      <w:bookmarkStart w:id="124" w:name="_Toc19079"/>
      <w:bookmarkStart w:id="125" w:name="_Toc23060"/>
      <w:bookmarkStart w:id="126" w:name="_Toc469066318"/>
      <w:bookmarkStart w:id="127" w:name="_Toc418750898"/>
      <w:bookmarkStart w:id="128" w:name="_Toc10622"/>
      <w:bookmarkStart w:id="129" w:name="_Toc425250320"/>
      <w:bookmarkStart w:id="130" w:name="_Toc416783535"/>
      <w:r>
        <w:rPr>
          <w:rFonts w:ascii="Arial" w:hAnsi="Arial" w:cs="Arial"/>
          <w:b/>
          <w:sz w:val="28"/>
        </w:rPr>
        <w:t>一、估价依据</w:t>
      </w:r>
      <w:bookmarkEnd w:id="124"/>
      <w:bookmarkEnd w:id="125"/>
      <w:bookmarkEnd w:id="126"/>
      <w:bookmarkEnd w:id="127"/>
      <w:bookmarkEnd w:id="128"/>
      <w:bookmarkEnd w:id="129"/>
      <w:bookmarkEnd w:id="130"/>
    </w:p>
    <w:p w14:paraId="450A682D">
      <w:pPr>
        <w:spacing w:line="360" w:lineRule="auto"/>
        <w:jc w:val="both"/>
        <w:rPr>
          <w:rFonts w:ascii="Arial" w:hAnsi="Arial" w:cs="Arial"/>
          <w:sz w:val="28"/>
        </w:rPr>
      </w:pPr>
      <w:r>
        <w:rPr>
          <w:rFonts w:ascii="Arial" w:hAnsi="Arial" w:cs="Arial"/>
          <w:sz w:val="28"/>
        </w:rPr>
        <w:t>（一）有关的法律、法规、行政规章及咨询对象所在省市的有关法律法规和政策</w:t>
      </w:r>
    </w:p>
    <w:p w14:paraId="4E1E30ED">
      <w:pPr>
        <w:spacing w:line="360" w:lineRule="auto"/>
        <w:ind w:firstLine="560" w:firstLineChars="200"/>
        <w:jc w:val="both"/>
        <w:rPr>
          <w:rFonts w:ascii="Arial" w:hAnsi="Arial" w:cs="Arial"/>
          <w:sz w:val="28"/>
        </w:rPr>
      </w:pPr>
      <w:r>
        <w:rPr>
          <w:rFonts w:ascii="Arial" w:hAnsi="Arial" w:cs="Arial"/>
          <w:sz w:val="28"/>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3A7D0799">
      <w:pPr>
        <w:spacing w:line="360" w:lineRule="auto"/>
        <w:ind w:firstLine="560" w:firstLineChars="200"/>
        <w:jc w:val="both"/>
        <w:rPr>
          <w:rFonts w:ascii="Arial" w:hAnsi="Arial" w:cs="Arial"/>
          <w:sz w:val="28"/>
        </w:rPr>
      </w:pPr>
      <w:r>
        <w:rPr>
          <w:rFonts w:ascii="Arial" w:hAnsi="Arial" w:cs="Arial"/>
          <w:sz w:val="28"/>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51B5F203">
      <w:pPr>
        <w:spacing w:line="360" w:lineRule="auto"/>
        <w:ind w:firstLine="560" w:firstLineChars="200"/>
        <w:jc w:val="both"/>
        <w:rPr>
          <w:rFonts w:ascii="Arial" w:hAnsi="Arial" w:cs="Arial"/>
          <w:sz w:val="28"/>
        </w:rPr>
      </w:pPr>
      <w:r>
        <w:rPr>
          <w:rFonts w:ascii="Arial" w:hAnsi="Arial" w:cs="Arial"/>
          <w:sz w:val="28"/>
        </w:rPr>
        <w:t>3.《中华人民共和国城乡规划法》（2007 年 10 月 28 日第十届全国人民代表大会常务委员会第三十次会议通过，中华人民共和国主席令第74号，自公布之日起施行；根据 2015 年 4 月 24 日第十二届全国人民代表大会常务委员会第十四次会议通过第一次修正，中华人民共和国主席令第23号公布，自公布之日起施行；根据2019年4月23日第十三届全国人民代表大会常务委员会第十次会议通过第二次修正，自公布之日起施行）</w:t>
      </w:r>
    </w:p>
    <w:p w14:paraId="14DD2815">
      <w:pPr>
        <w:spacing w:line="360" w:lineRule="auto"/>
        <w:ind w:firstLine="560" w:firstLineChars="200"/>
        <w:jc w:val="both"/>
        <w:rPr>
          <w:rFonts w:ascii="Arial" w:hAnsi="Arial" w:cs="Arial"/>
          <w:sz w:val="28"/>
        </w:rPr>
      </w:pPr>
      <w:r>
        <w:rPr>
          <w:rFonts w:ascii="Arial" w:hAnsi="Arial" w:cs="Arial"/>
          <w:sz w:val="28"/>
        </w:rPr>
        <w:t>4.《中华人民共和国资产评估法》（2016年7月2日第十二届全国人民代表大会常务委员会第二十一次会议通过，2016年3月16日中华人民共和国主席令第46号公布，自2016年12月1日起施行）</w:t>
      </w:r>
    </w:p>
    <w:p w14:paraId="48E2C915">
      <w:pPr>
        <w:spacing w:line="360" w:lineRule="auto"/>
        <w:ind w:firstLine="560" w:firstLineChars="200"/>
        <w:jc w:val="both"/>
        <w:rPr>
          <w:rFonts w:ascii="Arial" w:hAnsi="Arial" w:cs="Arial"/>
          <w:sz w:val="28"/>
        </w:rPr>
      </w:pPr>
      <w:r>
        <w:rPr>
          <w:rFonts w:ascii="Arial" w:hAnsi="Arial" w:cs="Arial"/>
          <w:sz w:val="28"/>
        </w:rPr>
        <w:t>5.《中华人民共和国民法典》（2020年5月28日第十三届全国人大三次会议表决通过，自2021年1月1日起施行）</w:t>
      </w:r>
    </w:p>
    <w:p w14:paraId="4FAE8903">
      <w:pPr>
        <w:spacing w:line="360" w:lineRule="auto"/>
        <w:ind w:firstLine="560" w:firstLineChars="200"/>
        <w:jc w:val="both"/>
        <w:rPr>
          <w:rFonts w:ascii="Arial" w:hAnsi="Arial" w:cs="Arial"/>
          <w:sz w:val="28"/>
        </w:rPr>
      </w:pPr>
      <w:r>
        <w:rPr>
          <w:rFonts w:ascii="Arial" w:hAnsi="Arial" w:cs="Arial"/>
          <w:sz w:val="28"/>
        </w:rPr>
        <w:t>6.《中华人民共和国城镇国有土地使用权出让和转让暂行条例》（1990年5月19日中华人民共和国国务院令第55号发布，自发布之日起施行）</w:t>
      </w:r>
    </w:p>
    <w:p w14:paraId="2C3143A1">
      <w:pPr>
        <w:spacing w:line="360" w:lineRule="auto"/>
        <w:ind w:firstLine="560" w:firstLineChars="200"/>
        <w:jc w:val="both"/>
        <w:rPr>
          <w:rFonts w:ascii="Arial" w:hAnsi="Arial" w:cs="Arial"/>
          <w:sz w:val="28"/>
        </w:rPr>
      </w:pPr>
      <w:r>
        <w:rPr>
          <w:rFonts w:ascii="Arial" w:hAnsi="Arial" w:cs="Arial"/>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14:paraId="2F2C59E3">
      <w:pPr>
        <w:spacing w:line="360" w:lineRule="auto"/>
        <w:ind w:firstLine="560" w:firstLineChars="200"/>
        <w:jc w:val="both"/>
      </w:pPr>
      <w:r>
        <w:rPr>
          <w:rFonts w:hint="eastAsia" w:ascii="Arial" w:hAnsi="Arial" w:cs="Arial"/>
          <w:sz w:val="28"/>
        </w:rPr>
        <w:t>8</w:t>
      </w:r>
      <w:r>
        <w:rPr>
          <w:rFonts w:ascii="Arial" w:hAnsi="Arial" w:cs="Arial"/>
          <w:sz w:val="28"/>
        </w:rPr>
        <w:t>.《关于我市利用集体土地建设租赁住房相关政策的补充意见》</w:t>
      </w:r>
      <w:r>
        <w:rPr>
          <w:rFonts w:hint="eastAsia" w:ascii="Arial" w:hAnsi="Arial" w:cs="Arial"/>
          <w:sz w:val="28"/>
        </w:rPr>
        <w:t>[京规自发[2018]64号]</w:t>
      </w:r>
    </w:p>
    <w:p w14:paraId="573039A0">
      <w:pPr>
        <w:spacing w:line="360" w:lineRule="auto"/>
        <w:ind w:firstLine="560" w:firstLineChars="200"/>
        <w:jc w:val="both"/>
        <w:rPr>
          <w:rFonts w:ascii="Arial" w:hAnsi="Arial" w:cs="Arial"/>
          <w:sz w:val="28"/>
        </w:rPr>
      </w:pPr>
      <w:r>
        <w:rPr>
          <w:rFonts w:ascii="Arial" w:hAnsi="Arial" w:cs="Arial"/>
          <w:sz w:val="28"/>
        </w:rPr>
        <w:t>9.《关于进一步加强全市集体土地租赁住房规划建设管理的意见》[京建发〔2020〕365号]</w:t>
      </w:r>
    </w:p>
    <w:p w14:paraId="78BB1424">
      <w:pPr>
        <w:spacing w:line="360" w:lineRule="auto"/>
        <w:ind w:firstLine="560" w:firstLineChars="200"/>
        <w:jc w:val="both"/>
        <w:rPr>
          <w:rFonts w:ascii="Arial" w:hAnsi="Arial" w:cs="Arial"/>
          <w:sz w:val="28"/>
        </w:rPr>
      </w:pPr>
      <w:r>
        <w:rPr>
          <w:rFonts w:ascii="Arial" w:hAnsi="Arial" w:cs="Arial"/>
          <w:sz w:val="28"/>
        </w:rPr>
        <w:t>10.《北京市关于加快发展保障性租赁住房的实施方案》的通知[京政办发〔2022〕9号]</w:t>
      </w:r>
    </w:p>
    <w:p w14:paraId="743A04EF">
      <w:pPr>
        <w:spacing w:line="360" w:lineRule="auto"/>
        <w:jc w:val="both"/>
        <w:rPr>
          <w:rFonts w:ascii="Arial" w:hAnsi="Arial" w:cs="Arial"/>
          <w:sz w:val="28"/>
        </w:rPr>
      </w:pPr>
      <w:r>
        <w:rPr>
          <w:rFonts w:ascii="Arial" w:hAnsi="Arial" w:cs="Arial"/>
          <w:sz w:val="28"/>
        </w:rPr>
        <w:t>（二）采用的技术标准</w:t>
      </w:r>
    </w:p>
    <w:p w14:paraId="3BA1C4AC">
      <w:pPr>
        <w:spacing w:line="360" w:lineRule="auto"/>
        <w:ind w:firstLine="560" w:firstLineChars="200"/>
        <w:jc w:val="both"/>
        <w:rPr>
          <w:rFonts w:ascii="Arial" w:hAnsi="Arial" w:cs="Arial"/>
          <w:sz w:val="28"/>
        </w:rPr>
      </w:pPr>
      <w:r>
        <w:rPr>
          <w:rFonts w:ascii="Arial" w:hAnsi="Arial" w:cs="Arial"/>
          <w:sz w:val="28"/>
        </w:rPr>
        <w:t>1.《城镇土地估价规程》[GB/T 18508-2014]</w:t>
      </w:r>
    </w:p>
    <w:p w14:paraId="3946872C">
      <w:pPr>
        <w:spacing w:line="360" w:lineRule="auto"/>
        <w:ind w:firstLine="560" w:firstLineChars="200"/>
        <w:jc w:val="both"/>
        <w:rPr>
          <w:rFonts w:ascii="Arial" w:hAnsi="Arial" w:cs="Arial"/>
          <w:sz w:val="28"/>
        </w:rPr>
      </w:pPr>
      <w:r>
        <w:rPr>
          <w:rFonts w:ascii="Arial" w:hAnsi="Arial" w:cs="Arial"/>
          <w:sz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cs="Arial"/>
          <w:sz w:val="28"/>
        </w:rPr>
        <w:t>[GB/T 18507-2014]</w:t>
      </w:r>
      <w:r>
        <w:rPr>
          <w:rFonts w:ascii="Arial" w:hAnsi="Arial" w:cs="Arial"/>
          <w:sz w:val="28"/>
        </w:rPr>
        <w:fldChar w:fldCharType="end"/>
      </w:r>
    </w:p>
    <w:p w14:paraId="353D95DF">
      <w:pPr>
        <w:spacing w:line="360" w:lineRule="auto"/>
        <w:ind w:firstLine="560" w:firstLineChars="200"/>
        <w:jc w:val="both"/>
        <w:rPr>
          <w:rFonts w:ascii="Arial" w:hAnsi="Arial" w:cs="Arial"/>
          <w:sz w:val="28"/>
        </w:rPr>
      </w:pPr>
      <w:r>
        <w:rPr>
          <w:rFonts w:ascii="Arial" w:hAnsi="Arial" w:cs="Arial"/>
          <w:sz w:val="28"/>
        </w:rPr>
        <w:t>3.《土地利用现状分类》[ GB/T 21010-2017]</w:t>
      </w:r>
    </w:p>
    <w:p w14:paraId="77ADA56C">
      <w:pPr>
        <w:spacing w:line="360" w:lineRule="auto"/>
        <w:ind w:firstLine="560" w:firstLineChars="200"/>
        <w:jc w:val="both"/>
        <w:rPr>
          <w:rFonts w:ascii="Arial" w:hAnsi="Arial" w:cs="Arial"/>
          <w:sz w:val="28"/>
        </w:rPr>
      </w:pPr>
      <w:r>
        <w:rPr>
          <w:rFonts w:ascii="Arial" w:hAnsi="Arial" w:cs="Arial"/>
          <w:sz w:val="28"/>
        </w:rPr>
        <w:t>4.《城市用地分类与规划建设用地标准》[GB50137-2011]</w:t>
      </w:r>
    </w:p>
    <w:p w14:paraId="11F7CF1D">
      <w:pPr>
        <w:spacing w:line="360" w:lineRule="auto"/>
        <w:ind w:firstLine="560" w:firstLineChars="200"/>
        <w:jc w:val="both"/>
        <w:rPr>
          <w:rFonts w:ascii="Arial" w:hAnsi="Arial" w:cs="Arial"/>
          <w:sz w:val="28"/>
        </w:rPr>
      </w:pPr>
      <w:r>
        <w:rPr>
          <w:rFonts w:ascii="Arial" w:hAnsi="Arial" w:cs="Arial"/>
          <w:sz w:val="28"/>
        </w:rPr>
        <w:t>5</w:t>
      </w:r>
      <w:r>
        <w:rPr>
          <w:rFonts w:hint="eastAsia" w:ascii="Arial" w:hAnsi="Arial" w:cs="Arial"/>
          <w:sz w:val="28"/>
        </w:rPr>
        <w:t>.《农村集体土地价格评估技术指引》[中估协发（2020）16号]</w:t>
      </w:r>
    </w:p>
    <w:p w14:paraId="4C2D8C04">
      <w:pPr>
        <w:spacing w:line="360" w:lineRule="auto"/>
        <w:ind w:firstLine="560" w:firstLineChars="200"/>
        <w:jc w:val="both"/>
        <w:rPr>
          <w:rFonts w:ascii="Arial" w:hAnsi="Arial" w:cs="Arial"/>
          <w:sz w:val="28"/>
        </w:rPr>
      </w:pPr>
      <w:r>
        <w:rPr>
          <w:rFonts w:hint="eastAsia" w:ascii="Arial" w:hAnsi="Arial" w:cs="Arial"/>
          <w:sz w:val="28"/>
        </w:rPr>
        <w:t>6.《北京市国土空间调查、规划、用途管制用地分类指南（试行）》（北京市规划和自然资源委员会2022年4月发布）</w:t>
      </w:r>
    </w:p>
    <w:p w14:paraId="7DB9FD98">
      <w:pPr>
        <w:spacing w:line="360" w:lineRule="auto"/>
        <w:jc w:val="both"/>
        <w:rPr>
          <w:rFonts w:ascii="Arial" w:hAnsi="Arial" w:cs="Arial"/>
          <w:sz w:val="28"/>
        </w:rPr>
      </w:pPr>
      <w:r>
        <w:rPr>
          <w:rFonts w:ascii="Arial" w:hAnsi="Arial" w:cs="Arial"/>
          <w:sz w:val="28"/>
          <w:szCs w:val="18"/>
        </w:rPr>
        <w:t>（三）受托估价方掌握的有关资料和评估专业人员实地勘察、调查所获取的资料实地勘查</w:t>
      </w:r>
      <w:r>
        <w:rPr>
          <w:rFonts w:ascii="Arial" w:hAnsi="Arial" w:cs="Arial"/>
          <w:sz w:val="28"/>
        </w:rPr>
        <w:t>的有关资料</w:t>
      </w:r>
    </w:p>
    <w:p w14:paraId="2ED351BD">
      <w:pPr>
        <w:spacing w:line="360" w:lineRule="auto"/>
        <w:jc w:val="both"/>
        <w:rPr>
          <w:rFonts w:ascii="Arial" w:hAnsi="Arial" w:cs="Arial"/>
          <w:sz w:val="28"/>
        </w:rPr>
      </w:pPr>
    </w:p>
    <w:p w14:paraId="7B5328C1">
      <w:pPr>
        <w:spacing w:line="360" w:lineRule="auto"/>
        <w:outlineLvl w:val="1"/>
        <w:rPr>
          <w:rFonts w:ascii="Arial" w:hAnsi="Arial" w:cs="Arial"/>
          <w:b/>
          <w:sz w:val="28"/>
        </w:rPr>
      </w:pPr>
      <w:bookmarkStart w:id="131" w:name="_Toc16580"/>
      <w:bookmarkStart w:id="132" w:name="_Toc416783536"/>
      <w:bookmarkStart w:id="133" w:name="_Toc1"/>
      <w:bookmarkStart w:id="134" w:name="_Toc469066319"/>
      <w:bookmarkStart w:id="135" w:name="_Toc20255"/>
      <w:bookmarkStart w:id="136" w:name="_Toc418750899"/>
      <w:bookmarkStart w:id="137" w:name="_Toc425250321"/>
      <w:r>
        <w:rPr>
          <w:rFonts w:ascii="Arial" w:hAnsi="Arial" w:cs="Arial"/>
          <w:b/>
          <w:sz w:val="28"/>
        </w:rPr>
        <w:t>二、土地估价</w:t>
      </w:r>
      <w:bookmarkEnd w:id="131"/>
      <w:bookmarkEnd w:id="132"/>
      <w:bookmarkEnd w:id="133"/>
      <w:bookmarkEnd w:id="134"/>
      <w:bookmarkEnd w:id="135"/>
      <w:bookmarkEnd w:id="136"/>
      <w:bookmarkEnd w:id="137"/>
    </w:p>
    <w:p w14:paraId="7EDFECAC">
      <w:pPr>
        <w:spacing w:line="360" w:lineRule="auto"/>
        <w:jc w:val="both"/>
        <w:rPr>
          <w:rFonts w:ascii="Arial" w:hAnsi="Arial" w:cs="Arial"/>
          <w:sz w:val="28"/>
        </w:rPr>
      </w:pPr>
      <w:r>
        <w:rPr>
          <w:rFonts w:ascii="Arial" w:hAnsi="Arial" w:cs="Arial"/>
          <w:sz w:val="28"/>
        </w:rPr>
        <w:t>（一）估价原则</w:t>
      </w:r>
    </w:p>
    <w:p w14:paraId="78E6994D">
      <w:pPr>
        <w:spacing w:line="360" w:lineRule="auto"/>
        <w:ind w:firstLine="560" w:firstLineChars="200"/>
        <w:jc w:val="both"/>
        <w:rPr>
          <w:rFonts w:ascii="Arial" w:hAnsi="Arial" w:cs="Arial"/>
          <w:sz w:val="28"/>
        </w:rPr>
      </w:pPr>
      <w:r>
        <w:rPr>
          <w:rFonts w:ascii="Arial" w:hAnsi="Arial" w:cs="Arial"/>
          <w:sz w:val="28"/>
        </w:rPr>
        <w:t>地价是由其效用、相对稀缺性及有效需求三者相互作用影响所形成，由于这些因素又经常处于变动之中，我们在估价时遵循以下原则：</w:t>
      </w:r>
    </w:p>
    <w:p w14:paraId="731D61CA">
      <w:pPr>
        <w:spacing w:before="60" w:beforeLines="25" w:after="60" w:afterLines="25" w:line="360" w:lineRule="auto"/>
        <w:ind w:firstLine="560" w:firstLineChars="200"/>
        <w:jc w:val="both"/>
        <w:rPr>
          <w:rFonts w:ascii="Arial" w:hAnsi="Arial" w:cs="Arial"/>
          <w:sz w:val="28"/>
        </w:rPr>
      </w:pPr>
      <w:r>
        <w:rPr>
          <w:rFonts w:ascii="Arial" w:hAnsi="Arial" w:cs="Arial"/>
          <w:sz w:val="28"/>
        </w:rPr>
        <w:t>1.替代原则</w:t>
      </w:r>
    </w:p>
    <w:p w14:paraId="0A64A25F">
      <w:pPr>
        <w:spacing w:line="360" w:lineRule="auto"/>
        <w:ind w:firstLine="560" w:firstLineChars="200"/>
        <w:jc w:val="both"/>
        <w:rPr>
          <w:rFonts w:ascii="Arial" w:hAnsi="Arial" w:cs="Arial"/>
          <w:sz w:val="28"/>
        </w:rPr>
      </w:pPr>
      <w:r>
        <w:rPr>
          <w:rFonts w:ascii="Arial" w:hAnsi="Arial" w:cs="Arial"/>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基于这一原则，咨询对象土地价格可参考周边同类或类似土地交易案例确定，且咨询对象未来开发完成后的价格水平可参考周边项目的租售水平确定。</w:t>
      </w:r>
    </w:p>
    <w:p w14:paraId="741343B7">
      <w:pPr>
        <w:spacing w:before="60" w:beforeLines="25" w:after="60" w:afterLines="25" w:line="360" w:lineRule="auto"/>
        <w:ind w:firstLine="560" w:firstLineChars="200"/>
        <w:jc w:val="both"/>
        <w:rPr>
          <w:rFonts w:ascii="Arial" w:hAnsi="Arial" w:cs="Arial"/>
          <w:sz w:val="28"/>
        </w:rPr>
      </w:pPr>
      <w:r>
        <w:rPr>
          <w:rFonts w:ascii="Arial" w:hAnsi="Arial" w:cs="Arial"/>
          <w:sz w:val="28"/>
        </w:rPr>
        <w:t>2.最有效利用原则</w:t>
      </w:r>
    </w:p>
    <w:p w14:paraId="7C2F0F20">
      <w:pPr>
        <w:spacing w:before="60" w:beforeLines="25" w:after="60" w:afterLines="25" w:line="360" w:lineRule="auto"/>
        <w:ind w:firstLine="560" w:firstLineChars="200"/>
        <w:jc w:val="both"/>
        <w:rPr>
          <w:rFonts w:ascii="Arial" w:hAnsi="Arial" w:cs="Arial"/>
          <w:sz w:val="28"/>
        </w:rPr>
      </w:pPr>
      <w:r>
        <w:rPr>
          <w:rFonts w:ascii="Arial"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206C9E2E">
      <w:pPr>
        <w:spacing w:before="60" w:beforeLines="25" w:after="60" w:afterLines="25" w:line="360" w:lineRule="auto"/>
        <w:ind w:firstLine="560" w:firstLineChars="200"/>
        <w:jc w:val="both"/>
        <w:rPr>
          <w:rFonts w:ascii="Arial" w:hAnsi="Arial" w:cs="Arial"/>
          <w:sz w:val="28"/>
        </w:rPr>
      </w:pPr>
      <w:r>
        <w:rPr>
          <w:rFonts w:ascii="Arial" w:hAnsi="Arial" w:cs="Arial"/>
          <w:sz w:val="28"/>
        </w:rPr>
        <w:t>3.预期收益原则</w:t>
      </w:r>
    </w:p>
    <w:p w14:paraId="7C7BDC3E">
      <w:pPr>
        <w:spacing w:before="60" w:beforeLines="25" w:after="60" w:afterLines="25" w:line="360" w:lineRule="auto"/>
        <w:ind w:firstLine="560" w:firstLineChars="200"/>
        <w:jc w:val="both"/>
        <w:rPr>
          <w:rFonts w:ascii="Arial" w:hAnsi="Arial" w:cs="Arial"/>
          <w:sz w:val="28"/>
        </w:rPr>
      </w:pPr>
      <w:r>
        <w:rPr>
          <w:rFonts w:ascii="Arial"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咨询对象土地价格时，就是以该原则为原理。</w:t>
      </w:r>
    </w:p>
    <w:p w14:paraId="4D1CD19E">
      <w:pPr>
        <w:spacing w:before="60" w:beforeLines="25" w:after="60" w:afterLines="25" w:line="360" w:lineRule="auto"/>
        <w:ind w:firstLine="560" w:firstLineChars="200"/>
        <w:jc w:val="both"/>
        <w:rPr>
          <w:rFonts w:ascii="Arial" w:hAnsi="Arial" w:cs="Arial"/>
          <w:sz w:val="28"/>
        </w:rPr>
      </w:pPr>
      <w:r>
        <w:rPr>
          <w:rFonts w:ascii="Arial" w:hAnsi="Arial" w:cs="Arial"/>
          <w:sz w:val="28"/>
        </w:rPr>
        <w:t>4.供需原则</w:t>
      </w:r>
    </w:p>
    <w:p w14:paraId="53AD12E4">
      <w:pPr>
        <w:spacing w:line="360" w:lineRule="auto"/>
        <w:ind w:firstLine="560" w:firstLineChars="200"/>
        <w:jc w:val="both"/>
        <w:rPr>
          <w:rFonts w:ascii="Arial" w:hAnsi="Arial" w:cs="Arial"/>
          <w:sz w:val="28"/>
        </w:rPr>
      </w:pPr>
      <w:r>
        <w:rPr>
          <w:rFonts w:ascii="Arial"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咨询对象位于北京市顺义区南法信镇北法信村</w:t>
      </w:r>
      <w:r>
        <w:rPr>
          <w:rFonts w:hint="eastAsia" w:ascii="Arial" w:hAnsi="Arial" w:cs="Arial"/>
          <w:sz w:val="28"/>
        </w:rPr>
        <w:t>，</w:t>
      </w:r>
      <w:r>
        <w:rPr>
          <w:rFonts w:ascii="Arial" w:hAnsi="Arial" w:cs="Arial"/>
          <w:sz w:val="28"/>
        </w:rPr>
        <w:t>土地性质为集体建设用地使用权。区域内土地资产存在一定增值潜力。评估中剩余法的运用主要考虑此项原则。</w:t>
      </w:r>
    </w:p>
    <w:p w14:paraId="57E2F691">
      <w:pPr>
        <w:spacing w:before="60" w:beforeLines="25" w:after="60" w:afterLines="25" w:line="360" w:lineRule="auto"/>
        <w:ind w:firstLine="560" w:firstLineChars="200"/>
        <w:jc w:val="both"/>
        <w:rPr>
          <w:rFonts w:ascii="Arial" w:hAnsi="Arial" w:cs="Arial"/>
          <w:sz w:val="28"/>
        </w:rPr>
      </w:pPr>
      <w:r>
        <w:rPr>
          <w:rFonts w:ascii="Arial" w:hAnsi="Arial" w:cs="Arial"/>
          <w:sz w:val="28"/>
        </w:rPr>
        <w:t>5.贡献原则</w:t>
      </w:r>
    </w:p>
    <w:p w14:paraId="73CC6CC6">
      <w:pPr>
        <w:spacing w:line="360" w:lineRule="auto"/>
        <w:ind w:firstLine="560" w:firstLineChars="200"/>
        <w:jc w:val="both"/>
        <w:rPr>
          <w:rFonts w:ascii="Arial" w:hAnsi="Arial" w:cs="Arial"/>
          <w:sz w:val="28"/>
        </w:rPr>
      </w:pPr>
      <w:r>
        <w:rPr>
          <w:rFonts w:ascii="Arial"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3D393CBB">
      <w:pPr>
        <w:spacing w:line="360" w:lineRule="auto"/>
        <w:jc w:val="both"/>
        <w:rPr>
          <w:rFonts w:ascii="Arial" w:hAnsi="Arial" w:cs="Arial"/>
          <w:sz w:val="28"/>
        </w:rPr>
      </w:pPr>
      <w:r>
        <w:rPr>
          <w:rFonts w:ascii="Arial" w:hAnsi="Arial" w:cs="Arial"/>
          <w:sz w:val="28"/>
        </w:rPr>
        <w:t>（二）估价方法</w:t>
      </w:r>
    </w:p>
    <w:p w14:paraId="015B5AEE">
      <w:pPr>
        <w:spacing w:line="360" w:lineRule="auto"/>
        <w:ind w:firstLine="560" w:firstLineChars="200"/>
        <w:jc w:val="both"/>
        <w:rPr>
          <w:rFonts w:ascii="Arial" w:hAnsi="Arial" w:cs="Arial"/>
          <w:sz w:val="28"/>
        </w:rPr>
      </w:pPr>
      <w:r>
        <w:rPr>
          <w:rFonts w:ascii="Arial" w:hAnsi="Arial" w:cs="Arial"/>
          <w:sz w:val="28"/>
        </w:rPr>
        <w:t>1.方法选择</w:t>
      </w:r>
    </w:p>
    <w:p w14:paraId="58F4EB61">
      <w:pPr>
        <w:spacing w:line="360" w:lineRule="auto"/>
        <w:ind w:firstLine="560" w:firstLineChars="200"/>
        <w:jc w:val="both"/>
        <w:rPr>
          <w:rFonts w:ascii="Arial" w:hAnsi="Arial" w:cs="Arial"/>
          <w:sz w:val="28"/>
        </w:rPr>
      </w:pPr>
      <w:r>
        <w:rPr>
          <w:rFonts w:ascii="Arial" w:hAnsi="Arial" w:cs="Arial"/>
          <w:sz w:val="28"/>
        </w:rPr>
        <w:t>根据《城镇土地估价规程》[GB/T18508-2014]</w:t>
      </w:r>
      <w:r>
        <w:rPr>
          <w:rFonts w:hint="eastAsia" w:ascii="Arial" w:hAnsi="Arial" w:cs="Arial"/>
          <w:sz w:val="28"/>
        </w:rPr>
        <w:t>、《农村集体土地价格评估技术指引》[中估协发（2020）16号]</w:t>
      </w:r>
      <w:r>
        <w:rPr>
          <w:rFonts w:ascii="Arial" w:hAnsi="Arial" w:cs="Arial"/>
          <w:sz w:val="28"/>
        </w:rPr>
        <w:t>，估价方法通常有市场比较法、收益还原法、成本逼近法、剩余法及基准地价系数修正法共五种估价方法。</w:t>
      </w:r>
    </w:p>
    <w:p w14:paraId="74C42B2E">
      <w:pPr>
        <w:pStyle w:val="59"/>
        <w:autoSpaceDE w:val="0"/>
        <w:autoSpaceDN w:val="0"/>
        <w:spacing w:line="360" w:lineRule="auto"/>
        <w:ind w:right="6" w:firstLine="560" w:firstLineChars="200"/>
        <w:jc w:val="both"/>
        <w:textAlignment w:val="bottom"/>
        <w:rPr>
          <w:rFonts w:ascii="Arial" w:hAnsi="Arial" w:cs="Arial"/>
          <w:i/>
          <w:sz w:val="28"/>
        </w:rPr>
      </w:pPr>
      <w:r>
        <w:rPr>
          <w:rFonts w:ascii="Arial" w:hAnsi="Arial" w:cs="Arial"/>
          <w:sz w:val="28"/>
        </w:rPr>
        <w:t>评估专业人员根据咨询对象的特点、实际情况以及咨询目的，对上述估价方法分析如下：</w:t>
      </w:r>
      <w:r>
        <w:rPr>
          <w:rFonts w:ascii="Arial" w:hAnsi="Arial" w:cs="Arial"/>
          <w:i/>
          <w:sz w:val="28"/>
        </w:rPr>
        <w:t xml:space="preserve"> </w:t>
      </w:r>
    </w:p>
    <w:p w14:paraId="27D48C6F">
      <w:pPr>
        <w:pStyle w:val="59"/>
        <w:autoSpaceDE w:val="0"/>
        <w:autoSpaceDN w:val="0"/>
        <w:spacing w:line="360" w:lineRule="auto"/>
        <w:ind w:right="6" w:firstLine="560" w:firstLineChars="200"/>
        <w:jc w:val="both"/>
        <w:textAlignment w:val="bottom"/>
        <w:rPr>
          <w:rFonts w:ascii="Arial" w:hAnsi="Arial" w:cs="Arial"/>
          <w:sz w:val="28"/>
        </w:rPr>
      </w:pPr>
      <w:r>
        <w:rPr>
          <w:rFonts w:ascii="Arial"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29420EFA">
      <w:pPr>
        <w:spacing w:line="360" w:lineRule="auto"/>
        <w:ind w:firstLine="560" w:firstLineChars="200"/>
        <w:jc w:val="both"/>
        <w:rPr>
          <w:rFonts w:ascii="Arial" w:hAnsi="Arial" w:cs="Arial"/>
          <w:sz w:val="28"/>
        </w:rPr>
      </w:pPr>
      <w:r>
        <w:rPr>
          <w:rFonts w:ascii="Arial"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107C09E3">
      <w:pPr>
        <w:spacing w:line="360" w:lineRule="auto"/>
        <w:ind w:left="-2" w:leftChars="-1" w:firstLine="560" w:firstLineChars="200"/>
        <w:jc w:val="both"/>
        <w:rPr>
          <w:rFonts w:ascii="Arial" w:hAnsi="Arial" w:cs="Arial"/>
          <w:sz w:val="28"/>
        </w:rPr>
      </w:pPr>
      <w:r>
        <w:rPr>
          <w:rFonts w:ascii="Arial" w:hAnsi="Arial" w:cs="Arial"/>
          <w:sz w:val="28"/>
        </w:rPr>
        <w:t>成本逼近法：成本逼近法是以取得和开发土地所耗费的各项费用之和为主要依据，再加上一定的利润、利息、应缴纳的税金和</w:t>
      </w:r>
      <w:r>
        <w:fldChar w:fldCharType="begin"/>
      </w:r>
      <w:r>
        <w:instrText xml:space="preserve"> HYPERLINK "http://baike.baidu.com/item/%E5%9C%9F%E5%9C%B0%E6%89%80%E6%9C%89%E6%9D%83" \t "_blank" </w:instrText>
      </w:r>
      <w:r>
        <w:fldChar w:fldCharType="separate"/>
      </w:r>
      <w:r>
        <w:rPr>
          <w:rFonts w:ascii="Arial" w:hAnsi="Arial" w:cs="Arial"/>
          <w:sz w:val="28"/>
        </w:rPr>
        <w:t>土地所有权</w:t>
      </w:r>
      <w:r>
        <w:rPr>
          <w:rFonts w:ascii="Arial" w:hAnsi="Arial" w:cs="Arial"/>
          <w:sz w:val="28"/>
        </w:rPr>
        <w:fldChar w:fldCharType="end"/>
      </w:r>
      <w:r>
        <w:rPr>
          <w:rFonts w:ascii="Arial" w:hAnsi="Arial" w:cs="Arial"/>
          <w:sz w:val="28"/>
        </w:rPr>
        <w:t>收益来确定</w:t>
      </w:r>
      <w:r>
        <w:fldChar w:fldCharType="begin"/>
      </w:r>
      <w:r>
        <w:instrText xml:space="preserve"> HYPERLINK "http://baike.baidu.com/item/%E5%9C%9F%E5%9C%B0%E4%BB%B7%E6%A0%BC" \t "_blank" </w:instrText>
      </w:r>
      <w:r>
        <w:fldChar w:fldCharType="separate"/>
      </w:r>
      <w:r>
        <w:rPr>
          <w:rFonts w:ascii="Arial" w:hAnsi="Arial" w:cs="Arial"/>
          <w:sz w:val="28"/>
        </w:rPr>
        <w:t>土地价格</w:t>
      </w:r>
      <w:r>
        <w:rPr>
          <w:rFonts w:ascii="Arial" w:hAnsi="Arial" w:cs="Arial"/>
          <w:sz w:val="28"/>
        </w:rPr>
        <w:fldChar w:fldCharType="end"/>
      </w:r>
      <w:r>
        <w:rPr>
          <w:rFonts w:ascii="Arial" w:hAnsi="Arial" w:cs="Arial"/>
          <w:sz w:val="28"/>
        </w:rPr>
        <w:t>的咨询方法。成本逼近法一般是用于新开发土地，或土地市场欠发育、交易实例少的地区的土地价格评估。</w:t>
      </w:r>
    </w:p>
    <w:p w14:paraId="0651D089">
      <w:pPr>
        <w:spacing w:line="360" w:lineRule="auto"/>
        <w:ind w:firstLine="560" w:firstLineChars="200"/>
        <w:jc w:val="both"/>
        <w:rPr>
          <w:rFonts w:ascii="Arial" w:hAnsi="Arial" w:cs="Arial"/>
          <w:sz w:val="28"/>
        </w:rPr>
      </w:pPr>
      <w:r>
        <w:rPr>
          <w:rFonts w:ascii="Arial" w:hAnsi="Arial" w:cs="Arial"/>
          <w:sz w:val="28"/>
        </w:rPr>
        <w:t>剩余（增值收益扣减）法:是在《城镇土地估价规程》剩余法 思路上衍生技术路线，通过出让土地使用权价格扣减土地增值收益的方 法评估划拨地价。咨询对象周边市场满足出让土地使用权价格评估，虽 然北京市暂未公布土地增值收益，但可以通过招拍挂市场成交价与土地 一级开发成本差额计算土地增值收益。</w:t>
      </w:r>
    </w:p>
    <w:p w14:paraId="18B50206">
      <w:pPr>
        <w:spacing w:line="360" w:lineRule="auto"/>
        <w:ind w:firstLine="560" w:firstLineChars="200"/>
        <w:jc w:val="both"/>
        <w:rPr>
          <w:rFonts w:ascii="Arial" w:hAnsi="Arial" w:cs="Arial"/>
          <w:sz w:val="28"/>
        </w:rPr>
      </w:pPr>
      <w:r>
        <w:rPr>
          <w:rFonts w:ascii="Arial" w:hAnsi="Arial" w:cs="Arial"/>
          <w:sz w:val="28"/>
        </w:rPr>
        <w:t>基准地价系数修正法：该方法适用于政府或其有关部门已公布基准地价地区的土地咨询。</w:t>
      </w:r>
    </w:p>
    <w:p w14:paraId="1B5A6413">
      <w:pPr>
        <w:spacing w:line="360" w:lineRule="auto"/>
        <w:ind w:firstLine="560" w:firstLineChars="200"/>
        <w:jc w:val="both"/>
        <w:rPr>
          <w:rFonts w:ascii="Arial" w:hAnsi="Arial" w:cs="Arial"/>
          <w:sz w:val="28"/>
        </w:rPr>
      </w:pPr>
      <w:r>
        <w:rPr>
          <w:rFonts w:ascii="Arial" w:hAnsi="Arial" w:cs="Arial"/>
          <w:sz w:val="28"/>
        </w:rPr>
        <w:t>本评估项目评估对象的性质为集体土地使用权，开发建设项目未来将以</w:t>
      </w:r>
      <w:r>
        <w:rPr>
          <w:rFonts w:hint="eastAsia" w:ascii="Arial" w:hAnsi="Arial" w:cs="Arial"/>
          <w:sz w:val="28"/>
        </w:rPr>
        <w:t>公寓</w:t>
      </w:r>
      <w:r>
        <w:rPr>
          <w:rFonts w:ascii="Arial" w:hAnsi="Arial" w:cs="Arial"/>
          <w:sz w:val="28"/>
        </w:rPr>
        <w:t>业态为主并建设部分商业</w:t>
      </w:r>
      <w:r>
        <w:rPr>
          <w:rFonts w:hint="eastAsia" w:ascii="Arial" w:hAnsi="Arial" w:cs="Arial"/>
          <w:sz w:val="28"/>
        </w:rPr>
        <w:t>、地下车库</w:t>
      </w:r>
      <w:r>
        <w:rPr>
          <w:rFonts w:ascii="Arial" w:hAnsi="Arial" w:cs="Arial"/>
          <w:sz w:val="28"/>
        </w:rPr>
        <w:t>业态采取出租收取租金的运营模式，该类开发建设项目属于新兴业态目前市场交易（包括出租、转让等）案例较少、公开信息不完整，故不适宜采用市场比较法、成本法和收益还原法；目前政府相关部门也尚未正式公布关于集体土地相关公示地价系数等资料，故也不适宜采用公示地价系数修正法。</w:t>
      </w:r>
    </w:p>
    <w:p w14:paraId="159DA605">
      <w:pPr>
        <w:pStyle w:val="59"/>
        <w:autoSpaceDE w:val="0"/>
        <w:autoSpaceDN w:val="0"/>
        <w:spacing w:line="360" w:lineRule="auto"/>
        <w:ind w:right="31" w:rightChars="13" w:firstLine="560" w:firstLineChars="200"/>
        <w:jc w:val="both"/>
        <w:textAlignment w:val="bottom"/>
        <w:rPr>
          <w:rFonts w:ascii="Arial" w:hAnsi="Arial" w:cs="Arial"/>
          <w:sz w:val="28"/>
        </w:rPr>
      </w:pPr>
      <w:r>
        <w:rPr>
          <w:rFonts w:ascii="Arial" w:hAnsi="Arial" w:cs="Arial"/>
          <w:sz w:val="28"/>
        </w:rPr>
        <w:t>综上所述，本次评估根据咨询对象的特点和实际状况，采用剩余法进行测算，其中剩余法中不动产开发完成后总价采用收益还原法求取，力求合理科学地评估出咨询对象的集体建设用地使用权价格。</w:t>
      </w:r>
    </w:p>
    <w:p w14:paraId="6776D25F">
      <w:pPr>
        <w:pStyle w:val="59"/>
        <w:autoSpaceDE w:val="0"/>
        <w:autoSpaceDN w:val="0"/>
        <w:spacing w:line="360" w:lineRule="auto"/>
        <w:ind w:right="31" w:rightChars="13" w:firstLine="560" w:firstLineChars="200"/>
        <w:jc w:val="both"/>
        <w:textAlignment w:val="bottom"/>
        <w:rPr>
          <w:rFonts w:ascii="Arial" w:hAnsi="Arial" w:cs="Arial"/>
          <w:sz w:val="28"/>
        </w:rPr>
      </w:pPr>
      <w:r>
        <w:rPr>
          <w:rFonts w:ascii="Arial" w:hAnsi="Arial" w:cs="Arial"/>
          <w:sz w:val="28"/>
        </w:rPr>
        <w:t>2.本次评估所采用的估价方法简述如下：</w:t>
      </w:r>
    </w:p>
    <w:p w14:paraId="4DAF913D">
      <w:pPr>
        <w:spacing w:line="360" w:lineRule="auto"/>
        <w:ind w:firstLine="537" w:firstLineChars="192"/>
        <w:jc w:val="both"/>
        <w:rPr>
          <w:rFonts w:ascii="Arial" w:hAnsi="Arial" w:cs="Arial"/>
          <w:sz w:val="28"/>
        </w:rPr>
      </w:pPr>
      <w:r>
        <w:rPr>
          <w:rFonts w:ascii="Arial" w:hAnsi="Arial" w:cs="Arial"/>
          <w:sz w:val="28"/>
        </w:rPr>
        <w:t>剩余法是在测算完成开发后的不动产正常交易价格的基础上，扣除预计的正常建造成本以及有关专业费用、利息、利润和税费等，以价格余额来估算待估宗地价格的方法。</w:t>
      </w:r>
    </w:p>
    <w:p w14:paraId="65BBAE79">
      <w:pPr>
        <w:spacing w:before="25" w:after="25" w:line="360" w:lineRule="auto"/>
        <w:ind w:firstLine="555"/>
        <w:rPr>
          <w:rFonts w:ascii="Arial" w:hAnsi="Arial" w:cs="Arial"/>
          <w:spacing w:val="10"/>
          <w:sz w:val="28"/>
        </w:rPr>
      </w:pPr>
      <w:r>
        <w:rPr>
          <w:rFonts w:ascii="Arial" w:hAnsi="Arial" w:cs="Arial"/>
          <w:spacing w:val="10"/>
          <w:sz w:val="28"/>
        </w:rPr>
        <w:t>其计算公式为：</w:t>
      </w:r>
    </w:p>
    <w:p w14:paraId="4AF67E39">
      <w:pPr>
        <w:spacing w:before="25" w:after="25" w:line="360" w:lineRule="auto"/>
        <w:ind w:firstLine="646"/>
        <w:rPr>
          <w:rFonts w:ascii="Arial" w:hAnsi="Arial" w:cs="Arial"/>
          <w:spacing w:val="10"/>
          <w:sz w:val="28"/>
        </w:rPr>
      </w:pPr>
      <w:r>
        <w:rPr>
          <w:rFonts w:ascii="Arial" w:hAnsi="Arial" w:cs="Arial"/>
          <w:sz w:val="28"/>
        </w:rPr>
        <w:t>P=</w:t>
      </w:r>
      <w:r>
        <w:rPr>
          <w:rFonts w:ascii="Arial" w:hAnsi="Arial" w:cs="Arial"/>
          <w:spacing w:val="10"/>
          <w:sz w:val="28"/>
        </w:rPr>
        <w:t>A－B－C</w:t>
      </w:r>
    </w:p>
    <w:p w14:paraId="5877D698">
      <w:pPr>
        <w:pStyle w:val="59"/>
        <w:autoSpaceDE w:val="0"/>
        <w:autoSpaceDN w:val="0"/>
        <w:spacing w:line="360" w:lineRule="auto"/>
        <w:ind w:right="140" w:firstLine="570"/>
        <w:jc w:val="both"/>
        <w:textAlignment w:val="bottom"/>
        <w:rPr>
          <w:rFonts w:ascii="Arial" w:hAnsi="Arial" w:cs="Arial"/>
          <w:sz w:val="28"/>
        </w:rPr>
      </w:pPr>
      <w:r>
        <w:rPr>
          <w:rFonts w:ascii="Arial" w:hAnsi="Arial" w:cs="Arial"/>
          <w:sz w:val="28"/>
        </w:rPr>
        <w:t>式中：</w:t>
      </w:r>
    </w:p>
    <w:p w14:paraId="3A756A59">
      <w:pPr>
        <w:spacing w:before="25" w:after="25" w:line="360" w:lineRule="auto"/>
        <w:ind w:firstLine="646"/>
        <w:rPr>
          <w:rFonts w:ascii="Arial" w:hAnsi="Arial" w:cs="Arial"/>
          <w:spacing w:val="10"/>
          <w:sz w:val="28"/>
        </w:rPr>
      </w:pPr>
      <w:r>
        <w:rPr>
          <w:rFonts w:ascii="Arial" w:hAnsi="Arial" w:cs="Arial"/>
          <w:spacing w:val="10"/>
          <w:sz w:val="28"/>
        </w:rPr>
        <w:t>P——</w:t>
      </w:r>
      <w:r>
        <w:rPr>
          <w:rFonts w:ascii="Arial" w:hAnsi="Arial" w:cs="Arial"/>
          <w:sz w:val="28"/>
        </w:rPr>
        <w:t>待估宗地价格</w:t>
      </w:r>
    </w:p>
    <w:p w14:paraId="42486FB7">
      <w:pPr>
        <w:spacing w:before="25" w:after="25" w:line="360" w:lineRule="auto"/>
        <w:ind w:firstLine="646"/>
        <w:rPr>
          <w:rFonts w:ascii="Arial" w:hAnsi="Arial" w:cs="Arial"/>
          <w:sz w:val="28"/>
        </w:rPr>
      </w:pPr>
      <w:r>
        <w:rPr>
          <w:rFonts w:ascii="Arial" w:hAnsi="Arial" w:cs="Arial"/>
          <w:spacing w:val="10"/>
          <w:sz w:val="28"/>
        </w:rPr>
        <w:t>A——不动产总价</w:t>
      </w:r>
    </w:p>
    <w:p w14:paraId="5F5C65F3">
      <w:pPr>
        <w:spacing w:before="25" w:after="25" w:line="360" w:lineRule="auto"/>
        <w:ind w:firstLine="646"/>
        <w:rPr>
          <w:rFonts w:ascii="Arial" w:hAnsi="Arial" w:cs="Arial"/>
          <w:sz w:val="28"/>
        </w:rPr>
      </w:pPr>
      <w:r>
        <w:rPr>
          <w:rFonts w:ascii="Arial" w:hAnsi="Arial" w:cs="Arial"/>
          <w:spacing w:val="10"/>
          <w:sz w:val="28"/>
        </w:rPr>
        <w:t>B——开发项目整体的开发成本</w:t>
      </w:r>
    </w:p>
    <w:p w14:paraId="5A798408">
      <w:pPr>
        <w:spacing w:line="360" w:lineRule="auto"/>
        <w:ind w:firstLine="630" w:firstLineChars="225"/>
        <w:textAlignment w:val="bottom"/>
        <w:rPr>
          <w:rFonts w:ascii="Arial" w:hAnsi="Arial" w:cs="Arial"/>
          <w:sz w:val="28"/>
        </w:rPr>
      </w:pPr>
      <w:r>
        <w:rPr>
          <w:rFonts w:ascii="Arial" w:hAnsi="Arial" w:cs="Arial"/>
          <w:sz w:val="28"/>
        </w:rPr>
        <w:t>C——投资利润</w:t>
      </w:r>
    </w:p>
    <w:p w14:paraId="1696973D">
      <w:pPr>
        <w:spacing w:line="360" w:lineRule="auto"/>
        <w:ind w:firstLine="630" w:firstLineChars="225"/>
        <w:textAlignment w:val="bottom"/>
        <w:rPr>
          <w:rFonts w:ascii="Arial" w:hAnsi="Arial" w:cs="Arial"/>
          <w:spacing w:val="10"/>
          <w:sz w:val="28"/>
        </w:rPr>
      </w:pPr>
      <w:r>
        <w:rPr>
          <w:rFonts w:ascii="Arial" w:hAnsi="Arial" w:cs="Arial"/>
          <w:sz w:val="28"/>
        </w:rPr>
        <w:t>其中：</w:t>
      </w:r>
      <w:r>
        <w:rPr>
          <w:rFonts w:ascii="Arial" w:hAnsi="Arial" w:cs="Arial"/>
          <w:spacing w:val="10"/>
          <w:sz w:val="28"/>
        </w:rPr>
        <w:t>开发项目整体的开发成本包括购地税费、房屋建造成本、管理费用、销售费用、投资利息和销售税费。</w:t>
      </w:r>
    </w:p>
    <w:p w14:paraId="2242C2D4">
      <w:pPr>
        <w:spacing w:line="360" w:lineRule="auto"/>
        <w:jc w:val="both"/>
        <w:rPr>
          <w:rFonts w:ascii="Arial" w:hAnsi="Arial" w:cs="Arial"/>
          <w:sz w:val="28"/>
        </w:rPr>
      </w:pPr>
      <w:r>
        <w:rPr>
          <w:rFonts w:ascii="Arial" w:hAnsi="Arial" w:cs="Arial"/>
          <w:sz w:val="28"/>
        </w:rPr>
        <w:t>（三）咨询结果</w:t>
      </w:r>
    </w:p>
    <w:p w14:paraId="32647EDE">
      <w:pPr>
        <w:spacing w:line="360" w:lineRule="auto"/>
        <w:ind w:firstLine="560" w:firstLineChars="200"/>
        <w:jc w:val="both"/>
        <w:rPr>
          <w:rFonts w:ascii="Arial" w:hAnsi="Arial" w:cs="Arial"/>
          <w:kern w:val="2"/>
          <w:sz w:val="28"/>
        </w:rPr>
      </w:pPr>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咨询对象于咨询期日的集体建设用地使用权评估价格为（币种：人民币）：</w:t>
      </w:r>
    </w:p>
    <w:p w14:paraId="26BD5445">
      <w:pPr>
        <w:spacing w:line="360" w:lineRule="auto"/>
        <w:ind w:firstLine="560" w:firstLineChars="200"/>
        <w:jc w:val="both"/>
        <w:rPr>
          <w:rFonts w:ascii="Arial" w:hAnsi="Arial" w:cs="Arial"/>
          <w:sz w:val="28"/>
        </w:rPr>
      </w:pPr>
      <w:r>
        <w:rPr>
          <w:rFonts w:ascii="Arial" w:hAnsi="Arial" w:cs="Arial"/>
          <w:sz w:val="28"/>
        </w:rPr>
        <w:t>集体建设用地使用权价格：</w:t>
      </w:r>
      <w:r>
        <w:rPr>
          <w:rFonts w:hint="eastAsia" w:ascii="Arial" w:hAnsi="Arial" w:cs="Arial"/>
          <w:sz w:val="28"/>
        </w:rPr>
        <w:t>1804.54</w:t>
      </w:r>
      <w:r>
        <w:rPr>
          <w:rFonts w:ascii="Arial" w:hAnsi="Arial" w:cs="Arial"/>
          <w:sz w:val="28"/>
        </w:rPr>
        <w:t>万元</w:t>
      </w:r>
    </w:p>
    <w:p w14:paraId="6F3C40D0">
      <w:pPr>
        <w:spacing w:line="360" w:lineRule="auto"/>
        <w:ind w:firstLine="570"/>
        <w:jc w:val="both"/>
        <w:rPr>
          <w:rFonts w:ascii="Arial" w:hAnsi="Arial" w:cs="Arial"/>
          <w:sz w:val="28"/>
        </w:rPr>
      </w:pPr>
      <w:r>
        <w:rPr>
          <w:rFonts w:ascii="Arial" w:hAnsi="Arial" w:cs="Arial"/>
          <w:sz w:val="28"/>
        </w:rPr>
        <w:t>大写金额：人民币</w:t>
      </w:r>
      <w:r>
        <w:rPr>
          <w:rFonts w:ascii="Arial" w:hAnsi="Arial" w:cs="Arial"/>
          <w:sz w:val="28"/>
        </w:rPr>
        <w:fldChar w:fldCharType="begin"/>
      </w:r>
      <w:r>
        <w:rPr>
          <w:rFonts w:ascii="Arial" w:hAnsi="Arial" w:cs="Arial"/>
          <w:sz w:val="28"/>
        </w:rPr>
        <w:instrText xml:space="preserve"> = 634490000 \* CHINESENUM2 </w:instrText>
      </w:r>
      <w:r>
        <w:rPr>
          <w:rFonts w:ascii="Arial" w:hAnsi="Arial" w:cs="Arial"/>
          <w:sz w:val="28"/>
        </w:rPr>
        <w:fldChar w:fldCharType="separate"/>
      </w:r>
      <w:r>
        <w:rPr>
          <w:rFonts w:hint="eastAsia" w:ascii="Arial" w:hAnsi="Arial" w:cs="Arial"/>
          <w:sz w:val="28"/>
        </w:rPr>
        <w:t>壹仟捌佰零肆万伍仟肆佰</w:t>
      </w:r>
      <w:r>
        <w:rPr>
          <w:rFonts w:ascii="Arial" w:hAnsi="Arial" w:cs="Arial"/>
          <w:sz w:val="28"/>
        </w:rPr>
        <w:fldChar w:fldCharType="end"/>
      </w:r>
      <w:r>
        <w:rPr>
          <w:rFonts w:ascii="Arial" w:hAnsi="Arial" w:cs="Arial"/>
          <w:sz w:val="28"/>
        </w:rPr>
        <w:t>元整</w:t>
      </w:r>
    </w:p>
    <w:p w14:paraId="450B0C6D">
      <w:pPr>
        <w:spacing w:line="360" w:lineRule="auto"/>
        <w:ind w:firstLine="570"/>
        <w:jc w:val="both"/>
        <w:rPr>
          <w:rFonts w:ascii="Arial" w:hAnsi="Arial" w:cs="Arial"/>
          <w:sz w:val="28"/>
        </w:rPr>
      </w:pPr>
      <w:r>
        <w:rPr>
          <w:rFonts w:ascii="Arial" w:hAnsi="Arial" w:cs="Arial"/>
          <w:sz w:val="28"/>
        </w:rPr>
        <w:t>单位面积地价：</w:t>
      </w:r>
      <w:r>
        <w:rPr>
          <w:rFonts w:hint="eastAsia" w:ascii="Arial" w:hAnsi="Arial" w:cs="Arial"/>
          <w:sz w:val="28"/>
        </w:rPr>
        <w:t>1065</w:t>
      </w:r>
      <w:r>
        <w:rPr>
          <w:rFonts w:ascii="Arial" w:hAnsi="Arial" w:cs="Arial"/>
          <w:sz w:val="28"/>
        </w:rPr>
        <w:t>元/平方米</w:t>
      </w:r>
    </w:p>
    <w:p w14:paraId="200EFBF6">
      <w:pPr>
        <w:spacing w:line="360" w:lineRule="auto"/>
        <w:ind w:firstLine="570"/>
        <w:jc w:val="both"/>
        <w:rPr>
          <w:rFonts w:ascii="Arial" w:hAnsi="Arial" w:cs="Arial"/>
          <w:sz w:val="28"/>
        </w:rPr>
      </w:pPr>
      <w:r>
        <w:rPr>
          <w:rFonts w:ascii="Arial" w:hAnsi="Arial" w:cs="Arial"/>
          <w:sz w:val="28"/>
        </w:rPr>
        <w:t>楼面地价：</w:t>
      </w:r>
      <w:r>
        <w:rPr>
          <w:rFonts w:hint="eastAsia" w:ascii="Arial" w:hAnsi="Arial" w:cs="Arial"/>
          <w:sz w:val="28"/>
        </w:rPr>
        <w:t>446</w:t>
      </w:r>
      <w:r>
        <w:rPr>
          <w:rFonts w:ascii="Arial" w:hAnsi="Arial" w:cs="Arial"/>
          <w:sz w:val="28"/>
        </w:rPr>
        <w:t>元/平方米</w:t>
      </w:r>
    </w:p>
    <w:p w14:paraId="50A20E48">
      <w:pPr>
        <w:spacing w:line="360" w:lineRule="auto"/>
        <w:ind w:firstLine="560" w:firstLineChars="200"/>
        <w:jc w:val="both"/>
        <w:rPr>
          <w:rFonts w:ascii="Arial" w:hAnsi="Arial" w:cs="Arial"/>
          <w:sz w:val="28"/>
        </w:rPr>
      </w:pPr>
      <w:r>
        <w:rPr>
          <w:rFonts w:ascii="Arial" w:hAnsi="Arial" w:cs="Arial"/>
          <w:sz w:val="28"/>
        </w:rPr>
        <w:t xml:space="preserve">  备注：</w:t>
      </w:r>
    </w:p>
    <w:p w14:paraId="7E2134F6">
      <w:pPr>
        <w:spacing w:line="360" w:lineRule="auto"/>
        <w:ind w:firstLine="560" w:firstLineChars="200"/>
        <w:rPr>
          <w:rFonts w:ascii="Arial" w:hAnsi="Arial" w:cs="Arial"/>
          <w:sz w:val="28"/>
        </w:rPr>
      </w:pPr>
      <w:r>
        <w:rPr>
          <w:rFonts w:ascii="Arial" w:hAnsi="Arial" w:cs="Arial"/>
          <w:sz w:val="28"/>
        </w:rPr>
        <w:t>1. 在本次评估过程中，目前该开发项目尚未正式进行开发施工，评估专业人员尚未取得《 “多规合一”协同平台初审意见的函》、《北京市发展和改革委员会关于</w:t>
      </w:r>
      <w:r>
        <w:rPr>
          <w:rFonts w:hint="eastAsia" w:ascii="Arial" w:hAnsi="Arial" w:cs="Arial"/>
          <w:sz w:val="28"/>
        </w:rPr>
        <w:t>昌平区马池口百泉庄村经济组织</w:t>
      </w:r>
      <w:r>
        <w:rPr>
          <w:rFonts w:ascii="Arial" w:hAnsi="Arial" w:cs="Arial"/>
          <w:sz w:val="28"/>
        </w:rPr>
        <w:t>集体土地租赁住房项目核准的批复》等相关项目资料，本次评估过程中涉及的相关测算参数主要是依据委托方提供的《估价委托书》及介绍的情况测算，如上述数据发生变化，可能会对目前的评估结论产生影响。</w:t>
      </w:r>
    </w:p>
    <w:p w14:paraId="3A1DF524">
      <w:pPr>
        <w:spacing w:line="360" w:lineRule="auto"/>
        <w:ind w:firstLine="560" w:firstLineChars="200"/>
        <w:jc w:val="both"/>
        <w:rPr>
          <w:rFonts w:ascii="Arial" w:hAnsi="Arial" w:cs="Arial"/>
          <w:sz w:val="28"/>
        </w:rPr>
      </w:pPr>
      <w:r>
        <w:rPr>
          <w:rFonts w:ascii="Arial" w:hAnsi="Arial" w:cs="Arial"/>
          <w:sz w:val="28"/>
        </w:rPr>
        <w:t>2．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14:paraId="5399DC28">
      <w:pPr>
        <w:spacing w:line="360" w:lineRule="auto"/>
        <w:ind w:firstLine="560" w:firstLineChars="200"/>
        <w:jc w:val="both"/>
        <w:rPr>
          <w:rFonts w:ascii="Arial" w:hAnsi="Arial" w:cs="Arial"/>
          <w:sz w:val="28"/>
        </w:rPr>
      </w:pPr>
      <w:r>
        <w:rPr>
          <w:rFonts w:ascii="Arial" w:hAnsi="Arial" w:cs="Arial"/>
          <w:sz w:val="28"/>
        </w:rPr>
        <w:t>3．本次剩余法测算过程中，项目运营收入、成本、费用等为开发项目过程中以及建成后出租经济行为产生的相关收入和成本、费用，未包含开发项目建成后运营期与物业管理相关的收入、成本、费用；</w:t>
      </w:r>
    </w:p>
    <w:p w14:paraId="3BE01299">
      <w:pPr>
        <w:spacing w:line="360" w:lineRule="auto"/>
        <w:ind w:firstLine="560" w:firstLineChars="200"/>
        <w:jc w:val="both"/>
        <w:rPr>
          <w:rFonts w:ascii="Arial" w:hAnsi="Arial" w:cs="Arial"/>
          <w:sz w:val="28"/>
        </w:rPr>
      </w:pPr>
      <w:r>
        <w:rPr>
          <w:rFonts w:ascii="Arial" w:hAnsi="Arial" w:cs="Arial"/>
          <w:sz w:val="28"/>
        </w:rPr>
        <w:t>4．集体建设用地使用权没有使用年限限制。根据北京市政府发布的《关于我市利用集体土地建设租赁住房相关政策的补充意见》[京规自发[2018]64号]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根据相关规定，该开发项目只能采取出租的形式获得项目收入，</w:t>
      </w:r>
      <w:r>
        <w:rPr>
          <w:rFonts w:hint="eastAsia" w:ascii="Arial" w:hAnsi="Arial" w:cs="Arial"/>
          <w:sz w:val="28"/>
        </w:rPr>
        <w:t>鉴于</w:t>
      </w:r>
      <w:r>
        <w:rPr>
          <w:rFonts w:ascii="Arial" w:hAnsi="Arial" w:cs="Arial"/>
          <w:sz w:val="28"/>
        </w:rPr>
        <w:t>收益期过长，本次评估考虑折现；合作期限50年结束后的后续处理模式，由于目前针对退出时相关政策行文件尚未正式出台，故届时将按照有关规定执行。综上所述，本次评估只考虑50年合作期限内的收益。</w:t>
      </w:r>
    </w:p>
    <w:p w14:paraId="447CAAD1">
      <w:pPr>
        <w:spacing w:line="240" w:lineRule="exact"/>
        <w:rPr>
          <w:rFonts w:ascii="Arial" w:hAnsi="Arial" w:cs="Arial"/>
          <w:sz w:val="18"/>
          <w:szCs w:val="18"/>
        </w:rPr>
      </w:pPr>
    </w:p>
    <w:p w14:paraId="3F3E29B8">
      <w:pPr>
        <w:spacing w:line="360" w:lineRule="auto"/>
        <w:ind w:firstLine="570"/>
        <w:jc w:val="both"/>
        <w:rPr>
          <w:rFonts w:ascii="Arial" w:hAnsi="Arial" w:cs="Arial"/>
          <w:b/>
          <w:sz w:val="28"/>
        </w:rPr>
      </w:pPr>
    </w:p>
    <w:p w14:paraId="33FDC202">
      <w:pPr>
        <w:spacing w:line="360" w:lineRule="auto"/>
        <w:outlineLvl w:val="1"/>
        <w:rPr>
          <w:rFonts w:ascii="Arial" w:hAnsi="Arial" w:cs="Arial"/>
          <w:b/>
          <w:sz w:val="28"/>
        </w:rPr>
      </w:pPr>
      <w:bookmarkStart w:id="138" w:name="_Toc425250322"/>
      <w:bookmarkStart w:id="139" w:name="_Toc11765"/>
      <w:bookmarkStart w:id="140" w:name="_Toc469066320"/>
      <w:bookmarkStart w:id="141" w:name="_Toc20639"/>
      <w:bookmarkStart w:id="142" w:name="_Toc25849"/>
      <w:bookmarkStart w:id="143" w:name="_Toc416783537"/>
      <w:bookmarkStart w:id="144" w:name="_Toc418750900"/>
      <w:r>
        <w:rPr>
          <w:rFonts w:ascii="Arial" w:hAnsi="Arial" w:cs="Arial"/>
          <w:b/>
          <w:sz w:val="28"/>
        </w:rPr>
        <w:t>三、咨询结果和咨询报告的使用</w:t>
      </w:r>
      <w:bookmarkEnd w:id="138"/>
      <w:bookmarkEnd w:id="139"/>
      <w:bookmarkEnd w:id="140"/>
      <w:bookmarkEnd w:id="141"/>
      <w:bookmarkEnd w:id="142"/>
      <w:bookmarkEnd w:id="143"/>
      <w:bookmarkEnd w:id="144"/>
    </w:p>
    <w:p w14:paraId="4D6CE66A">
      <w:pPr>
        <w:snapToGrid w:val="0"/>
        <w:spacing w:line="360" w:lineRule="auto"/>
        <w:jc w:val="both"/>
        <w:textAlignment w:val="bottom"/>
        <w:rPr>
          <w:rFonts w:ascii="Arial" w:hAnsi="Arial" w:cs="Arial"/>
          <w:sz w:val="28"/>
        </w:rPr>
      </w:pPr>
      <w:r>
        <w:rPr>
          <w:rFonts w:ascii="Arial" w:hAnsi="Arial" w:cs="Arial"/>
          <w:sz w:val="28"/>
        </w:rPr>
        <w:t>（一）咨询的前提条件和假设条件</w:t>
      </w:r>
    </w:p>
    <w:p w14:paraId="723FF983">
      <w:pPr>
        <w:snapToGrid w:val="0"/>
        <w:spacing w:line="360" w:lineRule="auto"/>
        <w:ind w:firstLine="555"/>
        <w:jc w:val="both"/>
        <w:textAlignment w:val="bottom"/>
        <w:rPr>
          <w:rFonts w:ascii="Arial" w:hAnsi="Arial" w:cs="Arial"/>
          <w:sz w:val="28"/>
        </w:rPr>
      </w:pPr>
      <w:r>
        <w:rPr>
          <w:rFonts w:ascii="Arial" w:hAnsi="Arial" w:cs="Arial"/>
          <w:sz w:val="28"/>
        </w:rPr>
        <w:t>1.咨询对象作为</w:t>
      </w:r>
      <w:r>
        <w:rPr>
          <w:rFonts w:hint="eastAsia" w:ascii="Arial" w:hAnsi="Arial" w:cs="Arial"/>
          <w:sz w:val="28"/>
        </w:rPr>
        <w:t>公寓</w:t>
      </w:r>
      <w:r>
        <w:rPr>
          <w:rFonts w:ascii="Arial" w:hAnsi="Arial" w:cs="Arial"/>
          <w:sz w:val="28"/>
        </w:rPr>
        <w:t>、商业</w:t>
      </w:r>
      <w:r>
        <w:rPr>
          <w:rFonts w:hint="eastAsia" w:ascii="Arial" w:hAnsi="Arial" w:cs="Arial"/>
          <w:sz w:val="28"/>
        </w:rPr>
        <w:t>、地下车库用途</w:t>
      </w:r>
      <w:r>
        <w:rPr>
          <w:rFonts w:ascii="Arial" w:hAnsi="Arial" w:cs="Arial"/>
          <w:sz w:val="28"/>
        </w:rPr>
        <w:t>为最有效利用方式。</w:t>
      </w:r>
    </w:p>
    <w:p w14:paraId="5BC38E46">
      <w:pPr>
        <w:snapToGrid w:val="0"/>
        <w:spacing w:line="360" w:lineRule="auto"/>
        <w:ind w:firstLine="555"/>
        <w:jc w:val="both"/>
        <w:textAlignment w:val="bottom"/>
        <w:rPr>
          <w:rFonts w:ascii="Arial" w:hAnsi="Arial" w:cs="Arial"/>
          <w:sz w:val="28"/>
        </w:rPr>
      </w:pPr>
      <w:r>
        <w:rPr>
          <w:rFonts w:ascii="Arial" w:hAnsi="Arial" w:cs="Arial"/>
          <w:sz w:val="28"/>
        </w:rPr>
        <w:t>2.委托方提供的资料属实，没有保留及隐瞒。</w:t>
      </w:r>
    </w:p>
    <w:p w14:paraId="3E87184F">
      <w:pPr>
        <w:snapToGrid w:val="0"/>
        <w:spacing w:line="360" w:lineRule="auto"/>
        <w:jc w:val="both"/>
        <w:textAlignment w:val="bottom"/>
        <w:rPr>
          <w:rFonts w:ascii="Arial" w:hAnsi="Arial" w:cs="Arial"/>
          <w:sz w:val="28"/>
        </w:rPr>
      </w:pPr>
      <w:r>
        <w:rPr>
          <w:rFonts w:ascii="Arial" w:hAnsi="Arial" w:cs="Arial"/>
          <w:sz w:val="28"/>
        </w:rPr>
        <w:t xml:space="preserve">    3.在咨询期日的房地产市场为公开、平等、自愿的交易市场。</w:t>
      </w:r>
    </w:p>
    <w:p w14:paraId="3647F8CE">
      <w:pPr>
        <w:snapToGrid w:val="0"/>
        <w:spacing w:line="360" w:lineRule="auto"/>
        <w:jc w:val="both"/>
        <w:textAlignment w:val="bottom"/>
        <w:rPr>
          <w:rFonts w:ascii="Arial" w:hAnsi="Arial" w:cs="Arial"/>
          <w:sz w:val="28"/>
        </w:rPr>
      </w:pPr>
      <w:r>
        <w:rPr>
          <w:rFonts w:ascii="Arial" w:hAnsi="Arial" w:cs="Arial"/>
          <w:sz w:val="28"/>
        </w:rPr>
        <w:t xml:space="preserve">    4.任何有关咨询对象的运作方式、程序符合国家、地方的有关法律、法规。</w:t>
      </w:r>
    </w:p>
    <w:p w14:paraId="09D83EA4">
      <w:pPr>
        <w:spacing w:line="360" w:lineRule="auto"/>
        <w:ind w:right="17" w:firstLine="560" w:firstLineChars="200"/>
        <w:jc w:val="both"/>
        <w:rPr>
          <w:rFonts w:ascii="Arial" w:hAnsi="Arial" w:cs="Arial"/>
          <w:sz w:val="28"/>
        </w:rPr>
      </w:pPr>
      <w:r>
        <w:rPr>
          <w:rFonts w:ascii="Arial" w:hAnsi="Arial" w:cs="Arial"/>
          <w:sz w:val="28"/>
        </w:rPr>
        <w:t>5.委托方合法取得咨询对象集体建设用地使用权，并支付全部相关税费。</w:t>
      </w:r>
    </w:p>
    <w:p w14:paraId="212444F9">
      <w:pPr>
        <w:spacing w:line="360" w:lineRule="auto"/>
        <w:ind w:firstLine="560" w:firstLineChars="200"/>
        <w:jc w:val="both"/>
        <w:rPr>
          <w:rFonts w:ascii="Arial" w:hAnsi="Arial" w:cs="Arial"/>
          <w:i/>
          <w:sz w:val="28"/>
        </w:rPr>
      </w:pPr>
      <w:r>
        <w:rPr>
          <w:rFonts w:hint="eastAsia" w:ascii="Arial" w:hAnsi="Arial" w:cs="Arial"/>
          <w:sz w:val="28"/>
        </w:rPr>
        <w:t>6</w:t>
      </w:r>
      <w:r>
        <w:rPr>
          <w:rFonts w:ascii="Arial" w:hAnsi="Arial" w:cs="Arial"/>
          <w:sz w:val="28"/>
        </w:rPr>
        <w:t>.根据委托方介绍及评估专业人员实地查勘，本次评估咨询对象实际土地开发程度为红线外市政基础设施为“三通”、宗地红线内场地未平整，宗地内有需要移除的树木。依据委托方介绍，该宗地以“三通一平”的形式作价入股，因此本次评估设定土地开发程度为红线外市政基础设施达“三通”、宗地红线内场地平整。</w:t>
      </w:r>
      <w:r>
        <w:rPr>
          <w:rFonts w:ascii="Arial" w:hAnsi="Arial" w:cs="Arial"/>
          <w:spacing w:val="-12"/>
          <w:sz w:val="28"/>
        </w:rPr>
        <w:t>咨询结果</w:t>
      </w:r>
      <w:r>
        <w:rPr>
          <w:rFonts w:ascii="Arial" w:hAnsi="Arial" w:cs="Arial"/>
          <w:sz w:val="28"/>
        </w:rPr>
        <w:t>未扣除树木移除的费用。</w:t>
      </w:r>
    </w:p>
    <w:p w14:paraId="6BD90FFA">
      <w:pPr>
        <w:spacing w:line="360" w:lineRule="auto"/>
        <w:ind w:firstLine="560" w:firstLineChars="200"/>
        <w:jc w:val="both"/>
        <w:rPr>
          <w:rFonts w:ascii="Arial" w:hAnsi="Arial" w:cs="Arial"/>
          <w:sz w:val="28"/>
        </w:rPr>
      </w:pPr>
      <w:r>
        <w:rPr>
          <w:rFonts w:hint="eastAsia" w:ascii="Arial" w:hAnsi="Arial" w:cs="Arial"/>
          <w:sz w:val="28"/>
        </w:rPr>
        <w:t>7</w:t>
      </w:r>
      <w:r>
        <w:rPr>
          <w:rFonts w:ascii="Arial" w:hAnsi="Arial" w:cs="Arial"/>
          <w:sz w:val="28"/>
        </w:rPr>
        <w:t>.本次评估咨询对象的规划利用条件以</w:t>
      </w:r>
      <w:r>
        <w:rPr>
          <w:rFonts w:hint="eastAsia" w:ascii="Arial" w:hAnsi="Arial" w:cs="Arial"/>
          <w:sz w:val="28"/>
        </w:rPr>
        <w:t>委托方介绍的</w:t>
      </w:r>
      <w:r>
        <w:rPr>
          <w:rFonts w:ascii="Arial" w:hAnsi="Arial" w:cs="Arial"/>
          <w:sz w:val="28"/>
        </w:rPr>
        <w:t>为依据。</w:t>
      </w:r>
    </w:p>
    <w:p w14:paraId="4A5FF0BD">
      <w:pPr>
        <w:spacing w:line="360" w:lineRule="auto"/>
        <w:ind w:firstLine="560" w:firstLineChars="200"/>
        <w:jc w:val="both"/>
        <w:rPr>
          <w:rFonts w:ascii="Arial" w:hAnsi="Arial" w:cs="Arial"/>
          <w:sz w:val="28"/>
        </w:rPr>
      </w:pPr>
      <w:r>
        <w:rPr>
          <w:rFonts w:hint="eastAsia" w:ascii="Arial" w:hAnsi="Arial" w:cs="Arial"/>
          <w:sz w:val="28"/>
        </w:rPr>
        <w:t>8</w:t>
      </w:r>
      <w:r>
        <w:rPr>
          <w:rFonts w:ascii="Arial" w:hAnsi="Arial" w:cs="Arial"/>
          <w:sz w:val="28"/>
        </w:rPr>
        <w:t>.评估专业人员根据委托方所提供的资料，未发现有抵押、租赁的登记信息，本次评估设定咨询对象不存在抵押、租赁等他项权利。</w:t>
      </w:r>
    </w:p>
    <w:p w14:paraId="7DFF34DA">
      <w:pPr>
        <w:snapToGrid w:val="0"/>
        <w:spacing w:line="360" w:lineRule="auto"/>
        <w:ind w:firstLine="585"/>
        <w:jc w:val="both"/>
        <w:textAlignment w:val="bottom"/>
        <w:rPr>
          <w:rFonts w:ascii="Arial" w:hAnsi="Arial" w:cs="Arial"/>
          <w:sz w:val="28"/>
        </w:rPr>
      </w:pPr>
      <w:r>
        <w:rPr>
          <w:rFonts w:hint="eastAsia" w:ascii="Arial" w:hAnsi="Arial" w:cs="Arial"/>
          <w:sz w:val="28"/>
        </w:rPr>
        <w:t>9</w:t>
      </w:r>
      <w:r>
        <w:rPr>
          <w:rFonts w:ascii="Arial" w:hAnsi="Arial" w:cs="Arial"/>
          <w:sz w:val="28"/>
        </w:rPr>
        <w:t>.本次咨询结果以咨询对象能够按照合理工期按时完成各项工程进度，直至通过竣工验收，能够在合理期限内正常投入使用，并最终在《集体土地所有权证》上登记建筑物信息为前提条件，未考虑咨询对象因其他原因无法顺利开工、完工而产生的重大影响，在此提请报告使用者注意。</w:t>
      </w:r>
    </w:p>
    <w:p w14:paraId="4A3AAF01">
      <w:pPr>
        <w:snapToGrid w:val="0"/>
        <w:spacing w:line="360" w:lineRule="auto"/>
        <w:jc w:val="both"/>
        <w:textAlignment w:val="bottom"/>
        <w:rPr>
          <w:rFonts w:ascii="Arial" w:hAnsi="Arial" w:cs="Arial"/>
          <w:sz w:val="28"/>
        </w:rPr>
      </w:pPr>
      <w:r>
        <w:rPr>
          <w:rFonts w:ascii="Arial" w:hAnsi="Arial" w:cs="Arial"/>
          <w:sz w:val="28"/>
        </w:rPr>
        <w:t>（二）咨询结果和咨询报告的使用</w:t>
      </w:r>
    </w:p>
    <w:p w14:paraId="087B0969">
      <w:pPr>
        <w:snapToGrid w:val="0"/>
        <w:spacing w:line="360" w:lineRule="auto"/>
        <w:ind w:firstLine="585"/>
        <w:jc w:val="both"/>
        <w:textAlignment w:val="auto"/>
        <w:rPr>
          <w:rFonts w:ascii="Arial" w:hAnsi="Arial" w:cs="Arial"/>
          <w:sz w:val="28"/>
        </w:rPr>
      </w:pPr>
      <w:r>
        <w:rPr>
          <w:rFonts w:ascii="Arial" w:hAnsi="Arial" w:cs="Arial"/>
          <w:sz w:val="28"/>
        </w:rPr>
        <w:t>1.本咨询报告的依据为国务院、国土资源部、住建部、北京市人民政府及有关部门颁布的有关法律、法规、政策文件、委托方提供的资料、受托估价方掌握的有关资料以及评估专业人员实地勘察所获取的资料。</w:t>
      </w:r>
    </w:p>
    <w:p w14:paraId="172E128F">
      <w:pPr>
        <w:spacing w:line="360" w:lineRule="auto"/>
        <w:ind w:firstLine="560" w:firstLineChars="200"/>
        <w:jc w:val="both"/>
        <w:rPr>
          <w:rFonts w:ascii="Arial" w:hAnsi="Arial" w:cs="Arial"/>
          <w:sz w:val="28"/>
        </w:rPr>
      </w:pPr>
      <w:r>
        <w:rPr>
          <w:rFonts w:ascii="Arial" w:hAnsi="Arial" w:cs="Arial"/>
          <w:sz w:val="28"/>
        </w:rPr>
        <w:t>2.委托方</w:t>
      </w:r>
      <w:r>
        <w:rPr>
          <w:rFonts w:ascii="Arial" w:hAnsi="Arial" w:cs="Arial"/>
          <w:kern w:val="2"/>
          <w:sz w:val="28"/>
        </w:rPr>
        <w:t>应对其提供的权属证明以及其他资料的真实性、完整性和合法性负责。如因资料失实或资料提供人有所隐匿而导致咨询结果失真，估价机构不承担相应的责任。</w:t>
      </w:r>
    </w:p>
    <w:p w14:paraId="7BDEEE97">
      <w:pPr>
        <w:snapToGrid w:val="0"/>
        <w:spacing w:line="360" w:lineRule="auto"/>
        <w:ind w:firstLine="585"/>
        <w:jc w:val="both"/>
        <w:textAlignment w:val="auto"/>
        <w:rPr>
          <w:rFonts w:ascii="Arial" w:hAnsi="Arial" w:cs="Arial"/>
          <w:sz w:val="28"/>
        </w:rPr>
      </w:pPr>
      <w:r>
        <w:rPr>
          <w:rFonts w:ascii="Arial" w:hAnsi="Arial" w:cs="Arial"/>
          <w:sz w:val="28"/>
        </w:rPr>
        <w:t>3.本报告咨询结果为咨询期日下的正常市场价格，随着时间的推移，该价格需要做相应的调整直至重新评估。</w:t>
      </w:r>
    </w:p>
    <w:p w14:paraId="59799F95">
      <w:pPr>
        <w:snapToGrid w:val="0"/>
        <w:spacing w:line="360" w:lineRule="auto"/>
        <w:ind w:firstLine="585"/>
        <w:jc w:val="both"/>
        <w:textAlignment w:val="auto"/>
        <w:rPr>
          <w:rFonts w:ascii="Arial" w:hAnsi="Arial" w:cs="Arial"/>
          <w:sz w:val="28"/>
        </w:rPr>
      </w:pPr>
      <w:r>
        <w:rPr>
          <w:rFonts w:ascii="Arial" w:hAnsi="Arial" w:cs="Arial"/>
          <w:sz w:val="28"/>
        </w:rPr>
        <w:t>4.本咨询报告在估价机构盖章和土地估价师</w:t>
      </w:r>
      <w:r>
        <w:rPr>
          <w:rFonts w:hint="eastAsia" w:ascii="Arial" w:hAnsi="Arial" w:cs="Arial"/>
          <w:sz w:val="28"/>
        </w:rPr>
        <w:t>签字或</w:t>
      </w:r>
      <w:r>
        <w:rPr>
          <w:rFonts w:ascii="Arial" w:hAnsi="Arial" w:cs="Arial"/>
          <w:sz w:val="28"/>
        </w:rPr>
        <w:t>签</w:t>
      </w:r>
      <w:r>
        <w:rPr>
          <w:rFonts w:hint="eastAsia" w:ascii="Arial" w:hAnsi="Arial" w:cs="Arial"/>
          <w:sz w:val="28"/>
        </w:rPr>
        <w:t>章</w:t>
      </w:r>
      <w:r>
        <w:rPr>
          <w:rFonts w:ascii="Arial" w:hAnsi="Arial" w:cs="Arial"/>
          <w:sz w:val="28"/>
        </w:rPr>
        <w:t>的条件下有效。</w:t>
      </w:r>
    </w:p>
    <w:p w14:paraId="7E0937C2">
      <w:pPr>
        <w:snapToGrid w:val="0"/>
        <w:spacing w:line="360" w:lineRule="auto"/>
        <w:ind w:firstLine="585"/>
        <w:jc w:val="both"/>
        <w:textAlignment w:val="auto"/>
        <w:rPr>
          <w:rFonts w:ascii="Arial" w:hAnsi="Arial" w:cs="Arial"/>
          <w:sz w:val="28"/>
        </w:rPr>
      </w:pPr>
      <w:r>
        <w:rPr>
          <w:rFonts w:ascii="Arial" w:hAnsi="Arial" w:cs="Arial"/>
          <w:sz w:val="28"/>
        </w:rPr>
        <w:t>5.本次评估咨询报告分为“土地</w:t>
      </w:r>
      <w:r>
        <w:rPr>
          <w:rFonts w:hint="eastAsia" w:ascii="Arial" w:hAnsi="Arial" w:cs="Arial"/>
          <w:sz w:val="28"/>
        </w:rPr>
        <w:t>咨询</w:t>
      </w:r>
      <w:r>
        <w:rPr>
          <w:rFonts w:ascii="Arial" w:hAnsi="Arial" w:cs="Arial"/>
          <w:sz w:val="28"/>
        </w:rPr>
        <w:t>报告”和“土地</w:t>
      </w:r>
      <w:r>
        <w:rPr>
          <w:rFonts w:hint="eastAsia" w:ascii="Arial" w:hAnsi="Arial" w:cs="Arial"/>
          <w:sz w:val="28"/>
        </w:rPr>
        <w:t>咨询</w:t>
      </w:r>
      <w:r>
        <w:rPr>
          <w:rFonts w:ascii="Arial" w:hAnsi="Arial" w:cs="Arial"/>
          <w:sz w:val="28"/>
        </w:rPr>
        <w:t>技术报告”两部分，“土地</w:t>
      </w:r>
      <w:r>
        <w:rPr>
          <w:rFonts w:hint="eastAsia" w:ascii="Arial" w:hAnsi="Arial" w:cs="Arial"/>
          <w:sz w:val="28"/>
        </w:rPr>
        <w:t>咨询</w:t>
      </w:r>
      <w:r>
        <w:rPr>
          <w:rFonts w:ascii="Arial" w:hAnsi="Arial" w:cs="Arial"/>
          <w:sz w:val="28"/>
        </w:rPr>
        <w:t>报告”供委托方使用，“土地</w:t>
      </w:r>
      <w:r>
        <w:rPr>
          <w:rFonts w:hint="eastAsia" w:ascii="Arial" w:hAnsi="Arial" w:cs="Arial"/>
          <w:sz w:val="28"/>
        </w:rPr>
        <w:t>咨询</w:t>
      </w:r>
      <w:r>
        <w:rPr>
          <w:rFonts w:ascii="Arial" w:hAnsi="Arial" w:cs="Arial"/>
          <w:sz w:val="28"/>
        </w:rPr>
        <w:t>技术报告”仅供估价机构存档和作为咨询结果提交房屋土地管理部门确认或备案时的附件。</w:t>
      </w:r>
    </w:p>
    <w:p w14:paraId="3401A527">
      <w:pPr>
        <w:snapToGrid w:val="0"/>
        <w:spacing w:line="360" w:lineRule="auto"/>
        <w:ind w:firstLine="570"/>
        <w:jc w:val="both"/>
        <w:rPr>
          <w:rFonts w:ascii="Arial" w:hAnsi="Arial" w:cs="Arial"/>
          <w:sz w:val="28"/>
        </w:rPr>
      </w:pPr>
      <w:r>
        <w:rPr>
          <w:rFonts w:ascii="Arial" w:hAnsi="Arial" w:cs="Arial"/>
          <w:sz w:val="28"/>
        </w:rPr>
        <w:t>6.本咨询报告只能由咨询报告载明的报告使用者使用，且只能用于本报告载明的唯一咨询目的和用途。</w:t>
      </w:r>
    </w:p>
    <w:p w14:paraId="253B793A">
      <w:pPr>
        <w:snapToGrid w:val="0"/>
        <w:spacing w:line="360" w:lineRule="auto"/>
        <w:ind w:firstLine="570"/>
        <w:jc w:val="both"/>
        <w:rPr>
          <w:rFonts w:ascii="Arial" w:hAnsi="Arial" w:cs="Arial"/>
          <w:sz w:val="28"/>
        </w:rPr>
      </w:pPr>
      <w:r>
        <w:rPr>
          <w:rFonts w:ascii="Arial" w:hAnsi="Arial" w:cs="Arial"/>
          <w:sz w:val="28"/>
        </w:rPr>
        <w:t>7.委托方或者本咨询报告使用人应按照法律规定和咨询报告载明的使用范围使用本咨询报告。委托方或者咨询报告使用人违反前述规定使用本咨询报告的，估价机构和评估专业人员不承担责任。</w:t>
      </w:r>
    </w:p>
    <w:p w14:paraId="43AC52D5">
      <w:pPr>
        <w:snapToGrid w:val="0"/>
        <w:spacing w:line="360" w:lineRule="auto"/>
        <w:ind w:firstLine="570"/>
        <w:jc w:val="both"/>
        <w:rPr>
          <w:rFonts w:ascii="Arial" w:hAnsi="Arial" w:cs="Arial"/>
          <w:sz w:val="28"/>
        </w:rPr>
      </w:pPr>
      <w:r>
        <w:rPr>
          <w:rFonts w:ascii="Arial" w:hAnsi="Arial" w:cs="Arial"/>
          <w:sz w:val="28"/>
        </w:rPr>
        <w:t>8.除委托方、估价委托合同中约定的其他咨询报告使用人和法律、行政法规规定的咨询报告使用人之外，其他任何机构和个人不能成为咨询报告的使用人。</w:t>
      </w:r>
    </w:p>
    <w:p w14:paraId="7799CD69">
      <w:pPr>
        <w:snapToGrid w:val="0"/>
        <w:spacing w:line="360" w:lineRule="auto"/>
        <w:ind w:firstLine="570"/>
        <w:jc w:val="both"/>
        <w:rPr>
          <w:rFonts w:ascii="Arial" w:hAnsi="Arial" w:cs="Arial"/>
          <w:sz w:val="28"/>
        </w:rPr>
      </w:pPr>
      <w:r>
        <w:rPr>
          <w:rFonts w:ascii="Arial" w:hAnsi="Arial" w:cs="Arial"/>
          <w:sz w:val="28"/>
        </w:rPr>
        <w:t>9.咨询报告使用人应当正确理解估价结论。估价结论不等同于咨询对象可实现价格，估价结论不应当被认为是对咨询对象可实现价格的保证。</w:t>
      </w:r>
    </w:p>
    <w:p w14:paraId="0628F8F9">
      <w:pPr>
        <w:snapToGrid w:val="0"/>
        <w:spacing w:line="360" w:lineRule="auto"/>
        <w:ind w:firstLine="570"/>
        <w:jc w:val="both"/>
        <w:rPr>
          <w:rFonts w:ascii="Arial" w:hAnsi="Arial" w:cs="Arial"/>
          <w:sz w:val="28"/>
        </w:rPr>
      </w:pPr>
      <w:r>
        <w:rPr>
          <w:rFonts w:ascii="Arial" w:hAnsi="Arial" w:cs="Arial"/>
          <w:sz w:val="28"/>
        </w:rPr>
        <w:t>10.本报告所确定的土地价格仅供了解咨询对象作价入股价格参考，若违反特定用途使用本土地评估报告和咨询结果，由此引出的一切法律责任由使用者自负。</w:t>
      </w:r>
    </w:p>
    <w:p w14:paraId="07A1CB17">
      <w:pPr>
        <w:snapToGrid w:val="0"/>
        <w:spacing w:line="360" w:lineRule="auto"/>
        <w:ind w:firstLine="570"/>
        <w:jc w:val="both"/>
        <w:rPr>
          <w:rFonts w:ascii="Arial" w:hAnsi="Arial" w:cs="Arial"/>
          <w:sz w:val="28"/>
        </w:rPr>
      </w:pPr>
      <w:r>
        <w:rPr>
          <w:rFonts w:ascii="Arial" w:hAnsi="Arial" w:cs="Arial"/>
          <w:sz w:val="28"/>
        </w:rPr>
        <w:t>1</w:t>
      </w:r>
      <w:r>
        <w:rPr>
          <w:rFonts w:hint="eastAsia" w:ascii="Arial" w:hAnsi="Arial" w:cs="Arial"/>
          <w:sz w:val="28"/>
        </w:rPr>
        <w:t>1</w:t>
      </w:r>
      <w:r>
        <w:rPr>
          <w:rFonts w:ascii="Arial" w:hAnsi="Arial" w:cs="Arial"/>
          <w:sz w:val="28"/>
        </w:rPr>
        <w:t>.报告有效期限为报告出具之日起壹年内有效。</w:t>
      </w:r>
    </w:p>
    <w:p w14:paraId="73C965FA">
      <w:pPr>
        <w:snapToGrid w:val="0"/>
        <w:spacing w:line="360" w:lineRule="auto"/>
        <w:ind w:firstLine="570"/>
        <w:jc w:val="both"/>
        <w:rPr>
          <w:rFonts w:ascii="Arial" w:hAnsi="Arial" w:cs="Arial"/>
          <w:sz w:val="28"/>
        </w:rPr>
      </w:pPr>
      <w:r>
        <w:rPr>
          <w:rFonts w:ascii="Arial" w:hAnsi="Arial" w:cs="Arial"/>
          <w:kern w:val="2"/>
          <w:sz w:val="28"/>
        </w:rPr>
        <w:t>1</w:t>
      </w:r>
      <w:r>
        <w:rPr>
          <w:rFonts w:hint="eastAsia" w:ascii="Arial" w:hAnsi="Arial" w:cs="Arial"/>
          <w:kern w:val="2"/>
          <w:sz w:val="28"/>
        </w:rPr>
        <w:t>2</w:t>
      </w:r>
      <w:r>
        <w:rPr>
          <w:rFonts w:ascii="Arial" w:hAnsi="Arial" w:cs="Arial"/>
          <w:sz w:val="28"/>
        </w:rPr>
        <w:t>.本次土地咨询报告的使用权归</w:t>
      </w:r>
      <w:r>
        <w:rPr>
          <w:rFonts w:hint="eastAsia" w:ascii="Arial" w:hAnsi="Arial" w:cs="Arial"/>
          <w:sz w:val="28"/>
        </w:rPr>
        <w:t>北京保障房中心有限公司</w:t>
      </w:r>
      <w:r>
        <w:rPr>
          <w:rFonts w:ascii="Arial" w:hAnsi="Arial" w:cs="Arial"/>
          <w:sz w:val="28"/>
        </w:rPr>
        <w:t>，土地咨询报告由北京康正宏基房地产评估有限公司负责解释。</w:t>
      </w:r>
    </w:p>
    <w:p w14:paraId="39956230">
      <w:pPr>
        <w:snapToGrid w:val="0"/>
        <w:spacing w:line="360" w:lineRule="auto"/>
        <w:jc w:val="both"/>
        <w:textAlignment w:val="bottom"/>
        <w:rPr>
          <w:rFonts w:ascii="Arial" w:hAnsi="Arial" w:cs="Arial"/>
          <w:sz w:val="28"/>
        </w:rPr>
      </w:pPr>
      <w:r>
        <w:rPr>
          <w:rFonts w:ascii="Arial" w:hAnsi="Arial" w:cs="Arial"/>
          <w:sz w:val="28"/>
        </w:rPr>
        <w:t>（三）需要特殊说明的事项</w:t>
      </w:r>
    </w:p>
    <w:p w14:paraId="0D37ABA4">
      <w:pPr>
        <w:snapToGrid w:val="0"/>
        <w:spacing w:line="360" w:lineRule="auto"/>
        <w:ind w:firstLine="560" w:firstLineChars="200"/>
        <w:jc w:val="both"/>
        <w:textAlignment w:val="bottom"/>
        <w:rPr>
          <w:rFonts w:ascii="Arial" w:hAnsi="Arial" w:cs="Arial"/>
          <w:sz w:val="28"/>
        </w:rPr>
      </w:pPr>
      <w:r>
        <w:rPr>
          <w:rFonts w:ascii="Arial" w:hAnsi="Arial" w:cs="Arial"/>
          <w:sz w:val="28"/>
        </w:rPr>
        <w:t>1.资料来源说明</w:t>
      </w:r>
    </w:p>
    <w:p w14:paraId="3008F911">
      <w:pPr>
        <w:snapToGrid w:val="0"/>
        <w:spacing w:line="360" w:lineRule="auto"/>
        <w:ind w:firstLine="560" w:firstLineChars="200"/>
        <w:jc w:val="both"/>
        <w:textAlignment w:val="bottom"/>
        <w:rPr>
          <w:rFonts w:ascii="Arial" w:hAnsi="Arial" w:cs="Arial"/>
          <w:sz w:val="28"/>
        </w:rPr>
      </w:pPr>
      <w:r>
        <w:rPr>
          <w:rFonts w:ascii="Arial" w:hAnsi="Arial" w:cs="Arial"/>
          <w:sz w:val="28"/>
        </w:rPr>
        <w:t>（1）咨询对象的土地、房屋权属资料、土地利用状况、评估项目相关资料由委托方提供。</w:t>
      </w:r>
    </w:p>
    <w:p w14:paraId="017FC77A">
      <w:pPr>
        <w:snapToGrid w:val="0"/>
        <w:spacing w:line="360" w:lineRule="auto"/>
        <w:ind w:firstLine="560" w:firstLineChars="200"/>
        <w:jc w:val="both"/>
        <w:textAlignment w:val="bottom"/>
        <w:rPr>
          <w:rFonts w:ascii="Arial" w:hAnsi="Arial" w:cs="Arial"/>
          <w:sz w:val="28"/>
        </w:rPr>
      </w:pPr>
      <w:r>
        <w:rPr>
          <w:rFonts w:ascii="Arial" w:hAnsi="Arial" w:cs="Arial"/>
          <w:sz w:val="28"/>
        </w:rPr>
        <w:t>（2）土地区位条件、地产市场交易资料、土地利用现状照片等相关资料由评估专业人员实地调查取得。</w:t>
      </w:r>
    </w:p>
    <w:p w14:paraId="60A664AE">
      <w:pPr>
        <w:snapToGrid w:val="0"/>
        <w:spacing w:line="360" w:lineRule="auto"/>
        <w:ind w:firstLine="560" w:firstLineChars="200"/>
        <w:jc w:val="both"/>
        <w:textAlignment w:val="bottom"/>
        <w:rPr>
          <w:rFonts w:ascii="Arial" w:hAnsi="Arial" w:cs="Arial"/>
          <w:sz w:val="28"/>
        </w:rPr>
      </w:pPr>
      <w:r>
        <w:rPr>
          <w:rFonts w:ascii="Arial" w:hAnsi="Arial" w:cs="Arial"/>
          <w:sz w:val="28"/>
        </w:rPr>
        <w:t>（3）区域经济发展状况、统计数据、城市规划资料、基准地价资料等由评估专业人员通过政府相关部门获取。</w:t>
      </w:r>
    </w:p>
    <w:p w14:paraId="3DBDEB94">
      <w:pPr>
        <w:snapToGrid w:val="0"/>
        <w:spacing w:line="360" w:lineRule="auto"/>
        <w:ind w:firstLine="560" w:firstLineChars="200"/>
        <w:jc w:val="both"/>
        <w:textAlignment w:val="bottom"/>
        <w:rPr>
          <w:rFonts w:ascii="Arial" w:hAnsi="Arial" w:cs="Arial"/>
          <w:sz w:val="28"/>
        </w:rPr>
      </w:pPr>
      <w:r>
        <w:rPr>
          <w:rFonts w:ascii="Arial" w:hAnsi="Arial" w:cs="Arial"/>
          <w:sz w:val="28"/>
        </w:rPr>
        <w:t>（4）估价中的相关参数资料由评估专业人员通过政府部门相关文件规定、公开媒体等多种途径获取。</w:t>
      </w:r>
    </w:p>
    <w:p w14:paraId="648A8846">
      <w:pPr>
        <w:snapToGrid w:val="0"/>
        <w:spacing w:line="360" w:lineRule="auto"/>
        <w:ind w:firstLine="560" w:firstLineChars="200"/>
        <w:jc w:val="both"/>
        <w:textAlignment w:val="bottom"/>
        <w:rPr>
          <w:rFonts w:ascii="Arial" w:hAnsi="Arial" w:cs="Arial"/>
          <w:sz w:val="28"/>
        </w:rPr>
      </w:pPr>
      <w:r>
        <w:rPr>
          <w:rFonts w:ascii="Arial" w:hAnsi="Arial" w:cs="Arial"/>
          <w:sz w:val="28"/>
        </w:rPr>
        <w:t>（5）评估专业人员结合执业经验，对上述相关评估资料的真实性、合法性、有效性、适用性进行了尽职核实、专业判断。委托方对所提供资料的真实性负责，估价机构对所收集资料的真实性、准确性负责。</w:t>
      </w:r>
    </w:p>
    <w:p w14:paraId="6C5DB1CC">
      <w:pPr>
        <w:snapToGrid w:val="0"/>
        <w:spacing w:line="360" w:lineRule="auto"/>
        <w:ind w:firstLine="560" w:firstLineChars="200"/>
        <w:jc w:val="both"/>
        <w:textAlignment w:val="bottom"/>
        <w:rPr>
          <w:rFonts w:ascii="Arial" w:hAnsi="Arial" w:cs="Arial"/>
          <w:sz w:val="28"/>
        </w:rPr>
      </w:pPr>
      <w:r>
        <w:rPr>
          <w:rFonts w:ascii="Arial" w:hAnsi="Arial" w:cs="Arial"/>
          <w:sz w:val="28"/>
        </w:rPr>
        <w:t>2.有关参数确定及使用说明</w:t>
      </w:r>
    </w:p>
    <w:p w14:paraId="2BD88B24">
      <w:pPr>
        <w:snapToGrid w:val="0"/>
        <w:spacing w:line="360" w:lineRule="auto"/>
        <w:ind w:firstLine="560" w:firstLineChars="200"/>
        <w:jc w:val="both"/>
        <w:textAlignment w:val="bottom"/>
        <w:rPr>
          <w:rFonts w:ascii="Arial" w:hAnsi="Arial" w:cs="Arial"/>
          <w:sz w:val="28"/>
        </w:rPr>
      </w:pPr>
      <w:r>
        <w:rPr>
          <w:rFonts w:ascii="Arial" w:hAnsi="Arial" w:cs="Arial"/>
          <w:sz w:val="28"/>
        </w:rPr>
        <w:t>（1）本次评估咨询对象准确建筑面积应以委托方最终取得的《集体土地所有权证》为准。如本次咨询报告采用的建筑面积与最终取得的《集体土地所有权证》上所登记的咨询对象建筑面积不一致，咨询结果将进行相应调整。</w:t>
      </w:r>
    </w:p>
    <w:p w14:paraId="3ECE5848">
      <w:pPr>
        <w:snapToGrid w:val="0"/>
        <w:spacing w:line="360" w:lineRule="auto"/>
        <w:ind w:firstLine="560" w:firstLineChars="200"/>
        <w:jc w:val="both"/>
        <w:textAlignment w:val="bottom"/>
        <w:rPr>
          <w:rFonts w:ascii="Arial" w:hAnsi="Arial" w:cs="Arial"/>
          <w:sz w:val="28"/>
        </w:rPr>
      </w:pPr>
      <w:r>
        <w:rPr>
          <w:rFonts w:ascii="Arial" w:hAnsi="Arial" w:cs="Arial"/>
          <w:sz w:val="28"/>
        </w:rPr>
        <w:t>（2）本咨询报告中数据全部采用电算化连续计算得出，由于在报告中计算的数据均按四舍五入保留两位小数或取整，故可能出现个别等式左右不完全相等的情况，但不影响计算结果及最终评估结论的准确性。</w:t>
      </w:r>
    </w:p>
    <w:p w14:paraId="008003B4">
      <w:pPr>
        <w:snapToGrid w:val="0"/>
        <w:spacing w:line="360" w:lineRule="auto"/>
        <w:ind w:firstLine="560" w:firstLineChars="200"/>
        <w:jc w:val="both"/>
        <w:textAlignment w:val="bottom"/>
        <w:rPr>
          <w:rFonts w:ascii="Arial" w:hAnsi="Arial" w:cs="Arial"/>
          <w:sz w:val="28"/>
        </w:rPr>
      </w:pPr>
    </w:p>
    <w:p w14:paraId="03A11C3F">
      <w:pPr>
        <w:snapToGrid w:val="0"/>
        <w:spacing w:line="360" w:lineRule="auto"/>
        <w:ind w:firstLine="570"/>
        <w:jc w:val="both"/>
        <w:rPr>
          <w:rFonts w:ascii="Arial" w:hAnsi="Arial" w:cs="Arial"/>
          <w:sz w:val="28"/>
        </w:rPr>
        <w:sectPr>
          <w:pgSz w:w="11907" w:h="16840"/>
          <w:pgMar w:top="1843" w:right="1304" w:bottom="1134" w:left="1304" w:header="1134" w:footer="907" w:gutter="0"/>
          <w:cols w:space="720" w:num="1"/>
          <w:docGrid w:linePitch="326" w:charSpace="0"/>
        </w:sectPr>
      </w:pPr>
    </w:p>
    <w:p w14:paraId="5478F80C">
      <w:pPr>
        <w:spacing w:line="360" w:lineRule="auto"/>
        <w:jc w:val="center"/>
        <w:outlineLvl w:val="0"/>
        <w:rPr>
          <w:rFonts w:ascii="Arial" w:hAnsi="Arial" w:cs="Arial"/>
          <w:b/>
          <w:sz w:val="32"/>
        </w:rPr>
      </w:pPr>
      <w:bookmarkStart w:id="145" w:name="_Toc416783538"/>
      <w:bookmarkStart w:id="146" w:name="_Toc469066321"/>
      <w:bookmarkStart w:id="147" w:name="_Toc418750901"/>
      <w:bookmarkStart w:id="148" w:name="_Toc7225"/>
      <w:bookmarkStart w:id="149" w:name="_Toc1214"/>
      <w:bookmarkStart w:id="150" w:name="_Toc26703"/>
      <w:bookmarkStart w:id="151" w:name="_Toc425250323"/>
      <w:r>
        <w:rPr>
          <w:rFonts w:ascii="Arial" w:hAnsi="Arial" w:cs="Arial"/>
          <w:b/>
          <w:sz w:val="32"/>
        </w:rPr>
        <w:t>第四部分  附  件</w:t>
      </w:r>
      <w:bookmarkEnd w:id="145"/>
      <w:bookmarkEnd w:id="146"/>
      <w:bookmarkEnd w:id="147"/>
      <w:bookmarkEnd w:id="148"/>
      <w:bookmarkEnd w:id="149"/>
      <w:bookmarkEnd w:id="150"/>
      <w:bookmarkEnd w:id="151"/>
    </w:p>
    <w:p w14:paraId="30BA29E4">
      <w:pPr>
        <w:spacing w:line="360" w:lineRule="auto"/>
        <w:ind w:firstLine="560" w:firstLineChars="200"/>
        <w:jc w:val="both"/>
        <w:rPr>
          <w:rFonts w:ascii="Arial" w:hAnsi="Arial" w:cs="Arial"/>
          <w:sz w:val="28"/>
        </w:rPr>
      </w:pPr>
    </w:p>
    <w:p w14:paraId="430722A4">
      <w:pPr>
        <w:spacing w:line="360" w:lineRule="auto"/>
        <w:ind w:firstLine="560" w:firstLineChars="200"/>
        <w:jc w:val="both"/>
        <w:rPr>
          <w:rFonts w:ascii="Arial" w:hAnsi="Arial" w:cs="Arial"/>
          <w:sz w:val="28"/>
        </w:rPr>
      </w:pPr>
      <w:r>
        <w:rPr>
          <w:rFonts w:ascii="Arial" w:hAnsi="Arial" w:cs="Arial"/>
          <w:sz w:val="28"/>
        </w:rPr>
        <w:t>1.咨询对象所在位置示意图</w:t>
      </w:r>
    </w:p>
    <w:p w14:paraId="2EDEA84F">
      <w:pPr>
        <w:spacing w:line="360" w:lineRule="auto"/>
        <w:ind w:firstLine="560" w:firstLineChars="200"/>
        <w:jc w:val="both"/>
        <w:rPr>
          <w:rFonts w:ascii="Arial" w:hAnsi="Arial" w:cs="Arial"/>
          <w:sz w:val="28"/>
        </w:rPr>
      </w:pPr>
      <w:r>
        <w:rPr>
          <w:rFonts w:hint="eastAsia" w:ascii="Arial" w:hAnsi="Arial" w:cs="Arial"/>
          <w:sz w:val="28"/>
        </w:rPr>
        <w:t>2</w:t>
      </w:r>
      <w:r>
        <w:rPr>
          <w:rFonts w:ascii="Arial" w:hAnsi="Arial" w:cs="Arial"/>
          <w:sz w:val="28"/>
        </w:rPr>
        <w:t>.</w:t>
      </w:r>
      <w:r>
        <w:rPr>
          <w:rFonts w:ascii="Arial" w:hAnsi="Arial" w:cs="Arial"/>
          <w:sz w:val="28"/>
          <w:szCs w:val="28"/>
        </w:rPr>
        <w:t>咨询对象实地勘察相关照片</w:t>
      </w:r>
    </w:p>
    <w:p w14:paraId="07CC2CAA">
      <w:pPr>
        <w:spacing w:line="360" w:lineRule="auto"/>
        <w:ind w:firstLine="560" w:firstLineChars="200"/>
        <w:jc w:val="both"/>
        <w:rPr>
          <w:rFonts w:ascii="Arial" w:hAnsi="Arial" w:cs="Arial"/>
          <w:sz w:val="28"/>
        </w:rPr>
      </w:pPr>
      <w:r>
        <w:rPr>
          <w:rFonts w:hint="eastAsia" w:ascii="Arial" w:hAnsi="Arial" w:cs="Arial"/>
          <w:sz w:val="28"/>
        </w:rPr>
        <w:t>3</w:t>
      </w:r>
      <w:r>
        <w:rPr>
          <w:rFonts w:ascii="Arial" w:hAnsi="Arial" w:cs="Arial"/>
          <w:sz w:val="28"/>
        </w:rPr>
        <w:t>.委托方《营业执照（副本）》复印件</w:t>
      </w:r>
    </w:p>
    <w:p w14:paraId="1235BAF6">
      <w:pPr>
        <w:spacing w:line="360" w:lineRule="auto"/>
        <w:ind w:firstLine="560" w:firstLineChars="200"/>
        <w:jc w:val="both"/>
        <w:rPr>
          <w:rFonts w:ascii="Arial" w:hAnsi="Arial" w:cs="Arial"/>
          <w:sz w:val="28"/>
        </w:rPr>
      </w:pPr>
      <w:r>
        <w:rPr>
          <w:rFonts w:hint="eastAsia" w:ascii="Arial" w:hAnsi="Arial" w:cs="Arial"/>
          <w:sz w:val="28"/>
        </w:rPr>
        <w:t>4</w:t>
      </w:r>
      <w:r>
        <w:rPr>
          <w:rFonts w:ascii="Arial" w:hAnsi="Arial" w:cs="Arial"/>
          <w:sz w:val="28"/>
        </w:rPr>
        <w:t>.估价机构《营业执照（副本）》复印件</w:t>
      </w:r>
    </w:p>
    <w:p w14:paraId="15D81791">
      <w:pPr>
        <w:spacing w:line="360" w:lineRule="auto"/>
        <w:ind w:firstLine="560" w:firstLineChars="200"/>
        <w:jc w:val="both"/>
        <w:rPr>
          <w:rFonts w:ascii="Arial" w:hAnsi="Arial" w:cs="Arial"/>
          <w:sz w:val="28"/>
        </w:rPr>
      </w:pPr>
      <w:r>
        <w:rPr>
          <w:rFonts w:hint="eastAsia" w:ascii="Arial" w:hAnsi="Arial" w:cs="Arial"/>
          <w:sz w:val="28"/>
        </w:rPr>
        <w:t>5</w:t>
      </w:r>
      <w:r>
        <w:rPr>
          <w:rFonts w:ascii="Arial" w:hAnsi="Arial" w:cs="Arial"/>
          <w:sz w:val="28"/>
        </w:rPr>
        <w:t>.估价机构估价资格证书复印件</w:t>
      </w:r>
    </w:p>
    <w:p w14:paraId="4578E425">
      <w:pPr>
        <w:spacing w:line="360" w:lineRule="auto"/>
        <w:ind w:firstLine="560" w:firstLineChars="200"/>
        <w:jc w:val="both"/>
        <w:rPr>
          <w:rFonts w:ascii="Arial" w:hAnsi="Arial" w:cs="Arial"/>
          <w:sz w:val="28"/>
        </w:rPr>
      </w:pPr>
    </w:p>
    <w:p w14:paraId="2C9E14D6">
      <w:pPr>
        <w:spacing w:line="360" w:lineRule="auto"/>
        <w:ind w:left="840" w:hanging="840" w:hangingChars="300"/>
        <w:jc w:val="both"/>
        <w:rPr>
          <w:rFonts w:ascii="Arial" w:hAnsi="Arial" w:cs="Arial"/>
          <w:sz w:val="28"/>
        </w:rPr>
        <w:sectPr>
          <w:headerReference r:id="rId26" w:type="first"/>
          <w:pgSz w:w="11907" w:h="16840"/>
          <w:pgMar w:top="1843" w:right="1304" w:bottom="1134" w:left="1304" w:header="1134" w:footer="907" w:gutter="0"/>
          <w:cols w:space="720" w:num="1"/>
          <w:titlePg/>
          <w:docGrid w:linePitch="326" w:charSpace="0"/>
        </w:sectPr>
      </w:pPr>
    </w:p>
    <w:p w14:paraId="71B5F3F5">
      <w:pPr>
        <w:spacing w:line="432" w:lineRule="auto"/>
        <w:ind w:left="840" w:hanging="840" w:hangingChars="300"/>
        <w:jc w:val="both"/>
        <w:rPr>
          <w:rFonts w:ascii="Arial" w:hAnsi="Arial" w:cs="Arial"/>
          <w:sz w:val="28"/>
        </w:rPr>
      </w:pPr>
    </w:p>
    <w:p w14:paraId="0AE54A09">
      <w:pPr>
        <w:spacing w:line="432" w:lineRule="auto"/>
        <w:jc w:val="center"/>
        <w:rPr>
          <w:rFonts w:ascii="Arial" w:hAnsi="Arial" w:cs="Arial"/>
          <w:sz w:val="44"/>
        </w:rPr>
      </w:pPr>
      <w:bookmarkStart w:id="152" w:name="_Toc418750902"/>
      <w:bookmarkStart w:id="153" w:name="_Toc416783635"/>
      <w:bookmarkStart w:id="154" w:name="_Toc416783539"/>
      <w:r>
        <w:rPr>
          <w:rFonts w:ascii="Arial" w:hAnsi="Arial" w:cs="Arial"/>
          <w:b/>
          <w:sz w:val="44"/>
        </w:rPr>
        <w:t xml:space="preserve">土 地 </w:t>
      </w:r>
      <w:r>
        <w:rPr>
          <w:rFonts w:hint="eastAsia" w:ascii="Arial" w:hAnsi="Arial" w:cs="Arial"/>
          <w:b/>
          <w:sz w:val="44"/>
        </w:rPr>
        <w:t>咨 询</w:t>
      </w:r>
      <w:r>
        <w:rPr>
          <w:rFonts w:ascii="Arial" w:hAnsi="Arial" w:cs="Arial"/>
          <w:b/>
          <w:sz w:val="44"/>
        </w:rPr>
        <w:t xml:space="preserve"> 技 术 报 告</w:t>
      </w:r>
      <w:bookmarkEnd w:id="152"/>
      <w:bookmarkEnd w:id="153"/>
      <w:bookmarkEnd w:id="154"/>
    </w:p>
    <w:p w14:paraId="37EE5637">
      <w:pPr>
        <w:spacing w:line="432" w:lineRule="auto"/>
        <w:jc w:val="center"/>
        <w:rPr>
          <w:rFonts w:ascii="Arial" w:hAnsi="Arial" w:cs="Arial"/>
          <w:sz w:val="44"/>
        </w:rPr>
      </w:pPr>
    </w:p>
    <w:p w14:paraId="660BE4EC">
      <w:pPr>
        <w:spacing w:line="432" w:lineRule="auto"/>
        <w:jc w:val="center"/>
        <w:rPr>
          <w:rFonts w:ascii="Arial" w:hAnsi="Arial" w:cs="Arial"/>
          <w:sz w:val="44"/>
        </w:rPr>
      </w:pPr>
    </w:p>
    <w:p w14:paraId="0A10654E">
      <w:pPr>
        <w:spacing w:line="432" w:lineRule="auto"/>
        <w:jc w:val="center"/>
        <w:rPr>
          <w:rFonts w:ascii="Arial" w:hAnsi="Arial" w:cs="Arial"/>
          <w:bCs/>
          <w:sz w:val="32"/>
        </w:rPr>
      </w:pPr>
    </w:p>
    <w:p w14:paraId="454581C0">
      <w:pPr>
        <w:spacing w:line="432" w:lineRule="auto"/>
        <w:ind w:left="2201" w:hanging="2201" w:hangingChars="685"/>
        <w:jc w:val="both"/>
        <w:rPr>
          <w:rFonts w:ascii="Arial" w:hAnsi="Arial" w:cs="Arial"/>
          <w:b/>
          <w:i/>
          <w:sz w:val="28"/>
          <w:szCs w:val="28"/>
        </w:rPr>
      </w:pPr>
      <w:r>
        <w:rPr>
          <w:rFonts w:ascii="Arial" w:hAnsi="Arial" w:cs="Arial"/>
          <w:b/>
          <w:sz w:val="32"/>
        </w:rPr>
        <w:t>项  目 名 称：</w:t>
      </w:r>
      <w:r>
        <w:rPr>
          <w:rFonts w:hint="eastAsia" w:ascii="Arial" w:hAnsi="Arial" w:cs="Arial"/>
          <w:b/>
          <w:sz w:val="32"/>
        </w:rPr>
        <w:t>北京市昌平区马池口镇百泉庄村集体土地租赁住房项目集体经营性建设用地使用权地价评估</w:t>
      </w:r>
    </w:p>
    <w:p w14:paraId="240A0884">
      <w:pPr>
        <w:spacing w:line="432" w:lineRule="auto"/>
        <w:rPr>
          <w:rFonts w:ascii="Arial" w:hAnsi="Arial" w:cs="Arial"/>
          <w:b/>
          <w:bCs/>
          <w:sz w:val="32"/>
        </w:rPr>
      </w:pPr>
      <w:r>
        <w:rPr>
          <w:rFonts w:ascii="Arial" w:hAnsi="Arial" w:cs="Arial"/>
          <w:b/>
          <w:sz w:val="32"/>
        </w:rPr>
        <w:t>受托单位：北京康正宏基房地产评估有限公司</w:t>
      </w:r>
    </w:p>
    <w:p w14:paraId="5E6DB14B">
      <w:pPr>
        <w:spacing w:line="432" w:lineRule="auto"/>
        <w:ind w:right="-327"/>
        <w:rPr>
          <w:rFonts w:ascii="Arial" w:hAnsi="Arial" w:cs="Arial"/>
          <w:b/>
          <w:bCs/>
          <w:sz w:val="32"/>
        </w:rPr>
      </w:pPr>
      <w:bookmarkStart w:id="155" w:name="_Toc418750903"/>
      <w:r>
        <w:rPr>
          <w:rFonts w:ascii="Arial" w:hAnsi="Arial" w:cs="Arial"/>
          <w:b/>
          <w:sz w:val="32"/>
        </w:rPr>
        <w:t>报告编号：康正评字202</w:t>
      </w:r>
      <w:r>
        <w:rPr>
          <w:rFonts w:hint="eastAsia" w:ascii="Arial" w:hAnsi="Arial" w:cs="Arial"/>
          <w:b/>
          <w:sz w:val="32"/>
        </w:rPr>
        <w:t>5</w:t>
      </w:r>
      <w:r>
        <w:rPr>
          <w:rFonts w:ascii="Arial" w:hAnsi="Arial" w:cs="Arial"/>
          <w:b/>
          <w:sz w:val="32"/>
        </w:rPr>
        <w:t>-1-0</w:t>
      </w:r>
      <w:r>
        <w:rPr>
          <w:rFonts w:hint="eastAsia" w:ascii="Arial" w:hAnsi="Arial" w:cs="Arial"/>
          <w:b/>
          <w:sz w:val="32"/>
        </w:rPr>
        <w:t>732</w:t>
      </w:r>
      <w:r>
        <w:rPr>
          <w:rFonts w:ascii="Arial" w:hAnsi="Arial" w:cs="Arial"/>
          <w:b/>
          <w:sz w:val="32"/>
        </w:rPr>
        <w:t>-F0</w:t>
      </w:r>
      <w:r>
        <w:rPr>
          <w:rFonts w:hint="eastAsia" w:ascii="Arial" w:hAnsi="Arial" w:cs="Arial"/>
          <w:b/>
          <w:sz w:val="32"/>
        </w:rPr>
        <w:t>1</w:t>
      </w:r>
      <w:r>
        <w:rPr>
          <w:rFonts w:ascii="Arial" w:hAnsi="Arial" w:cs="Arial"/>
          <w:b/>
          <w:sz w:val="32"/>
        </w:rPr>
        <w:t>TDCR6号</w:t>
      </w:r>
      <w:bookmarkEnd w:id="155"/>
    </w:p>
    <w:p w14:paraId="6BA9AA74">
      <w:pPr>
        <w:spacing w:line="432" w:lineRule="auto"/>
        <w:ind w:right="-207"/>
        <w:rPr>
          <w:rFonts w:ascii="Arial" w:hAnsi="Arial" w:cs="Arial"/>
          <w:b/>
          <w:bCs/>
          <w:spacing w:val="-10"/>
          <w:sz w:val="32"/>
        </w:rPr>
      </w:pPr>
      <w:bookmarkStart w:id="156" w:name="_Toc416783541"/>
      <w:bookmarkStart w:id="157" w:name="_Toc418750904"/>
      <w:bookmarkStart w:id="158" w:name="_Toc416783637"/>
      <w:r>
        <w:rPr>
          <w:rFonts w:ascii="Arial" w:hAnsi="Arial" w:cs="Arial"/>
          <w:b/>
          <w:bCs/>
          <w:spacing w:val="-10"/>
          <w:sz w:val="32"/>
        </w:rPr>
        <w:t>土地</w:t>
      </w:r>
      <w:r>
        <w:rPr>
          <w:rFonts w:hint="eastAsia" w:ascii="Arial" w:hAnsi="Arial" w:cs="Arial"/>
          <w:b/>
          <w:bCs/>
          <w:spacing w:val="-10"/>
          <w:sz w:val="32"/>
        </w:rPr>
        <w:t>咨询</w:t>
      </w:r>
      <w:r>
        <w:rPr>
          <w:rFonts w:ascii="Arial" w:hAnsi="Arial" w:cs="Arial"/>
          <w:b/>
          <w:bCs/>
          <w:spacing w:val="-10"/>
          <w:sz w:val="32"/>
        </w:rPr>
        <w:t>技术报告编号：</w:t>
      </w:r>
      <w:r>
        <w:rPr>
          <w:rFonts w:ascii="Arial" w:hAnsi="Arial" w:cs="Arial"/>
          <w:b/>
          <w:bCs/>
          <w:sz w:val="32"/>
        </w:rPr>
        <w:t>康正技评字</w:t>
      </w:r>
      <w:r>
        <w:rPr>
          <w:rFonts w:ascii="Arial" w:hAnsi="Arial" w:cs="Arial"/>
          <w:b/>
          <w:sz w:val="32"/>
        </w:rPr>
        <w:t>202</w:t>
      </w:r>
      <w:r>
        <w:rPr>
          <w:rFonts w:hint="eastAsia" w:ascii="Arial" w:hAnsi="Arial" w:cs="Arial"/>
          <w:b/>
          <w:sz w:val="32"/>
        </w:rPr>
        <w:t>5</w:t>
      </w:r>
      <w:r>
        <w:rPr>
          <w:rFonts w:ascii="Arial" w:hAnsi="Arial" w:cs="Arial"/>
          <w:b/>
          <w:sz w:val="32"/>
        </w:rPr>
        <w:t>-1-0</w:t>
      </w:r>
      <w:r>
        <w:rPr>
          <w:rFonts w:hint="eastAsia" w:ascii="Arial" w:hAnsi="Arial" w:cs="Arial"/>
          <w:b/>
          <w:sz w:val="32"/>
        </w:rPr>
        <w:t>732</w:t>
      </w:r>
      <w:r>
        <w:rPr>
          <w:rFonts w:ascii="Arial" w:hAnsi="Arial" w:cs="Arial"/>
          <w:b/>
          <w:sz w:val="32"/>
        </w:rPr>
        <w:t>-F0</w:t>
      </w:r>
      <w:r>
        <w:rPr>
          <w:rFonts w:hint="eastAsia" w:ascii="Arial" w:hAnsi="Arial" w:cs="Arial"/>
          <w:b/>
          <w:sz w:val="32"/>
        </w:rPr>
        <w:t>1</w:t>
      </w:r>
      <w:r>
        <w:rPr>
          <w:rFonts w:ascii="Arial" w:hAnsi="Arial" w:cs="Arial"/>
          <w:b/>
          <w:sz w:val="32"/>
        </w:rPr>
        <w:t>TDCR6</w:t>
      </w:r>
      <w:r>
        <w:rPr>
          <w:rFonts w:ascii="Arial" w:hAnsi="Arial" w:cs="Arial"/>
          <w:b/>
          <w:bCs/>
          <w:sz w:val="32"/>
        </w:rPr>
        <w:t>号</w:t>
      </w:r>
      <w:bookmarkEnd w:id="156"/>
      <w:bookmarkEnd w:id="157"/>
      <w:bookmarkEnd w:id="158"/>
    </w:p>
    <w:p w14:paraId="4B68A3BE">
      <w:pPr>
        <w:spacing w:line="432" w:lineRule="auto"/>
        <w:rPr>
          <w:rFonts w:ascii="Arial" w:hAnsi="Arial" w:cs="Arial"/>
          <w:b/>
          <w:bCs/>
          <w:spacing w:val="-20"/>
          <w:sz w:val="32"/>
        </w:rPr>
      </w:pPr>
      <w:r>
        <w:rPr>
          <w:rFonts w:ascii="Arial" w:hAnsi="Arial" w:cs="Arial"/>
          <w:b/>
          <w:bCs/>
          <w:sz w:val="32"/>
        </w:rPr>
        <w:t>提交报告日期：</w:t>
      </w:r>
      <w:r>
        <w:rPr>
          <w:rFonts w:hint="eastAsia" w:ascii="Arial" w:hAnsi="Arial" w:cs="Arial"/>
          <w:b/>
          <w:sz w:val="32"/>
        </w:rPr>
        <w:t>2025年7月1日</w:t>
      </w:r>
    </w:p>
    <w:p w14:paraId="5654E3CC">
      <w:pPr>
        <w:spacing w:line="240" w:lineRule="auto"/>
        <w:rPr>
          <w:rFonts w:ascii="Arial" w:hAnsi="Arial" w:cs="Arial"/>
          <w:b/>
          <w:bCs/>
          <w:sz w:val="32"/>
        </w:rPr>
      </w:pPr>
      <w:r>
        <w:rPr>
          <w:rFonts w:ascii="Arial" w:hAnsi="Arial" w:cs="Arial"/>
          <w:b/>
          <w:bCs/>
          <w:sz w:val="32"/>
        </w:rPr>
        <w:t>关键词：北京市、</w:t>
      </w:r>
      <w:r>
        <w:rPr>
          <w:rFonts w:hint="eastAsia" w:ascii="Arial" w:hAnsi="Arial" w:cs="Arial"/>
          <w:b/>
          <w:bCs/>
          <w:sz w:val="32"/>
        </w:rPr>
        <w:t>昌平</w:t>
      </w:r>
      <w:r>
        <w:rPr>
          <w:rFonts w:ascii="Arial" w:hAnsi="Arial" w:cs="Arial"/>
          <w:b/>
          <w:bCs/>
          <w:sz w:val="32"/>
        </w:rPr>
        <w:t>区</w:t>
      </w:r>
      <w:r>
        <w:rPr>
          <w:rFonts w:hint="eastAsia" w:ascii="Arial" w:hAnsi="Arial" w:cs="Arial"/>
          <w:b/>
          <w:bCs/>
          <w:sz w:val="32"/>
        </w:rPr>
        <w:t>、咨询</w:t>
      </w:r>
    </w:p>
    <w:p w14:paraId="61B1C540">
      <w:pPr>
        <w:spacing w:line="240" w:lineRule="auto"/>
        <w:ind w:firstLine="1285" w:firstLineChars="400"/>
        <w:rPr>
          <w:rFonts w:ascii="Arial" w:hAnsi="Arial" w:cs="Arial"/>
          <w:b/>
          <w:bCs/>
          <w:sz w:val="32"/>
        </w:rPr>
      </w:pPr>
      <w:r>
        <w:rPr>
          <w:rFonts w:ascii="Arial" w:hAnsi="Arial" w:cs="Arial"/>
          <w:b/>
          <w:bCs/>
          <w:sz w:val="32"/>
        </w:rPr>
        <w:t>北京康正宏基房地产评估有限公司</w:t>
      </w:r>
    </w:p>
    <w:p w14:paraId="7EDCB71B">
      <w:pPr>
        <w:spacing w:line="240" w:lineRule="auto"/>
        <w:rPr>
          <w:rFonts w:ascii="Arial" w:hAnsi="Arial" w:cs="Arial"/>
          <w:b/>
          <w:bCs/>
          <w:spacing w:val="-20"/>
          <w:sz w:val="32"/>
        </w:rPr>
      </w:pPr>
      <w:r>
        <w:rPr>
          <w:rFonts w:ascii="Arial" w:hAnsi="Arial" w:cs="Arial"/>
          <w:b/>
          <w:bCs/>
          <w:sz w:val="32"/>
        </w:rPr>
        <w:t xml:space="preserve">        二Ｏ二</w:t>
      </w:r>
      <w:r>
        <w:rPr>
          <w:rFonts w:hint="eastAsia" w:ascii="Arial" w:hAnsi="Arial" w:cs="Arial"/>
          <w:b/>
          <w:bCs/>
          <w:sz w:val="32"/>
        </w:rPr>
        <w:t>五</w:t>
      </w:r>
      <w:r>
        <w:rPr>
          <w:rFonts w:ascii="Arial" w:hAnsi="Arial" w:cs="Arial"/>
          <w:b/>
          <w:bCs/>
          <w:sz w:val="32"/>
        </w:rPr>
        <w:t>年</w:t>
      </w:r>
    </w:p>
    <w:p w14:paraId="69216576">
      <w:pPr>
        <w:spacing w:line="360" w:lineRule="auto"/>
        <w:rPr>
          <w:rFonts w:ascii="Arial" w:hAnsi="Arial" w:cs="Arial"/>
          <w:bCs/>
          <w:sz w:val="32"/>
        </w:rPr>
      </w:pPr>
    </w:p>
    <w:p w14:paraId="491B28C8">
      <w:pPr>
        <w:spacing w:line="360" w:lineRule="auto"/>
        <w:rPr>
          <w:rFonts w:ascii="Arial" w:hAnsi="Arial" w:cs="Arial"/>
          <w:bCs/>
          <w:sz w:val="32"/>
        </w:rPr>
        <w:sectPr>
          <w:headerReference r:id="rId27" w:type="first"/>
          <w:footerReference r:id="rId28" w:type="first"/>
          <w:pgSz w:w="11907" w:h="16840"/>
          <w:pgMar w:top="1843" w:right="1304" w:bottom="1134" w:left="1304" w:header="851" w:footer="1134" w:gutter="0"/>
          <w:pgNumType w:start="0"/>
          <w:cols w:space="720" w:num="1"/>
          <w:titlePg/>
          <w:docGrid w:linePitch="326" w:charSpace="0"/>
        </w:sectPr>
      </w:pPr>
    </w:p>
    <w:p w14:paraId="70B9B4E6">
      <w:pPr>
        <w:pStyle w:val="21"/>
        <w:rPr>
          <w:rFonts w:ascii="Arial" w:cs="Arial"/>
          <w:szCs w:val="24"/>
          <w:u w:val="single"/>
        </w:rPr>
      </w:pPr>
      <w:r>
        <w:rPr>
          <w:rFonts w:ascii="Arial" w:cs="Arial"/>
          <w:b/>
          <w:sz w:val="32"/>
          <w:szCs w:val="32"/>
        </w:rPr>
        <w:t>目录</w:t>
      </w:r>
      <w:r>
        <w:rPr>
          <w:rStyle w:val="37"/>
          <w:rFonts w:ascii="Arial" w:cs="Arial"/>
          <w:color w:val="auto"/>
          <w:szCs w:val="24"/>
        </w:rPr>
        <w:fldChar w:fldCharType="begin"/>
      </w:r>
      <w:r>
        <w:rPr>
          <w:rStyle w:val="37"/>
          <w:rFonts w:ascii="Arial" w:cs="Arial"/>
          <w:color w:val="auto"/>
          <w:szCs w:val="24"/>
        </w:rPr>
        <w:instrText xml:space="preserve"> TOC \o "1-2" \h \z \u </w:instrText>
      </w:r>
      <w:r>
        <w:rPr>
          <w:rStyle w:val="37"/>
          <w:rFonts w:ascii="Arial" w:cs="Arial"/>
          <w:color w:val="auto"/>
          <w:szCs w:val="24"/>
        </w:rPr>
        <w:fldChar w:fldCharType="separate"/>
      </w:r>
    </w:p>
    <w:p w14:paraId="4AF57A05">
      <w:pPr>
        <w:pStyle w:val="21"/>
        <w:tabs>
          <w:tab w:val="right" w:leader="dot" w:pos="9299"/>
          <w:tab w:val="clear" w:pos="840"/>
          <w:tab w:val="clear" w:pos="8654"/>
        </w:tabs>
      </w:pPr>
    </w:p>
    <w:p w14:paraId="6589FE42">
      <w:pPr>
        <w:pStyle w:val="21"/>
        <w:tabs>
          <w:tab w:val="right" w:leader="dot" w:pos="9299"/>
          <w:tab w:val="clear" w:pos="840"/>
          <w:tab w:val="clear" w:pos="8654"/>
        </w:tabs>
      </w:pPr>
      <w:r>
        <w:fldChar w:fldCharType="begin"/>
      </w:r>
      <w:r>
        <w:instrText xml:space="preserve"> HYPERLINK \l "_Toc3914" </w:instrText>
      </w:r>
      <w:r>
        <w:fldChar w:fldCharType="separate"/>
      </w:r>
      <w:r>
        <w:rPr>
          <w:rFonts w:ascii="Arial" w:cs="Arial"/>
        </w:rPr>
        <w:t>第一部分  总  述</w:t>
      </w:r>
      <w:r>
        <w:tab/>
      </w:r>
      <w:r>
        <w:fldChar w:fldCharType="begin"/>
      </w:r>
      <w:r>
        <w:instrText xml:space="preserve"> PAGEREF _Toc3914 \h </w:instrText>
      </w:r>
      <w:r>
        <w:fldChar w:fldCharType="separate"/>
      </w:r>
      <w:r>
        <w:t>1</w:t>
      </w:r>
      <w:r>
        <w:fldChar w:fldCharType="end"/>
      </w:r>
      <w:r>
        <w:fldChar w:fldCharType="end"/>
      </w:r>
    </w:p>
    <w:p w14:paraId="51BB9D0B">
      <w:pPr>
        <w:pStyle w:val="25"/>
        <w:tabs>
          <w:tab w:val="right" w:leader="dot" w:pos="9299"/>
          <w:tab w:val="clear" w:pos="8931"/>
        </w:tabs>
      </w:pPr>
      <w:r>
        <w:fldChar w:fldCharType="begin"/>
      </w:r>
      <w:r>
        <w:instrText xml:space="preserve"> HYPERLINK \l "_Toc8689" </w:instrText>
      </w:r>
      <w:r>
        <w:fldChar w:fldCharType="separate"/>
      </w:r>
      <w:r>
        <w:rPr>
          <w:rFonts w:ascii="Arial" w:hAnsi="Arial" w:cs="Arial"/>
        </w:rPr>
        <w:t>一、项目名称</w:t>
      </w:r>
      <w:r>
        <w:tab/>
      </w:r>
      <w:r>
        <w:fldChar w:fldCharType="begin"/>
      </w:r>
      <w:r>
        <w:instrText xml:space="preserve"> PAGEREF _Toc8689 \h </w:instrText>
      </w:r>
      <w:r>
        <w:fldChar w:fldCharType="separate"/>
      </w:r>
      <w:r>
        <w:t>1</w:t>
      </w:r>
      <w:r>
        <w:fldChar w:fldCharType="end"/>
      </w:r>
      <w:r>
        <w:fldChar w:fldCharType="end"/>
      </w:r>
    </w:p>
    <w:p w14:paraId="6B5F2CAA">
      <w:pPr>
        <w:pStyle w:val="25"/>
        <w:tabs>
          <w:tab w:val="right" w:leader="dot" w:pos="9299"/>
          <w:tab w:val="clear" w:pos="8931"/>
        </w:tabs>
      </w:pPr>
      <w:r>
        <w:fldChar w:fldCharType="begin"/>
      </w:r>
      <w:r>
        <w:instrText xml:space="preserve"> HYPERLINK \l "_Toc7709" </w:instrText>
      </w:r>
      <w:r>
        <w:fldChar w:fldCharType="separate"/>
      </w:r>
      <w:r>
        <w:rPr>
          <w:rFonts w:ascii="Arial" w:hAnsi="Arial" w:cs="Arial"/>
        </w:rPr>
        <w:t>二、委托方</w:t>
      </w:r>
      <w:r>
        <w:tab/>
      </w:r>
      <w:r>
        <w:fldChar w:fldCharType="begin"/>
      </w:r>
      <w:r>
        <w:instrText xml:space="preserve"> PAGEREF _Toc7709 \h </w:instrText>
      </w:r>
      <w:r>
        <w:fldChar w:fldCharType="separate"/>
      </w:r>
      <w:r>
        <w:t>1</w:t>
      </w:r>
      <w:r>
        <w:fldChar w:fldCharType="end"/>
      </w:r>
      <w:r>
        <w:fldChar w:fldCharType="end"/>
      </w:r>
    </w:p>
    <w:p w14:paraId="715FC947">
      <w:pPr>
        <w:pStyle w:val="25"/>
        <w:tabs>
          <w:tab w:val="right" w:leader="dot" w:pos="9299"/>
          <w:tab w:val="clear" w:pos="8931"/>
        </w:tabs>
      </w:pPr>
      <w:r>
        <w:fldChar w:fldCharType="begin"/>
      </w:r>
      <w:r>
        <w:instrText xml:space="preserve"> HYPERLINK \l "_Toc26149" </w:instrText>
      </w:r>
      <w:r>
        <w:fldChar w:fldCharType="separate"/>
      </w:r>
      <w:r>
        <w:rPr>
          <w:rFonts w:ascii="Arial" w:hAnsi="Arial" w:cs="Arial"/>
        </w:rPr>
        <w:t>三、受托估价方</w:t>
      </w:r>
      <w:r>
        <w:tab/>
      </w:r>
      <w:r>
        <w:fldChar w:fldCharType="begin"/>
      </w:r>
      <w:r>
        <w:instrText xml:space="preserve"> PAGEREF _Toc26149 \h </w:instrText>
      </w:r>
      <w:r>
        <w:fldChar w:fldCharType="separate"/>
      </w:r>
      <w:r>
        <w:t>1</w:t>
      </w:r>
      <w:r>
        <w:fldChar w:fldCharType="end"/>
      </w:r>
      <w:r>
        <w:fldChar w:fldCharType="end"/>
      </w:r>
    </w:p>
    <w:p w14:paraId="718B5704">
      <w:pPr>
        <w:pStyle w:val="25"/>
        <w:tabs>
          <w:tab w:val="right" w:leader="dot" w:pos="9299"/>
          <w:tab w:val="clear" w:pos="8931"/>
        </w:tabs>
      </w:pPr>
      <w:r>
        <w:fldChar w:fldCharType="begin"/>
      </w:r>
      <w:r>
        <w:instrText xml:space="preserve"> HYPERLINK \l "_Toc3481" </w:instrText>
      </w:r>
      <w:r>
        <w:fldChar w:fldCharType="separate"/>
      </w:r>
      <w:r>
        <w:rPr>
          <w:rFonts w:ascii="Arial" w:hAnsi="Arial" w:cs="Arial"/>
        </w:rPr>
        <w:t>四、咨询目的</w:t>
      </w:r>
      <w:r>
        <w:tab/>
      </w:r>
      <w:r>
        <w:fldChar w:fldCharType="begin"/>
      </w:r>
      <w:r>
        <w:instrText xml:space="preserve"> PAGEREF _Toc3481 \h </w:instrText>
      </w:r>
      <w:r>
        <w:fldChar w:fldCharType="separate"/>
      </w:r>
      <w:r>
        <w:t>1</w:t>
      </w:r>
      <w:r>
        <w:fldChar w:fldCharType="end"/>
      </w:r>
      <w:r>
        <w:fldChar w:fldCharType="end"/>
      </w:r>
    </w:p>
    <w:p w14:paraId="5301B408">
      <w:pPr>
        <w:pStyle w:val="25"/>
        <w:tabs>
          <w:tab w:val="right" w:leader="dot" w:pos="9299"/>
          <w:tab w:val="clear" w:pos="8931"/>
        </w:tabs>
      </w:pPr>
      <w:r>
        <w:fldChar w:fldCharType="begin"/>
      </w:r>
      <w:r>
        <w:instrText xml:space="preserve"> HYPERLINK \l "_Toc14597" </w:instrText>
      </w:r>
      <w:r>
        <w:fldChar w:fldCharType="separate"/>
      </w:r>
      <w:r>
        <w:rPr>
          <w:rFonts w:ascii="Arial" w:hAnsi="Arial" w:cs="Arial"/>
        </w:rPr>
        <w:t>五、估价依据</w:t>
      </w:r>
      <w:r>
        <w:tab/>
      </w:r>
      <w:r>
        <w:fldChar w:fldCharType="begin"/>
      </w:r>
      <w:r>
        <w:instrText xml:space="preserve"> PAGEREF _Toc14597 \h </w:instrText>
      </w:r>
      <w:r>
        <w:fldChar w:fldCharType="separate"/>
      </w:r>
      <w:r>
        <w:t>2</w:t>
      </w:r>
      <w:r>
        <w:fldChar w:fldCharType="end"/>
      </w:r>
      <w:r>
        <w:fldChar w:fldCharType="end"/>
      </w:r>
    </w:p>
    <w:p w14:paraId="44AA0B9A">
      <w:pPr>
        <w:pStyle w:val="25"/>
        <w:tabs>
          <w:tab w:val="right" w:leader="dot" w:pos="9299"/>
          <w:tab w:val="clear" w:pos="8931"/>
        </w:tabs>
      </w:pPr>
      <w:r>
        <w:fldChar w:fldCharType="begin"/>
      </w:r>
      <w:r>
        <w:instrText xml:space="preserve"> HYPERLINK \l "_Toc12314" </w:instrText>
      </w:r>
      <w:r>
        <w:fldChar w:fldCharType="separate"/>
      </w:r>
      <w:r>
        <w:rPr>
          <w:rFonts w:ascii="Arial" w:hAnsi="Arial" w:cs="Arial"/>
        </w:rPr>
        <w:t>六、咨询期日</w:t>
      </w:r>
      <w:r>
        <w:tab/>
      </w:r>
      <w:r>
        <w:fldChar w:fldCharType="begin"/>
      </w:r>
      <w:r>
        <w:instrText xml:space="preserve"> PAGEREF _Toc12314 \h </w:instrText>
      </w:r>
      <w:r>
        <w:fldChar w:fldCharType="separate"/>
      </w:r>
      <w:r>
        <w:t>4</w:t>
      </w:r>
      <w:r>
        <w:fldChar w:fldCharType="end"/>
      </w:r>
      <w:r>
        <w:fldChar w:fldCharType="end"/>
      </w:r>
    </w:p>
    <w:p w14:paraId="46B1EB7A">
      <w:pPr>
        <w:pStyle w:val="25"/>
        <w:tabs>
          <w:tab w:val="right" w:leader="dot" w:pos="9299"/>
          <w:tab w:val="clear" w:pos="8931"/>
        </w:tabs>
      </w:pPr>
      <w:r>
        <w:fldChar w:fldCharType="begin"/>
      </w:r>
      <w:r>
        <w:instrText xml:space="preserve"> HYPERLINK \l "_Toc705" </w:instrText>
      </w:r>
      <w:r>
        <w:fldChar w:fldCharType="separate"/>
      </w:r>
      <w:r>
        <w:rPr>
          <w:rFonts w:ascii="Arial" w:hAnsi="Arial" w:cs="Arial"/>
          <w:bCs/>
        </w:rPr>
        <w:t>七、咨询日期</w:t>
      </w:r>
      <w:r>
        <w:tab/>
      </w:r>
      <w:r>
        <w:fldChar w:fldCharType="begin"/>
      </w:r>
      <w:r>
        <w:instrText xml:space="preserve"> PAGEREF _Toc705 \h </w:instrText>
      </w:r>
      <w:r>
        <w:fldChar w:fldCharType="separate"/>
      </w:r>
      <w:r>
        <w:t>4</w:t>
      </w:r>
      <w:r>
        <w:fldChar w:fldCharType="end"/>
      </w:r>
      <w:r>
        <w:fldChar w:fldCharType="end"/>
      </w:r>
    </w:p>
    <w:p w14:paraId="2DD0AEF2">
      <w:pPr>
        <w:pStyle w:val="25"/>
        <w:tabs>
          <w:tab w:val="right" w:leader="dot" w:pos="9299"/>
          <w:tab w:val="clear" w:pos="8931"/>
        </w:tabs>
      </w:pPr>
      <w:r>
        <w:fldChar w:fldCharType="begin"/>
      </w:r>
      <w:r>
        <w:instrText xml:space="preserve"> HYPERLINK \l "_Toc14150" </w:instrText>
      </w:r>
      <w:r>
        <w:fldChar w:fldCharType="separate"/>
      </w:r>
      <w:r>
        <w:rPr>
          <w:rFonts w:ascii="Arial" w:cs="Arial"/>
          <w:bCs/>
        </w:rPr>
        <w:t>八、地价定义</w:t>
      </w:r>
      <w:r>
        <w:tab/>
      </w:r>
      <w:r>
        <w:fldChar w:fldCharType="begin"/>
      </w:r>
      <w:r>
        <w:instrText xml:space="preserve"> PAGEREF _Toc14150 \h </w:instrText>
      </w:r>
      <w:r>
        <w:fldChar w:fldCharType="separate"/>
      </w:r>
      <w:r>
        <w:t>4</w:t>
      </w:r>
      <w:r>
        <w:fldChar w:fldCharType="end"/>
      </w:r>
      <w:r>
        <w:fldChar w:fldCharType="end"/>
      </w:r>
    </w:p>
    <w:p w14:paraId="199DCF69">
      <w:pPr>
        <w:pStyle w:val="25"/>
        <w:tabs>
          <w:tab w:val="right" w:leader="dot" w:pos="9299"/>
          <w:tab w:val="clear" w:pos="8931"/>
        </w:tabs>
      </w:pPr>
      <w:r>
        <w:fldChar w:fldCharType="begin"/>
      </w:r>
      <w:r>
        <w:instrText xml:space="preserve"> HYPERLINK \l "_Toc22458" </w:instrText>
      </w:r>
      <w:r>
        <w:fldChar w:fldCharType="separate"/>
      </w:r>
      <w:r>
        <w:rPr>
          <w:rFonts w:ascii="Arial" w:hAnsi="Arial" w:cs="Arial"/>
        </w:rPr>
        <w:t>九、咨询结果</w:t>
      </w:r>
      <w:r>
        <w:tab/>
      </w:r>
      <w:r>
        <w:fldChar w:fldCharType="begin"/>
      </w:r>
      <w:r>
        <w:instrText xml:space="preserve"> PAGEREF _Toc22458 \h </w:instrText>
      </w:r>
      <w:r>
        <w:fldChar w:fldCharType="separate"/>
      </w:r>
      <w:r>
        <w:t>6</w:t>
      </w:r>
      <w:r>
        <w:fldChar w:fldCharType="end"/>
      </w:r>
      <w:r>
        <w:fldChar w:fldCharType="end"/>
      </w:r>
    </w:p>
    <w:p w14:paraId="1336A54F">
      <w:pPr>
        <w:pStyle w:val="25"/>
        <w:tabs>
          <w:tab w:val="right" w:leader="dot" w:pos="9299"/>
          <w:tab w:val="clear" w:pos="8931"/>
        </w:tabs>
      </w:pPr>
      <w:r>
        <w:fldChar w:fldCharType="begin"/>
      </w:r>
      <w:r>
        <w:instrText xml:space="preserve"> HYPERLINK \l "_Toc20239" </w:instrText>
      </w:r>
      <w:r>
        <w:fldChar w:fldCharType="separate"/>
      </w:r>
      <w:r>
        <w:rPr>
          <w:rFonts w:ascii="Arial" w:hAnsi="Arial" w:cs="Arial"/>
        </w:rPr>
        <w:t>十、需要特殊说明的事项</w:t>
      </w:r>
      <w:r>
        <w:tab/>
      </w:r>
      <w:r>
        <w:fldChar w:fldCharType="begin"/>
      </w:r>
      <w:r>
        <w:instrText xml:space="preserve"> PAGEREF _Toc20239 \h </w:instrText>
      </w:r>
      <w:r>
        <w:fldChar w:fldCharType="separate"/>
      </w:r>
      <w:r>
        <w:t>9</w:t>
      </w:r>
      <w:r>
        <w:fldChar w:fldCharType="end"/>
      </w:r>
      <w:r>
        <w:fldChar w:fldCharType="end"/>
      </w:r>
    </w:p>
    <w:p w14:paraId="57A72D19">
      <w:pPr>
        <w:pStyle w:val="25"/>
        <w:tabs>
          <w:tab w:val="right" w:leader="dot" w:pos="9299"/>
          <w:tab w:val="clear" w:pos="8931"/>
        </w:tabs>
      </w:pPr>
      <w:r>
        <w:fldChar w:fldCharType="begin"/>
      </w:r>
      <w:r>
        <w:instrText xml:space="preserve"> HYPERLINK \l "_Toc5980" </w:instrText>
      </w:r>
      <w:r>
        <w:fldChar w:fldCharType="separate"/>
      </w:r>
      <w:r>
        <w:rPr>
          <w:rFonts w:ascii="Arial" w:hAnsi="Arial" w:cs="Arial"/>
        </w:rPr>
        <w:t>十</w:t>
      </w:r>
      <w:r>
        <w:rPr>
          <w:rFonts w:hint="eastAsia" w:ascii="Arial" w:hAnsi="Arial" w:cs="Arial"/>
        </w:rPr>
        <w:t>一</w:t>
      </w:r>
      <w:r>
        <w:rPr>
          <w:rFonts w:ascii="Arial" w:hAnsi="Arial" w:cs="Arial"/>
        </w:rPr>
        <w:t>、土地估价机构</w:t>
      </w:r>
      <w:r>
        <w:tab/>
      </w:r>
      <w:r>
        <w:fldChar w:fldCharType="begin"/>
      </w:r>
      <w:r>
        <w:instrText xml:space="preserve"> PAGEREF _Toc5980 \h </w:instrText>
      </w:r>
      <w:r>
        <w:fldChar w:fldCharType="separate"/>
      </w:r>
      <w:r>
        <w:t>11</w:t>
      </w:r>
      <w:r>
        <w:fldChar w:fldCharType="end"/>
      </w:r>
      <w:r>
        <w:fldChar w:fldCharType="end"/>
      </w:r>
    </w:p>
    <w:p w14:paraId="10B1B3DD">
      <w:pPr>
        <w:pStyle w:val="21"/>
        <w:tabs>
          <w:tab w:val="right" w:leader="dot" w:pos="9299"/>
          <w:tab w:val="clear" w:pos="840"/>
          <w:tab w:val="clear" w:pos="8654"/>
        </w:tabs>
      </w:pPr>
      <w:r>
        <w:fldChar w:fldCharType="begin"/>
      </w:r>
      <w:r>
        <w:instrText xml:space="preserve"> HYPERLINK \l "_Toc14013" </w:instrText>
      </w:r>
      <w:r>
        <w:fldChar w:fldCharType="separate"/>
      </w:r>
      <w:r>
        <w:rPr>
          <w:rFonts w:ascii="Arial" w:cs="Arial"/>
        </w:rPr>
        <w:t>第二部分  咨询对象描述及土地价格影响因素分析</w:t>
      </w:r>
      <w:r>
        <w:tab/>
      </w:r>
      <w:r>
        <w:fldChar w:fldCharType="begin"/>
      </w:r>
      <w:r>
        <w:instrText xml:space="preserve"> PAGEREF _Toc14013 \h </w:instrText>
      </w:r>
      <w:r>
        <w:fldChar w:fldCharType="separate"/>
      </w:r>
      <w:r>
        <w:t>12</w:t>
      </w:r>
      <w:r>
        <w:fldChar w:fldCharType="end"/>
      </w:r>
      <w:r>
        <w:fldChar w:fldCharType="end"/>
      </w:r>
    </w:p>
    <w:p w14:paraId="3726BFAC">
      <w:pPr>
        <w:pStyle w:val="25"/>
        <w:tabs>
          <w:tab w:val="right" w:leader="dot" w:pos="9299"/>
          <w:tab w:val="clear" w:pos="8931"/>
        </w:tabs>
      </w:pPr>
      <w:r>
        <w:fldChar w:fldCharType="begin"/>
      </w:r>
      <w:r>
        <w:instrText xml:space="preserve"> HYPERLINK \l "_Toc11379" </w:instrText>
      </w:r>
      <w:r>
        <w:fldChar w:fldCharType="separate"/>
      </w:r>
      <w:r>
        <w:rPr>
          <w:rFonts w:ascii="Arial" w:hAnsi="Arial" w:cs="Arial"/>
        </w:rPr>
        <w:t>一、咨询对象描述</w:t>
      </w:r>
      <w:r>
        <w:tab/>
      </w:r>
      <w:r>
        <w:fldChar w:fldCharType="begin"/>
      </w:r>
      <w:r>
        <w:instrText xml:space="preserve"> PAGEREF _Toc11379 \h </w:instrText>
      </w:r>
      <w:r>
        <w:fldChar w:fldCharType="separate"/>
      </w:r>
      <w:r>
        <w:t>12</w:t>
      </w:r>
      <w:r>
        <w:fldChar w:fldCharType="end"/>
      </w:r>
      <w:r>
        <w:fldChar w:fldCharType="end"/>
      </w:r>
    </w:p>
    <w:p w14:paraId="1855E209">
      <w:pPr>
        <w:pStyle w:val="25"/>
        <w:tabs>
          <w:tab w:val="right" w:leader="dot" w:pos="9299"/>
          <w:tab w:val="clear" w:pos="8931"/>
        </w:tabs>
      </w:pPr>
      <w:r>
        <w:fldChar w:fldCharType="begin"/>
      </w:r>
      <w:r>
        <w:instrText xml:space="preserve"> HYPERLINK \l "_Toc22964" </w:instrText>
      </w:r>
      <w:r>
        <w:fldChar w:fldCharType="separate"/>
      </w:r>
      <w:r>
        <w:rPr>
          <w:rFonts w:ascii="Arial" w:hAnsi="Arial" w:cs="Arial"/>
        </w:rPr>
        <w:t>二、地价影响因素分析</w:t>
      </w:r>
      <w:r>
        <w:tab/>
      </w:r>
      <w:r>
        <w:fldChar w:fldCharType="begin"/>
      </w:r>
      <w:r>
        <w:instrText xml:space="preserve"> PAGEREF _Toc22964 \h </w:instrText>
      </w:r>
      <w:r>
        <w:fldChar w:fldCharType="separate"/>
      </w:r>
      <w:r>
        <w:t>13</w:t>
      </w:r>
      <w:r>
        <w:fldChar w:fldCharType="end"/>
      </w:r>
      <w:r>
        <w:fldChar w:fldCharType="end"/>
      </w:r>
    </w:p>
    <w:p w14:paraId="386DC2A9">
      <w:pPr>
        <w:pStyle w:val="21"/>
        <w:tabs>
          <w:tab w:val="right" w:leader="dot" w:pos="9299"/>
          <w:tab w:val="clear" w:pos="840"/>
          <w:tab w:val="clear" w:pos="8654"/>
        </w:tabs>
      </w:pPr>
      <w:r>
        <w:fldChar w:fldCharType="begin"/>
      </w:r>
      <w:r>
        <w:instrText xml:space="preserve"> HYPERLINK \l "_Toc18679" </w:instrText>
      </w:r>
      <w:r>
        <w:fldChar w:fldCharType="separate"/>
      </w:r>
      <w:r>
        <w:rPr>
          <w:rFonts w:ascii="Arial" w:cs="Arial"/>
        </w:rPr>
        <w:t>第三部分  土地估价</w:t>
      </w:r>
      <w:r>
        <w:tab/>
      </w:r>
      <w:r>
        <w:fldChar w:fldCharType="begin"/>
      </w:r>
      <w:r>
        <w:instrText xml:space="preserve"> PAGEREF _Toc18679 \h </w:instrText>
      </w:r>
      <w:r>
        <w:fldChar w:fldCharType="separate"/>
      </w:r>
      <w:r>
        <w:t>45</w:t>
      </w:r>
      <w:r>
        <w:fldChar w:fldCharType="end"/>
      </w:r>
      <w:r>
        <w:fldChar w:fldCharType="end"/>
      </w:r>
    </w:p>
    <w:p w14:paraId="5F7F34C3">
      <w:pPr>
        <w:pStyle w:val="25"/>
        <w:tabs>
          <w:tab w:val="right" w:leader="dot" w:pos="9299"/>
          <w:tab w:val="clear" w:pos="8931"/>
        </w:tabs>
      </w:pPr>
      <w:r>
        <w:fldChar w:fldCharType="begin"/>
      </w:r>
      <w:r>
        <w:instrText xml:space="preserve"> HYPERLINK \l "_Toc28551" </w:instrText>
      </w:r>
      <w:r>
        <w:fldChar w:fldCharType="separate"/>
      </w:r>
      <w:r>
        <w:rPr>
          <w:rFonts w:ascii="Arial" w:hAnsi="Arial" w:cs="Arial"/>
        </w:rPr>
        <w:t>一、估价原则</w:t>
      </w:r>
      <w:r>
        <w:tab/>
      </w:r>
      <w:r>
        <w:fldChar w:fldCharType="begin"/>
      </w:r>
      <w:r>
        <w:instrText xml:space="preserve"> PAGEREF _Toc28551 \h </w:instrText>
      </w:r>
      <w:r>
        <w:fldChar w:fldCharType="separate"/>
      </w:r>
      <w:r>
        <w:t>45</w:t>
      </w:r>
      <w:r>
        <w:fldChar w:fldCharType="end"/>
      </w:r>
      <w:r>
        <w:fldChar w:fldCharType="end"/>
      </w:r>
    </w:p>
    <w:p w14:paraId="2539BBA4">
      <w:pPr>
        <w:pStyle w:val="25"/>
        <w:tabs>
          <w:tab w:val="right" w:leader="dot" w:pos="9299"/>
          <w:tab w:val="clear" w:pos="8931"/>
        </w:tabs>
      </w:pPr>
      <w:r>
        <w:fldChar w:fldCharType="begin"/>
      </w:r>
      <w:r>
        <w:instrText xml:space="preserve"> HYPERLINK \l "_Toc21116" </w:instrText>
      </w:r>
      <w:r>
        <w:fldChar w:fldCharType="separate"/>
      </w:r>
      <w:r>
        <w:rPr>
          <w:rFonts w:ascii="Arial" w:hAnsi="Arial" w:cs="Arial"/>
        </w:rPr>
        <w:t>二、估价方法与估价过程</w:t>
      </w:r>
      <w:r>
        <w:tab/>
      </w:r>
      <w:r>
        <w:fldChar w:fldCharType="begin"/>
      </w:r>
      <w:r>
        <w:instrText xml:space="preserve"> PAGEREF _Toc21116 \h </w:instrText>
      </w:r>
      <w:r>
        <w:fldChar w:fldCharType="separate"/>
      </w:r>
      <w:r>
        <w:t>46</w:t>
      </w:r>
      <w:r>
        <w:fldChar w:fldCharType="end"/>
      </w:r>
      <w:r>
        <w:fldChar w:fldCharType="end"/>
      </w:r>
    </w:p>
    <w:p w14:paraId="5D2002D6">
      <w:pPr>
        <w:pStyle w:val="25"/>
        <w:tabs>
          <w:tab w:val="right" w:leader="dot" w:pos="9299"/>
          <w:tab w:val="clear" w:pos="8931"/>
        </w:tabs>
      </w:pPr>
      <w:r>
        <w:fldChar w:fldCharType="begin"/>
      </w:r>
      <w:r>
        <w:instrText xml:space="preserve"> HYPERLINK \l "_Toc19105" </w:instrText>
      </w:r>
      <w:r>
        <w:fldChar w:fldCharType="separate"/>
      </w:r>
      <w:r>
        <w:rPr>
          <w:rFonts w:ascii="Arial" w:hAnsi="Arial" w:cs="Arial"/>
          <w:bCs/>
        </w:rPr>
        <w:t>三、咨询结果的确定</w:t>
      </w:r>
      <w:r>
        <w:tab/>
      </w:r>
      <w:r>
        <w:fldChar w:fldCharType="begin"/>
      </w:r>
      <w:r>
        <w:instrText xml:space="preserve"> PAGEREF _Toc19105 \h </w:instrText>
      </w:r>
      <w:r>
        <w:fldChar w:fldCharType="separate"/>
      </w:r>
      <w:r>
        <w:t>55</w:t>
      </w:r>
      <w:r>
        <w:fldChar w:fldCharType="end"/>
      </w:r>
      <w:r>
        <w:fldChar w:fldCharType="end"/>
      </w:r>
    </w:p>
    <w:p w14:paraId="26605438">
      <w:pPr>
        <w:pStyle w:val="21"/>
        <w:tabs>
          <w:tab w:val="right" w:leader="dot" w:pos="9299"/>
          <w:tab w:val="clear" w:pos="840"/>
          <w:tab w:val="clear" w:pos="8654"/>
        </w:tabs>
      </w:pPr>
      <w:r>
        <w:fldChar w:fldCharType="begin"/>
      </w:r>
      <w:r>
        <w:instrText xml:space="preserve"> HYPERLINK \l "_Toc20569" </w:instrText>
      </w:r>
      <w:r>
        <w:fldChar w:fldCharType="separate"/>
      </w:r>
      <w:r>
        <w:rPr>
          <w:rFonts w:ascii="Arial" w:cs="Arial"/>
        </w:rPr>
        <w:t>第四部分  附  件</w:t>
      </w:r>
      <w:r>
        <w:tab/>
      </w:r>
      <w:r>
        <w:fldChar w:fldCharType="begin"/>
      </w:r>
      <w:r>
        <w:instrText xml:space="preserve"> PAGEREF _Toc20569 \h </w:instrText>
      </w:r>
      <w:r>
        <w:fldChar w:fldCharType="separate"/>
      </w:r>
      <w:r>
        <w:t>57</w:t>
      </w:r>
      <w:r>
        <w:fldChar w:fldCharType="end"/>
      </w:r>
      <w:r>
        <w:fldChar w:fldCharType="end"/>
      </w:r>
    </w:p>
    <w:p w14:paraId="33DA79CF">
      <w:pPr>
        <w:pStyle w:val="25"/>
        <w:jc w:val="center"/>
        <w:rPr>
          <w:rFonts w:ascii="Arial" w:cs="Arial"/>
          <w:sz w:val="32"/>
        </w:rPr>
        <w:sectPr>
          <w:headerReference r:id="rId29" w:type="first"/>
          <w:pgSz w:w="11907" w:h="16840"/>
          <w:pgMar w:top="1843" w:right="1304" w:bottom="1134" w:left="1304" w:header="1134" w:footer="907" w:gutter="0"/>
          <w:pgNumType w:start="0"/>
          <w:cols w:space="720" w:num="1"/>
          <w:titlePg/>
          <w:docGrid w:linePitch="326" w:charSpace="0"/>
        </w:sectPr>
      </w:pPr>
      <w:r>
        <w:rPr>
          <w:rStyle w:val="37"/>
          <w:rFonts w:ascii="Arial" w:cs="Arial"/>
          <w:color w:val="auto"/>
          <w:szCs w:val="24"/>
        </w:rPr>
        <w:fldChar w:fldCharType="end"/>
      </w:r>
    </w:p>
    <w:p w14:paraId="150368F2">
      <w:pPr>
        <w:spacing w:line="360" w:lineRule="auto"/>
        <w:jc w:val="center"/>
        <w:rPr>
          <w:rFonts w:ascii="Arial" w:hAnsi="Arial" w:cs="Arial"/>
          <w:sz w:val="32"/>
        </w:rPr>
      </w:pPr>
      <w:bookmarkStart w:id="159" w:name="_Toc416783542"/>
      <w:bookmarkStart w:id="160" w:name="_Toc416783638"/>
      <w:r>
        <w:rPr>
          <w:rFonts w:ascii="Arial" w:hAnsi="Arial" w:cs="Arial"/>
          <w:b/>
          <w:sz w:val="32"/>
        </w:rPr>
        <w:t xml:space="preserve">土 地 </w:t>
      </w:r>
      <w:r>
        <w:rPr>
          <w:rFonts w:hint="eastAsia" w:ascii="Arial" w:hAnsi="Arial" w:cs="Arial"/>
          <w:b/>
          <w:sz w:val="32"/>
        </w:rPr>
        <w:t>咨 询</w:t>
      </w:r>
      <w:r>
        <w:rPr>
          <w:rFonts w:ascii="Arial" w:hAnsi="Arial" w:cs="Arial"/>
          <w:b/>
          <w:sz w:val="32"/>
        </w:rPr>
        <w:t xml:space="preserve"> 技 术 报 告</w:t>
      </w:r>
      <w:bookmarkEnd w:id="159"/>
      <w:bookmarkEnd w:id="160"/>
    </w:p>
    <w:p w14:paraId="18C16902">
      <w:pPr>
        <w:spacing w:line="360" w:lineRule="auto"/>
        <w:jc w:val="center"/>
        <w:rPr>
          <w:rFonts w:ascii="Arial" w:hAnsi="Arial" w:cs="Arial"/>
          <w:sz w:val="32"/>
        </w:rPr>
      </w:pPr>
    </w:p>
    <w:p w14:paraId="4379C902">
      <w:pPr>
        <w:spacing w:line="360" w:lineRule="auto"/>
        <w:jc w:val="center"/>
        <w:outlineLvl w:val="0"/>
        <w:rPr>
          <w:rFonts w:ascii="Arial" w:hAnsi="Arial" w:cs="Arial"/>
          <w:sz w:val="32"/>
        </w:rPr>
      </w:pPr>
      <w:bookmarkStart w:id="161" w:name="_Toc97732869"/>
      <w:bookmarkStart w:id="162" w:name="_Toc3914"/>
      <w:bookmarkStart w:id="163" w:name="_Toc416783639"/>
      <w:bookmarkStart w:id="164" w:name="_Toc469066149"/>
      <w:bookmarkStart w:id="165" w:name="_Toc8851"/>
      <w:bookmarkStart w:id="166" w:name="_Toc6054"/>
      <w:bookmarkStart w:id="167" w:name="_Toc97732751"/>
      <w:bookmarkStart w:id="168" w:name="_Toc416783543"/>
      <w:r>
        <w:rPr>
          <w:rFonts w:ascii="Arial" w:hAnsi="Arial" w:cs="Arial"/>
          <w:b/>
          <w:sz w:val="32"/>
        </w:rPr>
        <w:t>第一部分  总  述</w:t>
      </w:r>
      <w:bookmarkEnd w:id="161"/>
      <w:bookmarkEnd w:id="162"/>
      <w:bookmarkEnd w:id="163"/>
      <w:bookmarkEnd w:id="164"/>
      <w:bookmarkEnd w:id="165"/>
      <w:bookmarkEnd w:id="166"/>
      <w:bookmarkEnd w:id="167"/>
      <w:bookmarkEnd w:id="168"/>
    </w:p>
    <w:p w14:paraId="13478B17">
      <w:pPr>
        <w:spacing w:line="360" w:lineRule="auto"/>
        <w:jc w:val="center"/>
        <w:rPr>
          <w:rFonts w:ascii="Arial" w:hAnsi="Arial" w:cs="Arial"/>
          <w:sz w:val="28"/>
        </w:rPr>
      </w:pPr>
    </w:p>
    <w:p w14:paraId="50E07775">
      <w:pPr>
        <w:spacing w:line="360" w:lineRule="auto"/>
        <w:outlineLvl w:val="1"/>
        <w:rPr>
          <w:rFonts w:ascii="Arial" w:hAnsi="Arial" w:cs="Arial"/>
          <w:b/>
          <w:sz w:val="28"/>
        </w:rPr>
      </w:pPr>
      <w:bookmarkStart w:id="169" w:name="_Toc416783640"/>
      <w:bookmarkStart w:id="170" w:name="_Toc97732752"/>
      <w:bookmarkStart w:id="171" w:name="_Toc469066150"/>
      <w:bookmarkStart w:id="172" w:name="_Toc22016"/>
      <w:bookmarkStart w:id="173" w:name="_Toc416783544"/>
      <w:bookmarkStart w:id="174" w:name="_Toc97732870"/>
      <w:bookmarkStart w:id="175" w:name="_Toc8689"/>
      <w:bookmarkStart w:id="176" w:name="_Toc23877"/>
      <w:r>
        <w:rPr>
          <w:rFonts w:ascii="Arial" w:hAnsi="Arial" w:cs="Arial"/>
          <w:b/>
          <w:sz w:val="28"/>
        </w:rPr>
        <w:t>一、项目名称</w:t>
      </w:r>
      <w:bookmarkEnd w:id="169"/>
      <w:bookmarkEnd w:id="170"/>
      <w:bookmarkEnd w:id="171"/>
      <w:bookmarkEnd w:id="172"/>
      <w:bookmarkEnd w:id="173"/>
      <w:bookmarkEnd w:id="174"/>
      <w:bookmarkEnd w:id="175"/>
      <w:bookmarkEnd w:id="176"/>
    </w:p>
    <w:p w14:paraId="5EFC081B">
      <w:pPr>
        <w:spacing w:line="360" w:lineRule="auto"/>
        <w:ind w:firstLine="557" w:firstLineChars="199"/>
        <w:rPr>
          <w:rFonts w:ascii="Arial" w:hAnsi="Arial" w:cs="Arial"/>
          <w:bCs/>
          <w:sz w:val="28"/>
        </w:rPr>
      </w:pPr>
      <w:r>
        <w:rPr>
          <w:rFonts w:hint="eastAsia" w:ascii="Arial" w:hAnsi="Arial" w:cs="Arial"/>
          <w:sz w:val="28"/>
        </w:rPr>
        <w:t>北京市昌平区马池口镇百泉庄村集体土地租赁住房项目集体经营性建设用地使用权地价评估</w:t>
      </w:r>
    </w:p>
    <w:p w14:paraId="2E5CAB6C">
      <w:pPr>
        <w:spacing w:line="360" w:lineRule="auto"/>
        <w:ind w:right="-327"/>
        <w:rPr>
          <w:rFonts w:ascii="Arial" w:hAnsi="Arial" w:cs="Arial"/>
          <w:sz w:val="28"/>
        </w:rPr>
      </w:pPr>
    </w:p>
    <w:p w14:paraId="00272468">
      <w:pPr>
        <w:spacing w:line="360" w:lineRule="auto"/>
        <w:outlineLvl w:val="1"/>
        <w:rPr>
          <w:rFonts w:ascii="Arial" w:hAnsi="Arial" w:cs="Arial"/>
          <w:b/>
          <w:sz w:val="28"/>
        </w:rPr>
      </w:pPr>
      <w:bookmarkStart w:id="177" w:name="_Toc10531"/>
      <w:bookmarkStart w:id="178" w:name="_Toc416783546"/>
      <w:bookmarkStart w:id="179" w:name="_Toc7709"/>
      <w:bookmarkStart w:id="180" w:name="_Toc469066151"/>
      <w:bookmarkStart w:id="181" w:name="_Toc31355"/>
      <w:bookmarkStart w:id="182" w:name="_Toc97732753"/>
      <w:bookmarkStart w:id="183" w:name="_Toc97732871"/>
      <w:bookmarkStart w:id="184" w:name="_Toc416783642"/>
      <w:r>
        <w:rPr>
          <w:rFonts w:ascii="Arial" w:hAnsi="Arial" w:cs="Arial"/>
          <w:b/>
          <w:sz w:val="28"/>
        </w:rPr>
        <w:t>二、委托方</w:t>
      </w:r>
      <w:bookmarkEnd w:id="177"/>
      <w:bookmarkEnd w:id="178"/>
      <w:bookmarkEnd w:id="179"/>
      <w:bookmarkEnd w:id="180"/>
      <w:bookmarkEnd w:id="181"/>
      <w:bookmarkEnd w:id="182"/>
      <w:bookmarkEnd w:id="183"/>
      <w:bookmarkEnd w:id="184"/>
    </w:p>
    <w:p w14:paraId="1EE7CF65">
      <w:pPr>
        <w:spacing w:line="360" w:lineRule="auto"/>
        <w:ind w:left="1" w:right="-85" w:firstLine="560" w:firstLineChars="200"/>
        <w:jc w:val="both"/>
        <w:rPr>
          <w:rFonts w:ascii="Arial" w:hAnsi="Arial" w:cs="Arial"/>
          <w:bCs/>
          <w:sz w:val="28"/>
        </w:rPr>
      </w:pPr>
      <w:r>
        <w:rPr>
          <w:rFonts w:hint="eastAsia" w:ascii="Arial" w:hAnsi="Arial" w:cs="Arial"/>
          <w:bCs/>
          <w:sz w:val="28"/>
        </w:rPr>
        <w:t>北京保障房中心有限公司</w:t>
      </w:r>
    </w:p>
    <w:p w14:paraId="457DA979">
      <w:pPr>
        <w:spacing w:line="360" w:lineRule="auto"/>
        <w:rPr>
          <w:rFonts w:ascii="Arial" w:hAnsi="Arial" w:cs="Arial"/>
          <w:b/>
          <w:sz w:val="28"/>
        </w:rPr>
      </w:pPr>
    </w:p>
    <w:p w14:paraId="7E44472C">
      <w:pPr>
        <w:spacing w:line="360" w:lineRule="auto"/>
        <w:outlineLvl w:val="1"/>
        <w:rPr>
          <w:rFonts w:ascii="Arial" w:hAnsi="Arial" w:cs="Arial"/>
          <w:b/>
          <w:sz w:val="28"/>
        </w:rPr>
      </w:pPr>
      <w:bookmarkStart w:id="185" w:name="_Toc24392"/>
      <w:bookmarkStart w:id="186" w:name="_Toc97732872"/>
      <w:bookmarkStart w:id="187" w:name="_Toc416783643"/>
      <w:bookmarkStart w:id="188" w:name="_Toc24698"/>
      <w:bookmarkStart w:id="189" w:name="_Toc26149"/>
      <w:bookmarkStart w:id="190" w:name="_Toc416783547"/>
      <w:bookmarkStart w:id="191" w:name="_Toc97732754"/>
      <w:bookmarkStart w:id="192" w:name="_Toc469066152"/>
      <w:r>
        <w:rPr>
          <w:rFonts w:ascii="Arial" w:hAnsi="Arial" w:cs="Arial"/>
          <w:b/>
          <w:sz w:val="28"/>
        </w:rPr>
        <w:t>三、受托估价方</w:t>
      </w:r>
      <w:bookmarkEnd w:id="185"/>
      <w:bookmarkEnd w:id="186"/>
      <w:bookmarkEnd w:id="187"/>
      <w:bookmarkEnd w:id="188"/>
      <w:bookmarkEnd w:id="189"/>
      <w:bookmarkEnd w:id="190"/>
      <w:bookmarkEnd w:id="191"/>
      <w:bookmarkEnd w:id="192"/>
    </w:p>
    <w:p w14:paraId="39231476">
      <w:pPr>
        <w:spacing w:line="360" w:lineRule="auto"/>
        <w:ind w:firstLine="570"/>
        <w:jc w:val="both"/>
        <w:rPr>
          <w:rFonts w:ascii="Arial" w:hAnsi="Arial" w:cs="Arial"/>
          <w:sz w:val="28"/>
        </w:rPr>
      </w:pPr>
      <w:bookmarkStart w:id="193" w:name="_Toc416783644"/>
      <w:bookmarkStart w:id="194" w:name="_Toc416783548"/>
      <w:r>
        <w:rPr>
          <w:rFonts w:ascii="Arial" w:hAnsi="Arial" w:cs="Arial"/>
          <w:sz w:val="28"/>
        </w:rPr>
        <w:t>受托机构：北京康正宏基房地产评估有限公司</w:t>
      </w:r>
      <w:bookmarkEnd w:id="193"/>
      <w:bookmarkEnd w:id="194"/>
    </w:p>
    <w:p w14:paraId="6634705B">
      <w:pPr>
        <w:spacing w:line="360" w:lineRule="auto"/>
        <w:ind w:left="1960" w:hanging="1960" w:hangingChars="700"/>
        <w:rPr>
          <w:rFonts w:ascii="Arial" w:hAnsi="Arial" w:cs="Arial"/>
          <w:sz w:val="28"/>
        </w:rPr>
      </w:pPr>
      <w:r>
        <w:rPr>
          <w:rFonts w:ascii="Arial" w:hAnsi="Arial" w:cs="Arial"/>
          <w:sz w:val="28"/>
        </w:rPr>
        <w:t xml:space="preserve">    地    址：北京市朝阳区裕民路12号中国国际科技会展中心B 座10层1003室</w:t>
      </w:r>
    </w:p>
    <w:p w14:paraId="4C0EE171">
      <w:pPr>
        <w:spacing w:line="360" w:lineRule="auto"/>
        <w:rPr>
          <w:rFonts w:ascii="Arial" w:hAnsi="Arial" w:cs="Arial"/>
          <w:sz w:val="28"/>
        </w:rPr>
      </w:pPr>
      <w:r>
        <w:rPr>
          <w:rFonts w:ascii="Arial" w:hAnsi="Arial" w:cs="Arial"/>
          <w:sz w:val="28"/>
        </w:rPr>
        <w:t xml:space="preserve">    资信等级：A级</w:t>
      </w:r>
    </w:p>
    <w:p w14:paraId="3158CFDE">
      <w:pPr>
        <w:spacing w:line="360" w:lineRule="auto"/>
        <w:rPr>
          <w:rFonts w:ascii="Arial" w:hAnsi="Arial" w:cs="Arial"/>
          <w:sz w:val="28"/>
        </w:rPr>
      </w:pPr>
      <w:r>
        <w:rPr>
          <w:rFonts w:ascii="Arial" w:hAnsi="Arial" w:cs="Arial"/>
          <w:sz w:val="28"/>
        </w:rPr>
        <w:t xml:space="preserve">    备案编号：2020110057</w:t>
      </w:r>
    </w:p>
    <w:p w14:paraId="139DDCEC">
      <w:pPr>
        <w:spacing w:line="360" w:lineRule="auto"/>
        <w:rPr>
          <w:rFonts w:ascii="Arial" w:hAnsi="Arial" w:cs="Arial"/>
          <w:sz w:val="28"/>
        </w:rPr>
      </w:pPr>
      <w:r>
        <w:rPr>
          <w:rFonts w:ascii="Arial" w:hAnsi="Arial" w:cs="Arial"/>
          <w:sz w:val="28"/>
        </w:rPr>
        <w:t xml:space="preserve">    法人代表：齐  宏</w:t>
      </w:r>
    </w:p>
    <w:p w14:paraId="0B5DC7B1">
      <w:pPr>
        <w:spacing w:line="360" w:lineRule="auto"/>
        <w:rPr>
          <w:rFonts w:ascii="Arial" w:hAnsi="Arial" w:cs="Arial"/>
          <w:sz w:val="28"/>
        </w:rPr>
      </w:pPr>
      <w:r>
        <w:rPr>
          <w:rFonts w:ascii="Arial" w:hAnsi="Arial" w:cs="Arial"/>
          <w:sz w:val="28"/>
        </w:rPr>
        <w:t xml:space="preserve">    </w:t>
      </w:r>
      <w:r>
        <w:rPr>
          <w:rFonts w:ascii="Arial" w:hAnsi="Arial" w:cs="Arial"/>
          <w:spacing w:val="38"/>
          <w:sz w:val="28"/>
        </w:rPr>
        <w:t>联系人：</w:t>
      </w:r>
      <w:r>
        <w:rPr>
          <w:rFonts w:ascii="Arial" w:hAnsi="Arial" w:cs="Arial"/>
          <w:sz w:val="28"/>
        </w:rPr>
        <w:t>常</w:t>
      </w:r>
      <w:r>
        <w:rPr>
          <w:rFonts w:hint="eastAsia" w:ascii="Arial" w:hAnsi="Arial" w:cs="Arial"/>
          <w:sz w:val="28"/>
        </w:rPr>
        <w:t xml:space="preserve">  </w:t>
      </w:r>
      <w:r>
        <w:rPr>
          <w:rFonts w:ascii="Arial" w:hAnsi="Arial" w:cs="Arial"/>
          <w:sz w:val="28"/>
        </w:rPr>
        <w:t>畅</w:t>
      </w:r>
    </w:p>
    <w:p w14:paraId="2555F1AD">
      <w:pPr>
        <w:spacing w:line="360" w:lineRule="auto"/>
        <w:ind w:firstLine="600"/>
        <w:jc w:val="both"/>
        <w:rPr>
          <w:rFonts w:ascii="Arial" w:hAnsi="Arial" w:cs="Arial"/>
          <w:sz w:val="28"/>
        </w:rPr>
      </w:pPr>
      <w:r>
        <w:rPr>
          <w:rFonts w:ascii="Arial" w:hAnsi="Arial" w:cs="Arial"/>
          <w:sz w:val="28"/>
        </w:rPr>
        <w:t>联系电话：010-82253558-237</w:t>
      </w:r>
    </w:p>
    <w:p w14:paraId="635A8FA2">
      <w:pPr>
        <w:spacing w:line="360" w:lineRule="auto"/>
        <w:ind w:firstLine="600"/>
        <w:jc w:val="both"/>
        <w:rPr>
          <w:rFonts w:ascii="Arial" w:hAnsi="Arial" w:cs="Arial"/>
          <w:sz w:val="28"/>
        </w:rPr>
      </w:pPr>
    </w:p>
    <w:p w14:paraId="5005D085">
      <w:pPr>
        <w:spacing w:line="360" w:lineRule="auto"/>
        <w:outlineLvl w:val="1"/>
        <w:rPr>
          <w:rFonts w:ascii="Arial" w:hAnsi="Arial" w:cs="Arial"/>
          <w:b/>
          <w:sz w:val="28"/>
        </w:rPr>
      </w:pPr>
      <w:bookmarkStart w:id="195" w:name="_Toc97732755"/>
      <w:bookmarkStart w:id="196" w:name="_Toc3481"/>
      <w:bookmarkStart w:id="197" w:name="_Toc469066153"/>
      <w:bookmarkStart w:id="198" w:name="_Toc416783645"/>
      <w:bookmarkStart w:id="199" w:name="_Toc97732873"/>
      <w:bookmarkStart w:id="200" w:name="_Toc416783549"/>
      <w:bookmarkStart w:id="201" w:name="_Toc17694"/>
      <w:bookmarkStart w:id="202" w:name="_Toc24527"/>
      <w:r>
        <w:rPr>
          <w:rFonts w:ascii="Arial" w:hAnsi="Arial" w:cs="Arial"/>
          <w:b/>
          <w:sz w:val="28"/>
        </w:rPr>
        <w:t>四、咨询目的</w:t>
      </w:r>
      <w:bookmarkEnd w:id="195"/>
      <w:bookmarkEnd w:id="196"/>
      <w:bookmarkEnd w:id="197"/>
      <w:bookmarkEnd w:id="198"/>
      <w:bookmarkEnd w:id="199"/>
      <w:bookmarkEnd w:id="200"/>
      <w:bookmarkEnd w:id="201"/>
      <w:bookmarkEnd w:id="202"/>
    </w:p>
    <w:p w14:paraId="3229F1EC">
      <w:pPr>
        <w:spacing w:line="360" w:lineRule="auto"/>
        <w:ind w:firstLine="557" w:firstLineChars="199"/>
        <w:rPr>
          <w:rFonts w:ascii="Arial" w:hAnsi="Arial" w:cs="Arial"/>
          <w:sz w:val="28"/>
        </w:rPr>
      </w:pPr>
      <w:r>
        <w:rPr>
          <w:rFonts w:hint="eastAsia" w:ascii="Arial" w:hAnsi="Arial" w:cs="Arial"/>
          <w:sz w:val="28"/>
        </w:rPr>
        <w:t>百泉庄</w:t>
      </w:r>
      <w:r>
        <w:rPr>
          <w:rFonts w:ascii="Arial" w:hAnsi="Arial" w:cs="Arial"/>
          <w:sz w:val="28"/>
        </w:rPr>
        <w:t>村经济</w:t>
      </w:r>
      <w:r>
        <w:rPr>
          <w:rFonts w:hint="eastAsia" w:ascii="Arial" w:hAnsi="Arial" w:cs="Arial"/>
          <w:sz w:val="28"/>
        </w:rPr>
        <w:t>组织</w:t>
      </w:r>
      <w:r>
        <w:rPr>
          <w:rFonts w:ascii="Arial" w:hAnsi="Arial" w:cs="Arial"/>
          <w:sz w:val="28"/>
        </w:rPr>
        <w:t>拟使用咨询对象集体土地作价入股，本次评估是为委托方了解咨询对象作价入股价格提供参考依据。</w:t>
      </w:r>
    </w:p>
    <w:p w14:paraId="116960C2">
      <w:pPr>
        <w:spacing w:line="360" w:lineRule="auto"/>
        <w:jc w:val="both"/>
        <w:rPr>
          <w:rFonts w:ascii="Arial" w:hAnsi="Arial" w:cs="Arial"/>
          <w:sz w:val="28"/>
        </w:rPr>
      </w:pPr>
    </w:p>
    <w:p w14:paraId="66F6A5FF">
      <w:pPr>
        <w:spacing w:line="360" w:lineRule="auto"/>
        <w:outlineLvl w:val="1"/>
        <w:rPr>
          <w:rFonts w:ascii="Arial" w:hAnsi="Arial" w:cs="Arial"/>
          <w:b/>
          <w:sz w:val="28"/>
        </w:rPr>
      </w:pPr>
      <w:bookmarkStart w:id="203" w:name="_Toc25802"/>
      <w:bookmarkStart w:id="204" w:name="_Toc416783553"/>
      <w:bookmarkStart w:id="205" w:name="_Toc416783649"/>
      <w:bookmarkStart w:id="206" w:name="_Toc24702"/>
      <w:bookmarkStart w:id="207" w:name="_Toc469066154"/>
      <w:bookmarkStart w:id="208" w:name="_Toc97732874"/>
      <w:bookmarkStart w:id="209" w:name="_Toc14597"/>
      <w:bookmarkStart w:id="210" w:name="_Toc97732756"/>
      <w:r>
        <w:rPr>
          <w:rFonts w:ascii="Arial" w:hAnsi="Arial" w:cs="Arial"/>
          <w:b/>
          <w:sz w:val="28"/>
        </w:rPr>
        <w:t>五、估价依据</w:t>
      </w:r>
      <w:bookmarkEnd w:id="203"/>
      <w:bookmarkEnd w:id="204"/>
      <w:bookmarkEnd w:id="205"/>
      <w:bookmarkEnd w:id="206"/>
      <w:bookmarkEnd w:id="207"/>
      <w:bookmarkEnd w:id="208"/>
      <w:bookmarkEnd w:id="209"/>
      <w:bookmarkEnd w:id="210"/>
    </w:p>
    <w:p w14:paraId="76FDD3B4">
      <w:pPr>
        <w:spacing w:line="360" w:lineRule="auto"/>
        <w:jc w:val="both"/>
        <w:rPr>
          <w:rFonts w:ascii="Arial" w:hAnsi="Arial" w:cs="Arial"/>
          <w:sz w:val="28"/>
        </w:rPr>
      </w:pPr>
      <w:r>
        <w:rPr>
          <w:rFonts w:ascii="Arial" w:hAnsi="Arial" w:cs="Arial"/>
          <w:sz w:val="28"/>
        </w:rPr>
        <w:t>（一）有关的法律、法规、行政规章及咨询对象所在省市的有关法律法规和政策</w:t>
      </w:r>
    </w:p>
    <w:p w14:paraId="7F636A01">
      <w:pPr>
        <w:spacing w:line="360" w:lineRule="auto"/>
        <w:ind w:firstLine="560" w:firstLineChars="200"/>
        <w:jc w:val="both"/>
        <w:rPr>
          <w:rFonts w:ascii="Arial" w:hAnsi="Arial" w:cs="Arial"/>
          <w:sz w:val="28"/>
        </w:rPr>
      </w:pPr>
      <w:r>
        <w:rPr>
          <w:rFonts w:ascii="Arial" w:hAnsi="Arial" w:cs="Arial"/>
          <w:sz w:val="28"/>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6B164857">
      <w:pPr>
        <w:spacing w:line="360" w:lineRule="auto"/>
        <w:ind w:firstLine="560" w:firstLineChars="200"/>
        <w:jc w:val="both"/>
        <w:rPr>
          <w:rFonts w:ascii="Arial" w:hAnsi="Arial" w:cs="Arial"/>
          <w:sz w:val="28"/>
        </w:rPr>
      </w:pPr>
      <w:r>
        <w:rPr>
          <w:rFonts w:ascii="Arial" w:hAnsi="Arial" w:cs="Arial"/>
          <w:sz w:val="28"/>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3F2C31A9">
      <w:pPr>
        <w:spacing w:line="360" w:lineRule="auto"/>
        <w:ind w:firstLine="560" w:firstLineChars="200"/>
        <w:jc w:val="both"/>
        <w:rPr>
          <w:rFonts w:ascii="Arial" w:hAnsi="Arial" w:cs="Arial"/>
          <w:sz w:val="28"/>
        </w:rPr>
      </w:pPr>
      <w:r>
        <w:rPr>
          <w:rFonts w:ascii="Arial" w:hAnsi="Arial" w:cs="Arial"/>
          <w:sz w:val="28"/>
        </w:rPr>
        <w:t>3.《中华人民共和国城乡规划法》（2007 年 10 月 28 日第十届全国人民代表大会常务委员会第三十次会议通过，中华人民共和国主席令第74号，自公布之日起施行；根据 2015 年 4 月 24 日第十二届全国人民代表大会常务委员会第十四次会议通过第一次修正，中华人民共和国主席令第23号公布，自公布之日起施行；根据2019年4月23日第十三届全国人民代表大会常务委员会第十次会议通过第二次修正，自公布之日起施行）</w:t>
      </w:r>
    </w:p>
    <w:p w14:paraId="692376CD">
      <w:pPr>
        <w:spacing w:line="360" w:lineRule="auto"/>
        <w:ind w:firstLine="560" w:firstLineChars="200"/>
        <w:jc w:val="both"/>
        <w:rPr>
          <w:rFonts w:ascii="Arial" w:hAnsi="Arial" w:cs="Arial"/>
          <w:sz w:val="28"/>
        </w:rPr>
      </w:pPr>
      <w:r>
        <w:rPr>
          <w:rFonts w:ascii="Arial" w:hAnsi="Arial" w:cs="Arial"/>
          <w:sz w:val="28"/>
        </w:rPr>
        <w:t>4.《中华人民共和国资产评估法》（2016年7月2日第十二届全国人民代表大会常务委员会第二十一次会议通过，2016年3月16日中华人民共和国主席令第46号公布，自2016年12月1日起施行）</w:t>
      </w:r>
    </w:p>
    <w:p w14:paraId="41AC6C9B">
      <w:pPr>
        <w:spacing w:line="360" w:lineRule="auto"/>
        <w:ind w:firstLine="560" w:firstLineChars="200"/>
        <w:jc w:val="both"/>
        <w:rPr>
          <w:rFonts w:ascii="Arial" w:hAnsi="Arial" w:cs="Arial"/>
          <w:sz w:val="28"/>
        </w:rPr>
      </w:pPr>
      <w:r>
        <w:rPr>
          <w:rFonts w:ascii="Arial" w:hAnsi="Arial" w:cs="Arial"/>
          <w:sz w:val="28"/>
        </w:rPr>
        <w:t>5.《中华人民共和国民法典》（2020年5月28日第十三届全国人大三次会议表决通过，自2021年1月1日起施行）</w:t>
      </w:r>
    </w:p>
    <w:p w14:paraId="3F589619">
      <w:pPr>
        <w:spacing w:line="360" w:lineRule="auto"/>
        <w:ind w:firstLine="560" w:firstLineChars="200"/>
        <w:jc w:val="both"/>
        <w:rPr>
          <w:rFonts w:ascii="Arial" w:hAnsi="Arial" w:cs="Arial"/>
          <w:sz w:val="28"/>
        </w:rPr>
      </w:pPr>
      <w:r>
        <w:rPr>
          <w:rFonts w:ascii="Arial" w:hAnsi="Arial" w:cs="Arial"/>
          <w:sz w:val="28"/>
        </w:rPr>
        <w:t>6.《中华人民共和国城镇国有土地使用权出让和转让暂行条例》（1990年5月19日中华人民共和国国务院令第55号发布，自发布之日起施行）</w:t>
      </w:r>
    </w:p>
    <w:p w14:paraId="4AFDE605">
      <w:pPr>
        <w:spacing w:line="360" w:lineRule="auto"/>
        <w:ind w:firstLine="560" w:firstLineChars="200"/>
        <w:jc w:val="both"/>
        <w:rPr>
          <w:rFonts w:ascii="Arial" w:hAnsi="Arial" w:cs="Arial"/>
          <w:sz w:val="28"/>
        </w:rPr>
      </w:pPr>
      <w:r>
        <w:rPr>
          <w:rFonts w:ascii="Arial" w:hAnsi="Arial" w:cs="Arial"/>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14:paraId="7098FC3C">
      <w:pPr>
        <w:spacing w:line="360" w:lineRule="auto"/>
        <w:ind w:firstLine="560" w:firstLineChars="200"/>
        <w:jc w:val="both"/>
      </w:pPr>
      <w:r>
        <w:rPr>
          <w:rFonts w:hint="eastAsia" w:ascii="Arial" w:hAnsi="Arial" w:cs="Arial"/>
          <w:sz w:val="28"/>
        </w:rPr>
        <w:t>8</w:t>
      </w:r>
      <w:r>
        <w:rPr>
          <w:rFonts w:ascii="Arial" w:hAnsi="Arial" w:cs="Arial"/>
          <w:sz w:val="28"/>
        </w:rPr>
        <w:t>.《关于我市利用集体土地建设租赁住房相关政策的补充意见》</w:t>
      </w:r>
      <w:r>
        <w:rPr>
          <w:rFonts w:hint="eastAsia" w:ascii="Arial" w:hAnsi="Arial" w:cs="Arial"/>
          <w:sz w:val="28"/>
        </w:rPr>
        <w:t>[京规自发[2018]64号]</w:t>
      </w:r>
    </w:p>
    <w:p w14:paraId="699F7B2C">
      <w:pPr>
        <w:spacing w:line="360" w:lineRule="auto"/>
        <w:ind w:firstLine="560" w:firstLineChars="200"/>
        <w:jc w:val="both"/>
        <w:rPr>
          <w:rFonts w:ascii="Arial" w:hAnsi="Arial" w:cs="Arial"/>
          <w:sz w:val="28"/>
        </w:rPr>
      </w:pPr>
      <w:r>
        <w:rPr>
          <w:rFonts w:ascii="Arial" w:hAnsi="Arial" w:cs="Arial"/>
          <w:sz w:val="28"/>
        </w:rPr>
        <w:t>9.《关于进一步加强全市集体土地租赁住房规划建设管理的意见》[京建发〔2020〕365号]</w:t>
      </w:r>
    </w:p>
    <w:p w14:paraId="6FED2E06">
      <w:pPr>
        <w:spacing w:line="360" w:lineRule="auto"/>
        <w:ind w:firstLine="560" w:firstLineChars="200"/>
        <w:jc w:val="both"/>
        <w:rPr>
          <w:rFonts w:ascii="Arial" w:hAnsi="Arial" w:cs="Arial"/>
          <w:sz w:val="28"/>
        </w:rPr>
      </w:pPr>
      <w:r>
        <w:rPr>
          <w:rFonts w:ascii="Arial" w:hAnsi="Arial" w:cs="Arial"/>
          <w:sz w:val="28"/>
        </w:rPr>
        <w:t>10.《北京市关于加快发展保障性租赁住房的实施方案》的通知[京政办发〔2022〕9号]</w:t>
      </w:r>
    </w:p>
    <w:p w14:paraId="2DA640A1">
      <w:pPr>
        <w:spacing w:line="360" w:lineRule="auto"/>
        <w:jc w:val="both"/>
        <w:rPr>
          <w:rFonts w:ascii="Arial" w:hAnsi="Arial" w:cs="Arial"/>
          <w:sz w:val="28"/>
        </w:rPr>
      </w:pPr>
      <w:r>
        <w:rPr>
          <w:rFonts w:ascii="Arial" w:hAnsi="Arial" w:cs="Arial"/>
          <w:sz w:val="28"/>
        </w:rPr>
        <w:t>（二）采用的技术标准</w:t>
      </w:r>
    </w:p>
    <w:p w14:paraId="497C3918">
      <w:pPr>
        <w:spacing w:line="360" w:lineRule="auto"/>
        <w:ind w:firstLine="560" w:firstLineChars="200"/>
        <w:jc w:val="both"/>
        <w:rPr>
          <w:rFonts w:ascii="Arial" w:hAnsi="Arial" w:cs="Arial"/>
          <w:sz w:val="28"/>
        </w:rPr>
      </w:pPr>
      <w:r>
        <w:rPr>
          <w:rFonts w:ascii="Arial" w:hAnsi="Arial" w:cs="Arial"/>
          <w:sz w:val="28"/>
        </w:rPr>
        <w:t>1.《城镇土地估价规程》[GB/T 18508-2014]</w:t>
      </w:r>
    </w:p>
    <w:p w14:paraId="00156AF4">
      <w:pPr>
        <w:spacing w:line="360" w:lineRule="auto"/>
        <w:ind w:firstLine="560" w:firstLineChars="200"/>
        <w:jc w:val="both"/>
        <w:rPr>
          <w:rFonts w:ascii="Arial" w:hAnsi="Arial" w:cs="Arial"/>
          <w:sz w:val="28"/>
        </w:rPr>
      </w:pPr>
      <w:r>
        <w:rPr>
          <w:rFonts w:ascii="Arial" w:hAnsi="Arial" w:cs="Arial"/>
          <w:sz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cs="Arial"/>
          <w:sz w:val="28"/>
        </w:rPr>
        <w:t>[GB/T 18507-2014]</w:t>
      </w:r>
      <w:r>
        <w:rPr>
          <w:rFonts w:ascii="Arial" w:hAnsi="Arial" w:cs="Arial"/>
          <w:sz w:val="28"/>
        </w:rPr>
        <w:fldChar w:fldCharType="end"/>
      </w:r>
    </w:p>
    <w:p w14:paraId="0CC99931">
      <w:pPr>
        <w:spacing w:line="360" w:lineRule="auto"/>
        <w:ind w:firstLine="560" w:firstLineChars="200"/>
        <w:jc w:val="both"/>
        <w:rPr>
          <w:rFonts w:ascii="Arial" w:hAnsi="Arial" w:cs="Arial"/>
          <w:sz w:val="28"/>
        </w:rPr>
      </w:pPr>
      <w:r>
        <w:rPr>
          <w:rFonts w:ascii="Arial" w:hAnsi="Arial" w:cs="Arial"/>
          <w:sz w:val="28"/>
        </w:rPr>
        <w:t>3.《土地利用现状分类》[ GB/T 21010-2017]</w:t>
      </w:r>
    </w:p>
    <w:p w14:paraId="3FEC1D75">
      <w:pPr>
        <w:spacing w:line="360" w:lineRule="auto"/>
        <w:ind w:firstLine="560" w:firstLineChars="200"/>
        <w:jc w:val="both"/>
        <w:rPr>
          <w:rFonts w:ascii="Arial" w:hAnsi="Arial" w:cs="Arial"/>
          <w:sz w:val="28"/>
        </w:rPr>
      </w:pPr>
      <w:r>
        <w:rPr>
          <w:rFonts w:ascii="Arial" w:hAnsi="Arial" w:cs="Arial"/>
          <w:sz w:val="28"/>
        </w:rPr>
        <w:t>4.《城市用地分类与规划建设用地标准》[GB50137-2011]</w:t>
      </w:r>
    </w:p>
    <w:p w14:paraId="49F973AC">
      <w:pPr>
        <w:spacing w:line="360" w:lineRule="auto"/>
        <w:ind w:firstLine="560" w:firstLineChars="200"/>
        <w:jc w:val="both"/>
        <w:rPr>
          <w:rFonts w:ascii="Arial" w:hAnsi="Arial" w:cs="Arial"/>
          <w:sz w:val="28"/>
        </w:rPr>
      </w:pPr>
      <w:r>
        <w:rPr>
          <w:rFonts w:ascii="Arial" w:hAnsi="Arial" w:cs="Arial"/>
          <w:sz w:val="28"/>
        </w:rPr>
        <w:t>5</w:t>
      </w:r>
      <w:r>
        <w:rPr>
          <w:rFonts w:hint="eastAsia" w:ascii="Arial" w:hAnsi="Arial" w:cs="Arial"/>
          <w:sz w:val="28"/>
        </w:rPr>
        <w:t>.《农村集体土地价格评估技术指引》[中估协发（2020）16号]</w:t>
      </w:r>
    </w:p>
    <w:p w14:paraId="05F42048">
      <w:pPr>
        <w:spacing w:line="360" w:lineRule="auto"/>
        <w:jc w:val="both"/>
        <w:rPr>
          <w:rFonts w:ascii="Arial" w:hAnsi="Arial" w:cs="Arial"/>
          <w:sz w:val="28"/>
        </w:rPr>
      </w:pPr>
      <w:r>
        <w:rPr>
          <w:rFonts w:ascii="Arial" w:hAnsi="Arial" w:cs="Arial"/>
          <w:sz w:val="28"/>
          <w:szCs w:val="18"/>
        </w:rPr>
        <w:t>（三） 受托估价方掌握的有关资料和评估专业人员实地勘察、调查所获取的资料实地勘查</w:t>
      </w:r>
      <w:r>
        <w:rPr>
          <w:rFonts w:ascii="Arial" w:hAnsi="Arial" w:cs="Arial"/>
          <w:sz w:val="28"/>
        </w:rPr>
        <w:t>的有关资料</w:t>
      </w:r>
    </w:p>
    <w:p w14:paraId="3357661D">
      <w:pPr>
        <w:spacing w:line="360" w:lineRule="auto"/>
        <w:jc w:val="both"/>
        <w:rPr>
          <w:rFonts w:ascii="Arial" w:hAnsi="Arial" w:cs="Arial"/>
          <w:sz w:val="28"/>
        </w:rPr>
      </w:pPr>
    </w:p>
    <w:p w14:paraId="68D9DEEE">
      <w:pPr>
        <w:spacing w:line="360" w:lineRule="auto"/>
        <w:outlineLvl w:val="1"/>
        <w:rPr>
          <w:rFonts w:ascii="Arial" w:hAnsi="Arial" w:cs="Arial"/>
          <w:b/>
          <w:sz w:val="28"/>
        </w:rPr>
      </w:pPr>
      <w:bookmarkStart w:id="211" w:name="_Toc12314"/>
      <w:bookmarkStart w:id="212" w:name="_Toc97732875"/>
      <w:bookmarkStart w:id="213" w:name="_Toc469066155"/>
      <w:bookmarkStart w:id="214" w:name="_Toc13271"/>
      <w:bookmarkStart w:id="215" w:name="_Toc19179"/>
      <w:bookmarkStart w:id="216" w:name="_Toc97732757"/>
      <w:bookmarkStart w:id="217" w:name="_Toc416783574"/>
      <w:bookmarkStart w:id="218" w:name="_Toc416783670"/>
      <w:r>
        <w:rPr>
          <w:rFonts w:ascii="Arial" w:hAnsi="Arial" w:cs="Arial"/>
          <w:b/>
          <w:sz w:val="28"/>
        </w:rPr>
        <w:t>六、咨询期日</w:t>
      </w:r>
      <w:bookmarkEnd w:id="211"/>
      <w:bookmarkEnd w:id="212"/>
      <w:bookmarkEnd w:id="213"/>
      <w:bookmarkEnd w:id="214"/>
      <w:bookmarkEnd w:id="215"/>
      <w:bookmarkEnd w:id="216"/>
    </w:p>
    <w:bookmarkEnd w:id="217"/>
    <w:bookmarkEnd w:id="218"/>
    <w:p w14:paraId="417E0246">
      <w:pPr>
        <w:spacing w:line="360" w:lineRule="auto"/>
        <w:ind w:firstLine="560" w:firstLineChars="200"/>
        <w:rPr>
          <w:rFonts w:ascii="Arial" w:hAnsi="Arial" w:cs="Arial"/>
          <w:sz w:val="28"/>
        </w:rPr>
      </w:pPr>
      <w:r>
        <w:rPr>
          <w:rFonts w:hint="eastAsia" w:ascii="Arial" w:hAnsi="Arial" w:cs="Arial"/>
          <w:sz w:val="28"/>
        </w:rPr>
        <w:t>2025年6月22日</w:t>
      </w:r>
      <w:r>
        <w:rPr>
          <w:rFonts w:ascii="Arial" w:hAnsi="Arial" w:cs="Arial"/>
          <w:sz w:val="28"/>
        </w:rPr>
        <w:t>（评估专业人员勘察现场之日）</w:t>
      </w:r>
    </w:p>
    <w:p w14:paraId="732CB147">
      <w:pPr>
        <w:spacing w:line="360" w:lineRule="auto"/>
        <w:rPr>
          <w:rFonts w:ascii="Arial" w:hAnsi="Arial" w:cs="Arial"/>
          <w:b/>
          <w:bCs/>
          <w:sz w:val="28"/>
        </w:rPr>
      </w:pPr>
    </w:p>
    <w:p w14:paraId="14477D5D">
      <w:pPr>
        <w:spacing w:line="360" w:lineRule="auto"/>
        <w:outlineLvl w:val="1"/>
        <w:rPr>
          <w:rFonts w:ascii="Arial" w:hAnsi="Arial" w:cs="Arial"/>
          <w:b/>
          <w:bCs/>
          <w:sz w:val="28"/>
        </w:rPr>
      </w:pPr>
      <w:bookmarkStart w:id="219" w:name="_Toc30853"/>
      <w:bookmarkStart w:id="220" w:name="_Toc97732876"/>
      <w:bookmarkStart w:id="221" w:name="_Toc19624"/>
      <w:bookmarkStart w:id="222" w:name="_Toc469066156"/>
      <w:bookmarkStart w:id="223" w:name="_Toc97732758"/>
      <w:bookmarkStart w:id="224" w:name="_Toc705"/>
      <w:bookmarkStart w:id="225" w:name="_Toc416783575"/>
      <w:bookmarkStart w:id="226" w:name="_Toc416783671"/>
      <w:r>
        <w:rPr>
          <w:rFonts w:ascii="Arial" w:hAnsi="Arial" w:cs="Arial"/>
          <w:b/>
          <w:bCs/>
          <w:sz w:val="28"/>
        </w:rPr>
        <w:t>七、咨询日期</w:t>
      </w:r>
      <w:bookmarkEnd w:id="219"/>
      <w:bookmarkEnd w:id="220"/>
      <w:bookmarkEnd w:id="221"/>
      <w:bookmarkEnd w:id="222"/>
      <w:bookmarkEnd w:id="223"/>
      <w:bookmarkEnd w:id="224"/>
    </w:p>
    <w:bookmarkEnd w:id="225"/>
    <w:bookmarkEnd w:id="226"/>
    <w:p w14:paraId="2BED067A">
      <w:pPr>
        <w:spacing w:line="360" w:lineRule="auto"/>
        <w:ind w:firstLine="560" w:firstLineChars="200"/>
        <w:rPr>
          <w:rFonts w:ascii="Arial" w:hAnsi="Arial" w:cs="Arial"/>
          <w:sz w:val="28"/>
        </w:rPr>
      </w:pPr>
      <w:r>
        <w:rPr>
          <w:rFonts w:hint="eastAsia" w:ascii="Arial" w:hAnsi="Arial" w:cs="Arial"/>
          <w:sz w:val="28"/>
        </w:rPr>
        <w:t>2025年6月22日</w:t>
      </w:r>
      <w:r>
        <w:rPr>
          <w:rFonts w:ascii="Arial" w:hAnsi="Arial" w:cs="Arial"/>
          <w:sz w:val="28"/>
        </w:rPr>
        <w:t>至</w:t>
      </w:r>
      <w:r>
        <w:rPr>
          <w:rFonts w:hint="eastAsia" w:ascii="Arial" w:hAnsi="Arial" w:cs="Arial"/>
          <w:sz w:val="28"/>
        </w:rPr>
        <w:t>2025年7月1日</w:t>
      </w:r>
    </w:p>
    <w:p w14:paraId="1A6BF91B">
      <w:pPr>
        <w:pStyle w:val="9"/>
        <w:spacing w:line="360" w:lineRule="auto"/>
        <w:ind w:left="1405" w:hanging="1405" w:hangingChars="500"/>
        <w:jc w:val="left"/>
        <w:rPr>
          <w:rFonts w:ascii="Arial" w:eastAsia="宋体" w:cs="Arial"/>
          <w:b/>
          <w:bCs/>
          <w:sz w:val="28"/>
        </w:rPr>
      </w:pPr>
    </w:p>
    <w:p w14:paraId="7C02089A">
      <w:pPr>
        <w:pStyle w:val="9"/>
        <w:spacing w:line="360" w:lineRule="auto"/>
        <w:ind w:left="1405" w:hanging="1405" w:hangingChars="500"/>
        <w:jc w:val="left"/>
        <w:outlineLvl w:val="1"/>
        <w:rPr>
          <w:rFonts w:ascii="Arial" w:eastAsia="宋体" w:cs="Arial"/>
          <w:b/>
          <w:bCs/>
          <w:sz w:val="28"/>
        </w:rPr>
      </w:pPr>
      <w:bookmarkStart w:id="227" w:name="_Toc97732759"/>
      <w:bookmarkStart w:id="228" w:name="_Toc29551"/>
      <w:bookmarkStart w:id="229" w:name="_Toc97732877"/>
      <w:bookmarkStart w:id="230" w:name="_Toc14150"/>
      <w:bookmarkStart w:id="231" w:name="_Toc469066157"/>
      <w:bookmarkStart w:id="232" w:name="_Toc24654"/>
      <w:r>
        <w:rPr>
          <w:rFonts w:ascii="Arial" w:eastAsia="宋体" w:cs="Arial"/>
          <w:b/>
          <w:bCs/>
          <w:sz w:val="28"/>
        </w:rPr>
        <w:t>八、地价定义</w:t>
      </w:r>
      <w:bookmarkEnd w:id="227"/>
      <w:bookmarkEnd w:id="228"/>
      <w:bookmarkEnd w:id="229"/>
      <w:bookmarkEnd w:id="230"/>
      <w:bookmarkEnd w:id="231"/>
      <w:bookmarkEnd w:id="232"/>
    </w:p>
    <w:p w14:paraId="41E27AE6">
      <w:pPr>
        <w:spacing w:line="360" w:lineRule="auto"/>
        <w:jc w:val="both"/>
        <w:rPr>
          <w:rFonts w:ascii="Arial" w:hAnsi="Arial" w:cs="Arial"/>
          <w:sz w:val="28"/>
        </w:rPr>
      </w:pPr>
      <w:r>
        <w:rPr>
          <w:rFonts w:ascii="Arial" w:hAnsi="Arial" w:cs="Arial"/>
          <w:sz w:val="28"/>
        </w:rPr>
        <w:t>（一）用途</w:t>
      </w:r>
    </w:p>
    <w:p w14:paraId="613DBBA4">
      <w:pPr>
        <w:spacing w:line="360" w:lineRule="auto"/>
        <w:ind w:firstLine="560" w:firstLineChars="200"/>
        <w:jc w:val="both"/>
        <w:rPr>
          <w:rFonts w:ascii="Arial" w:hAnsi="Arial" w:cs="Arial"/>
          <w:sz w:val="28"/>
        </w:rPr>
      </w:pPr>
      <w:r>
        <w:rPr>
          <w:rFonts w:hint="eastAsia" w:ascii="Arial" w:hAnsi="Arial" w:cs="Arial"/>
          <w:sz w:val="28"/>
        </w:rPr>
        <w:t>经委托方介绍，拟与百泉庄</w:t>
      </w:r>
      <w:r>
        <w:rPr>
          <w:rFonts w:ascii="Arial" w:hAnsi="Arial" w:cs="Arial"/>
          <w:sz w:val="28"/>
        </w:rPr>
        <w:t>村经济</w:t>
      </w:r>
      <w:r>
        <w:rPr>
          <w:rFonts w:hint="eastAsia" w:ascii="Arial" w:hAnsi="Arial" w:cs="Arial"/>
          <w:sz w:val="28"/>
        </w:rPr>
        <w:t>组织采用股权合作模式开发建设昌平区马池口镇百泉庄村集体土地租赁住房项目，总</w:t>
      </w:r>
      <w:r>
        <w:rPr>
          <w:rFonts w:ascii="Arial" w:hAnsi="Arial" w:cs="Arial"/>
          <w:sz w:val="28"/>
        </w:rPr>
        <w:t>建设用地</w:t>
      </w:r>
      <w:r>
        <w:rPr>
          <w:rFonts w:hint="eastAsia" w:ascii="Arial" w:hAnsi="Arial" w:cs="Arial"/>
          <w:sz w:val="28"/>
        </w:rPr>
        <w:t>18132平方米</w:t>
      </w:r>
      <w:r>
        <w:rPr>
          <w:rFonts w:ascii="Arial" w:hAnsi="Arial" w:cs="Arial"/>
          <w:sz w:val="28"/>
        </w:rPr>
        <w:t>（</w:t>
      </w:r>
      <w:r>
        <w:rPr>
          <w:rFonts w:hint="eastAsia" w:ascii="Arial" w:hAnsi="Arial" w:cs="Arial"/>
          <w:sz w:val="28"/>
        </w:rPr>
        <w:t>27.20</w:t>
      </w:r>
      <w:r>
        <w:rPr>
          <w:rFonts w:ascii="Arial" w:hAnsi="Arial" w:cs="Arial"/>
          <w:sz w:val="28"/>
        </w:rPr>
        <w:t>亩）。</w:t>
      </w:r>
    </w:p>
    <w:p w14:paraId="5D27D0CE">
      <w:pPr>
        <w:spacing w:line="360" w:lineRule="auto"/>
        <w:jc w:val="both"/>
        <w:rPr>
          <w:rFonts w:ascii="Arial" w:hAnsi="Arial" w:cs="Arial"/>
          <w:sz w:val="28"/>
        </w:rPr>
      </w:pPr>
      <w:r>
        <w:rPr>
          <w:rFonts w:ascii="Arial" w:hAnsi="Arial" w:cs="Arial"/>
          <w:sz w:val="28"/>
        </w:rPr>
        <w:t>（二）土地开发程度</w:t>
      </w:r>
    </w:p>
    <w:p w14:paraId="7F86A964">
      <w:pPr>
        <w:spacing w:line="360" w:lineRule="auto"/>
        <w:ind w:firstLine="560" w:firstLineChars="200"/>
        <w:jc w:val="both"/>
        <w:rPr>
          <w:rFonts w:ascii="Arial" w:hAnsi="Arial" w:cs="Arial"/>
          <w:i/>
          <w:sz w:val="28"/>
        </w:rPr>
      </w:pPr>
      <w:r>
        <w:rPr>
          <w:rFonts w:ascii="Arial" w:hAnsi="Arial" w:cs="Arial"/>
          <w:sz w:val="28"/>
        </w:rPr>
        <w:t>根据委托方介绍及评估专业人员实地查勘，本次评估咨询对象实际土地开发程度为红线外市政基础设施为“三通”、宗地红线内场地未平整，宗地内有需要移除的树木。依据委托方介绍，该宗地以“三通一平”的形式作价入股，因此本次评估设定土地开发程度为红线外市政基础设施达“三通”、宗地红线内场地平整。</w:t>
      </w:r>
      <w:r>
        <w:rPr>
          <w:rFonts w:ascii="Arial" w:hAnsi="Arial" w:cs="Arial"/>
          <w:spacing w:val="-12"/>
          <w:sz w:val="28"/>
        </w:rPr>
        <w:t>咨询结果</w:t>
      </w:r>
      <w:r>
        <w:rPr>
          <w:rFonts w:ascii="Arial" w:hAnsi="Arial" w:cs="Arial"/>
          <w:sz w:val="28"/>
        </w:rPr>
        <w:t>未扣除树木移除的费用。</w:t>
      </w:r>
    </w:p>
    <w:p w14:paraId="38A13501">
      <w:pPr>
        <w:spacing w:line="360" w:lineRule="auto"/>
        <w:jc w:val="both"/>
        <w:rPr>
          <w:rFonts w:ascii="Arial" w:hAnsi="Arial" w:cs="Arial"/>
          <w:sz w:val="28"/>
        </w:rPr>
      </w:pPr>
      <w:r>
        <w:rPr>
          <w:rFonts w:ascii="Arial" w:hAnsi="Arial" w:cs="Arial"/>
          <w:sz w:val="28"/>
        </w:rPr>
        <w:t>（三）规划利用条件</w:t>
      </w:r>
    </w:p>
    <w:p w14:paraId="1AEB8C7B">
      <w:pPr>
        <w:spacing w:line="360" w:lineRule="auto"/>
        <w:jc w:val="both"/>
        <w:rPr>
          <w:rFonts w:ascii="Arial" w:hAnsi="Arial" w:cs="Arial"/>
          <w:sz w:val="28"/>
        </w:rPr>
      </w:pPr>
      <w:r>
        <w:rPr>
          <w:rFonts w:hint="eastAsia" w:ascii="Arial" w:hAnsi="Arial" w:cs="Arial"/>
          <w:sz w:val="28"/>
        </w:rPr>
        <w:t xml:space="preserve">    根据委托方介绍,</w:t>
      </w:r>
      <w:r>
        <w:rPr>
          <w:rFonts w:ascii="Arial" w:hAnsi="Arial" w:cs="Arial"/>
          <w:sz w:val="28"/>
        </w:rPr>
        <w:t>咨询对象为</w:t>
      </w:r>
      <w:r>
        <w:rPr>
          <w:rFonts w:hint="eastAsia" w:ascii="Arial" w:hAnsi="Arial" w:cs="Arial"/>
          <w:sz w:val="28"/>
        </w:rPr>
        <w:t>北京保障房中心有限公司拟</w:t>
      </w:r>
      <w:r>
        <w:rPr>
          <w:rFonts w:ascii="Arial" w:hAnsi="Arial" w:cs="Arial"/>
          <w:sz w:val="28"/>
        </w:rPr>
        <w:t>使用的集体建设用地。咨询对象土地面积为</w:t>
      </w:r>
      <w:r>
        <w:rPr>
          <w:rFonts w:hint="eastAsia" w:ascii="Arial" w:hAnsi="Arial" w:cs="Arial"/>
          <w:sz w:val="28"/>
        </w:rPr>
        <w:t>18132</w:t>
      </w:r>
      <w:r>
        <w:rPr>
          <w:rFonts w:ascii="Arial" w:hAnsi="Arial" w:cs="Arial"/>
          <w:sz w:val="28"/>
        </w:rPr>
        <w:t>平方米，规划建筑面积为</w:t>
      </w:r>
      <w:r>
        <w:rPr>
          <w:rFonts w:hint="eastAsia" w:ascii="Arial" w:hAnsi="Arial" w:cs="Arial"/>
          <w:sz w:val="28"/>
        </w:rPr>
        <w:t>43300</w:t>
      </w:r>
      <w:r>
        <w:rPr>
          <w:rFonts w:ascii="Arial" w:hAnsi="Arial" w:cs="Arial"/>
          <w:sz w:val="28"/>
        </w:rPr>
        <w:t>平方米。其中</w:t>
      </w:r>
      <w:r>
        <w:rPr>
          <w:rFonts w:hint="eastAsia" w:ascii="Arial" w:hAnsi="Arial" w:cs="Arial"/>
          <w:sz w:val="28"/>
        </w:rPr>
        <w:t>地上</w:t>
      </w:r>
      <w:r>
        <w:rPr>
          <w:rFonts w:ascii="Arial" w:hAnsi="Arial" w:cs="Arial"/>
          <w:sz w:val="28"/>
        </w:rPr>
        <w:t>经营性用途用房</w:t>
      </w:r>
      <w:r>
        <w:rPr>
          <w:rFonts w:hint="eastAsia" w:ascii="Arial" w:hAnsi="Arial" w:cs="Arial"/>
          <w:sz w:val="28"/>
        </w:rPr>
        <w:t>31948</w:t>
      </w:r>
      <w:r>
        <w:rPr>
          <w:rFonts w:ascii="Arial" w:hAnsi="Arial" w:cs="Arial"/>
          <w:sz w:val="28"/>
        </w:rPr>
        <w:t>平方米（其中：</w:t>
      </w:r>
      <w:r>
        <w:rPr>
          <w:rFonts w:hint="eastAsia" w:ascii="Arial" w:hAnsi="Arial" w:cs="Arial"/>
          <w:sz w:val="28"/>
        </w:rPr>
        <w:t>公寓31152</w:t>
      </w:r>
      <w:r>
        <w:rPr>
          <w:rFonts w:ascii="Arial" w:hAnsi="Arial" w:cs="Arial"/>
          <w:sz w:val="28"/>
        </w:rPr>
        <w:t>平方米，商业</w:t>
      </w:r>
      <w:r>
        <w:rPr>
          <w:rFonts w:hint="eastAsia" w:ascii="Arial" w:hAnsi="Arial" w:cs="Arial"/>
          <w:sz w:val="28"/>
        </w:rPr>
        <w:t>796</w:t>
      </w:r>
      <w:r>
        <w:rPr>
          <w:rFonts w:ascii="Arial" w:hAnsi="Arial" w:cs="Arial"/>
          <w:sz w:val="28"/>
        </w:rPr>
        <w:t>平方米）；非经营性用途用房</w:t>
      </w:r>
      <w:r>
        <w:rPr>
          <w:rFonts w:hint="eastAsia" w:ascii="Arial" w:hAnsi="Arial" w:cs="Arial"/>
          <w:sz w:val="28"/>
        </w:rPr>
        <w:t>690</w:t>
      </w:r>
      <w:r>
        <w:rPr>
          <w:rFonts w:ascii="Arial" w:hAnsi="Arial" w:cs="Arial"/>
          <w:sz w:val="28"/>
        </w:rPr>
        <w:t>平方米（其中：配套设施</w:t>
      </w:r>
      <w:r>
        <w:rPr>
          <w:rFonts w:hint="eastAsia" w:ascii="Arial" w:hAnsi="Arial" w:cs="Arial"/>
          <w:sz w:val="28"/>
        </w:rPr>
        <w:t>540</w:t>
      </w:r>
      <w:r>
        <w:rPr>
          <w:rFonts w:ascii="Arial" w:hAnsi="Arial" w:cs="Arial"/>
          <w:sz w:val="28"/>
        </w:rPr>
        <w:t>平方米，</w:t>
      </w:r>
      <w:r>
        <w:rPr>
          <w:rFonts w:hint="eastAsia" w:ascii="Arial" w:hAnsi="Arial" w:cs="Arial"/>
          <w:sz w:val="28"/>
        </w:rPr>
        <w:t>地下建筑出入口150</w:t>
      </w:r>
      <w:r>
        <w:rPr>
          <w:rFonts w:ascii="Arial" w:hAnsi="Arial" w:cs="Arial"/>
          <w:sz w:val="28"/>
        </w:rPr>
        <w:t>平方米）</w:t>
      </w:r>
      <w:r>
        <w:rPr>
          <w:rFonts w:hint="eastAsia" w:ascii="Arial" w:hAnsi="Arial" w:cs="Arial"/>
          <w:sz w:val="28"/>
        </w:rPr>
        <w:t>；地下车库218个（约5556平方米），其他</w:t>
      </w:r>
      <w:r>
        <w:rPr>
          <w:rFonts w:ascii="Arial" w:hAnsi="Arial" w:cs="Arial"/>
          <w:sz w:val="28"/>
        </w:rPr>
        <w:t>非经营性用途用房</w:t>
      </w:r>
      <w:r>
        <w:rPr>
          <w:rFonts w:hint="eastAsia" w:ascii="Arial" w:hAnsi="Arial" w:cs="Arial"/>
          <w:sz w:val="28"/>
        </w:rPr>
        <w:t>约5106平方米。</w:t>
      </w:r>
    </w:p>
    <w:p w14:paraId="2E0D704B">
      <w:pPr>
        <w:spacing w:line="360" w:lineRule="auto"/>
        <w:ind w:firstLine="560" w:firstLineChars="200"/>
        <w:jc w:val="both"/>
        <w:rPr>
          <w:rFonts w:ascii="Arial" w:hAnsi="Arial" w:cs="Arial"/>
          <w:sz w:val="28"/>
        </w:rPr>
      </w:pPr>
      <w:r>
        <w:rPr>
          <w:rFonts w:hint="eastAsia" w:ascii="Arial" w:hAnsi="Arial" w:cs="Arial"/>
          <w:sz w:val="28"/>
        </w:rPr>
        <w:t>根据委托方提供的经济技术指标，规划利用条件如下：</w:t>
      </w:r>
    </w:p>
    <w:tbl>
      <w:tblPr>
        <w:tblStyle w:val="32"/>
        <w:tblpPr w:leftFromText="180" w:rightFromText="180" w:vertAnchor="text" w:horzAnchor="margin" w:tblpX="1" w:tblpY="143"/>
        <w:tblW w:w="945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65"/>
        <w:gridCol w:w="1020"/>
        <w:gridCol w:w="3341"/>
        <w:gridCol w:w="1488"/>
        <w:gridCol w:w="2436"/>
      </w:tblGrid>
      <w:tr w14:paraId="68579F6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280" w:hRule="atLeast"/>
        </w:trPr>
        <w:tc>
          <w:tcPr>
            <w:tcW w:w="5526" w:type="dxa"/>
            <w:gridSpan w:val="3"/>
            <w:tcBorders>
              <w:bottom w:val="single" w:color="auto" w:sz="4" w:space="0"/>
              <w:right w:val="single" w:color="auto" w:sz="4" w:space="0"/>
            </w:tcBorders>
            <w:noWrap/>
            <w:vAlign w:val="center"/>
          </w:tcPr>
          <w:p w14:paraId="5D1C4C5C">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color="auto" w:sz="4" w:space="0"/>
              <w:right w:val="single" w:color="auto" w:sz="4" w:space="0"/>
            </w:tcBorders>
            <w:noWrap/>
            <w:vAlign w:val="center"/>
          </w:tcPr>
          <w:p w14:paraId="3A9A07AC">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color="auto" w:sz="4" w:space="0"/>
              <w:right w:val="single" w:color="auto" w:sz="4" w:space="0"/>
            </w:tcBorders>
            <w:noWrap/>
            <w:vAlign w:val="center"/>
          </w:tcPr>
          <w:p w14:paraId="6EFCD9D7">
            <w:pPr>
              <w:widowControl/>
              <w:spacing w:line="240" w:lineRule="auto"/>
              <w:jc w:val="center"/>
              <w:rPr>
                <w:rFonts w:ascii="Arial" w:hAnsi="Arial" w:cs="Arial"/>
                <w:color w:val="000000"/>
                <w:sz w:val="20"/>
              </w:rPr>
            </w:pPr>
            <w:r>
              <w:rPr>
                <w:rFonts w:ascii="Arial" w:hAnsi="Arial" w:cs="Arial"/>
                <w:color w:val="000000"/>
                <w:sz w:val="20"/>
              </w:rPr>
              <w:t>数量</w:t>
            </w:r>
          </w:p>
        </w:tc>
      </w:tr>
      <w:tr w14:paraId="047B27F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2F883A09">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color="auto" w:sz="4" w:space="0"/>
              <w:right w:val="single" w:color="auto" w:sz="4" w:space="0"/>
            </w:tcBorders>
            <w:noWrap/>
            <w:vAlign w:val="center"/>
          </w:tcPr>
          <w:p w14:paraId="700E843A">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8DF7749">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107B1C1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1D7491EF">
            <w:pPr>
              <w:widowControl/>
              <w:spacing w:line="240" w:lineRule="auto"/>
              <w:jc w:val="center"/>
              <w:rPr>
                <w:rFonts w:ascii="Arial" w:hAnsi="Arial" w:cs="Arial"/>
                <w:color w:val="000000"/>
                <w:sz w:val="20"/>
              </w:rPr>
            </w:pPr>
            <w:r>
              <w:rPr>
                <w:rFonts w:hint="eastAsia" w:ascii="Arial" w:hAnsi="Arial" w:cs="Arial"/>
                <w:color w:val="000000"/>
                <w:sz w:val="20"/>
              </w:rPr>
              <w:t>建设用地面积</w:t>
            </w:r>
          </w:p>
        </w:tc>
        <w:tc>
          <w:tcPr>
            <w:tcW w:w="1488" w:type="dxa"/>
            <w:tcBorders>
              <w:top w:val="nil"/>
              <w:left w:val="nil"/>
              <w:bottom w:val="single" w:color="auto" w:sz="4" w:space="0"/>
              <w:right w:val="single" w:color="auto" w:sz="4" w:space="0"/>
            </w:tcBorders>
            <w:noWrap/>
            <w:vAlign w:val="center"/>
          </w:tcPr>
          <w:p w14:paraId="378CC002">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E77E1D1">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7EB1756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3DAC3D27">
            <w:pPr>
              <w:widowControl/>
              <w:spacing w:line="240" w:lineRule="auto"/>
              <w:jc w:val="center"/>
              <w:rPr>
                <w:rFonts w:ascii="Arial" w:hAnsi="Arial" w:cs="Arial"/>
                <w:color w:val="000000"/>
                <w:sz w:val="20"/>
              </w:rPr>
            </w:pPr>
            <w:r>
              <w:rPr>
                <w:rFonts w:hint="eastAsia" w:ascii="Arial" w:hAnsi="Arial" w:cs="Arial"/>
                <w:color w:val="000000"/>
                <w:sz w:val="20"/>
              </w:rPr>
              <w:t>总建筑面积</w:t>
            </w:r>
          </w:p>
        </w:tc>
        <w:tc>
          <w:tcPr>
            <w:tcW w:w="1488" w:type="dxa"/>
            <w:tcBorders>
              <w:top w:val="nil"/>
              <w:left w:val="nil"/>
              <w:bottom w:val="single" w:color="auto" w:sz="4" w:space="0"/>
              <w:right w:val="single" w:color="auto" w:sz="4" w:space="0"/>
            </w:tcBorders>
            <w:noWrap/>
            <w:vAlign w:val="center"/>
          </w:tcPr>
          <w:p w14:paraId="7278AC8B">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72ED58D">
            <w:pPr>
              <w:widowControl/>
              <w:spacing w:line="240" w:lineRule="auto"/>
              <w:jc w:val="center"/>
              <w:rPr>
                <w:rFonts w:ascii="Arial" w:hAnsi="Arial" w:cs="Arial"/>
                <w:color w:val="000000"/>
                <w:sz w:val="20"/>
              </w:rPr>
            </w:pPr>
            <w:r>
              <w:rPr>
                <w:rFonts w:hint="eastAsia" w:ascii="Arial" w:hAnsi="Arial" w:cs="Arial"/>
                <w:color w:val="000000"/>
                <w:sz w:val="20"/>
              </w:rPr>
              <w:t>43300</w:t>
            </w:r>
          </w:p>
        </w:tc>
      </w:tr>
      <w:tr w14:paraId="6BA2604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restart"/>
            <w:tcBorders>
              <w:top w:val="nil"/>
              <w:right w:val="single" w:color="auto" w:sz="4" w:space="0"/>
            </w:tcBorders>
            <w:noWrap/>
            <w:vAlign w:val="center"/>
          </w:tcPr>
          <w:p w14:paraId="58A1E4D1">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color="auto" w:sz="4" w:space="0"/>
              <w:left w:val="nil"/>
              <w:bottom w:val="single" w:color="auto" w:sz="4" w:space="0"/>
              <w:right w:val="single" w:color="auto" w:sz="4" w:space="0"/>
            </w:tcBorders>
            <w:noWrap/>
            <w:vAlign w:val="center"/>
          </w:tcPr>
          <w:p w14:paraId="3BF9BB3B">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color="auto" w:sz="4" w:space="0"/>
              <w:right w:val="single" w:color="auto" w:sz="4" w:space="0"/>
            </w:tcBorders>
            <w:noWrap/>
            <w:vAlign w:val="center"/>
          </w:tcPr>
          <w:p w14:paraId="2CEB0106">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EDF0A30">
            <w:pPr>
              <w:widowControl/>
              <w:spacing w:line="240" w:lineRule="auto"/>
              <w:jc w:val="center"/>
              <w:rPr>
                <w:rFonts w:ascii="Arial" w:hAnsi="Arial" w:cs="Arial"/>
                <w:color w:val="000000"/>
                <w:sz w:val="20"/>
              </w:rPr>
            </w:pPr>
            <w:r>
              <w:rPr>
                <w:rFonts w:hint="eastAsia" w:ascii="Arial" w:hAnsi="Arial" w:cs="Arial"/>
                <w:color w:val="000000"/>
                <w:sz w:val="20"/>
              </w:rPr>
              <w:t>32638</w:t>
            </w:r>
          </w:p>
        </w:tc>
      </w:tr>
      <w:tr w14:paraId="648537A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7FACCA9C">
            <w:pPr>
              <w:widowControl/>
              <w:spacing w:line="240" w:lineRule="auto"/>
              <w:jc w:val="center"/>
              <w:rPr>
                <w:rFonts w:ascii="Arial" w:hAnsi="Arial" w:cs="Arial"/>
                <w:color w:val="000000"/>
                <w:sz w:val="20"/>
              </w:rPr>
            </w:pPr>
          </w:p>
        </w:tc>
        <w:tc>
          <w:tcPr>
            <w:tcW w:w="1020" w:type="dxa"/>
            <w:vMerge w:val="restart"/>
            <w:tcBorders>
              <w:top w:val="nil"/>
              <w:left w:val="single" w:color="auto" w:sz="4" w:space="0"/>
              <w:bottom w:val="single" w:color="auto" w:sz="4" w:space="0"/>
              <w:right w:val="single" w:color="auto" w:sz="4" w:space="0"/>
            </w:tcBorders>
            <w:noWrap/>
            <w:vAlign w:val="center"/>
          </w:tcPr>
          <w:p w14:paraId="4A461A46">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color="auto" w:sz="4" w:space="0"/>
              <w:right w:val="single" w:color="auto" w:sz="4" w:space="0"/>
            </w:tcBorders>
            <w:noWrap/>
            <w:vAlign w:val="center"/>
          </w:tcPr>
          <w:p w14:paraId="1CC144E2">
            <w:pPr>
              <w:widowControl/>
              <w:spacing w:line="240" w:lineRule="auto"/>
              <w:jc w:val="center"/>
              <w:rPr>
                <w:rFonts w:ascii="Arial" w:hAnsi="Arial" w:cs="Arial"/>
                <w:color w:val="000000"/>
                <w:sz w:val="20"/>
              </w:rPr>
            </w:pPr>
            <w:r>
              <w:rPr>
                <w:rFonts w:hint="eastAsia" w:ascii="Arial" w:hAnsi="Arial" w:cs="Arial"/>
                <w:color w:val="000000"/>
                <w:sz w:val="20"/>
              </w:rPr>
              <w:t>公寓建筑面积</w:t>
            </w:r>
          </w:p>
        </w:tc>
        <w:tc>
          <w:tcPr>
            <w:tcW w:w="1488" w:type="dxa"/>
            <w:tcBorders>
              <w:top w:val="nil"/>
              <w:left w:val="nil"/>
              <w:bottom w:val="single" w:color="auto" w:sz="4" w:space="0"/>
              <w:right w:val="single" w:color="auto" w:sz="4" w:space="0"/>
            </w:tcBorders>
            <w:noWrap/>
            <w:vAlign w:val="center"/>
          </w:tcPr>
          <w:p w14:paraId="37F8AB5C">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39FA53F">
            <w:pPr>
              <w:widowControl/>
              <w:spacing w:line="240" w:lineRule="auto"/>
              <w:jc w:val="center"/>
              <w:rPr>
                <w:rFonts w:ascii="Arial" w:hAnsi="Arial" w:cs="Arial"/>
                <w:color w:val="000000"/>
                <w:sz w:val="20"/>
              </w:rPr>
            </w:pPr>
            <w:r>
              <w:rPr>
                <w:rFonts w:hint="eastAsia" w:ascii="Arial" w:hAnsi="Arial" w:cs="Arial"/>
                <w:color w:val="000000"/>
                <w:sz w:val="20"/>
              </w:rPr>
              <w:t>31152</w:t>
            </w:r>
          </w:p>
        </w:tc>
      </w:tr>
      <w:tr w14:paraId="19B7F2B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7A7B0D6">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150C3EFB">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FC2EFAE">
            <w:pPr>
              <w:widowControl/>
              <w:spacing w:line="240" w:lineRule="auto"/>
              <w:jc w:val="center"/>
              <w:rPr>
                <w:rFonts w:ascii="Arial" w:hAnsi="Arial" w:cs="Arial"/>
                <w:color w:val="000000"/>
                <w:sz w:val="20"/>
              </w:rPr>
            </w:pPr>
            <w:r>
              <w:rPr>
                <w:rFonts w:hint="eastAsia" w:ascii="Arial" w:hAnsi="Arial" w:cs="Arial"/>
                <w:color w:val="000000"/>
                <w:sz w:val="20"/>
              </w:rPr>
              <w:t>商业建筑面积</w:t>
            </w:r>
          </w:p>
        </w:tc>
        <w:tc>
          <w:tcPr>
            <w:tcW w:w="1488" w:type="dxa"/>
            <w:tcBorders>
              <w:top w:val="nil"/>
              <w:left w:val="nil"/>
              <w:bottom w:val="single" w:color="auto" w:sz="4" w:space="0"/>
              <w:right w:val="single" w:color="auto" w:sz="4" w:space="0"/>
            </w:tcBorders>
            <w:noWrap/>
            <w:vAlign w:val="center"/>
          </w:tcPr>
          <w:p w14:paraId="459EFC9F">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A5A5EC6">
            <w:pPr>
              <w:widowControl/>
              <w:spacing w:line="240" w:lineRule="auto"/>
              <w:jc w:val="center"/>
              <w:rPr>
                <w:rFonts w:ascii="Arial" w:hAnsi="Arial" w:cs="Arial"/>
                <w:color w:val="000000"/>
                <w:sz w:val="20"/>
              </w:rPr>
            </w:pPr>
            <w:r>
              <w:rPr>
                <w:rFonts w:hint="eastAsia" w:ascii="Arial" w:hAnsi="Arial" w:cs="Arial"/>
                <w:color w:val="000000"/>
                <w:sz w:val="20"/>
              </w:rPr>
              <w:t>796</w:t>
            </w:r>
          </w:p>
        </w:tc>
      </w:tr>
      <w:tr w14:paraId="351750A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9EEF113">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3EAC8FC1">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41AE47E">
            <w:pPr>
              <w:widowControl/>
              <w:spacing w:line="240" w:lineRule="auto"/>
              <w:jc w:val="center"/>
              <w:rPr>
                <w:rFonts w:ascii="Arial" w:hAnsi="Arial" w:cs="Arial"/>
                <w:color w:val="000000"/>
                <w:sz w:val="20"/>
              </w:rPr>
            </w:pPr>
            <w:r>
              <w:rPr>
                <w:rFonts w:hint="eastAsia" w:ascii="Arial" w:hAnsi="Arial" w:cs="Arial"/>
                <w:color w:val="000000"/>
                <w:sz w:val="20"/>
              </w:rPr>
              <w:t>地下建筑出入口</w:t>
            </w:r>
          </w:p>
        </w:tc>
        <w:tc>
          <w:tcPr>
            <w:tcW w:w="1488" w:type="dxa"/>
            <w:tcBorders>
              <w:top w:val="nil"/>
              <w:left w:val="nil"/>
              <w:bottom w:val="single" w:color="auto" w:sz="4" w:space="0"/>
              <w:right w:val="single" w:color="auto" w:sz="4" w:space="0"/>
            </w:tcBorders>
            <w:noWrap/>
            <w:vAlign w:val="center"/>
          </w:tcPr>
          <w:p w14:paraId="606ACA30">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757CBF4">
            <w:pPr>
              <w:widowControl/>
              <w:spacing w:line="240" w:lineRule="auto"/>
              <w:jc w:val="center"/>
              <w:rPr>
                <w:rFonts w:ascii="Arial" w:hAnsi="Arial" w:cs="Arial"/>
                <w:color w:val="000000"/>
                <w:sz w:val="20"/>
              </w:rPr>
            </w:pPr>
            <w:r>
              <w:rPr>
                <w:rFonts w:hint="eastAsia" w:ascii="Arial" w:hAnsi="Arial" w:cs="Arial"/>
                <w:color w:val="000000"/>
                <w:sz w:val="20"/>
              </w:rPr>
              <w:t>150</w:t>
            </w:r>
          </w:p>
        </w:tc>
      </w:tr>
      <w:tr w14:paraId="08A5BFA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62BBB140">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72E919C1">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E191B64">
            <w:pPr>
              <w:widowControl/>
              <w:spacing w:line="240" w:lineRule="auto"/>
              <w:jc w:val="center"/>
              <w:rPr>
                <w:rFonts w:ascii="Arial" w:hAnsi="Arial" w:cs="Arial"/>
                <w:color w:val="000000"/>
                <w:sz w:val="20"/>
              </w:rPr>
            </w:pPr>
            <w:r>
              <w:rPr>
                <w:rFonts w:hint="eastAsia" w:ascii="Arial" w:hAnsi="Arial" w:cs="Arial"/>
                <w:color w:val="000000"/>
                <w:sz w:val="20"/>
              </w:rPr>
              <w:t>配套设施面积</w:t>
            </w:r>
          </w:p>
        </w:tc>
        <w:tc>
          <w:tcPr>
            <w:tcW w:w="1488" w:type="dxa"/>
            <w:tcBorders>
              <w:top w:val="nil"/>
              <w:left w:val="nil"/>
              <w:bottom w:val="single" w:color="auto" w:sz="4" w:space="0"/>
              <w:right w:val="single" w:color="auto" w:sz="4" w:space="0"/>
            </w:tcBorders>
            <w:noWrap/>
            <w:vAlign w:val="center"/>
          </w:tcPr>
          <w:p w14:paraId="0DFF7F2D">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4A202F4">
            <w:pPr>
              <w:widowControl/>
              <w:spacing w:line="240" w:lineRule="auto"/>
              <w:jc w:val="center"/>
              <w:rPr>
                <w:rFonts w:ascii="Arial" w:hAnsi="Arial" w:cs="Arial"/>
                <w:color w:val="000000"/>
                <w:sz w:val="20"/>
              </w:rPr>
            </w:pPr>
            <w:r>
              <w:rPr>
                <w:rFonts w:hint="eastAsia" w:ascii="Arial" w:hAnsi="Arial" w:cs="Arial"/>
                <w:color w:val="000000"/>
                <w:sz w:val="20"/>
              </w:rPr>
              <w:t>540</w:t>
            </w:r>
          </w:p>
        </w:tc>
      </w:tr>
      <w:tr w14:paraId="27046B8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FF58C1F">
            <w:pPr>
              <w:widowControl/>
              <w:spacing w:line="240" w:lineRule="auto"/>
              <w:jc w:val="center"/>
              <w:rPr>
                <w:rFonts w:ascii="Arial" w:hAnsi="Arial" w:cs="Arial"/>
                <w:color w:val="000000"/>
                <w:sz w:val="20"/>
              </w:rPr>
            </w:pPr>
          </w:p>
        </w:tc>
        <w:tc>
          <w:tcPr>
            <w:tcW w:w="4361" w:type="dxa"/>
            <w:gridSpan w:val="2"/>
            <w:tcBorders>
              <w:top w:val="single" w:color="auto" w:sz="4" w:space="0"/>
              <w:left w:val="single" w:color="auto" w:sz="4" w:space="0"/>
              <w:bottom w:val="single" w:color="auto" w:sz="4" w:space="0"/>
              <w:right w:val="single" w:color="auto" w:sz="4" w:space="0"/>
            </w:tcBorders>
            <w:vAlign w:val="center"/>
          </w:tcPr>
          <w:p w14:paraId="78C5D6F5">
            <w:pPr>
              <w:widowControl/>
              <w:spacing w:line="240" w:lineRule="auto"/>
              <w:jc w:val="center"/>
              <w:rPr>
                <w:rFonts w:ascii="Arial" w:hAnsi="Arial" w:cs="Arial"/>
                <w:color w:val="000000"/>
                <w:sz w:val="20"/>
              </w:rPr>
            </w:pPr>
            <w:r>
              <w:rPr>
                <w:rFonts w:ascii="Arial" w:hAnsi="Arial" w:cs="Arial"/>
                <w:color w:val="000000"/>
                <w:sz w:val="20"/>
              </w:rPr>
              <w:t>地下建筑面积</w:t>
            </w:r>
          </w:p>
        </w:tc>
        <w:tc>
          <w:tcPr>
            <w:tcW w:w="1488" w:type="dxa"/>
            <w:tcBorders>
              <w:top w:val="nil"/>
              <w:left w:val="nil"/>
              <w:bottom w:val="single" w:color="auto" w:sz="4" w:space="0"/>
              <w:right w:val="single" w:color="auto" w:sz="4" w:space="0"/>
            </w:tcBorders>
            <w:noWrap/>
            <w:vAlign w:val="center"/>
          </w:tcPr>
          <w:p w14:paraId="4ABBB231">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FD7D05D">
            <w:pPr>
              <w:widowControl/>
              <w:spacing w:line="240" w:lineRule="auto"/>
              <w:jc w:val="center"/>
              <w:rPr>
                <w:rFonts w:ascii="Arial" w:hAnsi="Arial" w:cs="Arial"/>
                <w:color w:val="000000"/>
                <w:sz w:val="20"/>
              </w:rPr>
            </w:pPr>
            <w:r>
              <w:rPr>
                <w:rFonts w:hint="eastAsia" w:ascii="Arial" w:hAnsi="Arial" w:cs="Arial"/>
                <w:color w:val="000000"/>
                <w:sz w:val="20"/>
              </w:rPr>
              <w:t>10662</w:t>
            </w:r>
          </w:p>
        </w:tc>
      </w:tr>
      <w:tr w14:paraId="69AE4CB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CDED00D">
            <w:pPr>
              <w:widowControl/>
              <w:spacing w:line="240" w:lineRule="auto"/>
              <w:jc w:val="center"/>
              <w:rPr>
                <w:rFonts w:ascii="Arial" w:hAnsi="Arial" w:cs="Arial"/>
                <w:color w:val="000000"/>
                <w:sz w:val="20"/>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14:paraId="3127CF28">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color="auto" w:sz="4" w:space="0"/>
              <w:left w:val="nil"/>
              <w:bottom w:val="single" w:color="auto" w:sz="4" w:space="0"/>
              <w:right w:val="single" w:color="auto" w:sz="4" w:space="0"/>
            </w:tcBorders>
            <w:noWrap/>
            <w:vAlign w:val="center"/>
          </w:tcPr>
          <w:p w14:paraId="15FBF72F">
            <w:pPr>
              <w:widowControl/>
              <w:spacing w:line="240" w:lineRule="auto"/>
              <w:jc w:val="center"/>
              <w:rPr>
                <w:rFonts w:ascii="Arial" w:hAnsi="Arial" w:cs="Arial"/>
                <w:color w:val="000000"/>
                <w:sz w:val="20"/>
              </w:rPr>
            </w:pPr>
            <w:r>
              <w:rPr>
                <w:rFonts w:hint="eastAsia" w:ascii="Arial" w:hAnsi="Arial" w:cs="Arial"/>
                <w:color w:val="000000"/>
                <w:sz w:val="20"/>
              </w:rPr>
              <w:t>人防建筑面积</w:t>
            </w:r>
          </w:p>
        </w:tc>
        <w:tc>
          <w:tcPr>
            <w:tcW w:w="1488" w:type="dxa"/>
            <w:tcBorders>
              <w:top w:val="nil"/>
              <w:left w:val="nil"/>
              <w:bottom w:val="single" w:color="auto" w:sz="4" w:space="0"/>
              <w:right w:val="single" w:color="auto" w:sz="4" w:space="0"/>
            </w:tcBorders>
            <w:noWrap/>
            <w:vAlign w:val="center"/>
          </w:tcPr>
          <w:p w14:paraId="6FAEE5B3">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8650CB6">
            <w:pPr>
              <w:widowControl/>
              <w:spacing w:line="240" w:lineRule="auto"/>
              <w:jc w:val="center"/>
              <w:rPr>
                <w:rFonts w:ascii="Arial" w:hAnsi="Arial" w:cs="Arial"/>
                <w:color w:val="000000"/>
                <w:sz w:val="20"/>
              </w:rPr>
            </w:pPr>
            <w:r>
              <w:rPr>
                <w:rFonts w:hint="eastAsia" w:ascii="Arial" w:hAnsi="Arial" w:cs="Arial"/>
                <w:color w:val="000000"/>
                <w:sz w:val="20"/>
              </w:rPr>
              <w:t>2837</w:t>
            </w:r>
          </w:p>
        </w:tc>
      </w:tr>
      <w:tr w14:paraId="27EF18F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6320D71D">
            <w:pPr>
              <w:widowControl/>
              <w:spacing w:line="240" w:lineRule="auto"/>
              <w:jc w:val="center"/>
              <w:rPr>
                <w:rFonts w:ascii="Arial" w:hAnsi="Arial" w:cs="Arial"/>
                <w:color w:val="000000"/>
                <w:sz w:val="20"/>
              </w:rPr>
            </w:pPr>
          </w:p>
        </w:tc>
        <w:tc>
          <w:tcPr>
            <w:tcW w:w="1020" w:type="dxa"/>
            <w:vMerge w:val="continue"/>
            <w:tcBorders>
              <w:top w:val="single" w:color="auto" w:sz="4" w:space="0"/>
              <w:left w:val="single" w:color="auto" w:sz="4" w:space="0"/>
              <w:right w:val="single" w:color="auto" w:sz="4" w:space="0"/>
            </w:tcBorders>
            <w:vAlign w:val="center"/>
          </w:tcPr>
          <w:p w14:paraId="09483A96">
            <w:pPr>
              <w:widowControl/>
              <w:spacing w:line="240" w:lineRule="auto"/>
              <w:jc w:val="center"/>
              <w:rPr>
                <w:rFonts w:ascii="Arial" w:hAnsi="Arial" w:cs="Arial"/>
                <w:color w:val="000000"/>
                <w:sz w:val="20"/>
              </w:rPr>
            </w:pPr>
          </w:p>
        </w:tc>
        <w:tc>
          <w:tcPr>
            <w:tcW w:w="3341" w:type="dxa"/>
            <w:tcBorders>
              <w:top w:val="single" w:color="auto" w:sz="4" w:space="0"/>
              <w:left w:val="nil"/>
              <w:bottom w:val="single" w:color="auto" w:sz="4" w:space="0"/>
              <w:right w:val="single" w:color="auto" w:sz="4" w:space="0"/>
            </w:tcBorders>
            <w:noWrap/>
            <w:vAlign w:val="center"/>
          </w:tcPr>
          <w:p w14:paraId="3D0493D6">
            <w:pPr>
              <w:widowControl/>
              <w:spacing w:line="240" w:lineRule="auto"/>
              <w:jc w:val="center"/>
              <w:rPr>
                <w:rFonts w:ascii="Arial" w:hAnsi="Arial" w:cs="Arial"/>
                <w:color w:val="000000"/>
                <w:sz w:val="20"/>
              </w:rPr>
            </w:pPr>
            <w:r>
              <w:rPr>
                <w:rFonts w:hint="eastAsia" w:ascii="Arial" w:hAnsi="Arial" w:cs="Arial"/>
                <w:color w:val="000000"/>
                <w:sz w:val="20"/>
              </w:rPr>
              <w:t>地下机动车库面积</w:t>
            </w:r>
          </w:p>
        </w:tc>
        <w:tc>
          <w:tcPr>
            <w:tcW w:w="1488" w:type="dxa"/>
            <w:tcBorders>
              <w:top w:val="nil"/>
              <w:left w:val="nil"/>
              <w:bottom w:val="single" w:color="auto" w:sz="4" w:space="0"/>
              <w:right w:val="single" w:color="auto" w:sz="4" w:space="0"/>
            </w:tcBorders>
            <w:noWrap/>
            <w:vAlign w:val="center"/>
          </w:tcPr>
          <w:p w14:paraId="78E47AF8">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4325DF4">
            <w:pPr>
              <w:widowControl/>
              <w:spacing w:line="240" w:lineRule="auto"/>
              <w:jc w:val="center"/>
              <w:rPr>
                <w:rFonts w:ascii="Arial" w:hAnsi="Arial" w:cs="Arial"/>
                <w:color w:val="000000"/>
                <w:sz w:val="20"/>
              </w:rPr>
            </w:pPr>
            <w:r>
              <w:rPr>
                <w:rFonts w:hint="eastAsia" w:ascii="Arial" w:hAnsi="Arial" w:cs="Arial"/>
                <w:color w:val="000000"/>
                <w:sz w:val="20"/>
              </w:rPr>
              <w:t>5556</w:t>
            </w:r>
          </w:p>
        </w:tc>
      </w:tr>
      <w:tr w14:paraId="08C992B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7DDA5A93">
            <w:pPr>
              <w:widowControl/>
              <w:spacing w:line="240" w:lineRule="auto"/>
              <w:jc w:val="center"/>
              <w:rPr>
                <w:rFonts w:ascii="Arial" w:hAnsi="Arial" w:cs="Arial"/>
                <w:color w:val="000000"/>
                <w:sz w:val="20"/>
              </w:rPr>
            </w:pPr>
          </w:p>
        </w:tc>
        <w:tc>
          <w:tcPr>
            <w:tcW w:w="1020" w:type="dxa"/>
            <w:vMerge w:val="continue"/>
            <w:tcBorders>
              <w:left w:val="single" w:color="auto" w:sz="4" w:space="0"/>
              <w:right w:val="single" w:color="auto" w:sz="4" w:space="0"/>
            </w:tcBorders>
            <w:vAlign w:val="center"/>
          </w:tcPr>
          <w:p w14:paraId="45A3D287">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09193B53">
            <w:pPr>
              <w:widowControl/>
              <w:spacing w:line="240" w:lineRule="auto"/>
              <w:jc w:val="center"/>
              <w:rPr>
                <w:rFonts w:ascii="Arial" w:hAnsi="Arial" w:cs="Arial"/>
                <w:color w:val="000000"/>
                <w:sz w:val="20"/>
              </w:rPr>
            </w:pPr>
            <w:r>
              <w:rPr>
                <w:rFonts w:hint="eastAsia" w:ascii="Arial" w:hAnsi="Arial" w:cs="Arial"/>
                <w:color w:val="000000"/>
                <w:sz w:val="20"/>
              </w:rPr>
              <w:t>自行车</w:t>
            </w:r>
          </w:p>
        </w:tc>
        <w:tc>
          <w:tcPr>
            <w:tcW w:w="1488" w:type="dxa"/>
            <w:tcBorders>
              <w:top w:val="nil"/>
              <w:left w:val="nil"/>
              <w:bottom w:val="single" w:color="auto" w:sz="4" w:space="0"/>
              <w:right w:val="single" w:color="auto" w:sz="4" w:space="0"/>
            </w:tcBorders>
            <w:noWrap/>
            <w:vAlign w:val="center"/>
          </w:tcPr>
          <w:p w14:paraId="0160E00A">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B3D9A55">
            <w:pPr>
              <w:widowControl/>
              <w:spacing w:line="240" w:lineRule="auto"/>
              <w:jc w:val="center"/>
              <w:rPr>
                <w:rFonts w:ascii="Arial" w:hAnsi="Arial" w:cs="Arial"/>
                <w:color w:val="000000"/>
                <w:sz w:val="20"/>
              </w:rPr>
            </w:pPr>
            <w:r>
              <w:rPr>
                <w:rFonts w:hint="eastAsia" w:ascii="Arial" w:hAnsi="Arial" w:cs="Arial"/>
                <w:color w:val="000000"/>
                <w:sz w:val="20"/>
              </w:rPr>
              <w:t>979</w:t>
            </w:r>
          </w:p>
        </w:tc>
      </w:tr>
      <w:tr w14:paraId="03D1EEC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997381B">
            <w:pPr>
              <w:widowControl/>
              <w:spacing w:line="240" w:lineRule="auto"/>
              <w:jc w:val="center"/>
              <w:rPr>
                <w:rFonts w:ascii="Arial" w:hAnsi="Arial" w:cs="Arial"/>
                <w:color w:val="000000"/>
                <w:sz w:val="20"/>
              </w:rPr>
            </w:pPr>
          </w:p>
        </w:tc>
        <w:tc>
          <w:tcPr>
            <w:tcW w:w="1020" w:type="dxa"/>
            <w:vMerge w:val="continue"/>
            <w:tcBorders>
              <w:left w:val="single" w:color="auto" w:sz="4" w:space="0"/>
              <w:bottom w:val="single" w:color="auto" w:sz="4" w:space="0"/>
              <w:right w:val="single" w:color="auto" w:sz="4" w:space="0"/>
            </w:tcBorders>
            <w:vAlign w:val="center"/>
          </w:tcPr>
          <w:p w14:paraId="503ABF71">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085444FF">
            <w:pPr>
              <w:widowControl/>
              <w:spacing w:line="240" w:lineRule="auto"/>
              <w:jc w:val="center"/>
              <w:rPr>
                <w:rFonts w:ascii="Arial" w:hAnsi="Arial" w:cs="Arial"/>
                <w:color w:val="000000"/>
                <w:sz w:val="20"/>
              </w:rPr>
            </w:pPr>
            <w:r>
              <w:rPr>
                <w:rFonts w:hint="eastAsia" w:ascii="Arial" w:hAnsi="Arial" w:cs="Arial"/>
                <w:color w:val="000000"/>
                <w:sz w:val="20"/>
              </w:rPr>
              <w:t>设备用房</w:t>
            </w:r>
          </w:p>
        </w:tc>
        <w:tc>
          <w:tcPr>
            <w:tcW w:w="1488" w:type="dxa"/>
            <w:tcBorders>
              <w:top w:val="nil"/>
              <w:left w:val="nil"/>
              <w:bottom w:val="single" w:color="auto" w:sz="4" w:space="0"/>
              <w:right w:val="single" w:color="auto" w:sz="4" w:space="0"/>
            </w:tcBorders>
            <w:noWrap/>
            <w:vAlign w:val="center"/>
          </w:tcPr>
          <w:p w14:paraId="339B53B2">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29330EE">
            <w:pPr>
              <w:widowControl/>
              <w:spacing w:line="240" w:lineRule="auto"/>
              <w:jc w:val="center"/>
              <w:rPr>
                <w:rFonts w:ascii="Arial" w:hAnsi="Arial" w:cs="Arial"/>
                <w:color w:val="000000"/>
                <w:sz w:val="20"/>
              </w:rPr>
            </w:pPr>
            <w:r>
              <w:rPr>
                <w:rFonts w:hint="eastAsia" w:ascii="Arial" w:hAnsi="Arial" w:cs="Arial"/>
                <w:color w:val="000000"/>
                <w:sz w:val="20"/>
              </w:rPr>
              <w:t>12900</w:t>
            </w:r>
          </w:p>
        </w:tc>
      </w:tr>
      <w:tr w14:paraId="1AC1767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3F14AED">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color="auto" w:sz="4" w:space="0"/>
              <w:right w:val="single" w:color="auto" w:sz="4" w:space="0"/>
            </w:tcBorders>
            <w:noWrap/>
            <w:vAlign w:val="center"/>
          </w:tcPr>
          <w:p w14:paraId="03FD3032">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color="auto" w:sz="4" w:space="0"/>
              <w:right w:val="single" w:color="auto" w:sz="4" w:space="0"/>
            </w:tcBorders>
            <w:noWrap/>
            <w:vAlign w:val="center"/>
          </w:tcPr>
          <w:p w14:paraId="72BB4D2B">
            <w:pPr>
              <w:widowControl/>
              <w:spacing w:line="240" w:lineRule="auto"/>
              <w:jc w:val="center"/>
              <w:rPr>
                <w:rFonts w:ascii="Arial" w:hAnsi="Arial" w:cs="Arial"/>
                <w:color w:val="000000"/>
                <w:sz w:val="20"/>
              </w:rPr>
            </w:pPr>
            <w:r>
              <w:rPr>
                <w:rFonts w:hint="eastAsia" w:ascii="Arial" w:hAnsi="Arial" w:cs="Arial"/>
                <w:color w:val="000000"/>
                <w:sz w:val="20"/>
              </w:rPr>
              <w:t>1090</w:t>
            </w:r>
          </w:p>
        </w:tc>
      </w:tr>
      <w:tr w14:paraId="6DD125F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D2B5728">
            <w:pPr>
              <w:widowControl/>
              <w:spacing w:line="240" w:lineRule="auto"/>
              <w:jc w:val="center"/>
              <w:rPr>
                <w:rFonts w:ascii="Arial" w:hAnsi="Arial" w:cs="Arial"/>
                <w:color w:val="000000"/>
                <w:sz w:val="20"/>
              </w:rPr>
            </w:pPr>
            <w:r>
              <w:rPr>
                <w:rFonts w:hint="eastAsia" w:ascii="Arial" w:hAnsi="Arial" w:cs="Arial"/>
                <w:color w:val="000000"/>
                <w:sz w:val="20"/>
              </w:rPr>
              <w:t>机动车停车位</w:t>
            </w:r>
          </w:p>
        </w:tc>
        <w:tc>
          <w:tcPr>
            <w:tcW w:w="1488" w:type="dxa"/>
            <w:tcBorders>
              <w:top w:val="nil"/>
              <w:left w:val="nil"/>
              <w:bottom w:val="single" w:color="auto" w:sz="4" w:space="0"/>
              <w:right w:val="single" w:color="auto" w:sz="4" w:space="0"/>
            </w:tcBorders>
            <w:noWrap/>
            <w:vAlign w:val="center"/>
          </w:tcPr>
          <w:p w14:paraId="0161CC52">
            <w:pPr>
              <w:widowControl/>
              <w:spacing w:line="240" w:lineRule="auto"/>
              <w:jc w:val="center"/>
              <w:rPr>
                <w:rFonts w:ascii="Arial" w:hAnsi="Arial" w:cs="Arial"/>
                <w:color w:val="000000"/>
                <w:sz w:val="20"/>
              </w:rPr>
            </w:pPr>
            <w:r>
              <w:rPr>
                <w:rFonts w:hint="eastAsia" w:ascii="Arial" w:hAnsi="Arial" w:cs="Arial"/>
                <w:color w:val="000000"/>
                <w:sz w:val="20"/>
              </w:rPr>
              <w:t>个</w:t>
            </w:r>
          </w:p>
        </w:tc>
        <w:tc>
          <w:tcPr>
            <w:tcW w:w="2436" w:type="dxa"/>
            <w:tcBorders>
              <w:top w:val="nil"/>
              <w:left w:val="nil"/>
              <w:bottom w:val="single" w:color="auto" w:sz="4" w:space="0"/>
              <w:right w:val="single" w:color="auto" w:sz="4" w:space="0"/>
            </w:tcBorders>
            <w:noWrap/>
            <w:vAlign w:val="center"/>
          </w:tcPr>
          <w:p w14:paraId="3BCB463E">
            <w:pPr>
              <w:widowControl/>
              <w:spacing w:line="240" w:lineRule="auto"/>
              <w:jc w:val="center"/>
              <w:rPr>
                <w:rFonts w:ascii="Arial" w:hAnsi="Arial" w:cs="Arial"/>
                <w:color w:val="000000"/>
                <w:sz w:val="20"/>
              </w:rPr>
            </w:pPr>
            <w:r>
              <w:rPr>
                <w:rFonts w:hint="eastAsia" w:ascii="Arial" w:hAnsi="Arial" w:cs="Arial"/>
                <w:color w:val="000000"/>
                <w:sz w:val="20"/>
              </w:rPr>
              <w:t>218</w:t>
            </w:r>
          </w:p>
        </w:tc>
      </w:tr>
      <w:tr w14:paraId="0D5EA75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7B75CD22">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color="auto" w:sz="4" w:space="0"/>
              <w:right w:val="single" w:color="auto" w:sz="4" w:space="0"/>
            </w:tcBorders>
            <w:noWrap/>
            <w:vAlign w:val="center"/>
          </w:tcPr>
          <w:p w14:paraId="690377D6">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8962CA4">
            <w:pPr>
              <w:widowControl/>
              <w:spacing w:line="240" w:lineRule="auto"/>
              <w:jc w:val="center"/>
              <w:rPr>
                <w:rFonts w:ascii="Arial" w:hAnsi="Arial" w:cs="Arial"/>
                <w:color w:val="000000"/>
                <w:sz w:val="20"/>
              </w:rPr>
            </w:pPr>
            <w:r>
              <w:rPr>
                <w:rFonts w:hint="eastAsia" w:ascii="Arial" w:hAnsi="Arial" w:cs="Arial"/>
                <w:color w:val="000000"/>
                <w:sz w:val="20"/>
              </w:rPr>
              <w:t>1.8</w:t>
            </w:r>
          </w:p>
        </w:tc>
      </w:tr>
      <w:tr w14:paraId="2614BD2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01B495F">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color="auto" w:sz="4" w:space="0"/>
              <w:right w:val="single" w:color="auto" w:sz="4" w:space="0"/>
            </w:tcBorders>
            <w:noWrap/>
            <w:vAlign w:val="center"/>
          </w:tcPr>
          <w:p w14:paraId="222BBBF5">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37DB4F7">
            <w:pPr>
              <w:widowControl/>
              <w:spacing w:line="240" w:lineRule="auto"/>
              <w:jc w:val="center"/>
              <w:rPr>
                <w:rFonts w:ascii="Arial" w:hAnsi="Arial" w:cs="Arial"/>
                <w:color w:val="000000"/>
                <w:sz w:val="20"/>
              </w:rPr>
            </w:pPr>
            <w:r>
              <w:rPr>
                <w:rFonts w:hint="eastAsia" w:ascii="Arial" w:hAnsi="Arial" w:cs="Arial"/>
                <w:color w:val="000000"/>
                <w:sz w:val="20"/>
              </w:rPr>
              <w:t>29.93</w:t>
            </w:r>
            <w:r>
              <w:rPr>
                <w:rFonts w:ascii="Arial" w:hAnsi="Arial" w:cs="Arial"/>
                <w:color w:val="000000"/>
                <w:sz w:val="20"/>
              </w:rPr>
              <w:t>%</w:t>
            </w:r>
          </w:p>
        </w:tc>
      </w:tr>
      <w:tr w14:paraId="588A47A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4C975C69">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color="auto" w:sz="4" w:space="0"/>
              <w:right w:val="single" w:color="auto" w:sz="4" w:space="0"/>
            </w:tcBorders>
            <w:noWrap/>
            <w:vAlign w:val="center"/>
          </w:tcPr>
          <w:p w14:paraId="293ACFFD">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22E8381">
            <w:pPr>
              <w:widowControl/>
              <w:spacing w:line="240" w:lineRule="auto"/>
              <w:jc w:val="center"/>
              <w:rPr>
                <w:rFonts w:ascii="Arial" w:hAnsi="Arial" w:cs="Arial"/>
                <w:color w:val="000000"/>
                <w:sz w:val="20"/>
              </w:rPr>
            </w:pPr>
            <w:r>
              <w:rPr>
                <w:rFonts w:ascii="Arial" w:hAnsi="Arial" w:cs="Arial"/>
                <w:color w:val="000000"/>
                <w:sz w:val="20"/>
              </w:rPr>
              <w:t>30.0</w:t>
            </w:r>
            <w:r>
              <w:rPr>
                <w:rFonts w:hint="eastAsia" w:ascii="Arial" w:hAnsi="Arial" w:cs="Arial"/>
                <w:color w:val="000000"/>
                <w:sz w:val="20"/>
              </w:rPr>
              <w:t>0%</w:t>
            </w:r>
          </w:p>
        </w:tc>
      </w:tr>
    </w:tbl>
    <w:p w14:paraId="05E2FBE8">
      <w:pPr>
        <w:spacing w:before="240" w:beforeLines="100" w:line="360" w:lineRule="auto"/>
        <w:jc w:val="both"/>
        <w:rPr>
          <w:rFonts w:ascii="Arial" w:hAnsi="Arial" w:cs="Arial"/>
          <w:sz w:val="28"/>
        </w:rPr>
      </w:pPr>
      <w:r>
        <w:rPr>
          <w:rFonts w:ascii="Arial" w:hAnsi="Arial" w:cs="Arial"/>
          <w:sz w:val="28"/>
        </w:rPr>
        <w:t>（四）土地使用年限</w:t>
      </w:r>
    </w:p>
    <w:p w14:paraId="33059989">
      <w:pPr>
        <w:spacing w:line="360" w:lineRule="auto"/>
        <w:ind w:firstLine="560" w:firstLineChars="200"/>
        <w:jc w:val="both"/>
        <w:rPr>
          <w:rFonts w:ascii="Arial" w:hAnsi="Arial" w:cs="Arial"/>
          <w:sz w:val="28"/>
        </w:rPr>
      </w:pPr>
      <w:r>
        <w:rPr>
          <w:rFonts w:ascii="Arial" w:hAnsi="Arial" w:cs="Arial"/>
          <w:sz w:val="28"/>
        </w:rPr>
        <w:t>集体建设用地使用权没有使用年限限制。根据北京市政府发布的《关于我市利用集体土地建设租赁住房相关政策的补充意见》[京规自发[2018]64号]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w:t>
      </w:r>
    </w:p>
    <w:p w14:paraId="2EE8CC80">
      <w:pPr>
        <w:spacing w:line="360" w:lineRule="auto"/>
        <w:ind w:firstLine="560" w:firstLineChars="200"/>
        <w:jc w:val="both"/>
        <w:rPr>
          <w:rFonts w:ascii="Arial" w:hAnsi="Arial" w:cs="Arial"/>
          <w:sz w:val="28"/>
        </w:rPr>
      </w:pPr>
      <w:r>
        <w:rPr>
          <w:rFonts w:ascii="Arial" w:hAnsi="Arial" w:cs="Arial"/>
          <w:sz w:val="28"/>
        </w:rPr>
        <w:t>本次估价的“集体建设用地使用权价格”是指咨询对象土地所有权为集体所有，在公开市场条件下，于咨询期日</w:t>
      </w:r>
      <w:r>
        <w:rPr>
          <w:rFonts w:hint="eastAsia" w:ascii="Arial" w:hAnsi="Arial" w:cs="Arial"/>
          <w:sz w:val="28"/>
        </w:rPr>
        <w:t>2025年6月22日</w:t>
      </w:r>
      <w:r>
        <w:rPr>
          <w:rFonts w:ascii="Arial" w:hAnsi="Arial" w:cs="Arial"/>
          <w:sz w:val="28"/>
        </w:rPr>
        <w:t>，在规划利用条件下，设定土地开发程度为宗地红线外市政基础设施达“三通”（即通路、通上水、通下水）、宗地红线内场地平整，设定用途为住宅、商业、地下车库，剩余土地使用年限为50年的集体建设用地使用权价格。</w:t>
      </w:r>
    </w:p>
    <w:p w14:paraId="6C6667C2">
      <w:pPr>
        <w:spacing w:line="360" w:lineRule="auto"/>
        <w:jc w:val="both"/>
        <w:rPr>
          <w:rFonts w:ascii="Arial" w:hAnsi="Arial" w:cs="Arial"/>
          <w:sz w:val="28"/>
        </w:rPr>
      </w:pPr>
    </w:p>
    <w:p w14:paraId="3689D1F5">
      <w:pPr>
        <w:spacing w:line="360" w:lineRule="auto"/>
        <w:jc w:val="both"/>
        <w:outlineLvl w:val="1"/>
        <w:rPr>
          <w:rFonts w:ascii="Arial" w:hAnsi="Arial" w:cs="Arial"/>
          <w:sz w:val="28"/>
        </w:rPr>
      </w:pPr>
      <w:bookmarkStart w:id="233" w:name="_Toc22458"/>
      <w:bookmarkStart w:id="234" w:name="_Toc97732760"/>
      <w:bookmarkStart w:id="235" w:name="_Toc97732878"/>
      <w:bookmarkStart w:id="236" w:name="_Toc416783672"/>
      <w:bookmarkStart w:id="237" w:name="_Toc416783576"/>
      <w:bookmarkStart w:id="238" w:name="_Toc469066158"/>
      <w:bookmarkStart w:id="239" w:name="_Toc8911"/>
      <w:bookmarkStart w:id="240" w:name="_Toc1781"/>
      <w:r>
        <w:rPr>
          <w:rFonts w:ascii="Arial" w:hAnsi="Arial" w:cs="Arial"/>
          <w:b/>
          <w:sz w:val="28"/>
        </w:rPr>
        <w:t>九、咨询结果</w:t>
      </w:r>
      <w:bookmarkEnd w:id="233"/>
      <w:bookmarkEnd w:id="234"/>
      <w:bookmarkEnd w:id="235"/>
      <w:bookmarkEnd w:id="236"/>
      <w:bookmarkEnd w:id="237"/>
      <w:bookmarkEnd w:id="238"/>
      <w:bookmarkEnd w:id="239"/>
      <w:bookmarkEnd w:id="240"/>
    </w:p>
    <w:p w14:paraId="0F27A9BE">
      <w:pPr>
        <w:spacing w:line="360" w:lineRule="auto"/>
        <w:ind w:firstLine="560" w:firstLineChars="200"/>
        <w:jc w:val="both"/>
        <w:rPr>
          <w:rFonts w:ascii="Arial" w:hAnsi="Arial" w:cs="Arial"/>
          <w:kern w:val="2"/>
          <w:sz w:val="28"/>
        </w:rPr>
      </w:pPr>
      <w:bookmarkStart w:id="241" w:name="_Toc416783676"/>
      <w:bookmarkStart w:id="242" w:name="_Toc416783580"/>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咨询对象于咨询期日的集体建设用地使用权评估价格为（币种：人民币）：</w:t>
      </w:r>
    </w:p>
    <w:p w14:paraId="6EE05625">
      <w:pPr>
        <w:spacing w:line="360" w:lineRule="auto"/>
        <w:ind w:firstLine="560" w:firstLineChars="200"/>
        <w:jc w:val="both"/>
        <w:rPr>
          <w:rFonts w:ascii="Arial" w:hAnsi="Arial" w:cs="Arial"/>
          <w:sz w:val="28"/>
        </w:rPr>
      </w:pPr>
      <w:r>
        <w:rPr>
          <w:rFonts w:ascii="Arial" w:hAnsi="Arial" w:cs="Arial"/>
          <w:sz w:val="28"/>
        </w:rPr>
        <w:t>集体建设用地使用权价格：</w:t>
      </w:r>
      <w:r>
        <w:rPr>
          <w:rFonts w:hint="eastAsia" w:ascii="Arial" w:hAnsi="Arial" w:cs="Arial"/>
          <w:sz w:val="28"/>
        </w:rPr>
        <w:t>1804.54</w:t>
      </w:r>
      <w:r>
        <w:rPr>
          <w:rFonts w:ascii="Arial" w:hAnsi="Arial" w:cs="Arial"/>
          <w:sz w:val="28"/>
        </w:rPr>
        <w:t>万元</w:t>
      </w:r>
    </w:p>
    <w:p w14:paraId="30441C93">
      <w:pPr>
        <w:spacing w:line="360" w:lineRule="auto"/>
        <w:ind w:firstLine="570"/>
        <w:jc w:val="both"/>
        <w:rPr>
          <w:rFonts w:ascii="Arial" w:hAnsi="Arial" w:cs="Arial"/>
          <w:sz w:val="28"/>
        </w:rPr>
      </w:pPr>
      <w:r>
        <w:rPr>
          <w:rFonts w:ascii="Arial" w:hAnsi="Arial" w:cs="Arial"/>
          <w:sz w:val="28"/>
        </w:rPr>
        <w:t>大写金额：人民币</w:t>
      </w:r>
      <w:r>
        <w:rPr>
          <w:rFonts w:ascii="Arial" w:hAnsi="Arial" w:cs="Arial"/>
          <w:sz w:val="28"/>
        </w:rPr>
        <w:fldChar w:fldCharType="begin"/>
      </w:r>
      <w:r>
        <w:rPr>
          <w:rFonts w:ascii="Arial" w:hAnsi="Arial" w:cs="Arial"/>
          <w:sz w:val="28"/>
        </w:rPr>
        <w:instrText xml:space="preserve"> = 634490000 \* CHINESENUM2 </w:instrText>
      </w:r>
      <w:r>
        <w:rPr>
          <w:rFonts w:ascii="Arial" w:hAnsi="Arial" w:cs="Arial"/>
          <w:sz w:val="28"/>
        </w:rPr>
        <w:fldChar w:fldCharType="separate"/>
      </w:r>
      <w:r>
        <w:rPr>
          <w:rFonts w:hint="eastAsia" w:ascii="Arial" w:hAnsi="Arial" w:cs="Arial"/>
          <w:sz w:val="28"/>
        </w:rPr>
        <w:t>壹仟捌佰零肆万伍仟肆佰</w:t>
      </w:r>
      <w:r>
        <w:rPr>
          <w:rFonts w:ascii="Arial" w:hAnsi="Arial" w:cs="Arial"/>
          <w:sz w:val="28"/>
        </w:rPr>
        <w:fldChar w:fldCharType="end"/>
      </w:r>
      <w:r>
        <w:rPr>
          <w:rFonts w:ascii="Arial" w:hAnsi="Arial" w:cs="Arial"/>
          <w:sz w:val="28"/>
        </w:rPr>
        <w:t>元整</w:t>
      </w:r>
    </w:p>
    <w:p w14:paraId="0A9E377A">
      <w:pPr>
        <w:spacing w:line="360" w:lineRule="auto"/>
        <w:ind w:firstLine="570"/>
        <w:jc w:val="both"/>
        <w:rPr>
          <w:rFonts w:ascii="Arial" w:hAnsi="Arial" w:cs="Arial"/>
          <w:sz w:val="28"/>
        </w:rPr>
      </w:pPr>
      <w:r>
        <w:rPr>
          <w:rFonts w:ascii="Arial" w:hAnsi="Arial" w:cs="Arial"/>
          <w:sz w:val="28"/>
        </w:rPr>
        <w:t>单位面积地价：</w:t>
      </w:r>
      <w:r>
        <w:rPr>
          <w:rFonts w:hint="eastAsia" w:ascii="Arial" w:hAnsi="Arial" w:cs="Arial"/>
          <w:sz w:val="28"/>
        </w:rPr>
        <w:t>1065</w:t>
      </w:r>
      <w:r>
        <w:rPr>
          <w:rFonts w:ascii="Arial" w:hAnsi="Arial" w:cs="Arial"/>
          <w:sz w:val="28"/>
        </w:rPr>
        <w:t>元/平方米</w:t>
      </w:r>
    </w:p>
    <w:p w14:paraId="104E2DDE">
      <w:pPr>
        <w:spacing w:line="360" w:lineRule="auto"/>
        <w:ind w:firstLine="570"/>
        <w:jc w:val="both"/>
        <w:rPr>
          <w:rFonts w:ascii="Arial" w:hAnsi="Arial" w:cs="Arial"/>
          <w:sz w:val="28"/>
        </w:rPr>
      </w:pPr>
      <w:r>
        <w:rPr>
          <w:rFonts w:ascii="Arial" w:hAnsi="Arial" w:cs="Arial"/>
          <w:sz w:val="28"/>
        </w:rPr>
        <w:t>楼面地价：</w:t>
      </w:r>
      <w:r>
        <w:rPr>
          <w:rFonts w:hint="eastAsia" w:ascii="Arial" w:hAnsi="Arial" w:cs="Arial"/>
          <w:sz w:val="28"/>
        </w:rPr>
        <w:t>446</w:t>
      </w:r>
      <w:r>
        <w:rPr>
          <w:rFonts w:ascii="Arial" w:hAnsi="Arial" w:cs="Arial"/>
          <w:sz w:val="28"/>
        </w:rPr>
        <w:t>元/平方米</w:t>
      </w:r>
    </w:p>
    <w:p w14:paraId="5EA6AEC8">
      <w:pPr>
        <w:spacing w:line="360" w:lineRule="auto"/>
        <w:ind w:firstLine="560" w:firstLineChars="200"/>
        <w:jc w:val="both"/>
        <w:rPr>
          <w:rFonts w:ascii="Arial" w:hAnsi="Arial" w:cs="Arial"/>
          <w:sz w:val="28"/>
        </w:rPr>
      </w:pPr>
      <w:r>
        <w:rPr>
          <w:rFonts w:ascii="Arial" w:hAnsi="Arial" w:cs="Arial"/>
          <w:sz w:val="28"/>
        </w:rPr>
        <w:t>备注：</w:t>
      </w:r>
    </w:p>
    <w:p w14:paraId="19D71CD2">
      <w:pPr>
        <w:spacing w:line="360" w:lineRule="auto"/>
        <w:ind w:firstLine="560" w:firstLineChars="200"/>
        <w:jc w:val="both"/>
        <w:rPr>
          <w:rFonts w:ascii="Arial" w:hAnsi="Arial" w:cs="Arial"/>
          <w:sz w:val="28"/>
        </w:rPr>
      </w:pPr>
      <w:r>
        <w:rPr>
          <w:rFonts w:ascii="Arial" w:hAnsi="Arial" w:cs="Arial"/>
          <w:sz w:val="28"/>
        </w:rPr>
        <w:t>1. 在本次评估过程中，目前该开发项目尚未正式进行开发施工，评估专业人员尚未取得《 “多规合一”协同平台初审意见的函》、《北京市发展和改革委员会关于顺义区南法信镇</w:t>
      </w:r>
      <w:r>
        <w:rPr>
          <w:rFonts w:hint="eastAsia" w:ascii="Arial" w:hAnsi="Arial" w:cs="Arial"/>
          <w:sz w:val="28"/>
        </w:rPr>
        <w:t>百泉庄村经济组织</w:t>
      </w:r>
      <w:r>
        <w:rPr>
          <w:rFonts w:ascii="Arial" w:hAnsi="Arial" w:cs="Arial"/>
          <w:sz w:val="28"/>
        </w:rPr>
        <w:t>集体土地租赁住房项目核准的批复》等相关项目资料，本次评估过程中涉及的相关测算参数主要是依据《北京市规划和自然资源委员会关于北京市</w:t>
      </w:r>
      <w:r>
        <w:rPr>
          <w:rFonts w:hint="eastAsia" w:ascii="Arial" w:hAnsi="Arial" w:cs="Arial"/>
          <w:sz w:val="28"/>
        </w:rPr>
        <w:t>昌平区马池口镇百泉庄村集体土地租赁住房项目</w:t>
      </w:r>
      <w:r>
        <w:rPr>
          <w:rFonts w:ascii="Arial" w:hAnsi="Arial" w:cs="Arial"/>
          <w:sz w:val="28"/>
        </w:rPr>
        <w:t>控制性详细规划的批复》[京规自函（2020）22号]中的数据、委托方提供的《估价委托书》及介绍的情况测算，如上述数据发生变化，可能会对目前的评估结论产生影响。</w:t>
      </w:r>
    </w:p>
    <w:p w14:paraId="7C22AB55">
      <w:pPr>
        <w:spacing w:line="360" w:lineRule="auto"/>
        <w:ind w:firstLine="560" w:firstLineChars="200"/>
        <w:jc w:val="both"/>
        <w:rPr>
          <w:rFonts w:ascii="Arial" w:hAnsi="Arial" w:cs="Arial"/>
          <w:sz w:val="28"/>
        </w:rPr>
      </w:pPr>
      <w:r>
        <w:rPr>
          <w:rFonts w:ascii="Arial" w:hAnsi="Arial" w:cs="Arial"/>
          <w:sz w:val="28"/>
        </w:rPr>
        <w:t>2．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14:paraId="471DD9D1">
      <w:pPr>
        <w:spacing w:line="360" w:lineRule="auto"/>
        <w:ind w:firstLine="560" w:firstLineChars="200"/>
        <w:jc w:val="both"/>
        <w:rPr>
          <w:rFonts w:ascii="Arial" w:hAnsi="Arial" w:cs="Arial"/>
          <w:sz w:val="28"/>
        </w:rPr>
      </w:pPr>
      <w:r>
        <w:rPr>
          <w:rFonts w:ascii="Arial" w:hAnsi="Arial" w:cs="Arial"/>
          <w:sz w:val="28"/>
        </w:rPr>
        <w:t>3．本次剩余法测算过程中，项目运营收入、成本、费用等为开发项目过程中以及建成后出租经济行为产生的相关收入和成本、费用，未包含开发项目建成后运营期与物业管理相关的收入、成本、费用；</w:t>
      </w:r>
    </w:p>
    <w:p w14:paraId="2F39BFCC">
      <w:pPr>
        <w:spacing w:line="360" w:lineRule="auto"/>
        <w:ind w:firstLine="560" w:firstLineChars="200"/>
        <w:jc w:val="both"/>
        <w:rPr>
          <w:rFonts w:ascii="Arial" w:hAnsi="Arial" w:cs="Arial"/>
          <w:sz w:val="28"/>
        </w:rPr>
      </w:pPr>
      <w:r>
        <w:rPr>
          <w:rFonts w:ascii="Arial" w:hAnsi="Arial" w:cs="Arial"/>
          <w:sz w:val="28"/>
        </w:rPr>
        <w:t>4．集体建设用地使用权没有使用年限限制。根据北京市政府发布的《关于我市利用集体土地建设租赁住房相关政策的补充意见》[京规自发[2018]64号]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根据相关规定，该开发项目只能采取出租的形式获得项目收入，</w:t>
      </w:r>
      <w:r>
        <w:rPr>
          <w:rFonts w:hint="eastAsia" w:ascii="Arial" w:hAnsi="Arial" w:cs="Arial"/>
          <w:sz w:val="28"/>
        </w:rPr>
        <w:t>鉴于</w:t>
      </w:r>
      <w:r>
        <w:rPr>
          <w:rFonts w:ascii="Arial" w:hAnsi="Arial" w:cs="Arial"/>
          <w:sz w:val="28"/>
        </w:rPr>
        <w:t>收益期过长，本次评估考虑折现；合作期限50年结束后的后续处理模式，由于目前针对退出时相关政策行文件尚未正式出台，故届时将按照有关规定执行。综上所述，本次评估只考虑50年合作期限内的收益。</w:t>
      </w:r>
    </w:p>
    <w:p w14:paraId="2211CB49">
      <w:pPr>
        <w:spacing w:line="360" w:lineRule="auto"/>
        <w:ind w:firstLine="560" w:firstLineChars="200"/>
        <w:jc w:val="both"/>
        <w:rPr>
          <w:rFonts w:ascii="Arial" w:hAnsi="Arial" w:cs="Arial"/>
          <w:sz w:val="28"/>
        </w:rPr>
      </w:pPr>
    </w:p>
    <w:p w14:paraId="38514C4E">
      <w:pPr>
        <w:spacing w:line="360" w:lineRule="auto"/>
        <w:ind w:firstLine="560" w:firstLineChars="200"/>
        <w:jc w:val="both"/>
        <w:rPr>
          <w:rFonts w:ascii="Arial" w:hAnsi="Arial" w:cs="Arial"/>
          <w:sz w:val="28"/>
        </w:rPr>
        <w:sectPr>
          <w:footerReference r:id="rId30" w:type="first"/>
          <w:pgSz w:w="11907" w:h="16840"/>
          <w:pgMar w:top="1843" w:right="1304" w:bottom="1134" w:left="1304" w:header="1134" w:footer="907" w:gutter="0"/>
          <w:cols w:space="720" w:num="1"/>
          <w:titlePg/>
          <w:docGrid w:linePitch="326" w:charSpace="0"/>
        </w:sectPr>
      </w:pPr>
    </w:p>
    <w:p w14:paraId="01F50D0C">
      <w:pPr>
        <w:spacing w:line="240" w:lineRule="auto"/>
        <w:outlineLvl w:val="1"/>
        <w:rPr>
          <w:rFonts w:ascii="Arial" w:hAnsi="Arial" w:cs="Arial"/>
          <w:b/>
          <w:sz w:val="28"/>
        </w:rPr>
      </w:pPr>
      <w:bookmarkStart w:id="243" w:name="_Toc12807"/>
      <w:bookmarkStart w:id="244" w:name="_Toc30535"/>
      <w:bookmarkStart w:id="245" w:name="_Toc10665"/>
      <w:bookmarkStart w:id="246" w:name="_Toc2632"/>
      <w:r>
        <w:rPr>
          <w:rFonts w:ascii="Arial" w:hAnsi="Arial" w:cs="Arial"/>
          <w:bCs/>
          <w:sz w:val="28"/>
        </w:rPr>
        <w:t>附</w:t>
      </w:r>
      <w:r>
        <w:rPr>
          <w:rFonts w:ascii="Arial" w:hAnsi="Arial" w:cs="Arial"/>
          <w:b/>
          <w:sz w:val="28"/>
        </w:rPr>
        <w:t xml:space="preserve">                                           咨询结果一览表</w:t>
      </w:r>
      <w:bookmarkEnd w:id="243"/>
      <w:bookmarkEnd w:id="244"/>
      <w:bookmarkEnd w:id="245"/>
      <w:bookmarkEnd w:id="246"/>
    </w:p>
    <w:p w14:paraId="320FEE1C">
      <w:pPr>
        <w:spacing w:line="240" w:lineRule="auto"/>
        <w:rPr>
          <w:rFonts w:ascii="Arial" w:hAnsi="Arial" w:cs="Arial"/>
          <w:bCs/>
          <w:sz w:val="18"/>
        </w:rPr>
      </w:pPr>
      <w:r>
        <w:rPr>
          <w:rFonts w:ascii="Arial" w:hAnsi="Arial" w:cs="Arial"/>
          <w:bCs/>
          <w:sz w:val="18"/>
        </w:rPr>
        <w:t>估价机构：</w:t>
      </w:r>
      <w:r>
        <w:rPr>
          <w:rFonts w:ascii="Arial" w:hAnsi="Arial" w:cs="Arial"/>
          <w:sz w:val="18"/>
        </w:rPr>
        <w:t xml:space="preserve">北京康正宏基房地产评估有限公司 </w:t>
      </w:r>
      <w:r>
        <w:rPr>
          <w:rFonts w:ascii="Arial" w:hAnsi="Arial" w:cs="Arial"/>
          <w:bCs/>
          <w:sz w:val="18"/>
        </w:rPr>
        <w:t xml:space="preserve">  咨询报告编号：康正评字2022-1-0152-F02TDCR6号   咨询期日：</w:t>
      </w:r>
      <w:r>
        <w:rPr>
          <w:rFonts w:hint="eastAsia" w:ascii="Arial" w:hAnsi="Arial" w:cs="Arial"/>
          <w:bCs/>
          <w:sz w:val="18"/>
        </w:rPr>
        <w:t>2025年6月22日</w:t>
      </w:r>
      <w:r>
        <w:rPr>
          <w:rFonts w:ascii="Arial" w:hAnsi="Arial" w:cs="Arial"/>
          <w:bCs/>
          <w:sz w:val="18"/>
        </w:rPr>
        <w:t xml:space="preserve">   咨询期日的集体建设用地使用权性质： </w:t>
      </w:r>
    </w:p>
    <w:tbl>
      <w:tblPr>
        <w:tblStyle w:val="32"/>
        <w:tblW w:w="15876" w:type="dxa"/>
        <w:jc w:val="center"/>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Layout w:type="fixed"/>
        <w:tblCellMar>
          <w:top w:w="57" w:type="dxa"/>
          <w:left w:w="57" w:type="dxa"/>
          <w:bottom w:w="57" w:type="dxa"/>
          <w:right w:w="57" w:type="dxa"/>
        </w:tblCellMar>
      </w:tblPr>
      <w:tblGrid>
        <w:gridCol w:w="991"/>
        <w:gridCol w:w="795"/>
        <w:gridCol w:w="1187"/>
        <w:gridCol w:w="1148"/>
        <w:gridCol w:w="1039"/>
        <w:gridCol w:w="747"/>
        <w:gridCol w:w="747"/>
        <w:gridCol w:w="576"/>
        <w:gridCol w:w="576"/>
        <w:gridCol w:w="576"/>
        <w:gridCol w:w="862"/>
        <w:gridCol w:w="862"/>
        <w:gridCol w:w="1005"/>
        <w:gridCol w:w="953"/>
        <w:gridCol w:w="953"/>
        <w:gridCol w:w="953"/>
        <w:gridCol w:w="953"/>
        <w:gridCol w:w="953"/>
      </w:tblGrid>
      <w:tr w14:paraId="6DFCE843">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Merge w:val="restart"/>
            <w:vAlign w:val="center"/>
          </w:tcPr>
          <w:p w14:paraId="17401B1F">
            <w:pPr>
              <w:spacing w:line="240" w:lineRule="exact"/>
              <w:rPr>
                <w:rFonts w:ascii="Arial" w:hAnsi="Arial" w:cs="Arial"/>
                <w:bCs/>
                <w:sz w:val="18"/>
                <w:szCs w:val="18"/>
              </w:rPr>
            </w:pPr>
            <w:r>
              <w:rPr>
                <w:rFonts w:ascii="Arial" w:hAnsi="Arial" w:cs="Arial"/>
                <w:bCs/>
                <w:sz w:val="18"/>
                <w:szCs w:val="18"/>
              </w:rPr>
              <w:t>咨询期日土地使用</w:t>
            </w:r>
            <w:r>
              <w:rPr>
                <w:rFonts w:hint="eastAsia" w:ascii="Arial" w:hAnsi="Arial" w:cs="Arial"/>
                <w:bCs/>
                <w:sz w:val="18"/>
                <w:szCs w:val="18"/>
              </w:rPr>
              <w:t>权人</w:t>
            </w:r>
          </w:p>
        </w:tc>
        <w:tc>
          <w:tcPr>
            <w:tcW w:w="795" w:type="dxa"/>
            <w:vMerge w:val="restart"/>
            <w:vAlign w:val="center"/>
          </w:tcPr>
          <w:p w14:paraId="009E9B33">
            <w:pPr>
              <w:spacing w:line="240" w:lineRule="exact"/>
              <w:rPr>
                <w:rFonts w:ascii="Arial" w:hAnsi="Arial" w:cs="Arial"/>
                <w:bCs/>
                <w:sz w:val="18"/>
                <w:szCs w:val="18"/>
              </w:rPr>
            </w:pPr>
            <w:r>
              <w:rPr>
                <w:rFonts w:ascii="Arial" w:hAnsi="Arial" w:cs="Arial"/>
                <w:bCs/>
                <w:sz w:val="18"/>
                <w:szCs w:val="18"/>
              </w:rPr>
              <w:t>宗地编号</w:t>
            </w:r>
          </w:p>
        </w:tc>
        <w:tc>
          <w:tcPr>
            <w:tcW w:w="1187" w:type="dxa"/>
            <w:vMerge w:val="restart"/>
            <w:vAlign w:val="center"/>
          </w:tcPr>
          <w:p w14:paraId="04EDC2E6">
            <w:pPr>
              <w:spacing w:line="240" w:lineRule="exact"/>
              <w:rPr>
                <w:rFonts w:ascii="Arial" w:hAnsi="Arial" w:cs="Arial"/>
                <w:bCs/>
                <w:sz w:val="18"/>
                <w:szCs w:val="18"/>
              </w:rPr>
            </w:pPr>
            <w:r>
              <w:rPr>
                <w:rFonts w:ascii="Arial" w:hAnsi="Arial" w:cs="Arial"/>
                <w:bCs/>
                <w:sz w:val="18"/>
                <w:szCs w:val="18"/>
              </w:rPr>
              <w:t>宗地名称</w:t>
            </w:r>
          </w:p>
        </w:tc>
        <w:tc>
          <w:tcPr>
            <w:tcW w:w="1148" w:type="dxa"/>
            <w:vMerge w:val="restart"/>
            <w:vAlign w:val="center"/>
          </w:tcPr>
          <w:p w14:paraId="05DC9303">
            <w:pPr>
              <w:spacing w:line="240" w:lineRule="exact"/>
              <w:rPr>
                <w:rFonts w:ascii="Arial" w:hAnsi="Arial" w:cs="Arial"/>
                <w:bCs/>
                <w:sz w:val="18"/>
                <w:szCs w:val="18"/>
              </w:rPr>
            </w:pPr>
            <w:r>
              <w:rPr>
                <w:rFonts w:ascii="Arial" w:hAnsi="Arial" w:cs="Arial"/>
                <w:bCs/>
                <w:sz w:val="18"/>
                <w:szCs w:val="18"/>
              </w:rPr>
              <w:t>土地使用证编号</w:t>
            </w:r>
          </w:p>
        </w:tc>
        <w:tc>
          <w:tcPr>
            <w:tcW w:w="2533" w:type="dxa"/>
            <w:gridSpan w:val="3"/>
            <w:vAlign w:val="center"/>
          </w:tcPr>
          <w:p w14:paraId="5EB8396D">
            <w:pPr>
              <w:spacing w:line="240" w:lineRule="exact"/>
              <w:ind w:right="-108" w:rightChars="-45"/>
              <w:rPr>
                <w:rFonts w:ascii="Arial" w:hAnsi="Arial" w:cs="Arial"/>
                <w:bCs/>
                <w:sz w:val="18"/>
                <w:szCs w:val="18"/>
              </w:rPr>
            </w:pPr>
            <w:r>
              <w:rPr>
                <w:rFonts w:ascii="Arial" w:hAnsi="Arial" w:cs="Arial"/>
                <w:bCs/>
                <w:sz w:val="18"/>
                <w:szCs w:val="18"/>
              </w:rPr>
              <w:t>咨询期日的用途</w:t>
            </w:r>
          </w:p>
        </w:tc>
        <w:tc>
          <w:tcPr>
            <w:tcW w:w="1728" w:type="dxa"/>
            <w:gridSpan w:val="3"/>
            <w:vAlign w:val="center"/>
          </w:tcPr>
          <w:p w14:paraId="2C20139C">
            <w:pPr>
              <w:spacing w:line="240" w:lineRule="exact"/>
              <w:rPr>
                <w:rFonts w:ascii="Arial" w:hAnsi="Arial" w:cs="Arial"/>
                <w:bCs/>
                <w:sz w:val="18"/>
                <w:szCs w:val="18"/>
              </w:rPr>
            </w:pPr>
            <w:r>
              <w:rPr>
                <w:rFonts w:ascii="Arial" w:hAnsi="Arial" w:cs="Arial"/>
                <w:bCs/>
                <w:sz w:val="18"/>
                <w:szCs w:val="18"/>
              </w:rPr>
              <w:t>容积率</w:t>
            </w:r>
          </w:p>
        </w:tc>
        <w:tc>
          <w:tcPr>
            <w:tcW w:w="862" w:type="dxa"/>
            <w:vMerge w:val="restart"/>
            <w:vAlign w:val="center"/>
          </w:tcPr>
          <w:p w14:paraId="4C7EEF37">
            <w:pPr>
              <w:spacing w:line="240" w:lineRule="exact"/>
              <w:rPr>
                <w:rFonts w:ascii="Arial" w:hAnsi="Arial" w:cs="Arial"/>
                <w:bCs/>
                <w:sz w:val="18"/>
                <w:szCs w:val="18"/>
              </w:rPr>
            </w:pPr>
            <w:r>
              <w:rPr>
                <w:rFonts w:ascii="Arial" w:hAnsi="Arial" w:cs="Arial"/>
                <w:bCs/>
                <w:sz w:val="18"/>
                <w:szCs w:val="18"/>
              </w:rPr>
              <w:t>咨询期日的实际土地开发程度</w:t>
            </w:r>
          </w:p>
        </w:tc>
        <w:tc>
          <w:tcPr>
            <w:tcW w:w="862" w:type="dxa"/>
            <w:vMerge w:val="restart"/>
            <w:vAlign w:val="center"/>
          </w:tcPr>
          <w:p w14:paraId="7087E80C">
            <w:pPr>
              <w:spacing w:line="240" w:lineRule="exact"/>
              <w:rPr>
                <w:rFonts w:ascii="Arial" w:hAnsi="Arial" w:cs="Arial"/>
                <w:bCs/>
                <w:sz w:val="18"/>
                <w:szCs w:val="18"/>
              </w:rPr>
            </w:pPr>
            <w:r>
              <w:rPr>
                <w:rFonts w:ascii="Arial" w:hAnsi="Arial" w:cs="Arial"/>
                <w:bCs/>
                <w:sz w:val="18"/>
                <w:szCs w:val="18"/>
              </w:rPr>
              <w:t>估价设定的土地开发程度</w:t>
            </w:r>
          </w:p>
        </w:tc>
        <w:tc>
          <w:tcPr>
            <w:tcW w:w="1005" w:type="dxa"/>
            <w:vMerge w:val="restart"/>
            <w:vAlign w:val="center"/>
          </w:tcPr>
          <w:p w14:paraId="0C6EFFB6">
            <w:pPr>
              <w:spacing w:line="240" w:lineRule="exact"/>
              <w:rPr>
                <w:rFonts w:ascii="Arial" w:hAnsi="Arial" w:cs="Arial"/>
                <w:bCs/>
                <w:sz w:val="18"/>
                <w:szCs w:val="18"/>
              </w:rPr>
            </w:pPr>
            <w:r>
              <w:rPr>
                <w:rFonts w:ascii="Arial" w:hAnsi="Arial" w:cs="Arial"/>
                <w:bCs/>
                <w:sz w:val="18"/>
                <w:szCs w:val="18"/>
              </w:rPr>
              <w:t>土地使用年限/年</w:t>
            </w:r>
          </w:p>
        </w:tc>
        <w:tc>
          <w:tcPr>
            <w:tcW w:w="953" w:type="dxa"/>
            <w:vMerge w:val="restart"/>
            <w:vAlign w:val="center"/>
          </w:tcPr>
          <w:p w14:paraId="4DAC4F75">
            <w:pPr>
              <w:spacing w:line="240" w:lineRule="exact"/>
              <w:rPr>
                <w:rFonts w:ascii="Arial" w:hAnsi="Arial" w:cs="Arial"/>
                <w:bCs/>
                <w:sz w:val="18"/>
                <w:szCs w:val="18"/>
              </w:rPr>
            </w:pPr>
            <w:r>
              <w:rPr>
                <w:rFonts w:ascii="Arial" w:hAnsi="Arial" w:cs="Arial"/>
                <w:bCs/>
                <w:sz w:val="18"/>
                <w:szCs w:val="18"/>
              </w:rPr>
              <w:t>土地面积/㎡</w:t>
            </w:r>
          </w:p>
        </w:tc>
        <w:tc>
          <w:tcPr>
            <w:tcW w:w="953" w:type="dxa"/>
            <w:vMerge w:val="restart"/>
            <w:vAlign w:val="center"/>
          </w:tcPr>
          <w:p w14:paraId="30B8CEEF">
            <w:pPr>
              <w:spacing w:line="240" w:lineRule="exact"/>
              <w:rPr>
                <w:rFonts w:ascii="Arial" w:hAnsi="Arial" w:cs="Arial"/>
                <w:bCs/>
                <w:sz w:val="18"/>
                <w:szCs w:val="18"/>
              </w:rPr>
            </w:pPr>
            <w:r>
              <w:rPr>
                <w:rFonts w:ascii="Arial" w:hAnsi="Arial" w:cs="Arial"/>
                <w:bCs/>
                <w:sz w:val="18"/>
                <w:szCs w:val="18"/>
              </w:rPr>
              <w:t>规划建筑面积/㎡</w:t>
            </w:r>
          </w:p>
        </w:tc>
        <w:tc>
          <w:tcPr>
            <w:tcW w:w="953" w:type="dxa"/>
            <w:vMerge w:val="restart"/>
            <w:vAlign w:val="center"/>
          </w:tcPr>
          <w:p w14:paraId="1F60517A">
            <w:pPr>
              <w:spacing w:line="240" w:lineRule="exact"/>
              <w:rPr>
                <w:rFonts w:ascii="Arial" w:hAnsi="Arial" w:cs="Arial"/>
                <w:bCs/>
                <w:sz w:val="18"/>
                <w:szCs w:val="18"/>
              </w:rPr>
            </w:pPr>
            <w:r>
              <w:rPr>
                <w:rFonts w:ascii="Arial" w:hAnsi="Arial" w:cs="Arial"/>
                <w:bCs/>
                <w:sz w:val="18"/>
                <w:szCs w:val="18"/>
              </w:rPr>
              <w:t>单位面积地价/</w:t>
            </w:r>
          </w:p>
          <w:p w14:paraId="5A3413F9">
            <w:pPr>
              <w:spacing w:line="240" w:lineRule="exact"/>
              <w:rPr>
                <w:rFonts w:ascii="Arial" w:hAnsi="Arial" w:cs="Arial"/>
                <w:bCs/>
                <w:sz w:val="18"/>
                <w:szCs w:val="18"/>
              </w:rPr>
            </w:pPr>
            <w:r>
              <w:rPr>
                <w:rFonts w:ascii="Arial" w:hAnsi="Arial" w:cs="Arial"/>
                <w:bCs/>
                <w:sz w:val="18"/>
                <w:szCs w:val="18"/>
              </w:rPr>
              <w:t>元/㎡</w:t>
            </w:r>
          </w:p>
        </w:tc>
        <w:tc>
          <w:tcPr>
            <w:tcW w:w="953" w:type="dxa"/>
            <w:vMerge w:val="restart"/>
            <w:vAlign w:val="center"/>
          </w:tcPr>
          <w:p w14:paraId="66ED2713">
            <w:pPr>
              <w:spacing w:line="240" w:lineRule="exact"/>
              <w:rPr>
                <w:rFonts w:ascii="Arial" w:hAnsi="Arial" w:cs="Arial"/>
                <w:bCs/>
                <w:sz w:val="18"/>
                <w:szCs w:val="18"/>
              </w:rPr>
            </w:pPr>
            <w:r>
              <w:rPr>
                <w:rFonts w:ascii="Arial" w:hAnsi="Arial" w:cs="Arial"/>
                <w:bCs/>
                <w:sz w:val="18"/>
                <w:szCs w:val="18"/>
              </w:rPr>
              <w:t>楼面地价/元/㎡</w:t>
            </w:r>
          </w:p>
        </w:tc>
        <w:tc>
          <w:tcPr>
            <w:tcW w:w="953" w:type="dxa"/>
            <w:vMerge w:val="restart"/>
            <w:vAlign w:val="center"/>
          </w:tcPr>
          <w:p w14:paraId="5DC9046C">
            <w:pPr>
              <w:spacing w:line="240" w:lineRule="exact"/>
              <w:rPr>
                <w:rFonts w:ascii="Arial" w:hAnsi="Arial" w:cs="Arial"/>
                <w:bCs/>
                <w:sz w:val="18"/>
                <w:szCs w:val="18"/>
              </w:rPr>
            </w:pPr>
            <w:r>
              <w:rPr>
                <w:rFonts w:ascii="Arial" w:hAnsi="Arial" w:cs="Arial"/>
                <w:bCs/>
                <w:sz w:val="18"/>
                <w:szCs w:val="18"/>
              </w:rPr>
              <w:t>总地价/万元</w:t>
            </w:r>
          </w:p>
        </w:tc>
      </w:tr>
      <w:tr w14:paraId="071560B8">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Merge w:val="continue"/>
            <w:vAlign w:val="center"/>
          </w:tcPr>
          <w:p w14:paraId="6FFC7763">
            <w:pPr>
              <w:spacing w:line="240" w:lineRule="exact"/>
              <w:rPr>
                <w:rFonts w:ascii="Arial" w:hAnsi="Arial" w:cs="Arial"/>
                <w:bCs/>
                <w:sz w:val="18"/>
                <w:szCs w:val="18"/>
              </w:rPr>
            </w:pPr>
          </w:p>
        </w:tc>
        <w:tc>
          <w:tcPr>
            <w:tcW w:w="795" w:type="dxa"/>
            <w:vMerge w:val="continue"/>
          </w:tcPr>
          <w:p w14:paraId="7ACD713B">
            <w:pPr>
              <w:spacing w:line="240" w:lineRule="exact"/>
              <w:rPr>
                <w:rFonts w:ascii="Arial" w:hAnsi="Arial" w:cs="Arial"/>
                <w:bCs/>
                <w:sz w:val="18"/>
                <w:szCs w:val="18"/>
              </w:rPr>
            </w:pPr>
          </w:p>
        </w:tc>
        <w:tc>
          <w:tcPr>
            <w:tcW w:w="1187" w:type="dxa"/>
            <w:vMerge w:val="continue"/>
            <w:vAlign w:val="center"/>
          </w:tcPr>
          <w:p w14:paraId="4924ED7D">
            <w:pPr>
              <w:spacing w:line="240" w:lineRule="exact"/>
              <w:rPr>
                <w:rFonts w:ascii="Arial" w:hAnsi="Arial" w:cs="Arial"/>
                <w:bCs/>
                <w:sz w:val="18"/>
                <w:szCs w:val="18"/>
              </w:rPr>
            </w:pPr>
          </w:p>
        </w:tc>
        <w:tc>
          <w:tcPr>
            <w:tcW w:w="1148" w:type="dxa"/>
            <w:vMerge w:val="continue"/>
            <w:vAlign w:val="center"/>
          </w:tcPr>
          <w:p w14:paraId="47F3B59A">
            <w:pPr>
              <w:spacing w:line="240" w:lineRule="exact"/>
              <w:rPr>
                <w:rFonts w:ascii="Arial" w:hAnsi="Arial" w:cs="Arial"/>
                <w:bCs/>
                <w:sz w:val="18"/>
                <w:szCs w:val="18"/>
              </w:rPr>
            </w:pPr>
          </w:p>
        </w:tc>
        <w:tc>
          <w:tcPr>
            <w:tcW w:w="1039" w:type="dxa"/>
            <w:vAlign w:val="center"/>
          </w:tcPr>
          <w:p w14:paraId="61731549">
            <w:pPr>
              <w:spacing w:line="240" w:lineRule="exact"/>
              <w:rPr>
                <w:rFonts w:ascii="Arial" w:hAnsi="Arial" w:cs="Arial"/>
                <w:bCs/>
                <w:sz w:val="18"/>
                <w:szCs w:val="18"/>
              </w:rPr>
            </w:pPr>
            <w:r>
              <w:rPr>
                <w:rFonts w:ascii="Arial" w:hAnsi="Arial" w:cs="Arial"/>
                <w:bCs/>
                <w:sz w:val="18"/>
                <w:szCs w:val="18"/>
              </w:rPr>
              <w:t>证载</w:t>
            </w:r>
          </w:p>
        </w:tc>
        <w:tc>
          <w:tcPr>
            <w:tcW w:w="747" w:type="dxa"/>
            <w:vAlign w:val="center"/>
          </w:tcPr>
          <w:p w14:paraId="37A37120">
            <w:pPr>
              <w:spacing w:line="240" w:lineRule="exact"/>
              <w:rPr>
                <w:rFonts w:ascii="Arial" w:hAnsi="Arial" w:cs="Arial"/>
                <w:bCs/>
                <w:sz w:val="18"/>
                <w:szCs w:val="18"/>
              </w:rPr>
            </w:pPr>
            <w:r>
              <w:rPr>
                <w:rFonts w:ascii="Arial" w:hAnsi="Arial" w:cs="Arial"/>
                <w:bCs/>
                <w:sz w:val="18"/>
                <w:szCs w:val="18"/>
              </w:rPr>
              <w:t>实际</w:t>
            </w:r>
          </w:p>
        </w:tc>
        <w:tc>
          <w:tcPr>
            <w:tcW w:w="747" w:type="dxa"/>
            <w:vAlign w:val="center"/>
          </w:tcPr>
          <w:p w14:paraId="25C7AC0F">
            <w:pPr>
              <w:spacing w:line="240" w:lineRule="exact"/>
              <w:ind w:right="-108" w:rightChars="-45"/>
              <w:rPr>
                <w:rFonts w:ascii="Arial" w:hAnsi="Arial" w:cs="Arial"/>
                <w:bCs/>
                <w:sz w:val="18"/>
                <w:szCs w:val="18"/>
              </w:rPr>
            </w:pPr>
            <w:r>
              <w:rPr>
                <w:rFonts w:ascii="Arial" w:hAnsi="Arial" w:cs="Arial"/>
                <w:bCs/>
                <w:sz w:val="18"/>
                <w:szCs w:val="18"/>
              </w:rPr>
              <w:t>设定</w:t>
            </w:r>
          </w:p>
        </w:tc>
        <w:tc>
          <w:tcPr>
            <w:tcW w:w="576" w:type="dxa"/>
            <w:vAlign w:val="center"/>
          </w:tcPr>
          <w:p w14:paraId="30591CAE">
            <w:pPr>
              <w:spacing w:line="240" w:lineRule="exact"/>
              <w:rPr>
                <w:rFonts w:ascii="Arial" w:hAnsi="Arial" w:cs="Arial"/>
                <w:bCs/>
                <w:sz w:val="18"/>
                <w:szCs w:val="18"/>
              </w:rPr>
            </w:pPr>
            <w:r>
              <w:rPr>
                <w:rFonts w:ascii="Arial" w:hAnsi="Arial" w:cs="Arial"/>
                <w:bCs/>
                <w:sz w:val="18"/>
                <w:szCs w:val="18"/>
              </w:rPr>
              <w:t>规划</w:t>
            </w:r>
          </w:p>
        </w:tc>
        <w:tc>
          <w:tcPr>
            <w:tcW w:w="576" w:type="dxa"/>
            <w:vAlign w:val="center"/>
          </w:tcPr>
          <w:p w14:paraId="07C1A4A8">
            <w:pPr>
              <w:spacing w:line="240" w:lineRule="exact"/>
              <w:rPr>
                <w:rFonts w:ascii="Arial" w:hAnsi="Arial" w:cs="Arial"/>
                <w:bCs/>
                <w:sz w:val="18"/>
                <w:szCs w:val="18"/>
              </w:rPr>
            </w:pPr>
            <w:r>
              <w:rPr>
                <w:rFonts w:ascii="Arial" w:hAnsi="Arial" w:cs="Arial"/>
                <w:bCs/>
                <w:sz w:val="18"/>
                <w:szCs w:val="18"/>
              </w:rPr>
              <w:t>实际</w:t>
            </w:r>
          </w:p>
        </w:tc>
        <w:tc>
          <w:tcPr>
            <w:tcW w:w="576" w:type="dxa"/>
            <w:vAlign w:val="center"/>
          </w:tcPr>
          <w:p w14:paraId="11EE0BE3">
            <w:pPr>
              <w:spacing w:line="240" w:lineRule="exact"/>
              <w:rPr>
                <w:rFonts w:ascii="Arial" w:hAnsi="Arial" w:cs="Arial"/>
                <w:bCs/>
                <w:sz w:val="18"/>
                <w:szCs w:val="18"/>
              </w:rPr>
            </w:pPr>
            <w:r>
              <w:rPr>
                <w:rFonts w:ascii="Arial" w:hAnsi="Arial" w:cs="Arial"/>
                <w:bCs/>
                <w:sz w:val="18"/>
                <w:szCs w:val="18"/>
              </w:rPr>
              <w:t>设定</w:t>
            </w:r>
          </w:p>
        </w:tc>
        <w:tc>
          <w:tcPr>
            <w:tcW w:w="862" w:type="dxa"/>
            <w:vMerge w:val="continue"/>
            <w:vAlign w:val="center"/>
          </w:tcPr>
          <w:p w14:paraId="56AF6610">
            <w:pPr>
              <w:spacing w:line="240" w:lineRule="exact"/>
              <w:rPr>
                <w:rFonts w:ascii="Arial" w:hAnsi="Arial" w:cs="Arial"/>
                <w:bCs/>
                <w:sz w:val="18"/>
                <w:szCs w:val="18"/>
              </w:rPr>
            </w:pPr>
          </w:p>
        </w:tc>
        <w:tc>
          <w:tcPr>
            <w:tcW w:w="862" w:type="dxa"/>
            <w:vMerge w:val="continue"/>
            <w:vAlign w:val="center"/>
          </w:tcPr>
          <w:p w14:paraId="27A8B6FC">
            <w:pPr>
              <w:spacing w:line="240" w:lineRule="exact"/>
              <w:rPr>
                <w:rFonts w:ascii="Arial" w:hAnsi="Arial" w:cs="Arial"/>
                <w:bCs/>
                <w:sz w:val="18"/>
                <w:szCs w:val="18"/>
              </w:rPr>
            </w:pPr>
          </w:p>
        </w:tc>
        <w:tc>
          <w:tcPr>
            <w:tcW w:w="1005" w:type="dxa"/>
            <w:vMerge w:val="continue"/>
            <w:vAlign w:val="center"/>
          </w:tcPr>
          <w:p w14:paraId="70E7C40B">
            <w:pPr>
              <w:spacing w:line="240" w:lineRule="exact"/>
              <w:rPr>
                <w:rFonts w:ascii="Arial" w:hAnsi="Arial" w:cs="Arial"/>
                <w:bCs/>
                <w:sz w:val="18"/>
                <w:szCs w:val="18"/>
              </w:rPr>
            </w:pPr>
          </w:p>
        </w:tc>
        <w:tc>
          <w:tcPr>
            <w:tcW w:w="953" w:type="dxa"/>
            <w:vMerge w:val="continue"/>
            <w:vAlign w:val="center"/>
          </w:tcPr>
          <w:p w14:paraId="11995D24">
            <w:pPr>
              <w:spacing w:line="240" w:lineRule="exact"/>
              <w:rPr>
                <w:rFonts w:ascii="Arial" w:hAnsi="Arial" w:cs="Arial"/>
                <w:bCs/>
                <w:sz w:val="18"/>
                <w:szCs w:val="18"/>
              </w:rPr>
            </w:pPr>
          </w:p>
        </w:tc>
        <w:tc>
          <w:tcPr>
            <w:tcW w:w="953" w:type="dxa"/>
            <w:vMerge w:val="continue"/>
            <w:vAlign w:val="center"/>
          </w:tcPr>
          <w:p w14:paraId="11F92AF5">
            <w:pPr>
              <w:spacing w:line="240" w:lineRule="exact"/>
              <w:rPr>
                <w:rFonts w:ascii="Arial" w:hAnsi="Arial" w:cs="Arial"/>
                <w:bCs/>
                <w:sz w:val="18"/>
                <w:szCs w:val="18"/>
              </w:rPr>
            </w:pPr>
          </w:p>
        </w:tc>
        <w:tc>
          <w:tcPr>
            <w:tcW w:w="953" w:type="dxa"/>
            <w:vMerge w:val="continue"/>
            <w:vAlign w:val="center"/>
          </w:tcPr>
          <w:p w14:paraId="25E7F29F">
            <w:pPr>
              <w:spacing w:line="240" w:lineRule="exact"/>
              <w:rPr>
                <w:rFonts w:ascii="Arial" w:hAnsi="Arial" w:cs="Arial"/>
                <w:bCs/>
                <w:sz w:val="18"/>
                <w:szCs w:val="18"/>
              </w:rPr>
            </w:pPr>
          </w:p>
        </w:tc>
        <w:tc>
          <w:tcPr>
            <w:tcW w:w="953" w:type="dxa"/>
            <w:vMerge w:val="continue"/>
            <w:vAlign w:val="center"/>
          </w:tcPr>
          <w:p w14:paraId="29B1ECD7">
            <w:pPr>
              <w:spacing w:line="240" w:lineRule="exact"/>
              <w:rPr>
                <w:rFonts w:ascii="Arial" w:hAnsi="Arial" w:cs="Arial"/>
                <w:bCs/>
                <w:sz w:val="18"/>
                <w:szCs w:val="18"/>
              </w:rPr>
            </w:pPr>
          </w:p>
        </w:tc>
        <w:tc>
          <w:tcPr>
            <w:tcW w:w="953" w:type="dxa"/>
            <w:vMerge w:val="continue"/>
            <w:vAlign w:val="center"/>
          </w:tcPr>
          <w:p w14:paraId="605EF643">
            <w:pPr>
              <w:spacing w:line="240" w:lineRule="exact"/>
              <w:rPr>
                <w:rFonts w:ascii="Arial" w:hAnsi="Arial" w:cs="Arial"/>
                <w:bCs/>
                <w:sz w:val="18"/>
                <w:szCs w:val="18"/>
              </w:rPr>
            </w:pPr>
          </w:p>
        </w:tc>
      </w:tr>
      <w:tr w14:paraId="135C6AC2">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Align w:val="center"/>
          </w:tcPr>
          <w:p w14:paraId="27F46869">
            <w:pPr>
              <w:spacing w:line="240" w:lineRule="exact"/>
              <w:rPr>
                <w:rFonts w:ascii="Arial" w:hAnsi="Arial" w:cs="Arial"/>
                <w:bCs/>
                <w:sz w:val="18"/>
                <w:szCs w:val="18"/>
              </w:rPr>
            </w:pPr>
            <w:r>
              <w:rPr>
                <w:rFonts w:hint="eastAsia" w:ascii="Arial" w:hAnsi="Arial" w:cs="Arial"/>
                <w:bCs/>
                <w:sz w:val="18"/>
                <w:szCs w:val="18"/>
              </w:rPr>
              <w:t>百泉庄村经济组织</w:t>
            </w:r>
          </w:p>
        </w:tc>
        <w:tc>
          <w:tcPr>
            <w:tcW w:w="795" w:type="dxa"/>
            <w:vAlign w:val="center"/>
          </w:tcPr>
          <w:p w14:paraId="6FA8CA24">
            <w:pPr>
              <w:spacing w:line="240" w:lineRule="exact"/>
              <w:rPr>
                <w:rFonts w:ascii="Arial" w:hAnsi="Arial" w:cs="Arial"/>
                <w:bCs/>
                <w:sz w:val="18"/>
                <w:szCs w:val="18"/>
              </w:rPr>
            </w:pPr>
            <w:r>
              <w:rPr>
                <w:rFonts w:hint="eastAsia" w:ascii="Arial" w:hAnsi="Arial" w:cs="Arial"/>
                <w:bCs/>
                <w:sz w:val="18"/>
                <w:szCs w:val="18"/>
              </w:rPr>
              <w:t>——</w:t>
            </w:r>
          </w:p>
        </w:tc>
        <w:tc>
          <w:tcPr>
            <w:tcW w:w="1187" w:type="dxa"/>
            <w:vAlign w:val="center"/>
          </w:tcPr>
          <w:p w14:paraId="722905DC">
            <w:pPr>
              <w:spacing w:line="240" w:lineRule="exact"/>
              <w:rPr>
                <w:rFonts w:ascii="Arial" w:hAnsi="Arial" w:cs="Arial"/>
                <w:bCs/>
                <w:sz w:val="18"/>
                <w:szCs w:val="18"/>
              </w:rPr>
            </w:pPr>
            <w:r>
              <w:rPr>
                <w:rFonts w:ascii="Arial" w:hAnsi="Arial" w:cs="Arial"/>
                <w:bCs/>
                <w:sz w:val="18"/>
                <w:szCs w:val="18"/>
              </w:rPr>
              <w:t>北京市</w:t>
            </w:r>
            <w:r>
              <w:rPr>
                <w:rFonts w:hint="eastAsia" w:ascii="Arial" w:hAnsi="Arial" w:cs="Arial"/>
                <w:bCs/>
                <w:sz w:val="18"/>
                <w:szCs w:val="18"/>
              </w:rPr>
              <w:t>昌平区马池口镇百泉庄村集体土地租赁住房项目集体经营性建设用地使用权</w:t>
            </w:r>
          </w:p>
        </w:tc>
        <w:tc>
          <w:tcPr>
            <w:tcW w:w="1148" w:type="dxa"/>
            <w:vAlign w:val="center"/>
          </w:tcPr>
          <w:p w14:paraId="7C3EC946">
            <w:pPr>
              <w:spacing w:line="240" w:lineRule="exact"/>
              <w:rPr>
                <w:rFonts w:ascii="Arial" w:hAnsi="Arial" w:cs="Arial"/>
                <w:bCs/>
                <w:sz w:val="18"/>
                <w:szCs w:val="18"/>
              </w:rPr>
            </w:pPr>
            <w:r>
              <w:rPr>
                <w:rFonts w:hint="eastAsia" w:ascii="Arial" w:hAnsi="Arial" w:cs="Arial"/>
                <w:bCs/>
                <w:sz w:val="18"/>
                <w:szCs w:val="18"/>
              </w:rPr>
              <w:t>——</w:t>
            </w:r>
          </w:p>
        </w:tc>
        <w:tc>
          <w:tcPr>
            <w:tcW w:w="1039" w:type="dxa"/>
            <w:vAlign w:val="center"/>
          </w:tcPr>
          <w:p w14:paraId="5E06ED84">
            <w:pPr>
              <w:spacing w:line="240" w:lineRule="exact"/>
              <w:rPr>
                <w:rFonts w:ascii="Arial" w:hAnsi="Arial" w:cs="Arial"/>
                <w:bCs/>
                <w:sz w:val="18"/>
                <w:szCs w:val="18"/>
              </w:rPr>
            </w:pPr>
            <w:r>
              <w:rPr>
                <w:rFonts w:hint="eastAsia" w:ascii="Arial" w:hAnsi="Arial" w:cs="Arial"/>
                <w:bCs/>
                <w:sz w:val="18"/>
                <w:szCs w:val="18"/>
              </w:rPr>
              <w:t>——</w:t>
            </w:r>
          </w:p>
        </w:tc>
        <w:tc>
          <w:tcPr>
            <w:tcW w:w="747" w:type="dxa"/>
            <w:vAlign w:val="center"/>
          </w:tcPr>
          <w:p w14:paraId="6959D8C0">
            <w:pPr>
              <w:spacing w:line="240" w:lineRule="exact"/>
              <w:rPr>
                <w:rFonts w:ascii="Arial" w:hAnsi="Arial" w:cs="Arial"/>
                <w:bCs/>
                <w:sz w:val="18"/>
                <w:szCs w:val="18"/>
              </w:rPr>
            </w:pPr>
            <w:r>
              <w:rPr>
                <w:rFonts w:hint="eastAsia" w:ascii="Arial" w:hAnsi="Arial" w:cs="Arial"/>
                <w:bCs/>
                <w:sz w:val="18"/>
                <w:szCs w:val="18"/>
              </w:rPr>
              <w:t>——</w:t>
            </w:r>
          </w:p>
        </w:tc>
        <w:tc>
          <w:tcPr>
            <w:tcW w:w="747" w:type="dxa"/>
            <w:vAlign w:val="center"/>
          </w:tcPr>
          <w:p w14:paraId="21964715">
            <w:pPr>
              <w:spacing w:line="240" w:lineRule="exact"/>
              <w:rPr>
                <w:rFonts w:ascii="Arial" w:hAnsi="Arial" w:cs="Arial"/>
                <w:bCs/>
                <w:sz w:val="18"/>
                <w:szCs w:val="18"/>
              </w:rPr>
            </w:pPr>
            <w:r>
              <w:rPr>
                <w:rFonts w:hint="eastAsia" w:ascii="Arial" w:hAnsi="Arial" w:cs="Arial"/>
                <w:bCs/>
                <w:sz w:val="18"/>
                <w:szCs w:val="18"/>
              </w:rPr>
              <w:t>集租房</w:t>
            </w:r>
          </w:p>
        </w:tc>
        <w:tc>
          <w:tcPr>
            <w:tcW w:w="576" w:type="dxa"/>
            <w:vAlign w:val="center"/>
          </w:tcPr>
          <w:p w14:paraId="6FAFA75C">
            <w:pPr>
              <w:spacing w:line="240" w:lineRule="exact"/>
              <w:rPr>
                <w:rFonts w:ascii="Arial" w:hAnsi="Arial" w:cs="Arial"/>
                <w:bCs/>
                <w:sz w:val="18"/>
                <w:szCs w:val="18"/>
              </w:rPr>
            </w:pPr>
            <w:r>
              <w:rPr>
                <w:rFonts w:ascii="Arial" w:hAnsi="Arial" w:cs="Arial"/>
                <w:bCs/>
                <w:sz w:val="18"/>
                <w:szCs w:val="18"/>
              </w:rPr>
              <w:t>1.8</w:t>
            </w:r>
          </w:p>
        </w:tc>
        <w:tc>
          <w:tcPr>
            <w:tcW w:w="576" w:type="dxa"/>
            <w:vAlign w:val="center"/>
          </w:tcPr>
          <w:p w14:paraId="6A0C2C7C">
            <w:pPr>
              <w:spacing w:line="240" w:lineRule="exact"/>
              <w:rPr>
                <w:rFonts w:ascii="Arial" w:hAnsi="Arial" w:cs="Arial"/>
                <w:bCs/>
                <w:sz w:val="18"/>
                <w:szCs w:val="18"/>
              </w:rPr>
            </w:pPr>
            <w:r>
              <w:rPr>
                <w:rFonts w:hint="eastAsia" w:ascii="Arial" w:hAnsi="Arial" w:cs="Arial"/>
                <w:bCs/>
                <w:sz w:val="18"/>
                <w:szCs w:val="18"/>
              </w:rPr>
              <w:t>——</w:t>
            </w:r>
          </w:p>
        </w:tc>
        <w:tc>
          <w:tcPr>
            <w:tcW w:w="576" w:type="dxa"/>
            <w:vAlign w:val="center"/>
          </w:tcPr>
          <w:p w14:paraId="2583EA21">
            <w:pPr>
              <w:spacing w:line="240" w:lineRule="exact"/>
              <w:rPr>
                <w:rFonts w:ascii="Arial" w:hAnsi="Arial" w:cs="Arial"/>
                <w:bCs/>
                <w:sz w:val="18"/>
                <w:szCs w:val="18"/>
              </w:rPr>
            </w:pPr>
            <w:r>
              <w:rPr>
                <w:rFonts w:ascii="Arial" w:hAnsi="Arial" w:cs="Arial"/>
                <w:bCs/>
                <w:sz w:val="18"/>
                <w:szCs w:val="18"/>
              </w:rPr>
              <w:t>1.8</w:t>
            </w:r>
          </w:p>
        </w:tc>
        <w:tc>
          <w:tcPr>
            <w:tcW w:w="862" w:type="dxa"/>
            <w:vAlign w:val="center"/>
          </w:tcPr>
          <w:p w14:paraId="4A88E60D">
            <w:pPr>
              <w:spacing w:line="240" w:lineRule="exact"/>
              <w:rPr>
                <w:rFonts w:ascii="Arial" w:hAnsi="Arial" w:cs="Arial"/>
                <w:bCs/>
                <w:sz w:val="18"/>
                <w:szCs w:val="18"/>
              </w:rPr>
            </w:pPr>
            <w:r>
              <w:rPr>
                <w:rFonts w:ascii="Arial" w:hAnsi="Arial" w:cs="Arial"/>
                <w:bCs/>
                <w:sz w:val="18"/>
                <w:szCs w:val="18"/>
              </w:rPr>
              <w:t>三通</w:t>
            </w:r>
            <w:r>
              <w:rPr>
                <w:rFonts w:hint="eastAsia" w:ascii="Arial" w:hAnsi="Arial" w:cs="Arial"/>
                <w:bCs/>
                <w:sz w:val="18"/>
                <w:szCs w:val="18"/>
              </w:rPr>
              <w:t>、宗地红线内场地未平整，宗地内有需要移除的树木</w:t>
            </w:r>
            <w:r>
              <w:rPr>
                <w:rFonts w:ascii="Arial" w:hAnsi="Arial" w:cs="Arial"/>
                <w:bCs/>
                <w:sz w:val="18"/>
                <w:szCs w:val="18"/>
              </w:rPr>
              <w:t>一平</w:t>
            </w:r>
          </w:p>
        </w:tc>
        <w:tc>
          <w:tcPr>
            <w:tcW w:w="862" w:type="dxa"/>
            <w:vAlign w:val="center"/>
          </w:tcPr>
          <w:p w14:paraId="6DC1D3BE">
            <w:pPr>
              <w:spacing w:line="240" w:lineRule="exact"/>
              <w:rPr>
                <w:rFonts w:ascii="Arial" w:hAnsi="Arial" w:cs="Arial"/>
                <w:bCs/>
                <w:sz w:val="18"/>
                <w:szCs w:val="18"/>
              </w:rPr>
            </w:pPr>
            <w:r>
              <w:rPr>
                <w:rFonts w:ascii="Arial" w:hAnsi="Arial" w:cs="Arial"/>
                <w:bCs/>
                <w:sz w:val="18"/>
                <w:szCs w:val="18"/>
              </w:rPr>
              <w:t>三通一平</w:t>
            </w:r>
          </w:p>
        </w:tc>
        <w:tc>
          <w:tcPr>
            <w:tcW w:w="1005" w:type="dxa"/>
            <w:vAlign w:val="center"/>
          </w:tcPr>
          <w:p w14:paraId="62F8F0A0">
            <w:pPr>
              <w:spacing w:line="240" w:lineRule="exact"/>
              <w:rPr>
                <w:rFonts w:ascii="Arial" w:hAnsi="Arial" w:cs="Arial"/>
                <w:bCs/>
                <w:sz w:val="18"/>
                <w:szCs w:val="18"/>
              </w:rPr>
            </w:pPr>
            <w:r>
              <w:rPr>
                <w:rFonts w:ascii="Arial" w:hAnsi="Arial" w:cs="Arial"/>
                <w:bCs/>
                <w:sz w:val="18"/>
                <w:szCs w:val="18"/>
              </w:rPr>
              <w:t>50</w:t>
            </w:r>
          </w:p>
        </w:tc>
        <w:tc>
          <w:tcPr>
            <w:tcW w:w="953" w:type="dxa"/>
            <w:vAlign w:val="center"/>
          </w:tcPr>
          <w:p w14:paraId="1CB565C0">
            <w:pPr>
              <w:spacing w:line="240" w:lineRule="exact"/>
              <w:rPr>
                <w:rFonts w:ascii="Arial" w:hAnsi="Arial" w:cs="Arial"/>
                <w:bCs/>
                <w:sz w:val="18"/>
                <w:szCs w:val="18"/>
              </w:rPr>
            </w:pPr>
            <w:r>
              <w:rPr>
                <w:rFonts w:hint="eastAsia" w:ascii="Arial" w:hAnsi="Arial" w:cs="Arial"/>
                <w:bCs/>
                <w:sz w:val="18"/>
                <w:szCs w:val="18"/>
              </w:rPr>
              <w:t>18132</w:t>
            </w:r>
          </w:p>
        </w:tc>
        <w:tc>
          <w:tcPr>
            <w:tcW w:w="953" w:type="dxa"/>
            <w:vAlign w:val="center"/>
          </w:tcPr>
          <w:p w14:paraId="046EB4F1">
            <w:pPr>
              <w:spacing w:line="240" w:lineRule="exact"/>
              <w:rPr>
                <w:rFonts w:ascii="Arial" w:hAnsi="Arial" w:cs="Arial"/>
                <w:bCs/>
                <w:sz w:val="18"/>
                <w:szCs w:val="18"/>
              </w:rPr>
            </w:pPr>
            <w:r>
              <w:rPr>
                <w:rFonts w:hint="eastAsia" w:ascii="Arial" w:hAnsi="Arial" w:cs="Arial"/>
                <w:bCs/>
                <w:sz w:val="18"/>
                <w:szCs w:val="18"/>
              </w:rPr>
              <w:t>43300</w:t>
            </w:r>
          </w:p>
        </w:tc>
        <w:tc>
          <w:tcPr>
            <w:tcW w:w="953" w:type="dxa"/>
            <w:vAlign w:val="center"/>
          </w:tcPr>
          <w:p w14:paraId="2C25F8A8">
            <w:pPr>
              <w:spacing w:line="240" w:lineRule="exact"/>
              <w:rPr>
                <w:rFonts w:ascii="Arial" w:hAnsi="Arial" w:cs="Arial"/>
                <w:bCs/>
                <w:sz w:val="18"/>
                <w:szCs w:val="18"/>
              </w:rPr>
            </w:pPr>
            <w:r>
              <w:rPr>
                <w:rFonts w:hint="eastAsia" w:ascii="Arial" w:hAnsi="Arial" w:cs="Arial"/>
                <w:bCs/>
                <w:sz w:val="18"/>
                <w:szCs w:val="18"/>
              </w:rPr>
              <w:t>1065</w:t>
            </w:r>
          </w:p>
        </w:tc>
        <w:tc>
          <w:tcPr>
            <w:tcW w:w="953" w:type="dxa"/>
            <w:vAlign w:val="center"/>
          </w:tcPr>
          <w:p w14:paraId="29A5A4E6">
            <w:pPr>
              <w:spacing w:line="240" w:lineRule="exact"/>
              <w:rPr>
                <w:rFonts w:ascii="Arial" w:hAnsi="Arial" w:cs="Arial"/>
                <w:bCs/>
                <w:sz w:val="18"/>
                <w:szCs w:val="18"/>
              </w:rPr>
            </w:pPr>
            <w:r>
              <w:rPr>
                <w:rFonts w:hint="eastAsia" w:ascii="Arial" w:hAnsi="Arial" w:cs="Arial"/>
                <w:bCs/>
                <w:sz w:val="18"/>
                <w:szCs w:val="18"/>
              </w:rPr>
              <w:t>446</w:t>
            </w:r>
          </w:p>
        </w:tc>
        <w:tc>
          <w:tcPr>
            <w:tcW w:w="953" w:type="dxa"/>
            <w:vAlign w:val="center"/>
          </w:tcPr>
          <w:p w14:paraId="3E352B92">
            <w:pPr>
              <w:spacing w:line="240" w:lineRule="exact"/>
              <w:rPr>
                <w:rFonts w:ascii="Arial" w:hAnsi="Arial" w:cs="Arial"/>
                <w:bCs/>
                <w:sz w:val="18"/>
                <w:szCs w:val="18"/>
              </w:rPr>
            </w:pPr>
            <w:r>
              <w:rPr>
                <w:rFonts w:hint="eastAsia" w:ascii="Arial" w:hAnsi="Arial" w:cs="Arial"/>
                <w:bCs/>
                <w:sz w:val="18"/>
                <w:szCs w:val="18"/>
              </w:rPr>
              <w:t>1804.54</w:t>
            </w:r>
          </w:p>
        </w:tc>
      </w:tr>
      <w:tr w14:paraId="7662D1FA">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14923" w:type="dxa"/>
            <w:gridSpan w:val="17"/>
            <w:tcBorders>
              <w:left w:val="nil"/>
              <w:bottom w:val="nil"/>
              <w:right w:val="nil"/>
            </w:tcBorders>
            <w:vAlign w:val="center"/>
          </w:tcPr>
          <w:p w14:paraId="671B2ABB">
            <w:pPr>
              <w:spacing w:line="240" w:lineRule="exact"/>
              <w:rPr>
                <w:rFonts w:ascii="Arial" w:hAnsi="Arial" w:cs="Arial"/>
                <w:b/>
                <w:bCs/>
                <w:sz w:val="18"/>
                <w:szCs w:val="18"/>
              </w:rPr>
            </w:pPr>
            <w:r>
              <w:rPr>
                <w:rFonts w:ascii="Arial" w:hAnsi="Arial" w:cs="Arial"/>
                <w:sz w:val="18"/>
                <w:szCs w:val="18"/>
              </w:rPr>
              <w:t>币种：人民币</w:t>
            </w:r>
          </w:p>
        </w:tc>
        <w:tc>
          <w:tcPr>
            <w:tcW w:w="953" w:type="dxa"/>
            <w:tcBorders>
              <w:left w:val="nil"/>
              <w:bottom w:val="nil"/>
              <w:right w:val="nil"/>
            </w:tcBorders>
            <w:vAlign w:val="center"/>
          </w:tcPr>
          <w:p w14:paraId="77CD43B6">
            <w:pPr>
              <w:spacing w:line="240" w:lineRule="exact"/>
              <w:rPr>
                <w:rFonts w:ascii="Arial" w:hAnsi="Arial" w:cs="Arial"/>
                <w:b/>
                <w:bCs/>
                <w:sz w:val="18"/>
                <w:szCs w:val="18"/>
                <w:u w:val="single"/>
              </w:rPr>
            </w:pPr>
          </w:p>
        </w:tc>
      </w:tr>
    </w:tbl>
    <w:p w14:paraId="74C5A91A">
      <w:pPr>
        <w:spacing w:line="360" w:lineRule="auto"/>
        <w:ind w:firstLine="560" w:firstLineChars="200"/>
        <w:jc w:val="both"/>
        <w:rPr>
          <w:rFonts w:ascii="Arial" w:hAnsi="Arial" w:cs="Arial"/>
          <w:sz w:val="28"/>
        </w:rPr>
        <w:sectPr>
          <w:headerReference r:id="rId31" w:type="first"/>
          <w:pgSz w:w="16840" w:h="11907" w:orient="landscape"/>
          <w:pgMar w:top="2041" w:right="1134" w:bottom="1134" w:left="1134" w:header="1304" w:footer="1020" w:gutter="0"/>
          <w:cols w:space="720" w:num="1"/>
          <w:titlePg/>
          <w:docGrid w:linePitch="326" w:charSpace="0"/>
        </w:sectPr>
      </w:pPr>
    </w:p>
    <w:p w14:paraId="43739C64">
      <w:pPr>
        <w:spacing w:line="360" w:lineRule="auto"/>
        <w:outlineLvl w:val="1"/>
        <w:rPr>
          <w:rFonts w:ascii="Arial" w:hAnsi="Arial" w:cs="Arial"/>
          <w:b/>
          <w:sz w:val="28"/>
        </w:rPr>
      </w:pPr>
      <w:bookmarkStart w:id="247" w:name="_Toc12607"/>
      <w:bookmarkStart w:id="248" w:name="_Toc97732762"/>
      <w:bookmarkStart w:id="249" w:name="_Toc469066160"/>
      <w:bookmarkStart w:id="250" w:name="_Toc20239"/>
      <w:bookmarkStart w:id="251" w:name="_Toc2884"/>
      <w:bookmarkStart w:id="252" w:name="_Toc97732880"/>
      <w:r>
        <w:rPr>
          <w:rFonts w:ascii="Arial" w:hAnsi="Arial" w:cs="Arial"/>
          <w:b/>
          <w:sz w:val="28"/>
        </w:rPr>
        <w:t>十、需要特殊说明的事项</w:t>
      </w:r>
      <w:bookmarkEnd w:id="241"/>
      <w:bookmarkEnd w:id="242"/>
      <w:bookmarkEnd w:id="247"/>
      <w:bookmarkEnd w:id="248"/>
      <w:bookmarkEnd w:id="249"/>
      <w:bookmarkEnd w:id="250"/>
      <w:bookmarkEnd w:id="251"/>
      <w:bookmarkEnd w:id="252"/>
    </w:p>
    <w:p w14:paraId="0721459C">
      <w:pPr>
        <w:snapToGrid w:val="0"/>
        <w:spacing w:line="360" w:lineRule="auto"/>
        <w:jc w:val="both"/>
        <w:textAlignment w:val="bottom"/>
        <w:rPr>
          <w:rFonts w:ascii="Arial" w:hAnsi="Arial" w:cs="Arial"/>
          <w:sz w:val="28"/>
        </w:rPr>
      </w:pPr>
      <w:r>
        <w:rPr>
          <w:rFonts w:ascii="Arial" w:hAnsi="Arial" w:cs="Arial"/>
          <w:sz w:val="28"/>
        </w:rPr>
        <w:t>（一）咨询的前提条件和假设条件</w:t>
      </w:r>
    </w:p>
    <w:p w14:paraId="71347024">
      <w:pPr>
        <w:snapToGrid w:val="0"/>
        <w:spacing w:line="360" w:lineRule="auto"/>
        <w:ind w:firstLine="555"/>
        <w:jc w:val="both"/>
        <w:textAlignment w:val="bottom"/>
        <w:rPr>
          <w:rFonts w:ascii="Arial" w:hAnsi="Arial" w:cs="Arial"/>
          <w:sz w:val="28"/>
        </w:rPr>
      </w:pPr>
      <w:bookmarkStart w:id="253" w:name="_Toc416783581"/>
      <w:bookmarkStart w:id="254" w:name="_Toc416783677"/>
      <w:bookmarkStart w:id="255" w:name="_Toc469066161"/>
      <w:r>
        <w:rPr>
          <w:rFonts w:ascii="Arial" w:hAnsi="Arial" w:cs="Arial"/>
          <w:sz w:val="28"/>
        </w:rPr>
        <w:t>1.咨询对象作为</w:t>
      </w:r>
      <w:r>
        <w:rPr>
          <w:rFonts w:hint="eastAsia" w:ascii="Arial" w:hAnsi="Arial" w:cs="Arial"/>
          <w:sz w:val="28"/>
        </w:rPr>
        <w:t>公寓</w:t>
      </w:r>
      <w:r>
        <w:rPr>
          <w:rFonts w:ascii="Arial" w:hAnsi="Arial" w:cs="Arial"/>
          <w:sz w:val="28"/>
        </w:rPr>
        <w:t>、商业</w:t>
      </w:r>
      <w:r>
        <w:rPr>
          <w:rFonts w:hint="eastAsia" w:ascii="Arial" w:hAnsi="Arial" w:cs="Arial"/>
          <w:sz w:val="28"/>
        </w:rPr>
        <w:t>、地下车库用途</w:t>
      </w:r>
      <w:r>
        <w:rPr>
          <w:rFonts w:ascii="Arial" w:hAnsi="Arial" w:cs="Arial"/>
          <w:sz w:val="28"/>
        </w:rPr>
        <w:t>为最有效利用方式。</w:t>
      </w:r>
    </w:p>
    <w:p w14:paraId="576DD142">
      <w:pPr>
        <w:snapToGrid w:val="0"/>
        <w:spacing w:line="360" w:lineRule="auto"/>
        <w:ind w:firstLine="555"/>
        <w:jc w:val="both"/>
        <w:textAlignment w:val="bottom"/>
        <w:rPr>
          <w:rFonts w:ascii="Arial" w:hAnsi="Arial" w:cs="Arial"/>
          <w:sz w:val="28"/>
        </w:rPr>
      </w:pPr>
      <w:r>
        <w:rPr>
          <w:rFonts w:ascii="Arial" w:hAnsi="Arial" w:cs="Arial"/>
          <w:sz w:val="28"/>
        </w:rPr>
        <w:t>2.委托方提供的资料属实，没有保留及隐瞒。</w:t>
      </w:r>
    </w:p>
    <w:p w14:paraId="06432AB2">
      <w:pPr>
        <w:snapToGrid w:val="0"/>
        <w:spacing w:line="360" w:lineRule="auto"/>
        <w:jc w:val="both"/>
        <w:textAlignment w:val="bottom"/>
        <w:rPr>
          <w:rFonts w:ascii="Arial" w:hAnsi="Arial" w:cs="Arial"/>
          <w:sz w:val="28"/>
        </w:rPr>
      </w:pPr>
      <w:r>
        <w:rPr>
          <w:rFonts w:ascii="Arial" w:hAnsi="Arial" w:cs="Arial"/>
          <w:sz w:val="28"/>
        </w:rPr>
        <w:t xml:space="preserve">    3.在咨询期日的房地产市场为公开、平等、自愿的交易市场。</w:t>
      </w:r>
    </w:p>
    <w:p w14:paraId="6A3ABEA6">
      <w:pPr>
        <w:snapToGrid w:val="0"/>
        <w:spacing w:line="360" w:lineRule="auto"/>
        <w:jc w:val="both"/>
        <w:textAlignment w:val="bottom"/>
        <w:rPr>
          <w:rFonts w:ascii="Arial" w:hAnsi="Arial" w:cs="Arial"/>
          <w:sz w:val="28"/>
        </w:rPr>
      </w:pPr>
      <w:r>
        <w:rPr>
          <w:rFonts w:ascii="Arial" w:hAnsi="Arial" w:cs="Arial"/>
          <w:sz w:val="28"/>
        </w:rPr>
        <w:t xml:space="preserve">    4.任何有关咨询对象的运作方式、程序符合国家、地方的有关法律、法规。</w:t>
      </w:r>
    </w:p>
    <w:p w14:paraId="694846EF">
      <w:pPr>
        <w:spacing w:line="360" w:lineRule="auto"/>
        <w:ind w:right="17" w:firstLine="560" w:firstLineChars="200"/>
        <w:jc w:val="both"/>
        <w:rPr>
          <w:rFonts w:ascii="Arial" w:hAnsi="Arial" w:cs="Arial"/>
          <w:sz w:val="28"/>
        </w:rPr>
      </w:pPr>
      <w:r>
        <w:rPr>
          <w:rFonts w:ascii="Arial" w:hAnsi="Arial" w:cs="Arial"/>
          <w:sz w:val="28"/>
        </w:rPr>
        <w:t>5.委托方合法取得咨询对象集体建设用地使用权，并支付全部相关税费。</w:t>
      </w:r>
    </w:p>
    <w:p w14:paraId="69842E62">
      <w:pPr>
        <w:spacing w:line="360" w:lineRule="auto"/>
        <w:ind w:firstLine="560" w:firstLineChars="200"/>
        <w:jc w:val="both"/>
        <w:rPr>
          <w:rFonts w:ascii="Arial" w:hAnsi="Arial" w:cs="Arial"/>
          <w:i/>
          <w:sz w:val="28"/>
        </w:rPr>
      </w:pPr>
      <w:r>
        <w:rPr>
          <w:rFonts w:hint="eastAsia" w:ascii="Arial" w:hAnsi="Arial" w:cs="Arial"/>
          <w:sz w:val="28"/>
        </w:rPr>
        <w:t>6</w:t>
      </w:r>
      <w:r>
        <w:rPr>
          <w:rFonts w:ascii="Arial" w:hAnsi="Arial" w:cs="Arial"/>
          <w:sz w:val="28"/>
        </w:rPr>
        <w:t>.根据委托方介绍及评估专业人员实地查勘，本次评估咨询对象实际土地开发程度为红线外市政基础设施为“三通”、宗地红线内场地未平整，宗地内有需要移除的树木。依据委托方介绍，该宗地以“三通一平”的形式作价入股，因此本次评估设定土地开发程度为红线外市政基础设施达“三通”、宗地红线内场地平整。</w:t>
      </w:r>
      <w:r>
        <w:rPr>
          <w:rFonts w:ascii="Arial" w:hAnsi="Arial" w:cs="Arial"/>
          <w:spacing w:val="-12"/>
          <w:sz w:val="28"/>
        </w:rPr>
        <w:t>咨询结果</w:t>
      </w:r>
      <w:r>
        <w:rPr>
          <w:rFonts w:ascii="Arial" w:hAnsi="Arial" w:cs="Arial"/>
          <w:sz w:val="28"/>
        </w:rPr>
        <w:t>未扣除树木移除的费用。</w:t>
      </w:r>
    </w:p>
    <w:p w14:paraId="3BF05B7E">
      <w:pPr>
        <w:spacing w:line="360" w:lineRule="auto"/>
        <w:ind w:firstLine="560" w:firstLineChars="200"/>
        <w:jc w:val="both"/>
        <w:rPr>
          <w:rFonts w:ascii="Arial" w:hAnsi="Arial" w:cs="Arial"/>
          <w:sz w:val="28"/>
        </w:rPr>
      </w:pPr>
      <w:r>
        <w:rPr>
          <w:rFonts w:hint="eastAsia" w:ascii="Arial" w:hAnsi="Arial" w:cs="Arial"/>
          <w:sz w:val="28"/>
        </w:rPr>
        <w:t>7</w:t>
      </w:r>
      <w:r>
        <w:rPr>
          <w:rFonts w:ascii="Arial" w:hAnsi="Arial" w:cs="Arial"/>
          <w:sz w:val="28"/>
        </w:rPr>
        <w:t>.本次评估咨询对象的规划利用条件以《</w:t>
      </w:r>
      <w:r>
        <w:rPr>
          <w:rFonts w:hint="eastAsia" w:ascii="Arial" w:hAnsi="Arial" w:cs="Arial"/>
          <w:sz w:val="28"/>
        </w:rPr>
        <w:t>估价委托书</w:t>
      </w:r>
      <w:r>
        <w:rPr>
          <w:rFonts w:ascii="Arial" w:hAnsi="Arial" w:cs="Arial"/>
          <w:sz w:val="28"/>
        </w:rPr>
        <w:t>》上载明的为依据。</w:t>
      </w:r>
    </w:p>
    <w:p w14:paraId="55A5BDA9">
      <w:pPr>
        <w:spacing w:line="360" w:lineRule="auto"/>
        <w:ind w:firstLine="560" w:firstLineChars="200"/>
        <w:jc w:val="both"/>
        <w:rPr>
          <w:rFonts w:ascii="Arial" w:hAnsi="Arial" w:cs="Arial"/>
          <w:sz w:val="28"/>
        </w:rPr>
      </w:pPr>
      <w:r>
        <w:rPr>
          <w:rFonts w:hint="eastAsia" w:ascii="Arial" w:hAnsi="Arial" w:cs="Arial"/>
          <w:sz w:val="28"/>
        </w:rPr>
        <w:t>8</w:t>
      </w:r>
      <w:r>
        <w:rPr>
          <w:rFonts w:ascii="Arial" w:hAnsi="Arial" w:cs="Arial"/>
          <w:sz w:val="28"/>
        </w:rPr>
        <w:t>.评估专业人员根据委托方所提供的资料（复印件），未发现有抵押、租赁的登记信息，本次评估设定咨询对象不存在抵押、租赁等他项权利。</w:t>
      </w:r>
    </w:p>
    <w:p w14:paraId="403C6B4B">
      <w:pPr>
        <w:snapToGrid w:val="0"/>
        <w:spacing w:line="360" w:lineRule="auto"/>
        <w:ind w:firstLine="585"/>
        <w:jc w:val="both"/>
        <w:textAlignment w:val="bottom"/>
        <w:rPr>
          <w:rFonts w:ascii="Arial" w:hAnsi="Arial" w:cs="Arial"/>
          <w:sz w:val="28"/>
        </w:rPr>
      </w:pPr>
      <w:r>
        <w:rPr>
          <w:rFonts w:hint="eastAsia" w:ascii="Arial" w:hAnsi="Arial" w:cs="Arial"/>
          <w:sz w:val="28"/>
        </w:rPr>
        <w:t>9</w:t>
      </w:r>
      <w:r>
        <w:rPr>
          <w:rFonts w:ascii="Arial" w:hAnsi="Arial" w:cs="Arial"/>
          <w:sz w:val="28"/>
        </w:rPr>
        <w:t>.本次咨询结果以咨询对象能够按照合理工期按时完成各项工程进度，直至通过竣工验收，能够在合理期限内正常投入使用，并最终在《集体土地所有权证》上登记建筑物信息为前提条件，未考虑咨询对象因其他原因无法顺利开工、完工而产生的重大影响，在此提请报告使用者注意。</w:t>
      </w:r>
    </w:p>
    <w:p w14:paraId="16BF8E04">
      <w:pPr>
        <w:snapToGrid w:val="0"/>
        <w:spacing w:line="360" w:lineRule="auto"/>
        <w:jc w:val="both"/>
        <w:textAlignment w:val="bottom"/>
        <w:rPr>
          <w:rFonts w:ascii="Arial" w:hAnsi="Arial" w:cs="Arial"/>
          <w:sz w:val="28"/>
        </w:rPr>
      </w:pPr>
      <w:r>
        <w:rPr>
          <w:rFonts w:ascii="Arial" w:hAnsi="Arial" w:cs="Arial"/>
          <w:sz w:val="28"/>
        </w:rPr>
        <w:t>（二）咨询结果和咨询报告的使用</w:t>
      </w:r>
    </w:p>
    <w:p w14:paraId="223F942A">
      <w:pPr>
        <w:snapToGrid w:val="0"/>
        <w:spacing w:line="360" w:lineRule="auto"/>
        <w:ind w:firstLine="585"/>
        <w:jc w:val="both"/>
        <w:textAlignment w:val="auto"/>
        <w:rPr>
          <w:rFonts w:ascii="Arial" w:hAnsi="Arial" w:cs="Arial"/>
          <w:sz w:val="28"/>
        </w:rPr>
      </w:pPr>
      <w:r>
        <w:rPr>
          <w:rFonts w:ascii="Arial" w:hAnsi="Arial" w:cs="Arial"/>
          <w:sz w:val="28"/>
        </w:rPr>
        <w:t>1.本咨询报告的依据为国务院、国土资源部、住建部、北京市人民政府及有关部门颁布的有关法律、法规、政策文件、委托方提供的资料、受托估价方掌握的有关资料以及评估专业人员实地勘察所获取的资料。</w:t>
      </w:r>
    </w:p>
    <w:p w14:paraId="2B8A0A77">
      <w:pPr>
        <w:spacing w:line="360" w:lineRule="auto"/>
        <w:ind w:firstLine="560" w:firstLineChars="200"/>
        <w:jc w:val="both"/>
        <w:rPr>
          <w:rFonts w:ascii="Arial" w:hAnsi="Arial" w:cs="Arial"/>
          <w:sz w:val="28"/>
        </w:rPr>
      </w:pPr>
      <w:r>
        <w:rPr>
          <w:rFonts w:ascii="Arial" w:hAnsi="Arial" w:cs="Arial"/>
          <w:sz w:val="28"/>
        </w:rPr>
        <w:t>2.委托方</w:t>
      </w:r>
      <w:r>
        <w:rPr>
          <w:rFonts w:ascii="Arial" w:hAnsi="Arial" w:cs="Arial"/>
          <w:kern w:val="2"/>
          <w:sz w:val="28"/>
        </w:rPr>
        <w:t>应对其提供的权属证明以及其他资料的真实性、完整性和合法性负责。如因资料失实或资料提供人有所隐匿而导致咨询结果失真，估价机构不承担相应的责任。</w:t>
      </w:r>
    </w:p>
    <w:p w14:paraId="36286B1F">
      <w:pPr>
        <w:snapToGrid w:val="0"/>
        <w:spacing w:line="360" w:lineRule="auto"/>
        <w:ind w:firstLine="585"/>
        <w:jc w:val="both"/>
        <w:textAlignment w:val="auto"/>
        <w:rPr>
          <w:rFonts w:ascii="Arial" w:hAnsi="Arial" w:cs="Arial"/>
          <w:sz w:val="28"/>
        </w:rPr>
      </w:pPr>
      <w:r>
        <w:rPr>
          <w:rFonts w:ascii="Arial" w:hAnsi="Arial" w:cs="Arial"/>
          <w:sz w:val="28"/>
        </w:rPr>
        <w:t>3.本报告咨询结果为咨询期日下的正常市场价格，随着时间的推移，该价格需要做相应的调整直至重新评估。</w:t>
      </w:r>
    </w:p>
    <w:p w14:paraId="41458512">
      <w:pPr>
        <w:snapToGrid w:val="0"/>
        <w:spacing w:line="360" w:lineRule="auto"/>
        <w:ind w:firstLine="585"/>
        <w:jc w:val="both"/>
        <w:textAlignment w:val="auto"/>
        <w:rPr>
          <w:rFonts w:ascii="Arial" w:hAnsi="Arial" w:cs="Arial"/>
          <w:sz w:val="28"/>
        </w:rPr>
      </w:pPr>
      <w:r>
        <w:rPr>
          <w:rFonts w:ascii="Arial" w:hAnsi="Arial" w:cs="Arial"/>
          <w:sz w:val="28"/>
        </w:rPr>
        <w:t>4.本咨询报告在估价机构盖章和土地估价师签字的条件下有效。</w:t>
      </w:r>
    </w:p>
    <w:p w14:paraId="356DC22B">
      <w:pPr>
        <w:snapToGrid w:val="0"/>
        <w:spacing w:line="360" w:lineRule="auto"/>
        <w:ind w:firstLine="585"/>
        <w:jc w:val="both"/>
        <w:textAlignment w:val="auto"/>
        <w:rPr>
          <w:rFonts w:ascii="Arial" w:hAnsi="Arial" w:cs="Arial"/>
          <w:sz w:val="28"/>
        </w:rPr>
      </w:pPr>
      <w:r>
        <w:rPr>
          <w:rFonts w:ascii="Arial" w:hAnsi="Arial" w:cs="Arial"/>
          <w:sz w:val="28"/>
        </w:rPr>
        <w:t>5.本次评估咨询报告分为“土地咨询报告”和“土地咨询技术报告”两部分，“土地咨询报告”供委托方使用，“土地咨询技术报告”仅供估价机构存档和作为咨询结果提交房屋土地管理部门确认或备案时的附件。</w:t>
      </w:r>
    </w:p>
    <w:p w14:paraId="289F64A2">
      <w:pPr>
        <w:snapToGrid w:val="0"/>
        <w:spacing w:line="360" w:lineRule="auto"/>
        <w:ind w:firstLine="570"/>
        <w:jc w:val="both"/>
        <w:rPr>
          <w:rFonts w:ascii="Arial" w:hAnsi="Arial" w:cs="Arial"/>
          <w:sz w:val="28"/>
        </w:rPr>
      </w:pPr>
      <w:r>
        <w:rPr>
          <w:rFonts w:ascii="Arial" w:hAnsi="Arial" w:cs="Arial"/>
          <w:sz w:val="28"/>
        </w:rPr>
        <w:t>6.本咨询报告只能由咨询报告载明的报告使用者使用，且只能用于本报告载明的唯一咨询目的和用途。</w:t>
      </w:r>
    </w:p>
    <w:p w14:paraId="6F034AF3">
      <w:pPr>
        <w:snapToGrid w:val="0"/>
        <w:spacing w:line="360" w:lineRule="auto"/>
        <w:ind w:firstLine="570"/>
        <w:jc w:val="both"/>
        <w:rPr>
          <w:rFonts w:ascii="Arial" w:hAnsi="Arial" w:cs="Arial"/>
          <w:sz w:val="28"/>
        </w:rPr>
      </w:pPr>
      <w:r>
        <w:rPr>
          <w:rFonts w:ascii="Arial" w:hAnsi="Arial" w:cs="Arial"/>
          <w:sz w:val="28"/>
        </w:rPr>
        <w:t>7.委托方或者本咨询报告使用人应按照法律规定和咨询报告载明的使用范围使用本咨询报告。委托方或者咨询报告使用人违反前述规定使用本咨询报告的，估价机构和评估专业人员不承担责任。</w:t>
      </w:r>
    </w:p>
    <w:p w14:paraId="3744C5E7">
      <w:pPr>
        <w:snapToGrid w:val="0"/>
        <w:spacing w:line="360" w:lineRule="auto"/>
        <w:ind w:firstLine="570"/>
        <w:jc w:val="both"/>
        <w:rPr>
          <w:rFonts w:ascii="Arial" w:hAnsi="Arial" w:cs="Arial"/>
          <w:sz w:val="28"/>
        </w:rPr>
      </w:pPr>
      <w:r>
        <w:rPr>
          <w:rFonts w:ascii="Arial" w:hAnsi="Arial" w:cs="Arial"/>
          <w:sz w:val="28"/>
        </w:rPr>
        <w:t>8.除委托方、估价委托合同中约定的其他咨询报告使用人和法律、行政法规规定的咨询报告使用人之外，其他任何机构和个人不能成为咨询报告的使用人。</w:t>
      </w:r>
    </w:p>
    <w:p w14:paraId="32370C23">
      <w:pPr>
        <w:snapToGrid w:val="0"/>
        <w:spacing w:line="360" w:lineRule="auto"/>
        <w:ind w:firstLine="570"/>
        <w:jc w:val="both"/>
        <w:rPr>
          <w:rFonts w:ascii="Arial" w:hAnsi="Arial" w:cs="Arial"/>
          <w:sz w:val="28"/>
        </w:rPr>
      </w:pPr>
      <w:r>
        <w:rPr>
          <w:rFonts w:ascii="Arial" w:hAnsi="Arial" w:cs="Arial"/>
          <w:sz w:val="28"/>
        </w:rPr>
        <w:t>9.咨询报告使用人应当正确理解估价结论。估价结论不等同于咨询对象可实现价格，估价结论不应当被认为是对咨询对象可实现价格的保证。</w:t>
      </w:r>
    </w:p>
    <w:p w14:paraId="0CE8845D">
      <w:pPr>
        <w:snapToGrid w:val="0"/>
        <w:spacing w:line="360" w:lineRule="auto"/>
        <w:ind w:firstLine="570"/>
        <w:jc w:val="both"/>
        <w:rPr>
          <w:rFonts w:ascii="Arial" w:hAnsi="Arial" w:cs="Arial"/>
          <w:sz w:val="28"/>
        </w:rPr>
      </w:pPr>
      <w:r>
        <w:rPr>
          <w:rFonts w:ascii="Arial" w:hAnsi="Arial" w:cs="Arial"/>
          <w:sz w:val="28"/>
        </w:rPr>
        <w:t>10.本报告所确定的土地价格仅供了解咨询对象作价入股价格参考，若违反特定用途使用本土地评估报告和咨询结果，由此引出的一切法律责任由使用者自负。</w:t>
      </w:r>
    </w:p>
    <w:p w14:paraId="769FFB39">
      <w:pPr>
        <w:snapToGrid w:val="0"/>
        <w:spacing w:line="360" w:lineRule="auto"/>
        <w:ind w:firstLine="570"/>
        <w:jc w:val="both"/>
        <w:rPr>
          <w:rFonts w:ascii="Arial" w:hAnsi="Arial" w:cs="Arial"/>
          <w:sz w:val="28"/>
        </w:rPr>
      </w:pPr>
      <w:r>
        <w:rPr>
          <w:rFonts w:ascii="Arial" w:hAnsi="Arial" w:cs="Arial"/>
          <w:sz w:val="28"/>
        </w:rPr>
        <w:t>1</w:t>
      </w:r>
      <w:r>
        <w:rPr>
          <w:rFonts w:hint="eastAsia" w:ascii="Arial" w:hAnsi="Arial" w:cs="Arial"/>
          <w:sz w:val="28"/>
        </w:rPr>
        <w:t>1</w:t>
      </w:r>
      <w:r>
        <w:rPr>
          <w:rFonts w:ascii="Arial" w:hAnsi="Arial" w:cs="Arial"/>
          <w:sz w:val="28"/>
        </w:rPr>
        <w:t>.报告有效期限为报告出具之日起壹年内有效。</w:t>
      </w:r>
    </w:p>
    <w:p w14:paraId="789350C0">
      <w:pPr>
        <w:snapToGrid w:val="0"/>
        <w:spacing w:line="360" w:lineRule="auto"/>
        <w:ind w:firstLine="570"/>
        <w:jc w:val="both"/>
        <w:rPr>
          <w:rFonts w:ascii="Arial" w:hAnsi="Arial" w:cs="Arial"/>
          <w:sz w:val="28"/>
        </w:rPr>
      </w:pPr>
      <w:r>
        <w:rPr>
          <w:rFonts w:ascii="Arial" w:hAnsi="Arial" w:cs="Arial"/>
          <w:kern w:val="2"/>
          <w:sz w:val="28"/>
        </w:rPr>
        <w:t>1</w:t>
      </w:r>
      <w:r>
        <w:rPr>
          <w:rFonts w:hint="eastAsia" w:ascii="Arial" w:hAnsi="Arial" w:cs="Arial"/>
          <w:kern w:val="2"/>
          <w:sz w:val="28"/>
        </w:rPr>
        <w:t>2</w:t>
      </w:r>
      <w:r>
        <w:rPr>
          <w:rFonts w:ascii="Arial" w:hAnsi="Arial" w:cs="Arial"/>
          <w:sz w:val="28"/>
        </w:rPr>
        <w:t>.本次土地咨询报告的使用权归</w:t>
      </w:r>
      <w:r>
        <w:rPr>
          <w:rFonts w:hint="eastAsia" w:ascii="Arial" w:hAnsi="Arial" w:cs="Arial"/>
          <w:sz w:val="28"/>
        </w:rPr>
        <w:t>北京保障房中心有限公司</w:t>
      </w:r>
      <w:r>
        <w:rPr>
          <w:rFonts w:ascii="Arial" w:hAnsi="Arial" w:cs="Arial"/>
          <w:sz w:val="28"/>
        </w:rPr>
        <w:t>，土地咨询报告由北京康正宏基房地产评估有限公司负责解释。</w:t>
      </w:r>
    </w:p>
    <w:p w14:paraId="23B85F55">
      <w:pPr>
        <w:snapToGrid w:val="0"/>
        <w:spacing w:line="360" w:lineRule="auto"/>
        <w:jc w:val="both"/>
        <w:textAlignment w:val="bottom"/>
        <w:rPr>
          <w:rFonts w:ascii="Arial" w:hAnsi="Arial" w:cs="Arial"/>
          <w:sz w:val="28"/>
        </w:rPr>
      </w:pPr>
      <w:r>
        <w:rPr>
          <w:rFonts w:ascii="Arial" w:hAnsi="Arial" w:cs="Arial"/>
          <w:sz w:val="28"/>
        </w:rPr>
        <w:t>（三）需要特殊说明的事项</w:t>
      </w:r>
    </w:p>
    <w:p w14:paraId="4DB10D5B">
      <w:pPr>
        <w:snapToGrid w:val="0"/>
        <w:spacing w:line="360" w:lineRule="auto"/>
        <w:ind w:firstLine="560" w:firstLineChars="200"/>
        <w:jc w:val="both"/>
        <w:textAlignment w:val="bottom"/>
        <w:rPr>
          <w:rFonts w:ascii="Arial" w:hAnsi="Arial" w:cs="Arial"/>
          <w:sz w:val="28"/>
        </w:rPr>
      </w:pPr>
      <w:r>
        <w:rPr>
          <w:rFonts w:ascii="Arial" w:hAnsi="Arial" w:cs="Arial"/>
          <w:sz w:val="28"/>
        </w:rPr>
        <w:t>1.资料来源说明</w:t>
      </w:r>
    </w:p>
    <w:p w14:paraId="614576E4">
      <w:pPr>
        <w:snapToGrid w:val="0"/>
        <w:spacing w:line="360" w:lineRule="auto"/>
        <w:ind w:firstLine="560" w:firstLineChars="200"/>
        <w:jc w:val="both"/>
        <w:textAlignment w:val="bottom"/>
        <w:rPr>
          <w:rFonts w:ascii="Arial" w:hAnsi="Arial" w:cs="Arial"/>
          <w:sz w:val="28"/>
        </w:rPr>
      </w:pPr>
      <w:r>
        <w:rPr>
          <w:rFonts w:ascii="Arial" w:hAnsi="Arial" w:cs="Arial"/>
          <w:sz w:val="28"/>
        </w:rPr>
        <w:t>（1）咨询对象的土地、房屋权属资料、土地利用状况、评估项目相关资料由委托方提供。</w:t>
      </w:r>
    </w:p>
    <w:p w14:paraId="3265110F">
      <w:pPr>
        <w:snapToGrid w:val="0"/>
        <w:spacing w:line="360" w:lineRule="auto"/>
        <w:ind w:firstLine="560" w:firstLineChars="200"/>
        <w:jc w:val="both"/>
        <w:textAlignment w:val="bottom"/>
        <w:rPr>
          <w:rFonts w:ascii="Arial" w:hAnsi="Arial" w:cs="Arial"/>
          <w:sz w:val="28"/>
        </w:rPr>
      </w:pPr>
      <w:r>
        <w:rPr>
          <w:rFonts w:ascii="Arial" w:hAnsi="Arial" w:cs="Arial"/>
          <w:sz w:val="28"/>
        </w:rPr>
        <w:t>（2）土地区位条件、地产市场交易资料、土地利用现状照片等相关资料由评估专业人员实地调查取得。</w:t>
      </w:r>
    </w:p>
    <w:p w14:paraId="066B5B8A">
      <w:pPr>
        <w:snapToGrid w:val="0"/>
        <w:spacing w:line="360" w:lineRule="auto"/>
        <w:ind w:firstLine="560" w:firstLineChars="200"/>
        <w:jc w:val="both"/>
        <w:textAlignment w:val="bottom"/>
        <w:rPr>
          <w:rFonts w:ascii="Arial" w:hAnsi="Arial" w:cs="Arial"/>
          <w:sz w:val="28"/>
        </w:rPr>
      </w:pPr>
      <w:r>
        <w:rPr>
          <w:rFonts w:ascii="Arial" w:hAnsi="Arial" w:cs="Arial"/>
          <w:sz w:val="28"/>
        </w:rPr>
        <w:t>（3）区域经济发展状况、统计数据、城市规划资料、基准地价资料等由评估专业人员通过政府相关部门获取。</w:t>
      </w:r>
    </w:p>
    <w:p w14:paraId="7440EDDC">
      <w:pPr>
        <w:snapToGrid w:val="0"/>
        <w:spacing w:line="360" w:lineRule="auto"/>
        <w:ind w:firstLine="560" w:firstLineChars="200"/>
        <w:jc w:val="both"/>
        <w:textAlignment w:val="bottom"/>
        <w:rPr>
          <w:rFonts w:ascii="Arial" w:hAnsi="Arial" w:cs="Arial"/>
          <w:sz w:val="28"/>
        </w:rPr>
      </w:pPr>
      <w:r>
        <w:rPr>
          <w:rFonts w:ascii="Arial" w:hAnsi="Arial" w:cs="Arial"/>
          <w:sz w:val="28"/>
        </w:rPr>
        <w:t>（4）估价中的相关参数资料由评估专业人员通过政府部门相关文件规定、公开媒体等多种途径获取。</w:t>
      </w:r>
    </w:p>
    <w:p w14:paraId="69C2865D">
      <w:pPr>
        <w:snapToGrid w:val="0"/>
        <w:spacing w:line="360" w:lineRule="auto"/>
        <w:ind w:firstLine="560" w:firstLineChars="200"/>
        <w:jc w:val="both"/>
        <w:textAlignment w:val="bottom"/>
        <w:rPr>
          <w:rFonts w:ascii="Arial" w:hAnsi="Arial" w:cs="Arial"/>
          <w:sz w:val="28"/>
        </w:rPr>
      </w:pPr>
      <w:r>
        <w:rPr>
          <w:rFonts w:ascii="Arial" w:hAnsi="Arial" w:cs="Arial"/>
          <w:sz w:val="28"/>
        </w:rPr>
        <w:t>（5）评估专业人员结合执业经验，对上述相关评估资料的真实性、合法性、有效性、适用性进行了尽职核实、专业判断。委托方对所提供资料的真实性负责，估价机构对所收集资料的真实性、准确性负责。</w:t>
      </w:r>
    </w:p>
    <w:p w14:paraId="1AC3D17D">
      <w:pPr>
        <w:snapToGrid w:val="0"/>
        <w:spacing w:line="360" w:lineRule="auto"/>
        <w:ind w:firstLine="560" w:firstLineChars="200"/>
        <w:jc w:val="both"/>
        <w:textAlignment w:val="bottom"/>
        <w:rPr>
          <w:rFonts w:ascii="Arial" w:hAnsi="Arial" w:cs="Arial"/>
          <w:sz w:val="28"/>
        </w:rPr>
      </w:pPr>
      <w:r>
        <w:rPr>
          <w:rFonts w:ascii="Arial" w:hAnsi="Arial" w:cs="Arial"/>
          <w:sz w:val="28"/>
        </w:rPr>
        <w:t>2.有关参数确定及使用说明</w:t>
      </w:r>
    </w:p>
    <w:p w14:paraId="72725416">
      <w:pPr>
        <w:snapToGrid w:val="0"/>
        <w:spacing w:line="360" w:lineRule="auto"/>
        <w:ind w:firstLine="560" w:firstLineChars="200"/>
        <w:jc w:val="both"/>
        <w:textAlignment w:val="bottom"/>
        <w:rPr>
          <w:rFonts w:ascii="Arial" w:hAnsi="Arial" w:cs="Arial"/>
          <w:sz w:val="28"/>
        </w:rPr>
      </w:pPr>
      <w:r>
        <w:rPr>
          <w:rFonts w:ascii="Arial" w:hAnsi="Arial" w:cs="Arial"/>
          <w:sz w:val="28"/>
        </w:rPr>
        <w:t>（1）本次评估咨询对象准确建筑面积应以委托方最终取得的《集体土地所有权证》为准。如本次咨询报告采用的建筑面积与最终取得的《集体土地所有权证》上所登记的咨询对象建筑面积不一致，咨询结果将进行相应调整。</w:t>
      </w:r>
    </w:p>
    <w:p w14:paraId="34077B5C">
      <w:pPr>
        <w:snapToGrid w:val="0"/>
        <w:spacing w:line="360" w:lineRule="auto"/>
        <w:ind w:firstLine="560" w:firstLineChars="200"/>
        <w:jc w:val="both"/>
        <w:textAlignment w:val="bottom"/>
        <w:rPr>
          <w:rFonts w:ascii="Arial" w:hAnsi="Arial" w:cs="Arial"/>
          <w:sz w:val="28"/>
        </w:rPr>
      </w:pPr>
      <w:r>
        <w:rPr>
          <w:rFonts w:ascii="Arial" w:hAnsi="Arial" w:cs="Arial"/>
          <w:sz w:val="28"/>
        </w:rPr>
        <w:t>（2）本咨询报告中数据全部采用电算化连续计算得出，由于在报告中计算的数据均按四舍五入保留两位小数或取整，故可能出现个别等式左右不完全相等的情况，但不影响计算结果及最终评估结论的准确性。</w:t>
      </w:r>
      <w:bookmarkEnd w:id="253"/>
      <w:bookmarkEnd w:id="254"/>
      <w:bookmarkEnd w:id="255"/>
    </w:p>
    <w:p w14:paraId="1EE2162A">
      <w:pPr>
        <w:snapToGrid w:val="0"/>
        <w:spacing w:line="360" w:lineRule="auto"/>
        <w:ind w:firstLine="560" w:firstLineChars="200"/>
        <w:jc w:val="both"/>
        <w:textAlignment w:val="bottom"/>
        <w:rPr>
          <w:rFonts w:ascii="Arial" w:hAnsi="Arial" w:cs="Arial"/>
          <w:sz w:val="28"/>
        </w:rPr>
      </w:pPr>
    </w:p>
    <w:p w14:paraId="7BA78113">
      <w:pPr>
        <w:spacing w:line="360" w:lineRule="auto"/>
        <w:outlineLvl w:val="1"/>
        <w:rPr>
          <w:rFonts w:ascii="Arial" w:hAnsi="Arial" w:cs="Arial"/>
          <w:b/>
          <w:sz w:val="28"/>
        </w:rPr>
      </w:pPr>
      <w:bookmarkStart w:id="256" w:name="_Toc97732882"/>
      <w:bookmarkStart w:id="257" w:name="_Toc5980"/>
      <w:bookmarkStart w:id="258" w:name="_Toc8249"/>
      <w:bookmarkStart w:id="259" w:name="_Toc416783583"/>
      <w:bookmarkStart w:id="260" w:name="_Toc97732764"/>
      <w:bookmarkStart w:id="261" w:name="_Toc10317"/>
      <w:bookmarkStart w:id="262" w:name="_Toc469066163"/>
      <w:bookmarkStart w:id="263" w:name="_Toc416783679"/>
      <w:r>
        <w:rPr>
          <w:rFonts w:ascii="Arial" w:hAnsi="Arial" w:cs="Arial"/>
          <w:b/>
          <w:sz w:val="28"/>
        </w:rPr>
        <w:t>十</w:t>
      </w:r>
      <w:r>
        <w:rPr>
          <w:rFonts w:hint="eastAsia" w:ascii="Arial" w:hAnsi="Arial" w:cs="Arial"/>
          <w:b/>
          <w:sz w:val="28"/>
        </w:rPr>
        <w:t>一</w:t>
      </w:r>
      <w:r>
        <w:rPr>
          <w:rFonts w:ascii="Arial" w:hAnsi="Arial" w:cs="Arial"/>
          <w:b/>
          <w:sz w:val="28"/>
        </w:rPr>
        <w:t>、土地估价机构</w:t>
      </w:r>
      <w:bookmarkEnd w:id="256"/>
      <w:bookmarkEnd w:id="257"/>
      <w:bookmarkEnd w:id="258"/>
      <w:bookmarkEnd w:id="259"/>
      <w:bookmarkEnd w:id="260"/>
      <w:bookmarkEnd w:id="261"/>
      <w:bookmarkEnd w:id="262"/>
      <w:bookmarkEnd w:id="263"/>
    </w:p>
    <w:tbl>
      <w:tblPr>
        <w:tblStyle w:val="32"/>
        <w:tblW w:w="0" w:type="auto"/>
        <w:jc w:val="right"/>
        <w:tblLayout w:type="fixed"/>
        <w:tblCellMar>
          <w:top w:w="28" w:type="dxa"/>
          <w:left w:w="85" w:type="dxa"/>
          <w:bottom w:w="28" w:type="dxa"/>
          <w:right w:w="85" w:type="dxa"/>
        </w:tblCellMar>
      </w:tblPr>
      <w:tblGrid>
        <w:gridCol w:w="4445"/>
      </w:tblGrid>
      <w:tr w14:paraId="6EA1A4C3">
        <w:tblPrEx>
          <w:tblCellMar>
            <w:top w:w="28" w:type="dxa"/>
            <w:left w:w="85" w:type="dxa"/>
            <w:bottom w:w="28" w:type="dxa"/>
            <w:right w:w="85" w:type="dxa"/>
          </w:tblCellMar>
        </w:tblPrEx>
        <w:trPr>
          <w:trHeight w:val="507" w:hRule="atLeast"/>
          <w:jc w:val="right"/>
        </w:trPr>
        <w:tc>
          <w:tcPr>
            <w:tcW w:w="4445" w:type="dxa"/>
          </w:tcPr>
          <w:p w14:paraId="666CE491">
            <w:pPr>
              <w:spacing w:line="360" w:lineRule="auto"/>
              <w:rPr>
                <w:rFonts w:ascii="Arial" w:hAnsi="Arial" w:cs="Arial"/>
                <w:sz w:val="28"/>
                <w:szCs w:val="21"/>
              </w:rPr>
            </w:pPr>
            <w:r>
              <w:rPr>
                <w:rFonts w:ascii="Arial" w:hAnsi="Arial" w:cs="Arial"/>
                <w:sz w:val="28"/>
                <w:szCs w:val="21"/>
              </w:rPr>
              <w:t>北京康正宏基房地产评估有限公司</w:t>
            </w:r>
          </w:p>
        </w:tc>
      </w:tr>
      <w:tr w14:paraId="2F93019B">
        <w:tblPrEx>
          <w:tblCellMar>
            <w:top w:w="28" w:type="dxa"/>
            <w:left w:w="85" w:type="dxa"/>
            <w:bottom w:w="28" w:type="dxa"/>
            <w:right w:w="85" w:type="dxa"/>
          </w:tblCellMar>
        </w:tblPrEx>
        <w:trPr>
          <w:trHeight w:val="387" w:hRule="atLeast"/>
          <w:jc w:val="right"/>
        </w:trPr>
        <w:tc>
          <w:tcPr>
            <w:tcW w:w="4445" w:type="dxa"/>
          </w:tcPr>
          <w:p w14:paraId="7E5B1FC8">
            <w:pPr>
              <w:spacing w:line="480" w:lineRule="auto"/>
              <w:rPr>
                <w:rFonts w:ascii="Arial" w:hAnsi="Arial" w:cs="Arial"/>
                <w:sz w:val="28"/>
                <w:szCs w:val="21"/>
              </w:rPr>
            </w:pPr>
          </w:p>
        </w:tc>
      </w:tr>
      <w:tr w14:paraId="7E4E0C83">
        <w:tblPrEx>
          <w:tblCellMar>
            <w:top w:w="28" w:type="dxa"/>
            <w:left w:w="85" w:type="dxa"/>
            <w:bottom w:w="28" w:type="dxa"/>
            <w:right w:w="85" w:type="dxa"/>
          </w:tblCellMar>
        </w:tblPrEx>
        <w:trPr>
          <w:cantSplit/>
          <w:jc w:val="right"/>
        </w:trPr>
        <w:tc>
          <w:tcPr>
            <w:tcW w:w="4445" w:type="dxa"/>
          </w:tcPr>
          <w:p w14:paraId="05F14A89">
            <w:pPr>
              <w:spacing w:line="240" w:lineRule="auto"/>
              <w:jc w:val="right"/>
              <w:rPr>
                <w:rFonts w:ascii="Arial" w:hAnsi="Arial" w:cs="Arial"/>
                <w:sz w:val="28"/>
                <w:szCs w:val="21"/>
              </w:rPr>
            </w:pPr>
            <w:r>
              <w:rPr>
                <w:rFonts w:hint="eastAsia" w:ascii="Arial" w:hAnsi="Arial" w:cs="Arial"/>
                <w:sz w:val="28"/>
                <w:szCs w:val="21"/>
              </w:rPr>
              <w:t>二〇二五年七月一日</w:t>
            </w:r>
          </w:p>
        </w:tc>
      </w:tr>
    </w:tbl>
    <w:p w14:paraId="3BFECD49">
      <w:pPr>
        <w:spacing w:line="360" w:lineRule="auto"/>
        <w:jc w:val="center"/>
        <w:outlineLvl w:val="0"/>
        <w:rPr>
          <w:rFonts w:ascii="Arial" w:hAnsi="Arial" w:cs="Arial"/>
          <w:b/>
          <w:sz w:val="32"/>
        </w:rPr>
      </w:pPr>
      <w:r>
        <w:rPr>
          <w:rFonts w:ascii="Arial" w:hAnsi="Arial" w:cs="Arial"/>
          <w:sz w:val="28"/>
        </w:rPr>
        <w:br w:type="page"/>
      </w:r>
      <w:bookmarkStart w:id="264" w:name="_Toc97732765"/>
      <w:bookmarkStart w:id="265" w:name="_Toc14013"/>
      <w:bookmarkStart w:id="266" w:name="_Toc97732883"/>
      <w:bookmarkStart w:id="267" w:name="_Toc416783586"/>
      <w:bookmarkStart w:id="268" w:name="_Toc469066164"/>
      <w:bookmarkStart w:id="269" w:name="_Toc9658"/>
      <w:bookmarkStart w:id="270" w:name="_Toc416783682"/>
      <w:bookmarkStart w:id="271" w:name="_Toc12091"/>
      <w:r>
        <w:rPr>
          <w:rFonts w:ascii="Arial" w:hAnsi="Arial" w:cs="Arial"/>
          <w:b/>
          <w:sz w:val="32"/>
        </w:rPr>
        <w:t>第二部分  咨询对象描述及土地价格影响因素分析</w:t>
      </w:r>
      <w:bookmarkEnd w:id="264"/>
      <w:bookmarkEnd w:id="265"/>
      <w:bookmarkEnd w:id="266"/>
      <w:bookmarkEnd w:id="267"/>
      <w:bookmarkEnd w:id="268"/>
      <w:bookmarkEnd w:id="269"/>
      <w:bookmarkEnd w:id="270"/>
      <w:bookmarkEnd w:id="271"/>
    </w:p>
    <w:p w14:paraId="1F3A8255">
      <w:pPr>
        <w:spacing w:line="360" w:lineRule="auto"/>
        <w:rPr>
          <w:rFonts w:ascii="Arial" w:hAnsi="Arial" w:cs="Arial"/>
          <w:b/>
          <w:sz w:val="28"/>
        </w:rPr>
      </w:pPr>
    </w:p>
    <w:p w14:paraId="44C160A3">
      <w:pPr>
        <w:spacing w:line="360" w:lineRule="auto"/>
        <w:outlineLvl w:val="1"/>
        <w:rPr>
          <w:rFonts w:ascii="Arial" w:hAnsi="Arial" w:cs="Arial"/>
          <w:b/>
          <w:sz w:val="28"/>
        </w:rPr>
      </w:pPr>
      <w:bookmarkStart w:id="272" w:name="_Toc416783587"/>
      <w:bookmarkStart w:id="273" w:name="_Toc416783683"/>
      <w:bookmarkStart w:id="274" w:name="_Toc97732884"/>
      <w:bookmarkStart w:id="275" w:name="_Toc469066165"/>
      <w:bookmarkStart w:id="276" w:name="_Toc26370"/>
      <w:bookmarkStart w:id="277" w:name="_Toc28261"/>
      <w:bookmarkStart w:id="278" w:name="_Toc97732766"/>
      <w:bookmarkStart w:id="279" w:name="_Toc11379"/>
      <w:r>
        <w:rPr>
          <w:rFonts w:ascii="Arial" w:hAnsi="Arial" w:cs="Arial"/>
          <w:b/>
          <w:sz w:val="28"/>
        </w:rPr>
        <w:t>一、咨询对象描述</w:t>
      </w:r>
      <w:bookmarkEnd w:id="272"/>
      <w:bookmarkEnd w:id="273"/>
      <w:bookmarkEnd w:id="274"/>
      <w:bookmarkEnd w:id="275"/>
      <w:bookmarkEnd w:id="276"/>
      <w:bookmarkEnd w:id="277"/>
      <w:bookmarkEnd w:id="278"/>
      <w:bookmarkEnd w:id="279"/>
    </w:p>
    <w:p w14:paraId="1B2D4694">
      <w:pPr>
        <w:spacing w:line="360" w:lineRule="auto"/>
        <w:jc w:val="both"/>
        <w:rPr>
          <w:rFonts w:ascii="Arial" w:hAnsi="Arial" w:cs="Arial"/>
          <w:sz w:val="28"/>
        </w:rPr>
      </w:pPr>
      <w:r>
        <w:rPr>
          <w:rFonts w:ascii="Arial" w:hAnsi="Arial" w:cs="Arial"/>
          <w:sz w:val="28"/>
        </w:rPr>
        <w:t>（一）土地登记状况</w:t>
      </w:r>
    </w:p>
    <w:p w14:paraId="15C01DA0">
      <w:pPr>
        <w:spacing w:line="360" w:lineRule="auto"/>
        <w:ind w:firstLine="560" w:firstLineChars="200"/>
        <w:jc w:val="both"/>
        <w:rPr>
          <w:rFonts w:ascii="Arial" w:hAnsi="Arial" w:cs="Arial"/>
          <w:sz w:val="28"/>
        </w:rPr>
      </w:pPr>
      <w:r>
        <w:rPr>
          <w:rFonts w:ascii="Arial" w:hAnsi="Arial" w:cs="Arial"/>
          <w:bCs/>
          <w:sz w:val="28"/>
        </w:rPr>
        <w:t>土地来源：咨询对象为</w:t>
      </w:r>
      <w:r>
        <w:rPr>
          <w:rFonts w:ascii="Arial" w:hAnsi="Arial" w:cs="Arial"/>
          <w:sz w:val="28"/>
        </w:rPr>
        <w:t>北京市</w:t>
      </w:r>
      <w:r>
        <w:rPr>
          <w:rFonts w:hint="eastAsia" w:ascii="Arial" w:hAnsi="Arial" w:cs="Arial"/>
          <w:sz w:val="28"/>
        </w:rPr>
        <w:t>昌平区马池口镇百泉庄村集体土地租赁住房项目</w:t>
      </w:r>
      <w:r>
        <w:rPr>
          <w:rFonts w:ascii="Arial" w:hAnsi="Arial" w:cs="Arial"/>
          <w:sz w:val="28"/>
        </w:rPr>
        <w:t>用地</w:t>
      </w:r>
      <w:r>
        <w:rPr>
          <w:rFonts w:ascii="Arial" w:hAnsi="Arial" w:cs="Arial"/>
          <w:bCs/>
          <w:sz w:val="28"/>
        </w:rPr>
        <w:t>，</w:t>
      </w:r>
      <w:r>
        <w:rPr>
          <w:rFonts w:hint="eastAsia" w:ascii="Arial" w:hAnsi="Arial" w:cs="Arial"/>
          <w:bCs/>
          <w:sz w:val="28"/>
        </w:rPr>
        <w:t>根据委托方介绍，</w:t>
      </w:r>
      <w:r>
        <w:rPr>
          <w:rFonts w:hint="eastAsia" w:ascii="Arial" w:hAnsi="Arial" w:cs="Arial"/>
          <w:sz w:val="28"/>
        </w:rPr>
        <w:t>百泉庄村经济组织</w:t>
      </w:r>
      <w:r>
        <w:rPr>
          <w:rFonts w:ascii="Arial" w:hAnsi="Arial" w:cs="Arial"/>
          <w:sz w:val="28"/>
        </w:rPr>
        <w:t>为</w:t>
      </w:r>
      <w:r>
        <w:rPr>
          <w:rFonts w:ascii="Arial" w:hAnsi="Arial" w:cs="Arial"/>
          <w:bCs/>
          <w:sz w:val="28"/>
        </w:rPr>
        <w:t>咨询对象集体建设用地使用权人</w:t>
      </w:r>
      <w:r>
        <w:rPr>
          <w:rFonts w:ascii="Arial" w:hAnsi="Arial" w:cs="Arial"/>
          <w:sz w:val="28"/>
        </w:rPr>
        <w:t>。</w:t>
      </w:r>
    </w:p>
    <w:p w14:paraId="4B19E3D0">
      <w:pPr>
        <w:spacing w:line="360" w:lineRule="auto"/>
        <w:ind w:firstLine="560" w:firstLineChars="200"/>
        <w:jc w:val="both"/>
        <w:rPr>
          <w:rFonts w:ascii="Arial" w:hAnsi="Arial" w:cs="Arial"/>
          <w:sz w:val="28"/>
        </w:rPr>
      </w:pPr>
      <w:r>
        <w:rPr>
          <w:rFonts w:ascii="Arial" w:hAnsi="Arial" w:cs="Arial"/>
          <w:sz w:val="28"/>
        </w:rPr>
        <w:t>土地面积：</w:t>
      </w:r>
      <w:r>
        <w:rPr>
          <w:rFonts w:hint="eastAsia" w:ascii="Arial" w:hAnsi="Arial" w:cs="Arial"/>
          <w:sz w:val="28"/>
        </w:rPr>
        <w:t>18132</w:t>
      </w:r>
      <w:r>
        <w:rPr>
          <w:rFonts w:ascii="Arial" w:hAnsi="Arial" w:cs="Arial"/>
          <w:sz w:val="28"/>
        </w:rPr>
        <w:t>平方米</w:t>
      </w:r>
    </w:p>
    <w:p w14:paraId="3CCE4BE5">
      <w:pPr>
        <w:spacing w:line="360" w:lineRule="auto"/>
        <w:ind w:firstLine="560" w:firstLineChars="200"/>
        <w:jc w:val="both"/>
        <w:rPr>
          <w:rFonts w:ascii="Arial" w:hAnsi="Arial" w:cs="Arial"/>
          <w:sz w:val="28"/>
        </w:rPr>
      </w:pPr>
      <w:r>
        <w:rPr>
          <w:rFonts w:ascii="Arial" w:hAnsi="Arial" w:cs="Arial"/>
          <w:sz w:val="28"/>
        </w:rPr>
        <w:t>咨询对象现状四至：</w:t>
      </w:r>
      <w:r>
        <w:rPr>
          <w:rFonts w:hint="eastAsia" w:ascii="Arial" w:hAnsi="Arial" w:cs="Arial"/>
          <w:sz w:val="28"/>
        </w:rPr>
        <w:t>东至水屯路，北至规划城市支路，西至规划城市支路，南至规划工业园区。</w:t>
      </w:r>
    </w:p>
    <w:p w14:paraId="1CB5A682">
      <w:pPr>
        <w:spacing w:line="360" w:lineRule="auto"/>
        <w:jc w:val="both"/>
        <w:rPr>
          <w:rFonts w:ascii="Arial" w:hAnsi="Arial" w:cs="Arial"/>
          <w:sz w:val="28"/>
        </w:rPr>
      </w:pPr>
      <w:r>
        <w:rPr>
          <w:rFonts w:ascii="Arial" w:hAnsi="Arial" w:cs="Arial"/>
          <w:sz w:val="28"/>
        </w:rPr>
        <w:t>（二）土地权利状况</w:t>
      </w:r>
    </w:p>
    <w:p w14:paraId="2A962BF0">
      <w:pPr>
        <w:spacing w:line="360" w:lineRule="auto"/>
        <w:ind w:firstLine="560" w:firstLineChars="200"/>
        <w:jc w:val="both"/>
        <w:rPr>
          <w:rFonts w:ascii="Arial" w:hAnsi="Arial" w:cs="Arial"/>
          <w:sz w:val="28"/>
        </w:rPr>
      </w:pPr>
      <w:r>
        <w:rPr>
          <w:rFonts w:ascii="Arial" w:hAnsi="Arial" w:cs="Arial"/>
          <w:sz w:val="28"/>
        </w:rPr>
        <w:t>咨询对象为集体土地，土地使用权人为</w:t>
      </w:r>
      <w:r>
        <w:rPr>
          <w:rFonts w:hint="eastAsia" w:ascii="Arial" w:hAnsi="Arial" w:cs="Arial"/>
          <w:sz w:val="28"/>
        </w:rPr>
        <w:t>百泉庄村经济组织</w:t>
      </w:r>
      <w:r>
        <w:rPr>
          <w:rFonts w:ascii="Arial" w:hAnsi="Arial" w:cs="Arial"/>
          <w:sz w:val="28"/>
        </w:rPr>
        <w:t>，</w:t>
      </w:r>
      <w:r>
        <w:rPr>
          <w:rFonts w:hint="eastAsia" w:ascii="Arial" w:hAnsi="Arial" w:cs="Arial"/>
          <w:sz w:val="28"/>
        </w:rPr>
        <w:t>根据委托方介绍，截至报告出具日，</w:t>
      </w:r>
      <w:r>
        <w:rPr>
          <w:rFonts w:ascii="Arial" w:hAnsi="Arial" w:cs="Arial"/>
          <w:sz w:val="28"/>
        </w:rPr>
        <w:t>咨询对象</w:t>
      </w:r>
      <w:r>
        <w:rPr>
          <w:rFonts w:hint="eastAsia" w:ascii="Arial" w:hAnsi="Arial" w:cs="Arial"/>
          <w:sz w:val="28"/>
        </w:rPr>
        <w:t>尚未</w:t>
      </w:r>
      <w:r>
        <w:rPr>
          <w:rFonts w:ascii="Arial" w:hAnsi="Arial" w:cs="Arial"/>
          <w:sz w:val="28"/>
        </w:rPr>
        <w:t>取得《集体土地所有权证》。</w:t>
      </w:r>
    </w:p>
    <w:p w14:paraId="42D3E775">
      <w:pPr>
        <w:spacing w:line="360" w:lineRule="auto"/>
        <w:ind w:firstLine="560" w:firstLineChars="200"/>
        <w:jc w:val="both"/>
        <w:rPr>
          <w:rFonts w:ascii="Arial" w:hAnsi="Arial" w:cs="Arial"/>
          <w:sz w:val="28"/>
        </w:rPr>
      </w:pPr>
      <w:r>
        <w:rPr>
          <w:rFonts w:ascii="Arial" w:hAnsi="Arial" w:cs="Arial"/>
          <w:sz w:val="28"/>
        </w:rPr>
        <w:t>评估专业人员根据委托方所提供的资料，未发现有抵押、租赁的登记信息，本次评估设定咨询对象不存在抵押、租赁等他项权利。</w:t>
      </w:r>
    </w:p>
    <w:p w14:paraId="7B35F939">
      <w:pPr>
        <w:spacing w:line="360" w:lineRule="auto"/>
        <w:jc w:val="both"/>
        <w:rPr>
          <w:rFonts w:ascii="Arial" w:hAnsi="Arial" w:cs="Arial"/>
          <w:sz w:val="28"/>
        </w:rPr>
      </w:pPr>
      <w:r>
        <w:rPr>
          <w:rFonts w:ascii="Arial" w:hAnsi="Arial" w:cs="Arial"/>
          <w:sz w:val="28"/>
        </w:rPr>
        <w:t>（三）土地利用状况</w:t>
      </w:r>
    </w:p>
    <w:p w14:paraId="538C15DF">
      <w:pPr>
        <w:spacing w:line="360" w:lineRule="auto"/>
        <w:ind w:firstLine="560" w:firstLineChars="200"/>
        <w:jc w:val="both"/>
        <w:rPr>
          <w:rFonts w:ascii="Arial" w:hAnsi="Arial" w:cs="Arial"/>
          <w:sz w:val="28"/>
        </w:rPr>
      </w:pPr>
      <w:r>
        <w:rPr>
          <w:rFonts w:ascii="Arial" w:hAnsi="Arial" w:cs="Arial"/>
          <w:sz w:val="28"/>
        </w:rPr>
        <w:t>1.土地规划设计条件</w:t>
      </w:r>
    </w:p>
    <w:p w14:paraId="59F9652E">
      <w:pPr>
        <w:spacing w:line="360" w:lineRule="auto"/>
        <w:ind w:firstLine="560" w:firstLineChars="200"/>
        <w:jc w:val="both"/>
        <w:rPr>
          <w:rFonts w:ascii="Arial" w:hAnsi="Arial" w:cs="Arial"/>
          <w:sz w:val="28"/>
        </w:rPr>
      </w:pPr>
      <w:r>
        <w:rPr>
          <w:rFonts w:hint="eastAsia" w:ascii="Arial" w:hAnsi="Arial" w:cs="Arial"/>
          <w:sz w:val="28"/>
        </w:rPr>
        <w:t>根据委托方提供的经济技术指标，规划利用条件如下：</w:t>
      </w:r>
    </w:p>
    <w:tbl>
      <w:tblPr>
        <w:tblStyle w:val="32"/>
        <w:tblpPr w:leftFromText="180" w:rightFromText="180" w:vertAnchor="text" w:horzAnchor="margin" w:tblpX="1" w:tblpY="143"/>
        <w:tblW w:w="945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65"/>
        <w:gridCol w:w="1020"/>
        <w:gridCol w:w="3341"/>
        <w:gridCol w:w="1488"/>
        <w:gridCol w:w="2436"/>
      </w:tblGrid>
      <w:tr w14:paraId="0CC3125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bottom w:val="single" w:color="auto" w:sz="4" w:space="0"/>
              <w:right w:val="single" w:color="auto" w:sz="4" w:space="0"/>
            </w:tcBorders>
            <w:noWrap/>
            <w:vAlign w:val="center"/>
          </w:tcPr>
          <w:p w14:paraId="700F1B8C">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color="auto" w:sz="4" w:space="0"/>
              <w:right w:val="single" w:color="auto" w:sz="4" w:space="0"/>
            </w:tcBorders>
            <w:noWrap/>
            <w:vAlign w:val="center"/>
          </w:tcPr>
          <w:p w14:paraId="75C43F53">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color="auto" w:sz="4" w:space="0"/>
              <w:right w:val="single" w:color="auto" w:sz="4" w:space="0"/>
            </w:tcBorders>
            <w:noWrap/>
            <w:vAlign w:val="center"/>
          </w:tcPr>
          <w:p w14:paraId="55211D0C">
            <w:pPr>
              <w:widowControl/>
              <w:spacing w:line="240" w:lineRule="auto"/>
              <w:jc w:val="center"/>
              <w:rPr>
                <w:rFonts w:ascii="Arial" w:hAnsi="Arial" w:cs="Arial"/>
                <w:color w:val="000000"/>
                <w:sz w:val="20"/>
              </w:rPr>
            </w:pPr>
            <w:commentRangeStart w:id="2"/>
            <w:commentRangeStart w:id="3"/>
            <w:r>
              <w:rPr>
                <w:rFonts w:ascii="Arial" w:hAnsi="Arial" w:cs="Arial"/>
                <w:color w:val="000000"/>
                <w:sz w:val="20"/>
              </w:rPr>
              <w:t>数量</w:t>
            </w:r>
            <w:commentRangeEnd w:id="2"/>
            <w:r>
              <w:rPr>
                <w:rStyle w:val="38"/>
              </w:rPr>
              <w:commentReference w:id="2"/>
            </w:r>
            <w:commentRangeEnd w:id="3"/>
            <w:r>
              <w:commentReference w:id="3"/>
            </w:r>
          </w:p>
        </w:tc>
      </w:tr>
      <w:tr w14:paraId="065E850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224CD06D">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color="auto" w:sz="4" w:space="0"/>
              <w:right w:val="single" w:color="auto" w:sz="4" w:space="0"/>
            </w:tcBorders>
            <w:noWrap/>
            <w:vAlign w:val="center"/>
          </w:tcPr>
          <w:p w14:paraId="2A084617">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40B482A">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7107129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70811C2F">
            <w:pPr>
              <w:widowControl/>
              <w:spacing w:line="240" w:lineRule="auto"/>
              <w:jc w:val="center"/>
              <w:rPr>
                <w:rFonts w:ascii="Arial" w:hAnsi="Arial" w:cs="Arial"/>
                <w:color w:val="000000"/>
                <w:sz w:val="20"/>
              </w:rPr>
            </w:pPr>
            <w:r>
              <w:rPr>
                <w:rFonts w:hint="eastAsia" w:ascii="Arial" w:hAnsi="Arial" w:cs="Arial"/>
                <w:color w:val="000000"/>
                <w:sz w:val="20"/>
              </w:rPr>
              <w:t>建设用地面积</w:t>
            </w:r>
          </w:p>
        </w:tc>
        <w:tc>
          <w:tcPr>
            <w:tcW w:w="1488" w:type="dxa"/>
            <w:tcBorders>
              <w:top w:val="nil"/>
              <w:left w:val="nil"/>
              <w:bottom w:val="single" w:color="auto" w:sz="4" w:space="0"/>
              <w:right w:val="single" w:color="auto" w:sz="4" w:space="0"/>
            </w:tcBorders>
            <w:noWrap/>
            <w:vAlign w:val="center"/>
          </w:tcPr>
          <w:p w14:paraId="30DBF985">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8E754DB">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421FA9D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6B007472">
            <w:pPr>
              <w:widowControl/>
              <w:spacing w:line="240" w:lineRule="auto"/>
              <w:jc w:val="center"/>
              <w:rPr>
                <w:rFonts w:ascii="Arial" w:hAnsi="Arial" w:cs="Arial"/>
                <w:color w:val="000000"/>
                <w:sz w:val="20"/>
              </w:rPr>
            </w:pPr>
            <w:r>
              <w:rPr>
                <w:rFonts w:hint="eastAsia" w:ascii="Arial" w:hAnsi="Arial" w:cs="Arial"/>
                <w:color w:val="000000"/>
                <w:sz w:val="20"/>
              </w:rPr>
              <w:t>总建筑面积</w:t>
            </w:r>
          </w:p>
        </w:tc>
        <w:tc>
          <w:tcPr>
            <w:tcW w:w="1488" w:type="dxa"/>
            <w:tcBorders>
              <w:top w:val="nil"/>
              <w:left w:val="nil"/>
              <w:bottom w:val="single" w:color="auto" w:sz="4" w:space="0"/>
              <w:right w:val="single" w:color="auto" w:sz="4" w:space="0"/>
            </w:tcBorders>
            <w:noWrap/>
            <w:vAlign w:val="center"/>
          </w:tcPr>
          <w:p w14:paraId="64584D6C">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F05B0CA">
            <w:pPr>
              <w:widowControl/>
              <w:spacing w:line="240" w:lineRule="auto"/>
              <w:jc w:val="center"/>
              <w:rPr>
                <w:rFonts w:ascii="Arial" w:hAnsi="Arial" w:cs="Arial"/>
                <w:color w:val="000000"/>
                <w:sz w:val="20"/>
              </w:rPr>
            </w:pPr>
            <w:r>
              <w:rPr>
                <w:rFonts w:hint="eastAsia" w:ascii="Arial" w:hAnsi="Arial" w:cs="Arial"/>
                <w:color w:val="000000"/>
                <w:sz w:val="20"/>
              </w:rPr>
              <w:t>43300</w:t>
            </w:r>
          </w:p>
        </w:tc>
      </w:tr>
      <w:tr w14:paraId="6AC46F3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restart"/>
            <w:tcBorders>
              <w:top w:val="nil"/>
              <w:right w:val="single" w:color="auto" w:sz="4" w:space="0"/>
            </w:tcBorders>
            <w:noWrap/>
            <w:vAlign w:val="center"/>
          </w:tcPr>
          <w:p w14:paraId="3D62AB1E">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color="auto" w:sz="4" w:space="0"/>
              <w:left w:val="nil"/>
              <w:bottom w:val="single" w:color="auto" w:sz="4" w:space="0"/>
              <w:right w:val="single" w:color="auto" w:sz="4" w:space="0"/>
            </w:tcBorders>
            <w:noWrap/>
            <w:vAlign w:val="center"/>
          </w:tcPr>
          <w:p w14:paraId="56E94197">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color="auto" w:sz="4" w:space="0"/>
              <w:right w:val="single" w:color="auto" w:sz="4" w:space="0"/>
            </w:tcBorders>
            <w:noWrap/>
            <w:vAlign w:val="center"/>
          </w:tcPr>
          <w:p w14:paraId="3A66E856">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3E0E164">
            <w:pPr>
              <w:widowControl/>
              <w:spacing w:line="240" w:lineRule="auto"/>
              <w:jc w:val="center"/>
              <w:rPr>
                <w:rFonts w:ascii="Arial" w:hAnsi="Arial" w:cs="Arial"/>
                <w:color w:val="000000"/>
                <w:sz w:val="20"/>
              </w:rPr>
            </w:pPr>
            <w:r>
              <w:rPr>
                <w:rFonts w:hint="eastAsia" w:ascii="Arial" w:hAnsi="Arial" w:cs="Arial"/>
                <w:color w:val="000000"/>
                <w:sz w:val="20"/>
              </w:rPr>
              <w:t>32638</w:t>
            </w:r>
          </w:p>
        </w:tc>
      </w:tr>
      <w:tr w14:paraId="1F2651C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745699EC">
            <w:pPr>
              <w:widowControl/>
              <w:spacing w:line="240" w:lineRule="auto"/>
              <w:jc w:val="center"/>
              <w:rPr>
                <w:rFonts w:ascii="Arial" w:hAnsi="Arial" w:cs="Arial"/>
                <w:color w:val="000000"/>
                <w:sz w:val="20"/>
              </w:rPr>
            </w:pPr>
          </w:p>
        </w:tc>
        <w:tc>
          <w:tcPr>
            <w:tcW w:w="1020" w:type="dxa"/>
            <w:vMerge w:val="restart"/>
            <w:tcBorders>
              <w:top w:val="nil"/>
              <w:left w:val="single" w:color="auto" w:sz="4" w:space="0"/>
              <w:bottom w:val="single" w:color="auto" w:sz="4" w:space="0"/>
              <w:right w:val="single" w:color="auto" w:sz="4" w:space="0"/>
            </w:tcBorders>
            <w:noWrap/>
            <w:vAlign w:val="center"/>
          </w:tcPr>
          <w:p w14:paraId="0098C92D">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color="auto" w:sz="4" w:space="0"/>
              <w:right w:val="single" w:color="auto" w:sz="4" w:space="0"/>
            </w:tcBorders>
            <w:noWrap/>
            <w:vAlign w:val="center"/>
          </w:tcPr>
          <w:p w14:paraId="4961479C">
            <w:pPr>
              <w:widowControl/>
              <w:spacing w:line="240" w:lineRule="auto"/>
              <w:jc w:val="center"/>
              <w:rPr>
                <w:rFonts w:ascii="Arial" w:hAnsi="Arial" w:cs="Arial"/>
                <w:color w:val="000000"/>
                <w:sz w:val="20"/>
              </w:rPr>
            </w:pPr>
            <w:r>
              <w:rPr>
                <w:rFonts w:hint="eastAsia" w:ascii="Arial" w:hAnsi="Arial" w:cs="Arial"/>
                <w:color w:val="000000"/>
                <w:sz w:val="20"/>
              </w:rPr>
              <w:t>公寓建筑面积</w:t>
            </w:r>
          </w:p>
        </w:tc>
        <w:tc>
          <w:tcPr>
            <w:tcW w:w="1488" w:type="dxa"/>
            <w:tcBorders>
              <w:top w:val="nil"/>
              <w:left w:val="nil"/>
              <w:bottom w:val="single" w:color="auto" w:sz="4" w:space="0"/>
              <w:right w:val="single" w:color="auto" w:sz="4" w:space="0"/>
            </w:tcBorders>
            <w:noWrap/>
            <w:vAlign w:val="center"/>
          </w:tcPr>
          <w:p w14:paraId="5D54E5DF">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7AEA4E6">
            <w:pPr>
              <w:widowControl/>
              <w:spacing w:line="240" w:lineRule="auto"/>
              <w:jc w:val="center"/>
              <w:rPr>
                <w:rFonts w:ascii="Arial" w:hAnsi="Arial" w:cs="Arial"/>
                <w:color w:val="000000"/>
                <w:sz w:val="20"/>
              </w:rPr>
            </w:pPr>
            <w:r>
              <w:rPr>
                <w:rFonts w:hint="eastAsia" w:ascii="Arial" w:hAnsi="Arial" w:cs="Arial"/>
                <w:color w:val="000000"/>
                <w:sz w:val="20"/>
              </w:rPr>
              <w:t>31152</w:t>
            </w:r>
          </w:p>
        </w:tc>
      </w:tr>
      <w:tr w14:paraId="11E7D34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2959A8F8">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00816CAF">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18FB96B8">
            <w:pPr>
              <w:widowControl/>
              <w:spacing w:line="240" w:lineRule="auto"/>
              <w:jc w:val="center"/>
              <w:rPr>
                <w:rFonts w:ascii="Arial" w:hAnsi="Arial" w:cs="Arial"/>
                <w:color w:val="000000"/>
                <w:sz w:val="20"/>
              </w:rPr>
            </w:pPr>
            <w:r>
              <w:rPr>
                <w:rFonts w:hint="eastAsia" w:ascii="Arial" w:hAnsi="Arial" w:cs="Arial"/>
                <w:color w:val="000000"/>
                <w:sz w:val="20"/>
              </w:rPr>
              <w:t>商业建筑面积</w:t>
            </w:r>
          </w:p>
        </w:tc>
        <w:tc>
          <w:tcPr>
            <w:tcW w:w="1488" w:type="dxa"/>
            <w:tcBorders>
              <w:top w:val="nil"/>
              <w:left w:val="nil"/>
              <w:bottom w:val="single" w:color="auto" w:sz="4" w:space="0"/>
              <w:right w:val="single" w:color="auto" w:sz="4" w:space="0"/>
            </w:tcBorders>
            <w:noWrap/>
            <w:vAlign w:val="center"/>
          </w:tcPr>
          <w:p w14:paraId="11A1C8BF">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CB32872">
            <w:pPr>
              <w:widowControl/>
              <w:spacing w:line="240" w:lineRule="auto"/>
              <w:jc w:val="center"/>
              <w:rPr>
                <w:rFonts w:ascii="Arial" w:hAnsi="Arial" w:cs="Arial"/>
                <w:color w:val="000000"/>
                <w:sz w:val="20"/>
              </w:rPr>
            </w:pPr>
            <w:r>
              <w:rPr>
                <w:rFonts w:hint="eastAsia" w:ascii="Arial" w:hAnsi="Arial" w:cs="Arial"/>
                <w:color w:val="000000"/>
                <w:sz w:val="20"/>
              </w:rPr>
              <w:t>796</w:t>
            </w:r>
          </w:p>
        </w:tc>
      </w:tr>
      <w:tr w14:paraId="6DB715F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5BF1E662">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10D6BCAE">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1B1A7DC6">
            <w:pPr>
              <w:widowControl/>
              <w:spacing w:line="240" w:lineRule="auto"/>
              <w:jc w:val="center"/>
              <w:rPr>
                <w:rFonts w:ascii="Arial" w:hAnsi="Arial" w:cs="Arial"/>
                <w:color w:val="000000"/>
                <w:sz w:val="20"/>
              </w:rPr>
            </w:pPr>
            <w:r>
              <w:rPr>
                <w:rFonts w:hint="eastAsia" w:ascii="Arial" w:hAnsi="Arial" w:cs="Arial"/>
                <w:color w:val="000000"/>
                <w:sz w:val="20"/>
              </w:rPr>
              <w:t>地下建筑出入口</w:t>
            </w:r>
          </w:p>
        </w:tc>
        <w:tc>
          <w:tcPr>
            <w:tcW w:w="1488" w:type="dxa"/>
            <w:tcBorders>
              <w:top w:val="nil"/>
              <w:left w:val="nil"/>
              <w:bottom w:val="single" w:color="auto" w:sz="4" w:space="0"/>
              <w:right w:val="single" w:color="auto" w:sz="4" w:space="0"/>
            </w:tcBorders>
            <w:noWrap/>
            <w:vAlign w:val="center"/>
          </w:tcPr>
          <w:p w14:paraId="247FA13F">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D2481B0">
            <w:pPr>
              <w:widowControl/>
              <w:spacing w:line="240" w:lineRule="auto"/>
              <w:jc w:val="center"/>
              <w:rPr>
                <w:rFonts w:ascii="Arial" w:hAnsi="Arial" w:cs="Arial"/>
                <w:color w:val="000000"/>
                <w:sz w:val="20"/>
              </w:rPr>
            </w:pPr>
            <w:r>
              <w:rPr>
                <w:rFonts w:hint="eastAsia" w:ascii="Arial" w:hAnsi="Arial" w:cs="Arial"/>
                <w:color w:val="000000"/>
                <w:sz w:val="20"/>
              </w:rPr>
              <w:t>150</w:t>
            </w:r>
          </w:p>
        </w:tc>
      </w:tr>
      <w:tr w14:paraId="232AFC3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46F72003">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08DCD8CE">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0057F198">
            <w:pPr>
              <w:widowControl/>
              <w:spacing w:line="240" w:lineRule="auto"/>
              <w:jc w:val="center"/>
              <w:rPr>
                <w:rFonts w:ascii="Arial" w:hAnsi="Arial" w:cs="Arial"/>
                <w:color w:val="000000"/>
                <w:sz w:val="20"/>
              </w:rPr>
            </w:pPr>
            <w:r>
              <w:rPr>
                <w:rFonts w:hint="eastAsia" w:ascii="Arial" w:hAnsi="Arial" w:cs="Arial"/>
                <w:color w:val="000000"/>
                <w:sz w:val="20"/>
              </w:rPr>
              <w:t>配套设施面积</w:t>
            </w:r>
          </w:p>
        </w:tc>
        <w:tc>
          <w:tcPr>
            <w:tcW w:w="1488" w:type="dxa"/>
            <w:tcBorders>
              <w:top w:val="nil"/>
              <w:left w:val="nil"/>
              <w:bottom w:val="single" w:color="auto" w:sz="4" w:space="0"/>
              <w:right w:val="single" w:color="auto" w:sz="4" w:space="0"/>
            </w:tcBorders>
            <w:noWrap/>
            <w:vAlign w:val="center"/>
          </w:tcPr>
          <w:p w14:paraId="3695E5BE">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B7974F9">
            <w:pPr>
              <w:widowControl/>
              <w:spacing w:line="240" w:lineRule="auto"/>
              <w:jc w:val="center"/>
              <w:rPr>
                <w:rFonts w:ascii="Arial" w:hAnsi="Arial" w:cs="Arial"/>
                <w:color w:val="000000"/>
                <w:sz w:val="20"/>
              </w:rPr>
            </w:pPr>
            <w:r>
              <w:rPr>
                <w:rFonts w:hint="eastAsia" w:ascii="Arial" w:hAnsi="Arial" w:cs="Arial"/>
                <w:color w:val="000000"/>
                <w:sz w:val="20"/>
              </w:rPr>
              <w:t>540</w:t>
            </w:r>
          </w:p>
        </w:tc>
      </w:tr>
      <w:tr w14:paraId="645E7F6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1A119780">
            <w:pPr>
              <w:widowControl/>
              <w:spacing w:line="240" w:lineRule="auto"/>
              <w:jc w:val="center"/>
              <w:rPr>
                <w:rFonts w:ascii="Arial" w:hAnsi="Arial" w:cs="Arial"/>
                <w:color w:val="000000"/>
                <w:sz w:val="20"/>
              </w:rPr>
            </w:pPr>
          </w:p>
        </w:tc>
        <w:tc>
          <w:tcPr>
            <w:tcW w:w="4361" w:type="dxa"/>
            <w:gridSpan w:val="2"/>
            <w:tcBorders>
              <w:top w:val="single" w:color="auto" w:sz="4" w:space="0"/>
              <w:left w:val="single" w:color="auto" w:sz="4" w:space="0"/>
              <w:bottom w:val="single" w:color="auto" w:sz="4" w:space="0"/>
              <w:right w:val="single" w:color="auto" w:sz="4" w:space="0"/>
            </w:tcBorders>
            <w:vAlign w:val="center"/>
          </w:tcPr>
          <w:p w14:paraId="1010AC8A">
            <w:pPr>
              <w:widowControl/>
              <w:spacing w:line="240" w:lineRule="auto"/>
              <w:jc w:val="center"/>
              <w:rPr>
                <w:rFonts w:ascii="Arial" w:hAnsi="Arial" w:cs="Arial"/>
                <w:color w:val="000000"/>
                <w:sz w:val="20"/>
              </w:rPr>
            </w:pPr>
            <w:r>
              <w:rPr>
                <w:rFonts w:ascii="Arial" w:hAnsi="Arial" w:cs="Arial"/>
                <w:color w:val="000000"/>
                <w:sz w:val="20"/>
              </w:rPr>
              <w:t>地下建筑面积</w:t>
            </w:r>
          </w:p>
        </w:tc>
        <w:tc>
          <w:tcPr>
            <w:tcW w:w="1488" w:type="dxa"/>
            <w:tcBorders>
              <w:top w:val="nil"/>
              <w:left w:val="nil"/>
              <w:bottom w:val="single" w:color="auto" w:sz="4" w:space="0"/>
              <w:right w:val="single" w:color="auto" w:sz="4" w:space="0"/>
            </w:tcBorders>
            <w:noWrap/>
            <w:vAlign w:val="center"/>
          </w:tcPr>
          <w:p w14:paraId="724ED172">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CD68F7D">
            <w:pPr>
              <w:widowControl/>
              <w:spacing w:line="240" w:lineRule="auto"/>
              <w:jc w:val="center"/>
              <w:rPr>
                <w:rFonts w:ascii="Arial" w:hAnsi="Arial" w:cs="Arial"/>
                <w:color w:val="000000"/>
                <w:sz w:val="20"/>
              </w:rPr>
            </w:pPr>
            <w:r>
              <w:rPr>
                <w:rFonts w:hint="eastAsia" w:ascii="Arial" w:hAnsi="Arial" w:cs="Arial"/>
                <w:color w:val="000000"/>
                <w:sz w:val="20"/>
              </w:rPr>
              <w:t>10662</w:t>
            </w:r>
          </w:p>
        </w:tc>
      </w:tr>
      <w:tr w14:paraId="27F201F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1C87A12E">
            <w:pPr>
              <w:widowControl/>
              <w:spacing w:line="240" w:lineRule="auto"/>
              <w:jc w:val="center"/>
              <w:rPr>
                <w:rFonts w:ascii="Arial" w:hAnsi="Arial" w:cs="Arial"/>
                <w:color w:val="000000"/>
                <w:sz w:val="20"/>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14:paraId="17F262A7">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color="auto" w:sz="4" w:space="0"/>
              <w:left w:val="nil"/>
              <w:bottom w:val="single" w:color="auto" w:sz="4" w:space="0"/>
              <w:right w:val="single" w:color="auto" w:sz="4" w:space="0"/>
            </w:tcBorders>
            <w:noWrap/>
            <w:vAlign w:val="center"/>
          </w:tcPr>
          <w:p w14:paraId="167FCDED">
            <w:pPr>
              <w:widowControl/>
              <w:spacing w:line="240" w:lineRule="auto"/>
              <w:jc w:val="center"/>
              <w:rPr>
                <w:rFonts w:ascii="Arial" w:hAnsi="Arial" w:cs="Arial"/>
                <w:color w:val="000000"/>
                <w:sz w:val="20"/>
              </w:rPr>
            </w:pPr>
            <w:r>
              <w:rPr>
                <w:rFonts w:hint="eastAsia" w:ascii="Arial" w:hAnsi="Arial" w:cs="Arial"/>
                <w:color w:val="000000"/>
                <w:sz w:val="20"/>
              </w:rPr>
              <w:t>人防建筑面积</w:t>
            </w:r>
          </w:p>
        </w:tc>
        <w:tc>
          <w:tcPr>
            <w:tcW w:w="1488" w:type="dxa"/>
            <w:tcBorders>
              <w:top w:val="nil"/>
              <w:left w:val="nil"/>
              <w:bottom w:val="single" w:color="auto" w:sz="4" w:space="0"/>
              <w:right w:val="single" w:color="auto" w:sz="4" w:space="0"/>
            </w:tcBorders>
            <w:noWrap/>
            <w:vAlign w:val="center"/>
          </w:tcPr>
          <w:p w14:paraId="60AB377B">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4525D67">
            <w:pPr>
              <w:widowControl/>
              <w:spacing w:line="240" w:lineRule="auto"/>
              <w:jc w:val="center"/>
              <w:rPr>
                <w:rFonts w:ascii="Arial" w:hAnsi="Arial" w:cs="Arial"/>
                <w:color w:val="000000"/>
                <w:sz w:val="20"/>
              </w:rPr>
            </w:pPr>
            <w:r>
              <w:rPr>
                <w:rFonts w:hint="eastAsia" w:ascii="Arial" w:hAnsi="Arial" w:cs="Arial"/>
                <w:color w:val="000000"/>
                <w:sz w:val="20"/>
              </w:rPr>
              <w:t>2837</w:t>
            </w:r>
          </w:p>
        </w:tc>
      </w:tr>
      <w:tr w14:paraId="6700A9B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1883BA2">
            <w:pPr>
              <w:widowControl/>
              <w:spacing w:line="240" w:lineRule="auto"/>
              <w:jc w:val="center"/>
              <w:rPr>
                <w:rFonts w:ascii="Arial" w:hAnsi="Arial" w:cs="Arial"/>
                <w:color w:val="000000"/>
                <w:sz w:val="20"/>
              </w:rPr>
            </w:pPr>
          </w:p>
        </w:tc>
        <w:tc>
          <w:tcPr>
            <w:tcW w:w="1020" w:type="dxa"/>
            <w:vMerge w:val="continue"/>
            <w:tcBorders>
              <w:top w:val="single" w:color="auto" w:sz="4" w:space="0"/>
              <w:left w:val="single" w:color="auto" w:sz="4" w:space="0"/>
              <w:right w:val="single" w:color="auto" w:sz="4" w:space="0"/>
            </w:tcBorders>
            <w:vAlign w:val="center"/>
          </w:tcPr>
          <w:p w14:paraId="24CDB035">
            <w:pPr>
              <w:widowControl/>
              <w:spacing w:line="240" w:lineRule="auto"/>
              <w:jc w:val="center"/>
              <w:rPr>
                <w:rFonts w:ascii="Arial" w:hAnsi="Arial" w:cs="Arial"/>
                <w:color w:val="000000"/>
                <w:sz w:val="20"/>
              </w:rPr>
            </w:pPr>
          </w:p>
        </w:tc>
        <w:tc>
          <w:tcPr>
            <w:tcW w:w="3341" w:type="dxa"/>
            <w:tcBorders>
              <w:top w:val="single" w:color="auto" w:sz="4" w:space="0"/>
              <w:left w:val="nil"/>
              <w:bottom w:val="single" w:color="auto" w:sz="4" w:space="0"/>
              <w:right w:val="single" w:color="auto" w:sz="4" w:space="0"/>
            </w:tcBorders>
            <w:noWrap/>
            <w:vAlign w:val="center"/>
          </w:tcPr>
          <w:p w14:paraId="625F00CA">
            <w:pPr>
              <w:widowControl/>
              <w:spacing w:line="240" w:lineRule="auto"/>
              <w:jc w:val="center"/>
              <w:rPr>
                <w:rFonts w:ascii="Arial" w:hAnsi="Arial" w:cs="Arial"/>
                <w:color w:val="000000"/>
                <w:sz w:val="20"/>
              </w:rPr>
            </w:pPr>
            <w:r>
              <w:rPr>
                <w:rFonts w:hint="eastAsia" w:ascii="Arial" w:hAnsi="Arial" w:cs="Arial"/>
                <w:color w:val="000000"/>
                <w:sz w:val="20"/>
              </w:rPr>
              <w:t>地下机动车库面积</w:t>
            </w:r>
          </w:p>
        </w:tc>
        <w:tc>
          <w:tcPr>
            <w:tcW w:w="1488" w:type="dxa"/>
            <w:tcBorders>
              <w:top w:val="nil"/>
              <w:left w:val="nil"/>
              <w:bottom w:val="single" w:color="auto" w:sz="4" w:space="0"/>
              <w:right w:val="single" w:color="auto" w:sz="4" w:space="0"/>
            </w:tcBorders>
            <w:noWrap/>
            <w:vAlign w:val="center"/>
          </w:tcPr>
          <w:p w14:paraId="50AAC99A">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D1310BA">
            <w:pPr>
              <w:widowControl/>
              <w:spacing w:line="240" w:lineRule="auto"/>
              <w:jc w:val="center"/>
              <w:rPr>
                <w:rFonts w:ascii="Arial" w:hAnsi="Arial" w:cs="Arial"/>
                <w:color w:val="000000"/>
                <w:sz w:val="20"/>
              </w:rPr>
            </w:pPr>
            <w:r>
              <w:rPr>
                <w:rFonts w:hint="eastAsia" w:ascii="Arial" w:hAnsi="Arial" w:cs="Arial"/>
                <w:color w:val="000000"/>
                <w:sz w:val="20"/>
              </w:rPr>
              <w:t>5556</w:t>
            </w:r>
          </w:p>
        </w:tc>
      </w:tr>
      <w:tr w14:paraId="6478463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43D5C8FD">
            <w:pPr>
              <w:widowControl/>
              <w:spacing w:line="240" w:lineRule="auto"/>
              <w:jc w:val="center"/>
              <w:rPr>
                <w:rFonts w:ascii="Arial" w:hAnsi="Arial" w:cs="Arial"/>
                <w:color w:val="000000"/>
                <w:sz w:val="20"/>
              </w:rPr>
            </w:pPr>
          </w:p>
        </w:tc>
        <w:tc>
          <w:tcPr>
            <w:tcW w:w="1020" w:type="dxa"/>
            <w:vMerge w:val="continue"/>
            <w:tcBorders>
              <w:left w:val="single" w:color="auto" w:sz="4" w:space="0"/>
              <w:right w:val="single" w:color="auto" w:sz="4" w:space="0"/>
            </w:tcBorders>
            <w:vAlign w:val="center"/>
          </w:tcPr>
          <w:p w14:paraId="115EB282">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026EE02F">
            <w:pPr>
              <w:widowControl/>
              <w:spacing w:line="240" w:lineRule="auto"/>
              <w:jc w:val="center"/>
              <w:rPr>
                <w:rFonts w:ascii="Arial" w:hAnsi="Arial" w:cs="Arial"/>
                <w:color w:val="000000"/>
                <w:sz w:val="20"/>
              </w:rPr>
            </w:pPr>
            <w:r>
              <w:rPr>
                <w:rFonts w:hint="eastAsia" w:ascii="Arial" w:hAnsi="Arial" w:cs="Arial"/>
                <w:color w:val="000000"/>
                <w:sz w:val="20"/>
              </w:rPr>
              <w:t>自行车</w:t>
            </w:r>
          </w:p>
        </w:tc>
        <w:tc>
          <w:tcPr>
            <w:tcW w:w="1488" w:type="dxa"/>
            <w:tcBorders>
              <w:top w:val="nil"/>
              <w:left w:val="nil"/>
              <w:bottom w:val="single" w:color="auto" w:sz="4" w:space="0"/>
              <w:right w:val="single" w:color="auto" w:sz="4" w:space="0"/>
            </w:tcBorders>
            <w:noWrap/>
            <w:vAlign w:val="center"/>
          </w:tcPr>
          <w:p w14:paraId="01AB3CA2">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978905F">
            <w:pPr>
              <w:widowControl/>
              <w:spacing w:line="240" w:lineRule="auto"/>
              <w:jc w:val="center"/>
              <w:rPr>
                <w:rFonts w:ascii="Arial" w:hAnsi="Arial" w:cs="Arial"/>
                <w:color w:val="000000"/>
                <w:sz w:val="20"/>
              </w:rPr>
            </w:pPr>
            <w:r>
              <w:rPr>
                <w:rFonts w:hint="eastAsia" w:ascii="Arial" w:hAnsi="Arial" w:cs="Arial"/>
                <w:color w:val="000000"/>
                <w:sz w:val="20"/>
              </w:rPr>
              <w:t>979</w:t>
            </w:r>
          </w:p>
        </w:tc>
      </w:tr>
      <w:tr w14:paraId="22736D1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21C91B5">
            <w:pPr>
              <w:widowControl/>
              <w:spacing w:line="240" w:lineRule="auto"/>
              <w:jc w:val="center"/>
              <w:rPr>
                <w:rFonts w:ascii="Arial" w:hAnsi="Arial" w:cs="Arial"/>
                <w:color w:val="000000"/>
                <w:sz w:val="20"/>
              </w:rPr>
            </w:pPr>
          </w:p>
        </w:tc>
        <w:tc>
          <w:tcPr>
            <w:tcW w:w="1020" w:type="dxa"/>
            <w:vMerge w:val="continue"/>
            <w:tcBorders>
              <w:left w:val="single" w:color="auto" w:sz="4" w:space="0"/>
              <w:bottom w:val="single" w:color="auto" w:sz="4" w:space="0"/>
              <w:right w:val="single" w:color="auto" w:sz="4" w:space="0"/>
            </w:tcBorders>
            <w:vAlign w:val="center"/>
          </w:tcPr>
          <w:p w14:paraId="5D1329F6">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6B28A798">
            <w:pPr>
              <w:widowControl/>
              <w:spacing w:line="240" w:lineRule="auto"/>
              <w:jc w:val="center"/>
              <w:rPr>
                <w:rFonts w:ascii="Arial" w:hAnsi="Arial" w:cs="Arial"/>
                <w:color w:val="000000"/>
                <w:sz w:val="20"/>
              </w:rPr>
            </w:pPr>
            <w:r>
              <w:rPr>
                <w:rFonts w:hint="eastAsia" w:ascii="Arial" w:hAnsi="Arial" w:cs="Arial"/>
                <w:color w:val="000000"/>
                <w:sz w:val="20"/>
              </w:rPr>
              <w:t>设备用房</w:t>
            </w:r>
          </w:p>
        </w:tc>
        <w:tc>
          <w:tcPr>
            <w:tcW w:w="1488" w:type="dxa"/>
            <w:tcBorders>
              <w:top w:val="nil"/>
              <w:left w:val="nil"/>
              <w:bottom w:val="single" w:color="auto" w:sz="4" w:space="0"/>
              <w:right w:val="single" w:color="auto" w:sz="4" w:space="0"/>
            </w:tcBorders>
            <w:noWrap/>
            <w:vAlign w:val="center"/>
          </w:tcPr>
          <w:p w14:paraId="0E0379DC">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BF2DD3E">
            <w:pPr>
              <w:widowControl/>
              <w:spacing w:line="240" w:lineRule="auto"/>
              <w:jc w:val="center"/>
              <w:rPr>
                <w:rFonts w:ascii="Arial" w:hAnsi="Arial" w:cs="Arial"/>
                <w:color w:val="000000"/>
                <w:sz w:val="20"/>
              </w:rPr>
            </w:pPr>
            <w:r>
              <w:rPr>
                <w:rFonts w:hint="eastAsia" w:ascii="Arial" w:hAnsi="Arial" w:cs="Arial"/>
                <w:color w:val="000000"/>
                <w:sz w:val="20"/>
              </w:rPr>
              <w:t>12900</w:t>
            </w:r>
          </w:p>
        </w:tc>
      </w:tr>
      <w:tr w14:paraId="33220DC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6514036E">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color="auto" w:sz="4" w:space="0"/>
              <w:right w:val="single" w:color="auto" w:sz="4" w:space="0"/>
            </w:tcBorders>
            <w:noWrap/>
            <w:vAlign w:val="center"/>
          </w:tcPr>
          <w:p w14:paraId="30C6E64A">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color="auto" w:sz="4" w:space="0"/>
              <w:right w:val="single" w:color="auto" w:sz="4" w:space="0"/>
            </w:tcBorders>
            <w:noWrap/>
            <w:vAlign w:val="center"/>
          </w:tcPr>
          <w:p w14:paraId="731A0F61">
            <w:pPr>
              <w:widowControl/>
              <w:spacing w:line="240" w:lineRule="auto"/>
              <w:jc w:val="center"/>
              <w:rPr>
                <w:rFonts w:ascii="Arial" w:hAnsi="Arial" w:cs="Arial"/>
                <w:color w:val="000000"/>
                <w:sz w:val="20"/>
              </w:rPr>
            </w:pPr>
            <w:r>
              <w:rPr>
                <w:rFonts w:hint="eastAsia" w:ascii="Arial" w:hAnsi="Arial" w:cs="Arial"/>
                <w:color w:val="000000"/>
                <w:sz w:val="20"/>
              </w:rPr>
              <w:t>1090</w:t>
            </w:r>
          </w:p>
        </w:tc>
      </w:tr>
      <w:tr w14:paraId="2B9F8A5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43F8ADE0">
            <w:pPr>
              <w:widowControl/>
              <w:spacing w:line="240" w:lineRule="auto"/>
              <w:jc w:val="center"/>
              <w:rPr>
                <w:rFonts w:ascii="Arial" w:hAnsi="Arial" w:cs="Arial"/>
                <w:color w:val="000000"/>
                <w:sz w:val="20"/>
              </w:rPr>
            </w:pPr>
            <w:r>
              <w:rPr>
                <w:rFonts w:hint="eastAsia" w:ascii="Arial" w:hAnsi="Arial" w:cs="Arial"/>
                <w:color w:val="000000"/>
                <w:sz w:val="20"/>
              </w:rPr>
              <w:t>机动车停车位</w:t>
            </w:r>
          </w:p>
        </w:tc>
        <w:tc>
          <w:tcPr>
            <w:tcW w:w="1488" w:type="dxa"/>
            <w:tcBorders>
              <w:top w:val="nil"/>
              <w:left w:val="nil"/>
              <w:bottom w:val="single" w:color="auto" w:sz="4" w:space="0"/>
              <w:right w:val="single" w:color="auto" w:sz="4" w:space="0"/>
            </w:tcBorders>
            <w:noWrap/>
            <w:vAlign w:val="center"/>
          </w:tcPr>
          <w:p w14:paraId="67AEBF06">
            <w:pPr>
              <w:widowControl/>
              <w:spacing w:line="240" w:lineRule="auto"/>
              <w:jc w:val="center"/>
              <w:rPr>
                <w:rFonts w:ascii="Arial" w:hAnsi="Arial" w:cs="Arial"/>
                <w:color w:val="000000"/>
                <w:sz w:val="20"/>
              </w:rPr>
            </w:pPr>
            <w:r>
              <w:rPr>
                <w:rFonts w:hint="eastAsia" w:ascii="Arial" w:hAnsi="Arial" w:cs="Arial"/>
                <w:color w:val="000000"/>
                <w:sz w:val="20"/>
              </w:rPr>
              <w:t>个</w:t>
            </w:r>
          </w:p>
        </w:tc>
        <w:tc>
          <w:tcPr>
            <w:tcW w:w="2436" w:type="dxa"/>
            <w:tcBorders>
              <w:top w:val="nil"/>
              <w:left w:val="nil"/>
              <w:bottom w:val="single" w:color="auto" w:sz="4" w:space="0"/>
              <w:right w:val="single" w:color="auto" w:sz="4" w:space="0"/>
            </w:tcBorders>
            <w:noWrap/>
            <w:vAlign w:val="center"/>
          </w:tcPr>
          <w:p w14:paraId="1920FCFA">
            <w:pPr>
              <w:widowControl/>
              <w:spacing w:line="240" w:lineRule="auto"/>
              <w:jc w:val="center"/>
              <w:rPr>
                <w:rFonts w:ascii="Arial" w:hAnsi="Arial" w:cs="Arial"/>
                <w:color w:val="000000"/>
                <w:sz w:val="20"/>
              </w:rPr>
            </w:pPr>
            <w:r>
              <w:rPr>
                <w:rFonts w:hint="eastAsia" w:ascii="Arial" w:hAnsi="Arial" w:cs="Arial"/>
                <w:color w:val="000000"/>
                <w:sz w:val="20"/>
              </w:rPr>
              <w:t>218</w:t>
            </w:r>
          </w:p>
        </w:tc>
      </w:tr>
      <w:tr w14:paraId="0C9F220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343B1E04">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color="auto" w:sz="4" w:space="0"/>
              <w:right w:val="single" w:color="auto" w:sz="4" w:space="0"/>
            </w:tcBorders>
            <w:noWrap/>
            <w:vAlign w:val="center"/>
          </w:tcPr>
          <w:p w14:paraId="7217B914">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437A4AE">
            <w:pPr>
              <w:widowControl/>
              <w:spacing w:line="240" w:lineRule="auto"/>
              <w:jc w:val="center"/>
              <w:rPr>
                <w:rFonts w:ascii="Arial" w:hAnsi="Arial" w:cs="Arial"/>
                <w:color w:val="000000"/>
                <w:sz w:val="20"/>
              </w:rPr>
            </w:pPr>
            <w:r>
              <w:rPr>
                <w:rFonts w:hint="eastAsia" w:ascii="Arial" w:hAnsi="Arial" w:cs="Arial"/>
                <w:color w:val="000000"/>
                <w:sz w:val="20"/>
              </w:rPr>
              <w:t>1.8</w:t>
            </w:r>
          </w:p>
        </w:tc>
      </w:tr>
      <w:tr w14:paraId="44E51CA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33DD79B9">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color="auto" w:sz="4" w:space="0"/>
              <w:right w:val="single" w:color="auto" w:sz="4" w:space="0"/>
            </w:tcBorders>
            <w:noWrap/>
            <w:vAlign w:val="center"/>
          </w:tcPr>
          <w:p w14:paraId="7BE5FFA4">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CDD54B3">
            <w:pPr>
              <w:widowControl/>
              <w:spacing w:line="240" w:lineRule="auto"/>
              <w:jc w:val="center"/>
              <w:rPr>
                <w:rFonts w:ascii="Arial" w:hAnsi="Arial" w:cs="Arial"/>
                <w:color w:val="000000"/>
                <w:sz w:val="20"/>
              </w:rPr>
            </w:pPr>
            <w:r>
              <w:rPr>
                <w:rFonts w:hint="eastAsia" w:ascii="Arial" w:hAnsi="Arial" w:cs="Arial"/>
                <w:color w:val="000000"/>
                <w:sz w:val="20"/>
              </w:rPr>
              <w:t>29.93</w:t>
            </w:r>
            <w:r>
              <w:rPr>
                <w:rFonts w:ascii="Arial" w:hAnsi="Arial" w:cs="Arial"/>
                <w:color w:val="000000"/>
                <w:sz w:val="20"/>
              </w:rPr>
              <w:t>%</w:t>
            </w:r>
          </w:p>
        </w:tc>
      </w:tr>
      <w:tr w14:paraId="55CF276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3C212B47">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color="auto" w:sz="4" w:space="0"/>
              <w:right w:val="single" w:color="auto" w:sz="4" w:space="0"/>
            </w:tcBorders>
            <w:noWrap/>
            <w:vAlign w:val="center"/>
          </w:tcPr>
          <w:p w14:paraId="37A9B23D">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D0D60E1">
            <w:pPr>
              <w:widowControl/>
              <w:spacing w:line="240" w:lineRule="auto"/>
              <w:jc w:val="center"/>
              <w:rPr>
                <w:rFonts w:ascii="Arial" w:hAnsi="Arial" w:cs="Arial"/>
                <w:color w:val="000000"/>
                <w:sz w:val="20"/>
              </w:rPr>
            </w:pPr>
            <w:r>
              <w:rPr>
                <w:rFonts w:ascii="Arial" w:hAnsi="Arial" w:cs="Arial"/>
                <w:color w:val="000000"/>
                <w:sz w:val="20"/>
              </w:rPr>
              <w:t>30.0</w:t>
            </w:r>
            <w:r>
              <w:rPr>
                <w:rFonts w:hint="eastAsia" w:ascii="Arial" w:hAnsi="Arial" w:cs="Arial"/>
                <w:color w:val="000000"/>
                <w:sz w:val="20"/>
              </w:rPr>
              <w:t>0%</w:t>
            </w:r>
          </w:p>
        </w:tc>
      </w:tr>
    </w:tbl>
    <w:p w14:paraId="5BB80969">
      <w:pPr>
        <w:spacing w:before="240" w:beforeLines="100" w:line="360" w:lineRule="auto"/>
        <w:ind w:firstLine="552" w:firstLineChars="200"/>
        <w:jc w:val="both"/>
        <w:rPr>
          <w:rFonts w:ascii="Arial" w:hAnsi="Arial" w:cs="Arial"/>
          <w:sz w:val="28"/>
        </w:rPr>
      </w:pPr>
      <w:r>
        <w:rPr>
          <w:rFonts w:ascii="Arial" w:hAnsi="Arial" w:cs="Arial"/>
          <w:spacing w:val="-2"/>
          <w:sz w:val="28"/>
        </w:rPr>
        <w:t>综合考虑咨询对象所处地理位置、周边环境、市政配套设施以及区域房地产市场发展现状，我们分析认为上述规划条件能够保证该宗地在符合区域总体规划的前提下，达到最高最佳使用条件</w:t>
      </w:r>
      <w:r>
        <w:rPr>
          <w:rFonts w:ascii="Arial" w:hAnsi="Arial" w:cs="Arial"/>
          <w:sz w:val="28"/>
        </w:rPr>
        <w:t>。</w:t>
      </w:r>
    </w:p>
    <w:p w14:paraId="5015EA7D">
      <w:pPr>
        <w:spacing w:line="360" w:lineRule="auto"/>
        <w:ind w:firstLine="512" w:firstLineChars="200"/>
        <w:jc w:val="both"/>
        <w:rPr>
          <w:rFonts w:ascii="Arial" w:hAnsi="Arial" w:cs="Arial"/>
          <w:spacing w:val="-12"/>
          <w:sz w:val="28"/>
        </w:rPr>
      </w:pPr>
      <w:r>
        <w:rPr>
          <w:rFonts w:ascii="Arial" w:hAnsi="Arial" w:cs="Arial"/>
          <w:spacing w:val="-12"/>
          <w:sz w:val="28"/>
        </w:rPr>
        <w:t>2.土地利用现状</w:t>
      </w:r>
    </w:p>
    <w:p w14:paraId="69D49C95">
      <w:pPr>
        <w:spacing w:line="360" w:lineRule="auto"/>
        <w:ind w:firstLine="512" w:firstLineChars="200"/>
        <w:jc w:val="both"/>
        <w:rPr>
          <w:rFonts w:ascii="Arial" w:hAnsi="Arial" w:cs="Arial"/>
          <w:sz w:val="28"/>
        </w:rPr>
      </w:pPr>
      <w:r>
        <w:rPr>
          <w:rFonts w:ascii="Arial" w:hAnsi="Arial" w:cs="Arial"/>
          <w:spacing w:val="-12"/>
          <w:sz w:val="28"/>
        </w:rPr>
        <w:t>根据评估专业人员实地查勘，截至咨询期日，咨询对象宗地红线外达“三通”，红线内场地尚未平整，</w:t>
      </w:r>
      <w:r>
        <w:rPr>
          <w:rFonts w:ascii="Arial" w:hAnsi="Arial" w:cs="Arial"/>
          <w:sz w:val="28"/>
        </w:rPr>
        <w:t>宗地红线内有需要移除的树木</w:t>
      </w:r>
      <w:r>
        <w:rPr>
          <w:rFonts w:ascii="Arial" w:hAnsi="Arial" w:cs="Arial"/>
          <w:spacing w:val="-12"/>
          <w:sz w:val="28"/>
        </w:rPr>
        <w:t>。本次评估咨询结果</w:t>
      </w:r>
      <w:r>
        <w:rPr>
          <w:rFonts w:ascii="Arial" w:hAnsi="Arial" w:cs="Arial"/>
          <w:sz w:val="28"/>
        </w:rPr>
        <w:t>未扣</w:t>
      </w:r>
      <w:commentRangeStart w:id="4"/>
      <w:r>
        <w:rPr>
          <w:rFonts w:ascii="Arial" w:hAnsi="Arial" w:cs="Arial"/>
          <w:sz w:val="28"/>
        </w:rPr>
        <w:t>除</w:t>
      </w:r>
      <w:r>
        <w:rPr>
          <w:rFonts w:hint="eastAsia" w:ascii="Arial" w:hAnsi="Arial" w:cs="Arial"/>
          <w:sz w:val="28"/>
          <w:lang w:val="en-US" w:eastAsia="zh-CN"/>
        </w:rPr>
        <w:t>宗地红线内</w:t>
      </w:r>
      <w:commentRangeStart w:id="5"/>
      <w:r>
        <w:rPr>
          <w:rFonts w:ascii="Arial" w:hAnsi="Arial" w:cs="Arial"/>
          <w:sz w:val="28"/>
        </w:rPr>
        <w:t>树木移除</w:t>
      </w:r>
      <w:commentRangeEnd w:id="5"/>
      <w:r>
        <w:rPr>
          <w:rStyle w:val="38"/>
        </w:rPr>
        <w:commentReference w:id="5"/>
      </w:r>
      <w:r>
        <w:rPr>
          <w:rFonts w:ascii="Arial" w:hAnsi="Arial" w:cs="Arial"/>
          <w:sz w:val="28"/>
        </w:rPr>
        <w:t>的费用。</w:t>
      </w:r>
      <w:commentRangeEnd w:id="4"/>
      <w:r>
        <w:rPr>
          <w:rStyle w:val="38"/>
        </w:rPr>
        <w:commentReference w:id="4"/>
      </w:r>
    </w:p>
    <w:p w14:paraId="2DB83D85">
      <w:pPr>
        <w:spacing w:line="360" w:lineRule="auto"/>
        <w:rPr>
          <w:rFonts w:ascii="Arial" w:hAnsi="Arial" w:cs="Arial"/>
          <w:b/>
          <w:sz w:val="28"/>
        </w:rPr>
      </w:pPr>
    </w:p>
    <w:p w14:paraId="7720DAE7">
      <w:pPr>
        <w:spacing w:line="360" w:lineRule="auto"/>
        <w:outlineLvl w:val="1"/>
        <w:rPr>
          <w:rFonts w:ascii="Arial" w:hAnsi="Arial" w:cs="Arial"/>
          <w:b/>
          <w:sz w:val="28"/>
        </w:rPr>
      </w:pPr>
      <w:bookmarkStart w:id="280" w:name="_Toc26101"/>
      <w:bookmarkStart w:id="281" w:name="_Toc416783594"/>
      <w:bookmarkStart w:id="282" w:name="_Toc22964"/>
      <w:bookmarkStart w:id="283" w:name="_Toc97732767"/>
      <w:bookmarkStart w:id="284" w:name="_Toc469066166"/>
      <w:bookmarkStart w:id="285" w:name="_Toc2555"/>
      <w:bookmarkStart w:id="286" w:name="_Toc97732885"/>
      <w:bookmarkStart w:id="287" w:name="_Toc416783690"/>
      <w:r>
        <w:rPr>
          <w:rFonts w:ascii="Arial" w:hAnsi="Arial" w:cs="Arial"/>
          <w:b/>
          <w:sz w:val="28"/>
        </w:rPr>
        <w:t>二、地价影响因素分析</w:t>
      </w:r>
      <w:bookmarkEnd w:id="280"/>
      <w:bookmarkEnd w:id="281"/>
      <w:bookmarkEnd w:id="282"/>
      <w:bookmarkEnd w:id="283"/>
      <w:bookmarkEnd w:id="284"/>
      <w:bookmarkEnd w:id="285"/>
      <w:bookmarkEnd w:id="286"/>
      <w:bookmarkEnd w:id="287"/>
    </w:p>
    <w:p w14:paraId="7B8EE979">
      <w:pPr>
        <w:spacing w:line="360" w:lineRule="auto"/>
        <w:jc w:val="both"/>
        <w:rPr>
          <w:rFonts w:ascii="宋体" w:hAnsi="宋体" w:cs="宋体"/>
          <w:sz w:val="28"/>
          <w:szCs w:val="28"/>
        </w:rPr>
      </w:pPr>
      <w:r>
        <w:rPr>
          <w:rFonts w:hint="eastAsia" w:ascii="宋体" w:hAnsi="宋体" w:cs="宋体"/>
          <w:sz w:val="28"/>
          <w:szCs w:val="28"/>
        </w:rPr>
        <w:t>（一） 一般因素</w:t>
      </w:r>
    </w:p>
    <w:p w14:paraId="6C34D97C">
      <w:pPr>
        <w:spacing w:line="360" w:lineRule="auto"/>
        <w:ind w:firstLine="560" w:firstLineChars="200"/>
        <w:jc w:val="both"/>
        <w:rPr>
          <w:rFonts w:ascii="Arial" w:hAnsi="Arial" w:cs="Arial"/>
          <w:sz w:val="28"/>
        </w:rPr>
      </w:pPr>
      <w:r>
        <w:rPr>
          <w:rFonts w:hint="eastAsia" w:ascii="Arial" w:hAnsi="Arial" w:cs="Arial"/>
          <w:sz w:val="28"/>
        </w:rPr>
        <w:t>1.城市资源状况</w:t>
      </w:r>
    </w:p>
    <w:p w14:paraId="7EA61F3A">
      <w:pPr>
        <w:spacing w:line="360" w:lineRule="auto"/>
        <w:ind w:firstLine="560" w:firstLineChars="200"/>
        <w:jc w:val="both"/>
        <w:rPr>
          <w:rFonts w:ascii="Arial" w:hAnsi="Arial" w:cs="Arial"/>
          <w:sz w:val="28"/>
        </w:rPr>
      </w:pPr>
      <w:r>
        <w:rPr>
          <w:rFonts w:hint="eastAsia" w:ascii="Arial" w:hAnsi="Arial" w:cs="Arial"/>
          <w:sz w:val="28"/>
        </w:rPr>
        <w:t>地理位置：北京，简称“京”，是中华人民共和国的首都，是全国的政治中心、文化中心，是世界著名古都和现代化国际城市。北京位于北纬39度56分、东经116度20分，地处华北大平原的北部，东面与天津市毗连，其余均与河北省相邻。</w:t>
      </w:r>
    </w:p>
    <w:p w14:paraId="6FFDC245">
      <w:pPr>
        <w:spacing w:line="360" w:lineRule="auto"/>
        <w:ind w:firstLine="560" w:firstLineChars="200"/>
        <w:jc w:val="both"/>
        <w:rPr>
          <w:rFonts w:ascii="Arial" w:hAnsi="Arial" w:cs="Arial"/>
          <w:sz w:val="28"/>
        </w:rPr>
      </w:pPr>
      <w:r>
        <w:rPr>
          <w:rFonts w:hint="eastAsia" w:ascii="Arial" w:hAnsi="Arial" w:cs="Arial"/>
          <w:sz w:val="28"/>
        </w:rPr>
        <w:t>城市人口：截至2024年年末，北京市常住人口为2183.2万人，从年龄构成看，0-14岁常住人口261.2万人，占全市常住人口的比重为12.0%；15-59岁常住人口1408.0万人，占64.5%；60岁及以上常住人口514.0万人，占23.5%。</w:t>
      </w:r>
    </w:p>
    <w:p w14:paraId="291D4EE4">
      <w:pPr>
        <w:spacing w:line="360" w:lineRule="auto"/>
        <w:ind w:firstLine="560" w:firstLineChars="200"/>
        <w:jc w:val="both"/>
        <w:rPr>
          <w:rFonts w:ascii="Arial" w:hAnsi="Arial" w:cs="Arial"/>
          <w:sz w:val="28"/>
        </w:rPr>
      </w:pPr>
      <w:r>
        <w:rPr>
          <w:rFonts w:hint="eastAsia" w:ascii="Arial" w:hAnsi="Arial" w:cs="Arial"/>
          <w:sz w:val="28"/>
        </w:rPr>
        <w:t>2020-2024年常住人口增量及增长速度</w:t>
      </w:r>
    </w:p>
    <w:p w14:paraId="1C82E1C0">
      <w:pPr>
        <w:spacing w:line="360" w:lineRule="auto"/>
        <w:jc w:val="both"/>
        <w:rPr>
          <w:rFonts w:ascii="Arial" w:hAnsi="Arial" w:cs="Arial"/>
          <w:sz w:val="28"/>
        </w:rPr>
      </w:pPr>
      <w:r>
        <w:rPr>
          <w:rFonts w:hint="eastAsia" w:ascii="Arial" w:hAnsi="Arial" w:cs="Arial"/>
          <w:sz w:val="28"/>
        </w:rPr>
        <w:drawing>
          <wp:inline distT="0" distB="0" distL="0" distR="0">
            <wp:extent cx="5906770" cy="2172335"/>
            <wp:effectExtent l="0" t="0" r="0" b="0"/>
            <wp:docPr id="28" name="图片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3B2F2D8">
      <w:pPr>
        <w:spacing w:line="360" w:lineRule="auto"/>
        <w:ind w:firstLine="560" w:firstLineChars="200"/>
        <w:jc w:val="both"/>
        <w:rPr>
          <w:rFonts w:ascii="Arial" w:hAnsi="Arial" w:cs="Arial"/>
          <w:sz w:val="28"/>
        </w:rPr>
      </w:pPr>
      <w:r>
        <w:rPr>
          <w:rFonts w:hint="eastAsia" w:ascii="Arial" w:hAnsi="Arial" w:cs="Arial"/>
          <w:sz w:val="28"/>
        </w:rPr>
        <w:t>城市面积：北京市下辖16个区（即东城、西城、海淀、朝阳、丰台、顺义、昌平、通州、门头沟、石景山、房山、大兴、怀柔、平谷、密云、延庆），行政辖区总面积为16410平方公里。</w:t>
      </w:r>
    </w:p>
    <w:p w14:paraId="6CC4C72D">
      <w:pPr>
        <w:spacing w:line="360" w:lineRule="auto"/>
        <w:ind w:firstLine="560" w:firstLineChars="200"/>
        <w:jc w:val="both"/>
        <w:rPr>
          <w:rFonts w:ascii="Arial" w:hAnsi="Arial" w:cs="Arial"/>
          <w:sz w:val="28"/>
        </w:rPr>
      </w:pPr>
      <w:r>
        <w:rPr>
          <w:rFonts w:hint="eastAsia" w:ascii="Arial" w:hAnsi="Arial" w:cs="Arial"/>
          <w:sz w:val="28"/>
        </w:rPr>
        <w:t>城市自然条件：北京气候属暖温带半湿润半干旱季风气候，夏季高温多雨，冬季寒冷干燥，春、秋短促。全年无霜期180～200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85座，其中大型水库有密云水库、官厅水库、怀柔水库、海子水库。北京市地下水多年平均补给量约为29.21亿立方米，平均年可开采量约24~25亿立方米。一次性天然水资源年平均总量为55.21亿立方米。</w:t>
      </w:r>
    </w:p>
    <w:p w14:paraId="3BC99FE1">
      <w:pPr>
        <w:spacing w:line="360" w:lineRule="auto"/>
        <w:ind w:firstLine="560" w:firstLineChars="200"/>
        <w:jc w:val="both"/>
        <w:rPr>
          <w:rFonts w:ascii="Arial" w:hAnsi="Arial" w:cs="Arial"/>
          <w:sz w:val="28"/>
        </w:rPr>
      </w:pPr>
      <w:r>
        <w:rPr>
          <w:rFonts w:hint="eastAsia" w:ascii="Arial" w:hAnsi="Arial" w:cs="Arial"/>
          <w:sz w:val="28"/>
        </w:rPr>
        <w:t>土地利用状况：2021年11月5日，北京市发布第三次全国国土调查主要数据公报。数据显示，北京市现有耕地93547.9公顷（1403218.5亩）、园地126274.55公顷（1894118.25亩）、林地967628.62公顷（14514429.3亩）、草地14460.44公顷（216906.6亩）、湿地3107.98公顷（46619.7亩）、城镇村及工矿用地313643.87公顷（4704658.05亩）、交通运输用地49281.38公顷（739220.7亩）、水域及水利设施用地61704公顷（925560亩），其余为其他土地。三调数据显示，北京市以林、园、水、草、湿地和公园绿地为主的生态用地逐年增加，城乡建设用地明显减少，初步实现减量目标。</w:t>
      </w:r>
    </w:p>
    <w:p w14:paraId="28A65937">
      <w:pPr>
        <w:spacing w:line="360" w:lineRule="auto"/>
        <w:jc w:val="both"/>
        <w:rPr>
          <w:rFonts w:ascii="Arial" w:hAnsi="Arial" w:cs="Arial"/>
          <w:sz w:val="28"/>
        </w:rPr>
      </w:pPr>
      <w:r>
        <w:rPr>
          <w:rFonts w:hint="eastAsia" w:ascii="Arial" w:hAnsi="Arial" w:cs="Arial"/>
          <w:sz w:val="28"/>
        </w:rPr>
        <w:drawing>
          <wp:inline distT="0" distB="0" distL="0" distR="0">
            <wp:extent cx="5887085" cy="3335655"/>
            <wp:effectExtent l="0" t="0" r="0" b="0"/>
            <wp:docPr id="29" name="图片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142C8CA">
      <w:pPr>
        <w:spacing w:line="360" w:lineRule="auto"/>
        <w:ind w:firstLine="560" w:firstLineChars="200"/>
        <w:jc w:val="both"/>
        <w:rPr>
          <w:rFonts w:ascii="Arial" w:hAnsi="Arial" w:cs="Arial"/>
          <w:sz w:val="28"/>
        </w:rPr>
      </w:pPr>
      <w:r>
        <w:rPr>
          <w:rFonts w:hint="eastAsia" w:ascii="Arial" w:hAnsi="Arial" w:cs="Arial"/>
          <w:sz w:val="28"/>
        </w:rPr>
        <w:t>2.不动产制度与不动产市场状况</w:t>
      </w:r>
    </w:p>
    <w:p w14:paraId="31E3ED38">
      <w:pPr>
        <w:spacing w:line="360" w:lineRule="auto"/>
        <w:ind w:firstLine="560" w:firstLineChars="200"/>
        <w:jc w:val="both"/>
        <w:rPr>
          <w:rFonts w:ascii="Arial" w:hAnsi="Arial" w:cs="Arial"/>
          <w:sz w:val="28"/>
        </w:rPr>
      </w:pPr>
      <w:r>
        <w:rPr>
          <w:rFonts w:hint="eastAsia" w:ascii="Arial" w:hAnsi="Arial" w:cs="Arial"/>
          <w:sz w:val="28"/>
        </w:rPr>
        <w:t>◆ 土地使用制度及土地管理政策：</w:t>
      </w:r>
    </w:p>
    <w:p w14:paraId="69435D9C">
      <w:pPr>
        <w:spacing w:line="360" w:lineRule="auto"/>
        <w:ind w:firstLine="560" w:firstLineChars="200"/>
        <w:jc w:val="both"/>
        <w:rPr>
          <w:rFonts w:ascii="Arial" w:hAnsi="Arial" w:cs="Arial"/>
          <w:sz w:val="28"/>
        </w:rPr>
      </w:pPr>
      <w:r>
        <w:rPr>
          <w:rFonts w:hint="eastAsia" w:ascii="Arial" w:hAnsi="Arial" w:cs="Arial"/>
          <w:sz w:val="28"/>
        </w:rPr>
        <w:t>我国当前实行土地招拍挂制度。土地招拍挂制度是国家土地资源出让、买卖的招标、拍卖、挂牌制度的简称，具体是指国家在土地出让或者买卖程序中的“招标”“拍卖”“挂牌”交易的政策或规定。2004年，国土资源部颁布第71令，《关于继续开展经营性土地使用权招标拍卖挂牌出让情况执法监察工作的通知》，规定2004年8月31号以后所有经营性用地出让全部实行招拍挂制度。该方式作为我国经营性用地出让的指定方式，对规范土地市场、提高政府的对城市土地的管理水平、促进房地产市场的有序发展等方面都有着重要意义。</w:t>
      </w:r>
    </w:p>
    <w:p w14:paraId="00411CCC">
      <w:pPr>
        <w:spacing w:line="360" w:lineRule="auto"/>
        <w:ind w:firstLine="560" w:firstLineChars="200"/>
        <w:jc w:val="both"/>
        <w:rPr>
          <w:rFonts w:ascii="Arial" w:hAnsi="Arial" w:cs="Arial"/>
          <w:sz w:val="28"/>
        </w:rPr>
      </w:pPr>
      <w:r>
        <w:rPr>
          <w:rFonts w:hint="eastAsia" w:ascii="Arial" w:hAnsi="Arial" w:cs="Arial"/>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5C06C9C3">
      <w:pPr>
        <w:spacing w:line="360" w:lineRule="auto"/>
        <w:ind w:firstLine="560" w:firstLineChars="200"/>
        <w:jc w:val="both"/>
        <w:rPr>
          <w:rFonts w:ascii="Arial" w:hAnsi="Arial" w:cs="Arial"/>
          <w:sz w:val="28"/>
        </w:rPr>
      </w:pPr>
      <w:r>
        <w:rPr>
          <w:rFonts w:hint="eastAsia" w:ascii="Arial" w:hAnsi="Arial" w:cs="Arial"/>
          <w:sz w:val="28"/>
        </w:rPr>
        <w:t>（1）在国土空间规划中统筹划定落实永久基本农田、生态保护红线、城镇开发边界三条控制线（以下简称三条控制线），确定国土空间开发保护刚性管控边界。统筹全域全类型国土空间用途管制，划定覆盖全域的11类国土空间规划分区。</w:t>
      </w:r>
    </w:p>
    <w:p w14:paraId="487FA20C">
      <w:pPr>
        <w:spacing w:line="360" w:lineRule="auto"/>
        <w:ind w:firstLine="560" w:firstLineChars="200"/>
        <w:jc w:val="both"/>
        <w:rPr>
          <w:rFonts w:ascii="Arial" w:hAnsi="Arial" w:cs="Arial"/>
          <w:sz w:val="28"/>
        </w:rPr>
      </w:pPr>
      <w:r>
        <w:rPr>
          <w:rFonts w:hint="eastAsia" w:ascii="Arial" w:hAnsi="Arial" w:cs="Arial"/>
          <w:sz w:val="28"/>
        </w:rPr>
        <w:t>（2）严守耕地规模底线，划定耕地保护空间。</w:t>
      </w:r>
    </w:p>
    <w:p w14:paraId="78054936">
      <w:pPr>
        <w:spacing w:line="360" w:lineRule="auto"/>
        <w:ind w:firstLine="560" w:firstLineChars="200"/>
        <w:jc w:val="both"/>
        <w:rPr>
          <w:rFonts w:ascii="Arial" w:hAnsi="Arial" w:cs="Arial"/>
          <w:sz w:val="28"/>
        </w:rPr>
      </w:pPr>
      <w:r>
        <w:rPr>
          <w:rFonts w:hint="eastAsia" w:ascii="Arial" w:hAnsi="Arial" w:cs="Arial"/>
          <w:sz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14:paraId="0D851D92">
      <w:pPr>
        <w:spacing w:line="360" w:lineRule="auto"/>
        <w:ind w:firstLine="560" w:firstLineChars="200"/>
        <w:jc w:val="both"/>
        <w:rPr>
          <w:rFonts w:ascii="Arial" w:hAnsi="Arial" w:cs="Arial"/>
          <w:sz w:val="28"/>
        </w:rPr>
      </w:pPr>
      <w:r>
        <w:rPr>
          <w:rFonts w:hint="eastAsia" w:ascii="Arial" w:hAnsi="Arial" w:cs="Arial"/>
          <w:sz w:val="28"/>
        </w:rPr>
        <w:t>（3）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51%提升至“十三五”时期的55%以上.</w:t>
      </w:r>
    </w:p>
    <w:p w14:paraId="7EAB4B52">
      <w:pPr>
        <w:spacing w:line="360" w:lineRule="auto"/>
        <w:ind w:firstLine="560" w:firstLineChars="200"/>
        <w:jc w:val="both"/>
        <w:rPr>
          <w:rFonts w:ascii="Arial" w:hAnsi="Arial" w:cs="Arial"/>
          <w:sz w:val="28"/>
        </w:rPr>
      </w:pPr>
      <w:r>
        <w:rPr>
          <w:rFonts w:hint="eastAsia" w:ascii="Arial" w:hAnsi="Arial" w:cs="Arial"/>
          <w:sz w:val="28"/>
        </w:rPr>
        <w:t>（4）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两图合一”规划编制技术指南》《北京市国土空间规划分区和用途管制规则》等一系列政策文件，初步建立首都“三级三类”国土空间规划体系，不断完善首都国土空间治理体系，着力提高国土空间治理能力现代化水平。</w:t>
      </w:r>
    </w:p>
    <w:p w14:paraId="325B7CC5">
      <w:pPr>
        <w:spacing w:line="360" w:lineRule="auto"/>
        <w:ind w:firstLine="560" w:firstLineChars="200"/>
        <w:jc w:val="both"/>
        <w:rPr>
          <w:rFonts w:ascii="Arial" w:hAnsi="Arial" w:cs="Arial"/>
          <w:sz w:val="28"/>
        </w:rPr>
      </w:pPr>
      <w:r>
        <w:rPr>
          <w:rFonts w:hint="eastAsia" w:ascii="Arial" w:hAnsi="Arial" w:cs="Arial"/>
          <w:sz w:val="28"/>
        </w:rPr>
        <w:t>逐步建立自然资源管理制度。制定《北京市自然资源资产产权制度改革方案》，统筹推进自然资源统一调查监测评价，建立全市统一的国土空间基础信息平台，结合分区规划编制，形成全市国土空间规划“一张底图”。建立北京市国有自然资源报告工作制度，自然资源统一调查、监测、确权、配置、评价、监督的管理制度逐步建立。</w:t>
      </w:r>
    </w:p>
    <w:p w14:paraId="529472F7">
      <w:pPr>
        <w:spacing w:line="360" w:lineRule="auto"/>
        <w:ind w:firstLine="560" w:firstLineChars="200"/>
        <w:jc w:val="both"/>
        <w:rPr>
          <w:rFonts w:ascii="Arial" w:hAnsi="Arial" w:cs="Arial"/>
          <w:sz w:val="28"/>
        </w:rPr>
      </w:pPr>
      <w:r>
        <w:rPr>
          <w:rFonts w:hint="eastAsia" w:ascii="Arial" w:hAnsi="Arial" w:cs="Arial"/>
          <w:sz w:val="28"/>
        </w:rPr>
        <w:t>加强推进农村土地管理改革。制定《关于进一步加强农村集体土地管理加快建立健全“村地区管”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614FA32B">
      <w:pPr>
        <w:spacing w:line="360" w:lineRule="auto"/>
        <w:ind w:firstLine="560" w:firstLineChars="200"/>
        <w:jc w:val="both"/>
        <w:rPr>
          <w:rFonts w:ascii="Arial" w:hAnsi="Arial" w:cs="Arial"/>
          <w:sz w:val="28"/>
        </w:rPr>
      </w:pPr>
      <w:r>
        <w:rPr>
          <w:rFonts w:hint="eastAsia" w:ascii="Arial" w:hAnsi="Arial" w:cs="Arial"/>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0835658B">
      <w:pPr>
        <w:spacing w:line="360" w:lineRule="auto"/>
        <w:ind w:firstLine="560" w:firstLineChars="200"/>
        <w:jc w:val="both"/>
        <w:rPr>
          <w:rFonts w:ascii="Arial" w:hAnsi="Arial" w:cs="Arial"/>
          <w:sz w:val="28"/>
        </w:rPr>
      </w:pPr>
      <w:r>
        <w:rPr>
          <w:rFonts w:hint="eastAsia" w:ascii="Arial" w:hAnsi="Arial" w:cs="Arial"/>
          <w:sz w:val="28"/>
        </w:rPr>
        <w:t>2022年北京市人民政府关于印发《北京市“十四五”时期土地资源保护利用规划》的通知，要求全市继续统筹土地资源保护和利用工作，强化科学布局、整体保护、系统修复、高效利用、综合治理。</w:t>
      </w:r>
    </w:p>
    <w:p w14:paraId="43A90CFF">
      <w:pPr>
        <w:spacing w:line="360" w:lineRule="auto"/>
        <w:ind w:firstLine="560" w:firstLineChars="200"/>
        <w:jc w:val="both"/>
        <w:rPr>
          <w:rFonts w:ascii="Arial" w:hAnsi="Arial" w:cs="Arial"/>
          <w:sz w:val="28"/>
        </w:rPr>
      </w:pPr>
      <w:r>
        <w:rPr>
          <w:rFonts w:hint="eastAsia" w:ascii="Arial" w:hAnsi="Arial" w:cs="Arial"/>
          <w:sz w:val="28"/>
        </w:rPr>
        <w:t xml:space="preserve"> 住房制度与不动产管理政策：</w:t>
      </w:r>
    </w:p>
    <w:p w14:paraId="05AB3231">
      <w:pPr>
        <w:spacing w:line="360" w:lineRule="auto"/>
        <w:ind w:firstLine="560" w:firstLineChars="200"/>
        <w:jc w:val="both"/>
        <w:rPr>
          <w:rFonts w:ascii="Arial" w:hAnsi="Arial" w:cs="Arial"/>
          <w:sz w:val="28"/>
        </w:rPr>
      </w:pPr>
      <w:r>
        <w:rPr>
          <w:rFonts w:hint="eastAsia" w:ascii="Arial" w:hAnsi="Arial" w:cs="Arial"/>
          <w:sz w:val="28"/>
        </w:rPr>
        <w:t>根据2022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14:paraId="738041D5">
      <w:pPr>
        <w:spacing w:line="360" w:lineRule="auto"/>
        <w:ind w:firstLine="560" w:firstLineChars="200"/>
        <w:jc w:val="both"/>
        <w:rPr>
          <w:rFonts w:ascii="Arial" w:hAnsi="Arial" w:cs="Arial"/>
          <w:sz w:val="28"/>
        </w:rPr>
      </w:pPr>
      <w:r>
        <w:rPr>
          <w:rFonts w:hint="eastAsia" w:ascii="Arial" w:hAnsi="Arial" w:cs="Arial"/>
          <w:sz w:val="28"/>
        </w:rPr>
        <w:t>2023年12月26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15B66EF1">
      <w:pPr>
        <w:spacing w:line="360" w:lineRule="auto"/>
        <w:ind w:firstLine="560" w:firstLineChars="200"/>
        <w:jc w:val="both"/>
        <w:rPr>
          <w:rFonts w:ascii="Arial" w:hAnsi="Arial" w:cs="Arial"/>
          <w:sz w:val="28"/>
        </w:rPr>
      </w:pPr>
      <w:r>
        <w:rPr>
          <w:rFonts w:hint="eastAsia" w:ascii="Arial" w:hAnsi="Arial" w:cs="Arial"/>
          <w:sz w:val="28"/>
        </w:rPr>
        <w:t>2024年2月21日，住房城乡建设部发布《关于做好住房发展规划和年度计划编制工作的通知》。该文件指出，住房发展规划和年度计划是建立“人、房、地、钱”要素联动机制的重要抓手。各地要充分认识做好住房发展规划和年度计划的编制实施工作的重要性，科学编制规划，认真组织实施，根据人口变化确定住房需求，根据住房需求科学安排土地供应、引导配置金融资源，实现以人定房、以房定地、以房定钱，促进房地产市场供需平衡、结构合理，防止市场大起大落。</w:t>
      </w:r>
    </w:p>
    <w:p w14:paraId="16AA62EB">
      <w:pPr>
        <w:spacing w:line="360" w:lineRule="auto"/>
        <w:ind w:firstLine="560" w:firstLineChars="200"/>
        <w:jc w:val="both"/>
        <w:rPr>
          <w:rFonts w:ascii="Arial" w:hAnsi="Arial" w:cs="Arial"/>
          <w:sz w:val="28"/>
        </w:rPr>
      </w:pPr>
      <w:r>
        <w:rPr>
          <w:rFonts w:hint="eastAsia" w:ascii="Arial" w:hAnsi="Arial" w:cs="Arial"/>
          <w:sz w:val="28"/>
        </w:rPr>
        <w:t>2025年1月17日，北京市规划和自然资源委员会和北京市发展和改革委员会联合发布《北京市2025年度建设用地供应计划》，明确了北京市2025年度建设用地供应的总量、空间布局、结构和供应导向，旨在推动首都经济高质量发展和城市空间优化。2025年计划安排建设用地供应总量3165至3665公顷，较往年基本持平。供地计划保持各地类总量稳定、优化各类要素空间结构布局，保障优势地区高质量发展。空间布局上，持续强化“一核一主一副、两轴多点一区”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25%，与去年持平，重点推进中央政务功能保障、老城保护、宜居城市建设。平原新城地区（含城市副中心）土地供应规模约占全市总量的60%，重点完善城市功能，推动京津冀协同发展用地结构。用地结构上，住宅用地安排955-1015公顷；产业用地安排470-510公顷，其中研发用地80公顷、工业用地230公顷、仓储用地50公顷、商服用地50-70公顷、乡村产业用地60-80公顷。供应导向上，坚持稳中求进、以进促稳，统筹好做优增量和盘活存量的关系，全面提高资源配置效率。推动房地产市场止跌回稳，加快建设现代化产业体系、支撑实体经济发展，不断完善居住用地周边市政、公服、交通等配套设施建设，着力打造具有活力和韧性的区域中心。坚持规划引领计划，要素保障项目，推动市区协同，提升各类设施投资效益。</w:t>
      </w:r>
    </w:p>
    <w:p w14:paraId="40EF7F3A">
      <w:pPr>
        <w:spacing w:line="360" w:lineRule="auto"/>
        <w:ind w:firstLine="560" w:firstLineChars="200"/>
        <w:jc w:val="both"/>
        <w:rPr>
          <w:rFonts w:ascii="Arial" w:hAnsi="Arial" w:cs="Arial"/>
          <w:sz w:val="28"/>
        </w:rPr>
      </w:pPr>
      <w:r>
        <w:rPr>
          <w:rFonts w:hint="eastAsia" w:ascii="Arial" w:hAnsi="Arial" w:cs="Arial"/>
          <w:sz w:val="28"/>
        </w:rPr>
        <w:t>◆  不动产市场状况</w:t>
      </w:r>
    </w:p>
    <w:p w14:paraId="06EE3370">
      <w:pPr>
        <w:spacing w:line="360" w:lineRule="auto"/>
        <w:ind w:firstLine="560" w:firstLineChars="200"/>
        <w:jc w:val="both"/>
        <w:rPr>
          <w:rFonts w:ascii="Arial" w:hAnsi="Arial" w:cs="Arial"/>
          <w:sz w:val="28"/>
        </w:rPr>
      </w:pPr>
      <w:r>
        <w:rPr>
          <w:rFonts w:hint="eastAsia" w:ascii="Arial" w:hAnsi="Arial" w:cs="Arial"/>
          <w:sz w:val="28"/>
        </w:rPr>
        <w:t>（1）土地市场</w:t>
      </w:r>
    </w:p>
    <w:p w14:paraId="74714367">
      <w:pPr>
        <w:spacing w:line="360" w:lineRule="auto"/>
        <w:ind w:firstLine="560" w:firstLineChars="200"/>
        <w:jc w:val="both"/>
        <w:rPr>
          <w:rFonts w:ascii="Arial" w:hAnsi="Arial" w:cs="Arial"/>
          <w:sz w:val="28"/>
        </w:rPr>
      </w:pPr>
      <w:r>
        <w:rPr>
          <w:rFonts w:hint="eastAsia" w:ascii="Arial" w:hAnsi="Arial" w:cs="Arial"/>
          <w:sz w:val="28"/>
        </w:rPr>
        <w:t>1）土地供求分析</w:t>
      </w:r>
    </w:p>
    <w:p w14:paraId="5C63EFCE">
      <w:pPr>
        <w:spacing w:line="360" w:lineRule="auto"/>
        <w:ind w:firstLine="560" w:firstLineChars="200"/>
        <w:jc w:val="both"/>
        <w:rPr>
          <w:rFonts w:ascii="Arial" w:hAnsi="Arial" w:cs="Arial"/>
          <w:sz w:val="28"/>
        </w:rPr>
      </w:pPr>
      <w:r>
        <w:rPr>
          <w:rFonts w:hint="eastAsia" w:ascii="Arial" w:hAnsi="Arial" w:cs="Arial"/>
          <w:sz w:val="28"/>
        </w:rPr>
        <w:t>2025年上半年北京商品住宅用地共推出17宗，累计供应规划建面169.70万平方米，同比减少28.2%；2025年上半年北京商品住宅用地累计成交22宗，分布在海淀、通州、朝阳、丰台、石景山、大兴、昌平、顺义、怀柔等9个区，成交规划建面234.42万平方米，同比下降1.2%；得益于海淀、通州热点地块的成交，土地成交价款合计1005.56亿元，同比增长37.3%，创2022年以来同期新高。</w:t>
      </w:r>
    </w:p>
    <w:p w14:paraId="66C55BFA">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179695" cy="2572385"/>
            <wp:effectExtent l="0" t="0" r="0" b="0"/>
            <wp:docPr id="30" name="图片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34046C0">
      <w:pPr>
        <w:spacing w:line="360" w:lineRule="auto"/>
        <w:ind w:firstLine="560" w:firstLineChars="200"/>
        <w:jc w:val="both"/>
        <w:rPr>
          <w:rFonts w:ascii="Arial" w:hAnsi="Arial" w:cs="Arial"/>
          <w:sz w:val="28"/>
        </w:rPr>
      </w:pPr>
      <w:r>
        <w:rPr>
          <w:rFonts w:hint="eastAsia" w:ascii="Arial" w:hAnsi="Arial" w:cs="Arial"/>
          <w:sz w:val="28"/>
        </w:rPr>
        <w:t>2）土地成交情况</w:t>
      </w:r>
    </w:p>
    <w:p w14:paraId="1616178F">
      <w:pPr>
        <w:spacing w:line="360" w:lineRule="auto"/>
        <w:ind w:firstLine="560" w:firstLineChars="200"/>
        <w:jc w:val="both"/>
        <w:rPr>
          <w:rFonts w:ascii="Arial" w:hAnsi="Arial" w:cs="Arial"/>
          <w:sz w:val="28"/>
        </w:rPr>
      </w:pPr>
      <w:r>
        <w:rPr>
          <w:rFonts w:hint="eastAsia" w:ascii="Arial" w:hAnsi="Arial" w:cs="Arial"/>
          <w:sz w:val="28"/>
        </w:rPr>
        <w:t>2025年上半年，北京市商品住宅用地中心城区海淀、朝阳、丰台、石景山累计成交12宗宅地，累计成交规划建面128.38万平方米，占比55%，较上年同期增长9个百分点。近郊区主要集中在通州、大兴、顺义和昌平，累计成交9宗宅地，共103.88万平方米，占比为44%，较去年同期下降3个百分点；远郊区宅地成交1宗，位于怀柔区，成交规划建面2.17万平方米。</w:t>
      </w:r>
    </w:p>
    <w:p w14:paraId="0959CC6A">
      <w:pPr>
        <w:spacing w:line="360" w:lineRule="auto"/>
        <w:jc w:val="both"/>
        <w:rPr>
          <w:rFonts w:ascii="Arial" w:hAnsi="Arial" w:cs="Arial"/>
          <w:sz w:val="28"/>
        </w:rPr>
      </w:pPr>
      <w:r>
        <w:rPr>
          <w:rFonts w:hint="eastAsia" w:ascii="Arial" w:hAnsi="Arial" w:cs="Arial"/>
          <w:sz w:val="28"/>
        </w:rPr>
        <w:drawing>
          <wp:inline distT="0" distB="0" distL="0" distR="0">
            <wp:extent cx="5909310" cy="2970530"/>
            <wp:effectExtent l="0" t="0" r="0" b="0"/>
            <wp:docPr id="3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09310" cy="2970530"/>
                    </a:xfrm>
                    <a:prstGeom prst="rect">
                      <a:avLst/>
                    </a:prstGeom>
                    <a:noFill/>
                    <a:ln>
                      <a:noFill/>
                    </a:ln>
                  </pic:spPr>
                </pic:pic>
              </a:graphicData>
            </a:graphic>
          </wp:inline>
        </w:drawing>
      </w:r>
    </w:p>
    <w:p w14:paraId="79B8B6CC">
      <w:pPr>
        <w:spacing w:line="360" w:lineRule="auto"/>
        <w:ind w:firstLine="560" w:firstLineChars="200"/>
        <w:jc w:val="both"/>
        <w:rPr>
          <w:rFonts w:ascii="Arial" w:hAnsi="Arial" w:cs="Arial"/>
          <w:sz w:val="28"/>
        </w:rPr>
      </w:pPr>
      <w:r>
        <w:rPr>
          <w:rFonts w:hint="eastAsia" w:ascii="Arial" w:hAnsi="Arial" w:cs="Arial"/>
          <w:sz w:val="28"/>
        </w:rPr>
        <w:t>从不同区域来看，中心城区成交规模同比增长17%，其中海淀、朝阳、石景山成交规模均同比增长，丰台下降44%；近郊区成交规模同比下降7.7%，其中顺义区同比增长45.5%，大兴、昌平均同比下降，而房山、门头沟无宅地成交；远郊区成交规模同比下降85.4%。</w:t>
      </w:r>
    </w:p>
    <w:p w14:paraId="0854EA6F">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4392295" cy="3974465"/>
            <wp:effectExtent l="0" t="0" r="0" b="0"/>
            <wp:docPr id="3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392295" cy="3974465"/>
                    </a:xfrm>
                    <a:prstGeom prst="rect">
                      <a:avLst/>
                    </a:prstGeom>
                    <a:noFill/>
                    <a:ln>
                      <a:noFill/>
                    </a:ln>
                  </pic:spPr>
                </pic:pic>
              </a:graphicData>
            </a:graphic>
          </wp:inline>
        </w:drawing>
      </w:r>
    </w:p>
    <w:p w14:paraId="322B8B58">
      <w:pPr>
        <w:spacing w:line="360" w:lineRule="auto"/>
        <w:ind w:firstLine="560" w:firstLineChars="200"/>
        <w:jc w:val="both"/>
        <w:rPr>
          <w:rFonts w:ascii="Arial" w:hAnsi="Arial" w:cs="Arial"/>
          <w:sz w:val="28"/>
        </w:rPr>
      </w:pPr>
      <w:r>
        <w:rPr>
          <w:rFonts w:hint="eastAsia" w:ascii="Arial" w:hAnsi="Arial" w:cs="Arial"/>
          <w:sz w:val="28"/>
        </w:rPr>
        <w:t>3）土地成交价格</w:t>
      </w:r>
    </w:p>
    <w:p w14:paraId="4C5D7048">
      <w:pPr>
        <w:spacing w:line="360" w:lineRule="auto"/>
        <w:ind w:firstLine="560" w:firstLineChars="200"/>
        <w:jc w:val="both"/>
        <w:rPr>
          <w:rFonts w:ascii="Arial" w:hAnsi="Arial" w:cs="Arial"/>
          <w:sz w:val="28"/>
        </w:rPr>
      </w:pPr>
      <w:r>
        <w:rPr>
          <w:rFonts w:hint="eastAsia" w:ascii="Arial" w:hAnsi="Arial" w:cs="Arial"/>
          <w:sz w:val="28"/>
        </w:rPr>
        <w:t>2025年上半年，在海淀朱房村、树村核心热点地块带动下，北京宅地整体成交楼面均价42895元/平方米，同比增长39%。溢价率方面，受海淀树村、朱房以及通州梨园高溢价地块的带动下，北京上半年宅地成交溢价率7.17%，同比提升3.3个百分点。但整体来看市场热度依然分化明显，成交的22宗地块中，9宗地块溢价成交，海淀树村、朱房、半壁店，朝阳三间房，通州梨园及八里桥地块竞争激烈，海淀宝山地块低溢价成交，其余13宗地块以底价成交。</w:t>
      </w:r>
    </w:p>
    <w:p w14:paraId="513714B1">
      <w:pPr>
        <w:spacing w:line="360" w:lineRule="auto"/>
        <w:ind w:firstLine="560" w:firstLineChars="200"/>
        <w:jc w:val="both"/>
        <w:rPr>
          <w:rFonts w:ascii="Arial" w:hAnsi="Arial" w:cs="Arial"/>
          <w:sz w:val="28"/>
        </w:rPr>
      </w:pPr>
      <w:r>
        <w:rPr>
          <w:rFonts w:hint="eastAsia" w:ascii="Arial" w:hAnsi="Arial" w:cs="Arial"/>
          <w:sz w:val="28"/>
        </w:rPr>
        <w:t>图：2023年Q3至今北京市区涉宅用地楼面价和溢价率季度走势</w:t>
      </w:r>
    </w:p>
    <w:p w14:paraId="6EE4CE89">
      <w:pPr>
        <w:spacing w:line="360" w:lineRule="auto"/>
        <w:jc w:val="both"/>
        <w:rPr>
          <w:rFonts w:ascii="Arial" w:hAnsi="Arial" w:cs="Arial"/>
          <w:sz w:val="28"/>
        </w:rPr>
      </w:pPr>
      <w:r>
        <w:rPr>
          <w:rFonts w:hint="eastAsia" w:ascii="Arial" w:hAnsi="Arial" w:cs="Arial"/>
          <w:sz w:val="28"/>
        </w:rPr>
        <w:drawing>
          <wp:inline distT="0" distB="0" distL="0" distR="0">
            <wp:extent cx="5906770" cy="2714625"/>
            <wp:effectExtent l="0" t="0" r="0" b="0"/>
            <wp:docPr id="33" name="图片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1E1B621">
      <w:pPr>
        <w:spacing w:line="360" w:lineRule="auto"/>
        <w:ind w:firstLine="560" w:firstLineChars="200"/>
        <w:jc w:val="both"/>
        <w:rPr>
          <w:rFonts w:ascii="Arial" w:hAnsi="Arial" w:cs="Arial"/>
          <w:sz w:val="28"/>
        </w:rPr>
      </w:pPr>
      <w:r>
        <w:rPr>
          <w:rFonts w:hint="eastAsia" w:ascii="Arial" w:hAnsi="Arial" w:cs="Arial"/>
          <w:sz w:val="28"/>
        </w:rPr>
        <w:t>4）供应计划</w:t>
      </w:r>
    </w:p>
    <w:p w14:paraId="6BE7E923">
      <w:pPr>
        <w:spacing w:line="360" w:lineRule="auto"/>
        <w:ind w:firstLine="560" w:firstLineChars="200"/>
        <w:jc w:val="both"/>
        <w:rPr>
          <w:rFonts w:ascii="Arial" w:hAnsi="Arial" w:cs="Arial"/>
          <w:sz w:val="28"/>
        </w:rPr>
      </w:pPr>
      <w:r>
        <w:rPr>
          <w:rFonts w:hint="eastAsia" w:ascii="Arial" w:hAnsi="Arial" w:cs="Arial"/>
          <w:sz w:val="28"/>
        </w:rPr>
        <w:t>2025年1月17日，北京市规划和自然资源委员会、北京市发展和改革委员会联合发布《北京市2025年度建设用地供应计划》，2025年计划安排建设用地供应总量3165至3665公顷，较往年基本持平。住宅用地安排955-1015公顷，较去年略降。本次供地计划保持各地类总量稳定、优化各类要素空间结构布局，保障优势地区高质量发展，稳定预期、激发活力，推动首都经济持续回升向好。</w:t>
      </w:r>
    </w:p>
    <w:p w14:paraId="78399A40">
      <w:pPr>
        <w:spacing w:line="360" w:lineRule="auto"/>
        <w:ind w:firstLine="560" w:firstLineChars="200"/>
        <w:jc w:val="both"/>
        <w:rPr>
          <w:rFonts w:ascii="Arial" w:hAnsi="Arial" w:cs="Arial"/>
          <w:sz w:val="28"/>
        </w:rPr>
      </w:pPr>
      <w:r>
        <w:rPr>
          <w:rFonts w:hint="eastAsia" w:ascii="Arial" w:hAnsi="Arial" w:cs="Arial"/>
          <w:sz w:val="28"/>
        </w:rPr>
        <w:t>2025年2月25日北京市举办“2025年北京商品住宅用地推介会”，会上北京对外推介了69宗优质地块、建设用地面积427公顷、建筑规模828万㎡。69宗地块中，中心城区占其中25宗住宅用地，分别为海淀区4宗、朝阳区6宗、丰台区9宗、石景山区6宗。</w:t>
      </w:r>
    </w:p>
    <w:p w14:paraId="316E9BEF">
      <w:pPr>
        <w:spacing w:line="360" w:lineRule="auto"/>
        <w:ind w:firstLine="560" w:firstLineChars="200"/>
        <w:jc w:val="both"/>
        <w:rPr>
          <w:rFonts w:ascii="Arial" w:hAnsi="Arial" w:cs="Arial"/>
          <w:sz w:val="28"/>
        </w:rPr>
      </w:pPr>
      <w:r>
        <w:rPr>
          <w:rFonts w:hint="eastAsia" w:ascii="Arial" w:hAnsi="Arial" w:cs="Arial"/>
          <w:sz w:val="28"/>
        </w:rPr>
        <w:t>（2）商品房住宅市场</w:t>
      </w:r>
    </w:p>
    <w:p w14:paraId="31D46DDE">
      <w:pPr>
        <w:spacing w:line="360" w:lineRule="auto"/>
        <w:ind w:firstLine="560" w:firstLineChars="200"/>
        <w:jc w:val="both"/>
        <w:rPr>
          <w:rFonts w:ascii="Arial" w:hAnsi="Arial" w:cs="Arial"/>
          <w:sz w:val="28"/>
        </w:rPr>
      </w:pPr>
      <w:r>
        <w:rPr>
          <w:rFonts w:hint="eastAsia" w:ascii="Arial" w:hAnsi="Arial" w:cs="Arial"/>
          <w:sz w:val="28"/>
        </w:rPr>
        <w:t>1）商品住宅供给状况</w:t>
      </w:r>
    </w:p>
    <w:p w14:paraId="3FC7B5C6">
      <w:pPr>
        <w:spacing w:line="360" w:lineRule="auto"/>
        <w:ind w:firstLine="560" w:firstLineChars="200"/>
        <w:jc w:val="both"/>
        <w:rPr>
          <w:rFonts w:ascii="Arial" w:hAnsi="Arial" w:cs="Arial"/>
          <w:sz w:val="28"/>
        </w:rPr>
      </w:pPr>
      <w:r>
        <w:rPr>
          <w:rFonts w:hint="eastAsia" w:ascii="Arial" w:hAnsi="Arial" w:cs="Arial"/>
          <w:sz w:val="28"/>
        </w:rPr>
        <w:t>2025年上半年，北京商品住宅（不含保障性住房）累计供应251.35万平方米，同比增长26%。中海丽金府、保利建工·嘉华天珺、懋源云纪、颐海澐颂、和樾望雲、建发·海晏、中海萬吉玖序等中高端项目积极入市，带动北京楼市供应量上行。具体来看，1月新增供应规模约24万平方米，环比增加近八成；2月受春节假期影响，新增供应规模不足5万平方米；3月，随着市场的逐步恢复，房企供应节奏有所加快，在和樾望雲、颐海澐颂、和樾玉鸣等高端改善项目积极入市带动下，新房供应量环比涨幅达1718%，但整体供应规模仍不及去年同期；4月新增供应60.19万平方米，连续两月供应量超60万平方米；5月，懋源云纪、中海丽金府、华润臻云、中海丽泽叁號院等项目入市加推，带动北京楼市新增供应量连续三个月超60万平方米；6月，房企入市节奏放缓，新增供应量38.63万平方米，环比下降40%。</w:t>
      </w:r>
    </w:p>
    <w:p w14:paraId="36139208">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142865" cy="3028315"/>
            <wp:effectExtent l="0" t="0" r="0" b="0"/>
            <wp:docPr id="3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142865" cy="3028315"/>
                    </a:xfrm>
                    <a:prstGeom prst="rect">
                      <a:avLst/>
                    </a:prstGeom>
                    <a:noFill/>
                    <a:ln>
                      <a:noFill/>
                    </a:ln>
                  </pic:spPr>
                </pic:pic>
              </a:graphicData>
            </a:graphic>
          </wp:inline>
        </w:drawing>
      </w:r>
    </w:p>
    <w:p w14:paraId="0F7E371A">
      <w:pPr>
        <w:spacing w:line="360" w:lineRule="auto"/>
        <w:ind w:firstLine="560" w:firstLineChars="200"/>
        <w:jc w:val="both"/>
        <w:rPr>
          <w:rFonts w:ascii="Arial" w:hAnsi="Arial" w:cs="Arial"/>
          <w:sz w:val="28"/>
        </w:rPr>
      </w:pPr>
      <w:r>
        <w:rPr>
          <w:rFonts w:hint="eastAsia" w:ascii="Arial" w:hAnsi="Arial" w:cs="Arial"/>
          <w:sz w:val="28"/>
        </w:rPr>
        <w:t>2025年上半年北京商品住宅（不含保障房）供应量略高于成交量，导致库存规模有所回升。截至6月底，北京商品住宅（不含保障房）库存量约为981.88万平方米，较去年同期增加5%；月度来看，3-5月北京楼市供应量持续高位，连续三个月超60万平方米，带动库存规模回升。整体来看，930新政后，北京房地产市场平均去化速度明显加快，叠加库存规模的逐步回落，出清周期呈现出明显的下滑趋势；进入2025年2季度，伴随着供应量增加带动库存规模的回升，导致去化周期有所回升，截至到6月，北京楼市去化周期为22.8个月。</w:t>
      </w:r>
    </w:p>
    <w:p w14:paraId="768E356B">
      <w:pPr>
        <w:spacing w:line="360" w:lineRule="auto"/>
        <w:jc w:val="both"/>
        <w:rPr>
          <w:rFonts w:ascii="Arial" w:hAnsi="Arial" w:cs="Arial"/>
          <w:sz w:val="28"/>
        </w:rPr>
      </w:pPr>
      <w:r>
        <w:rPr>
          <w:rFonts w:hint="eastAsia" w:ascii="Arial" w:hAnsi="Arial" w:cs="Arial"/>
          <w:sz w:val="28"/>
        </w:rPr>
        <w:drawing>
          <wp:inline distT="0" distB="0" distL="0" distR="0">
            <wp:extent cx="5904230" cy="1887220"/>
            <wp:effectExtent l="0" t="0" r="0" b="0"/>
            <wp:docPr id="3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904230" cy="1887220"/>
                    </a:xfrm>
                    <a:prstGeom prst="rect">
                      <a:avLst/>
                    </a:prstGeom>
                    <a:noFill/>
                    <a:ln>
                      <a:noFill/>
                    </a:ln>
                  </pic:spPr>
                </pic:pic>
              </a:graphicData>
            </a:graphic>
          </wp:inline>
        </w:drawing>
      </w:r>
    </w:p>
    <w:p w14:paraId="70B4E75F">
      <w:pPr>
        <w:spacing w:line="360" w:lineRule="auto"/>
        <w:ind w:firstLine="560" w:firstLineChars="200"/>
        <w:jc w:val="both"/>
        <w:rPr>
          <w:rFonts w:ascii="Arial" w:hAnsi="Arial" w:cs="Arial"/>
          <w:sz w:val="28"/>
        </w:rPr>
      </w:pPr>
      <w:r>
        <w:rPr>
          <w:rFonts w:hint="eastAsia" w:ascii="Arial" w:hAnsi="Arial" w:cs="Arial"/>
          <w:sz w:val="28"/>
        </w:rPr>
        <w:t>2）商品住宅成交情况</w:t>
      </w:r>
    </w:p>
    <w:p w14:paraId="67F52E78">
      <w:pPr>
        <w:spacing w:line="360" w:lineRule="auto"/>
        <w:ind w:firstLine="560" w:firstLineChars="200"/>
        <w:jc w:val="both"/>
        <w:rPr>
          <w:rFonts w:ascii="Arial" w:hAnsi="Arial" w:cs="Arial"/>
          <w:sz w:val="28"/>
        </w:rPr>
      </w:pPr>
      <w:r>
        <w:rPr>
          <w:rFonts w:hint="eastAsia" w:ascii="Arial" w:hAnsi="Arial" w:cs="Arial"/>
          <w:sz w:val="28"/>
        </w:rPr>
        <w:t>A.成交量</w:t>
      </w:r>
    </w:p>
    <w:p w14:paraId="74569A30">
      <w:pPr>
        <w:spacing w:line="360" w:lineRule="auto"/>
        <w:ind w:firstLine="560" w:firstLineChars="200"/>
        <w:jc w:val="both"/>
        <w:rPr>
          <w:rFonts w:ascii="Arial" w:hAnsi="Arial" w:cs="Arial"/>
          <w:sz w:val="28"/>
        </w:rPr>
      </w:pPr>
      <w:r>
        <w:rPr>
          <w:rFonts w:hint="eastAsia" w:ascii="Arial" w:hAnsi="Arial" w:cs="Arial"/>
          <w:sz w:val="28"/>
        </w:rPr>
        <w:t>2025年上半年北京商品住宅成交规模约为234.13万平方米，同比增加20%，成交规模低位回升。分月度来看，受房企业绩冲刺节点影响，1月市场活跃度下滑，成交规模环比下滑；2月，在春节假期、自然日较少等多重因素影响下，市场活跃度季节性下滑；春节过后，高端改善项目积极入市、宅地市场局部高热为市场注入信心，带动市场积压需求持续释放，3月北京房地产市场热度回温；随着前期需求的快速释放，4月、5月市场活跃度下滑，成交走低；6月，房企为冲刺年中业绩，加大营销力度，叠加宽松政策环境的影响，成交规模回升。政策层面，两会政府工作报告首次将“稳住楼市”写进总体要求，同时指出调减房地产市场限制性措施，为市场传递了信心；4月25日政治局会议定调之后，金融部门积极跟进落实各项举措，5月7日国常会发布降准降息等一揽子金融政策，对提振房地产市场信心、稳定市场预期产生积极作用；6月13日，国常会定调更大力度推动房地产市场止跌回稳，而北京作为仍存限购等政策的城市，预计后续有望进一步优化楼市政策，逐步落实因区施策、调减楼市限制性措施等，进一步释放刚需和改善型需求积极入市，带动市场活跃度的提升。</w:t>
      </w:r>
    </w:p>
    <w:p w14:paraId="36419DFE">
      <w:pPr>
        <w:spacing w:line="360" w:lineRule="auto"/>
        <w:jc w:val="both"/>
        <w:rPr>
          <w:rFonts w:ascii="Arial" w:hAnsi="Arial" w:cs="Arial"/>
          <w:sz w:val="28"/>
        </w:rPr>
      </w:pPr>
      <w:r>
        <w:rPr>
          <w:rFonts w:hint="eastAsia" w:ascii="Arial" w:hAnsi="Arial" w:cs="Arial"/>
          <w:sz w:val="28"/>
        </w:rPr>
        <w:drawing>
          <wp:inline distT="0" distB="0" distL="0" distR="0">
            <wp:extent cx="5909310" cy="1585595"/>
            <wp:effectExtent l="0" t="0" r="0" b="0"/>
            <wp:docPr id="3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909310" cy="1585595"/>
                    </a:xfrm>
                    <a:prstGeom prst="rect">
                      <a:avLst/>
                    </a:prstGeom>
                    <a:noFill/>
                    <a:ln>
                      <a:noFill/>
                    </a:ln>
                  </pic:spPr>
                </pic:pic>
              </a:graphicData>
            </a:graphic>
          </wp:inline>
        </w:drawing>
      </w:r>
    </w:p>
    <w:p w14:paraId="59BFA037">
      <w:pPr>
        <w:spacing w:line="360" w:lineRule="auto"/>
        <w:ind w:firstLine="560" w:firstLineChars="200"/>
        <w:jc w:val="both"/>
        <w:rPr>
          <w:rFonts w:ascii="Arial" w:hAnsi="Arial" w:cs="Arial"/>
          <w:sz w:val="28"/>
        </w:rPr>
      </w:pPr>
      <w:r>
        <w:rPr>
          <w:rFonts w:hint="eastAsia" w:ascii="Arial" w:hAnsi="Arial" w:cs="Arial"/>
          <w:sz w:val="28"/>
        </w:rPr>
        <w:t>B.成交价格</w:t>
      </w:r>
    </w:p>
    <w:p w14:paraId="40D7FA91">
      <w:pPr>
        <w:spacing w:line="360" w:lineRule="auto"/>
        <w:ind w:firstLine="560" w:firstLineChars="200"/>
        <w:jc w:val="both"/>
        <w:rPr>
          <w:rFonts w:ascii="Arial" w:hAnsi="Arial" w:cs="Arial"/>
          <w:sz w:val="28"/>
        </w:rPr>
      </w:pPr>
      <w:r>
        <w:rPr>
          <w:rFonts w:hint="eastAsia" w:ascii="Arial" w:hAnsi="Arial" w:cs="Arial"/>
          <w:sz w:val="28"/>
        </w:rPr>
        <w:t>a.成交价格</w:t>
      </w:r>
    </w:p>
    <w:p w14:paraId="649DCB7E">
      <w:pPr>
        <w:spacing w:line="360" w:lineRule="auto"/>
        <w:ind w:firstLine="560" w:firstLineChars="200"/>
        <w:jc w:val="both"/>
        <w:rPr>
          <w:rFonts w:ascii="Arial" w:hAnsi="Arial" w:cs="Arial"/>
          <w:sz w:val="28"/>
        </w:rPr>
      </w:pPr>
      <w:r>
        <w:rPr>
          <w:rFonts w:hint="eastAsia" w:ascii="Arial" w:hAnsi="Arial" w:cs="Arial"/>
          <w:sz w:val="28"/>
        </w:rPr>
        <w:t>受结构性因素的影响，2025年上半年北京商品住宅价格同比上涨。2025年上半年，北京商品住宅（不含保障房）平均成交价格为60708元/平方米，同比上涨0.9%。主要原因是，伴随着房地产市场的持续调整，房企拿地趋于理性谨慎。为提升房企拿地积极性，近年来中心城区（含核心区）推出了多宗优质地块，中高端改善产品入市量增加，导致北京楼市成交均价呈现出结构性上涨的趋势。季度来看，一季度北京新建商品住宅成交均价为59093元/平方米，同比上涨2.1%；二季度，楼市成交均价为62050元/平方米，与去年同期基本持平。从房价指数来看，北京楼市房价指数仍延续上涨的趋势，上半年商品住房价格指数累计上涨1.9%，涨幅较去年同期扩大0.8个百分点。</w:t>
      </w:r>
    </w:p>
    <w:p w14:paraId="7EE0ED28">
      <w:pPr>
        <w:spacing w:line="360" w:lineRule="auto"/>
        <w:jc w:val="both"/>
        <w:rPr>
          <w:rFonts w:ascii="Arial" w:hAnsi="Arial" w:cs="Arial"/>
          <w:sz w:val="28"/>
        </w:rPr>
      </w:pPr>
      <w:r>
        <w:rPr>
          <w:rFonts w:hint="eastAsia" w:ascii="Arial" w:hAnsi="Arial" w:cs="Arial"/>
          <w:sz w:val="28"/>
        </w:rPr>
        <w:drawing>
          <wp:inline distT="0" distB="0" distL="0" distR="0">
            <wp:extent cx="5909310" cy="1828800"/>
            <wp:effectExtent l="0" t="0" r="0" b="0"/>
            <wp:docPr id="3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909310" cy="1828800"/>
                    </a:xfrm>
                    <a:prstGeom prst="rect">
                      <a:avLst/>
                    </a:prstGeom>
                    <a:noFill/>
                    <a:ln>
                      <a:noFill/>
                    </a:ln>
                  </pic:spPr>
                </pic:pic>
              </a:graphicData>
            </a:graphic>
          </wp:inline>
        </w:drawing>
      </w:r>
    </w:p>
    <w:p w14:paraId="3D910094">
      <w:pPr>
        <w:spacing w:line="360" w:lineRule="auto"/>
        <w:ind w:firstLine="560" w:firstLineChars="200"/>
        <w:jc w:val="both"/>
        <w:rPr>
          <w:rFonts w:ascii="Arial" w:hAnsi="Arial" w:cs="Arial"/>
          <w:sz w:val="28"/>
        </w:rPr>
      </w:pPr>
      <w:r>
        <w:rPr>
          <w:rFonts w:hint="eastAsia" w:ascii="Arial" w:hAnsi="Arial" w:cs="Arial"/>
          <w:sz w:val="28"/>
        </w:rPr>
        <w:t>b.成交结构</w:t>
      </w:r>
    </w:p>
    <w:p w14:paraId="70D705F3">
      <w:pPr>
        <w:spacing w:line="360" w:lineRule="auto"/>
        <w:ind w:firstLine="560" w:firstLineChars="200"/>
        <w:jc w:val="both"/>
        <w:rPr>
          <w:rFonts w:ascii="Arial" w:hAnsi="Arial" w:cs="Arial"/>
          <w:sz w:val="28"/>
        </w:rPr>
      </w:pPr>
      <w:r>
        <w:rPr>
          <w:rFonts w:hint="eastAsia" w:ascii="Arial" w:hAnsi="Arial" w:cs="Arial"/>
          <w:sz w:val="28"/>
        </w:rPr>
        <w:t>2025年上半年，90-200平米面积段的刚改和改善型产品成交占比提升，成交套数占比达71.7%，占比提升4.7个百分点，中低、高面积段产品成交占比均下滑。成交总价段在1200万之间的中高价位段产品成交占比提升较多，较去年同期增加3.8个百分点；中高总价段产品成交占比下滑，其 中500-1000万之间中高总价段产品成交占比下滑明显，较去年同期减少5.4个百分点；另外，500-800万之间产品仍为市场主力，成交占比为29.2%。</w:t>
      </w:r>
    </w:p>
    <w:p w14:paraId="0EEF6837">
      <w:pPr>
        <w:spacing w:line="360" w:lineRule="auto"/>
        <w:ind w:firstLine="560" w:firstLineChars="200"/>
        <w:jc w:val="both"/>
        <w:rPr>
          <w:rFonts w:ascii="Arial" w:hAnsi="Arial" w:cs="Arial"/>
          <w:sz w:val="28"/>
        </w:rPr>
      </w:pPr>
      <w:r>
        <w:rPr>
          <w:rFonts w:hint="eastAsia" w:ascii="Arial" w:hAnsi="Arial" w:cs="Arial"/>
          <w:sz w:val="28"/>
        </w:rPr>
        <w:t>2025年上半年，和樾望雲、颐海澐颂、和樾玉鸣、北京宸园、中海萬吉玖序、建发·海晏等高端改善项目热销，均位居全市项目销售金额榜TOP10前列，带动中高面积段和高总价产品成交占比出现明显的提升。主要原因一方面是热销项目主力户型位于120-180平之间；另一方面，入市项目区位优势较为明显，周边产业等配套资源丰富，市场需求支撑度较高，项目成交均价均超10万元/平方米。</w:t>
      </w:r>
    </w:p>
    <w:p w14:paraId="2AEFF68B">
      <w:pPr>
        <w:spacing w:line="360" w:lineRule="auto"/>
        <w:jc w:val="both"/>
        <w:rPr>
          <w:rFonts w:ascii="Arial" w:hAnsi="Arial" w:cs="Arial"/>
          <w:sz w:val="28"/>
        </w:rPr>
      </w:pPr>
      <w:r>
        <w:rPr>
          <w:rFonts w:hint="eastAsia" w:ascii="Arial" w:hAnsi="Arial" w:cs="Arial"/>
          <w:sz w:val="28"/>
        </w:rPr>
        <w:drawing>
          <wp:inline distT="0" distB="0" distL="0" distR="0">
            <wp:extent cx="5898515" cy="1849755"/>
            <wp:effectExtent l="0" t="0" r="0" b="0"/>
            <wp:docPr id="3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898515" cy="1849755"/>
                    </a:xfrm>
                    <a:prstGeom prst="rect">
                      <a:avLst/>
                    </a:prstGeom>
                    <a:noFill/>
                    <a:ln>
                      <a:noFill/>
                    </a:ln>
                  </pic:spPr>
                </pic:pic>
              </a:graphicData>
            </a:graphic>
          </wp:inline>
        </w:drawing>
      </w:r>
    </w:p>
    <w:p w14:paraId="2017CEFC">
      <w:pPr>
        <w:spacing w:line="360" w:lineRule="auto"/>
        <w:ind w:firstLine="560" w:firstLineChars="200"/>
        <w:jc w:val="both"/>
        <w:rPr>
          <w:rFonts w:ascii="Arial" w:hAnsi="Arial" w:cs="Arial"/>
          <w:sz w:val="28"/>
        </w:rPr>
      </w:pPr>
      <w:r>
        <w:rPr>
          <w:rFonts w:hint="eastAsia" w:ascii="Arial" w:hAnsi="Arial" w:cs="Arial"/>
          <w:sz w:val="28"/>
        </w:rPr>
        <w:t>C.区域成交</w:t>
      </w:r>
    </w:p>
    <w:p w14:paraId="1A552B8D">
      <w:pPr>
        <w:spacing w:line="360" w:lineRule="auto"/>
        <w:ind w:firstLine="560" w:firstLineChars="200"/>
        <w:jc w:val="both"/>
        <w:rPr>
          <w:rFonts w:ascii="Arial" w:hAnsi="Arial" w:cs="Arial"/>
          <w:sz w:val="28"/>
        </w:rPr>
      </w:pPr>
      <w:r>
        <w:rPr>
          <w:rFonts w:hint="eastAsia" w:ascii="Arial" w:hAnsi="Arial" w:cs="Arial"/>
          <w:sz w:val="28"/>
        </w:rPr>
        <w:t>从区域成交规模来看，近郊六区仍为市场成交主力区域，成交规模占比超五成。2025年上半年近郊六区成交119.41万平，占比达51.0%；其中，昌平、顺义累计成交占全市的比重均超10%。中心城区累计成交104.02万平，成交占比为44.4%，朝阳、海淀、丰台成交规模居前列，成交规模占全市的比重均超10%。</w:t>
      </w:r>
    </w:p>
    <w:p w14:paraId="2093FC6B">
      <w:pPr>
        <w:spacing w:line="360" w:lineRule="auto"/>
        <w:ind w:firstLine="560" w:firstLineChars="200"/>
        <w:jc w:val="both"/>
        <w:rPr>
          <w:rFonts w:ascii="Arial" w:hAnsi="Arial" w:cs="Arial"/>
          <w:sz w:val="28"/>
        </w:rPr>
      </w:pPr>
      <w:r>
        <w:rPr>
          <w:rFonts w:hint="eastAsia" w:ascii="Arial" w:hAnsi="Arial" w:cs="Arial"/>
          <w:sz w:val="28"/>
        </w:rPr>
        <w:t>从区域成交变化来看，中心城区成交规模明显增加、远郊区域同比下滑。其中，中心城区同比增加46%，海淀同比成倍增加，朝阳区和丰台区成交同比增幅超三成，东城区和西城区成交规模同比明显下滑，但基数较小；近郊区域成交同比增加7%，门头沟区同比增幅近两倍，房山区、昌平区和通州区成交同比涨幅均超10%，大兴成交同比下降24%；远郊区域成交规模同比减少15%，平谷区和延庆区成交同比领跌，同比跌幅分别为41%和25%。</w:t>
      </w:r>
    </w:p>
    <w:p w14:paraId="15633034">
      <w:pPr>
        <w:spacing w:line="360" w:lineRule="auto"/>
        <w:jc w:val="both"/>
        <w:rPr>
          <w:rFonts w:ascii="Arial" w:hAnsi="Arial" w:cs="Arial"/>
          <w:sz w:val="28"/>
        </w:rPr>
      </w:pPr>
      <w:r>
        <w:rPr>
          <w:rFonts w:hint="eastAsia" w:ascii="Arial" w:hAnsi="Arial" w:cs="Arial"/>
          <w:sz w:val="28"/>
        </w:rPr>
        <w:drawing>
          <wp:inline distT="0" distB="0" distL="0" distR="0">
            <wp:extent cx="5909310" cy="1945005"/>
            <wp:effectExtent l="0" t="0" r="0" b="0"/>
            <wp:docPr id="3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909310" cy="1945005"/>
                    </a:xfrm>
                    <a:prstGeom prst="rect">
                      <a:avLst/>
                    </a:prstGeom>
                    <a:noFill/>
                    <a:ln>
                      <a:noFill/>
                    </a:ln>
                  </pic:spPr>
                </pic:pic>
              </a:graphicData>
            </a:graphic>
          </wp:inline>
        </w:drawing>
      </w:r>
    </w:p>
    <w:p w14:paraId="2C7B3871">
      <w:pPr>
        <w:spacing w:line="360" w:lineRule="auto"/>
        <w:ind w:firstLine="560" w:firstLineChars="200"/>
        <w:jc w:val="both"/>
        <w:rPr>
          <w:rFonts w:ascii="Arial" w:hAnsi="Arial" w:cs="Arial"/>
          <w:sz w:val="28"/>
        </w:rPr>
      </w:pPr>
      <w:r>
        <w:rPr>
          <w:rFonts w:hint="eastAsia" w:ascii="Arial" w:hAnsi="Arial" w:cs="Arial"/>
          <w:sz w:val="28"/>
        </w:rPr>
        <w:t>从成交价格来看，2025年上半年中心城区商品住宅（不含保障房）成交均价最高，整体均价超10万/平方米，其中东、西城成交均价均超12万元/平方米，远郊区整体成交均价最低，整体均价不足3万/平方米，其中密云区成交均价最低，上半年成交均价仅22267元/平方米。</w:t>
      </w:r>
    </w:p>
    <w:p w14:paraId="218D545B">
      <w:pPr>
        <w:spacing w:line="360" w:lineRule="auto"/>
        <w:ind w:firstLine="560" w:firstLineChars="200"/>
        <w:jc w:val="both"/>
        <w:rPr>
          <w:rFonts w:ascii="Arial" w:hAnsi="Arial" w:cs="Arial"/>
          <w:sz w:val="28"/>
        </w:rPr>
      </w:pPr>
      <w:r>
        <w:rPr>
          <w:rFonts w:hint="eastAsia" w:ascii="Arial" w:hAnsi="Arial" w:cs="Arial"/>
          <w:sz w:val="28"/>
        </w:rPr>
        <w:t>从价格变化来看，2025年上半年中心城区、近郊区、远郊区房价均有所下跌；其中，中心城区商品住宅成交均价同比下跌1%，西城区和丰台区领跌，同比跌幅分别为 6%和4%；近郊区域成交均价同比下跌7%，大兴和顺义房价下跌明显，同比跌幅均超10%；远郊区域成交均价同比下跌8%，密云和评估同比跌幅超10 %。</w:t>
      </w:r>
    </w:p>
    <w:p w14:paraId="734B5356">
      <w:pPr>
        <w:spacing w:line="360" w:lineRule="auto"/>
        <w:jc w:val="both"/>
        <w:rPr>
          <w:rFonts w:ascii="Arial" w:hAnsi="Arial" w:cs="Arial"/>
          <w:sz w:val="28"/>
        </w:rPr>
      </w:pPr>
      <w:r>
        <w:rPr>
          <w:rFonts w:hint="eastAsia" w:ascii="Arial" w:hAnsi="Arial" w:cs="Arial"/>
          <w:sz w:val="28"/>
        </w:rPr>
        <w:drawing>
          <wp:inline distT="0" distB="0" distL="0" distR="0">
            <wp:extent cx="5909310" cy="2019300"/>
            <wp:effectExtent l="0" t="0" r="0" b="0"/>
            <wp:docPr id="4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909310" cy="2019300"/>
                    </a:xfrm>
                    <a:prstGeom prst="rect">
                      <a:avLst/>
                    </a:prstGeom>
                    <a:noFill/>
                    <a:ln>
                      <a:noFill/>
                    </a:ln>
                  </pic:spPr>
                </pic:pic>
              </a:graphicData>
            </a:graphic>
          </wp:inline>
        </w:drawing>
      </w:r>
    </w:p>
    <w:p w14:paraId="3275417F">
      <w:pPr>
        <w:spacing w:line="360" w:lineRule="auto"/>
        <w:ind w:firstLine="560" w:firstLineChars="200"/>
        <w:jc w:val="both"/>
        <w:rPr>
          <w:rFonts w:ascii="Arial" w:hAnsi="Arial" w:cs="Arial"/>
          <w:sz w:val="28"/>
        </w:rPr>
      </w:pPr>
      <w:r>
        <w:rPr>
          <w:rFonts w:hint="eastAsia" w:ascii="Arial" w:hAnsi="Arial" w:cs="Arial"/>
          <w:sz w:val="28"/>
        </w:rPr>
        <w:t>（3）存量房住宅市场</w:t>
      </w:r>
    </w:p>
    <w:p w14:paraId="42CF0242">
      <w:pPr>
        <w:spacing w:line="360" w:lineRule="auto"/>
        <w:ind w:firstLine="560" w:firstLineChars="200"/>
        <w:jc w:val="both"/>
        <w:rPr>
          <w:rFonts w:ascii="Arial" w:hAnsi="Arial" w:cs="Arial"/>
          <w:sz w:val="28"/>
        </w:rPr>
      </w:pPr>
      <w:r>
        <w:rPr>
          <w:rFonts w:hint="eastAsia" w:ascii="Arial" w:hAnsi="Arial" w:cs="Arial"/>
          <w:sz w:val="28"/>
        </w:rPr>
        <w:t>1）市场运行状况</w:t>
      </w:r>
    </w:p>
    <w:p w14:paraId="159CA7AB">
      <w:pPr>
        <w:spacing w:line="360" w:lineRule="auto"/>
        <w:ind w:firstLine="560" w:firstLineChars="200"/>
        <w:jc w:val="both"/>
        <w:rPr>
          <w:rFonts w:ascii="Arial" w:hAnsi="Arial" w:cs="Arial"/>
          <w:sz w:val="28"/>
        </w:rPr>
      </w:pPr>
      <w:r>
        <w:rPr>
          <w:rFonts w:hint="eastAsia" w:ascii="Arial" w:hAnsi="Arial" w:cs="Arial"/>
          <w:sz w:val="28"/>
        </w:rPr>
        <w:t>2025年上半年，北京存量房市场活跃度较高，累计成交8.86万套，同比增长18.4%，成交规模为近三年同期新高。从月度趋势来看，北京存量房市场热度先涨后降，受2024年契税新政集中网签及春节假期影响，1/2月北京存量商品住宅网签量相对较低，但月度网签量依然在1.2万套左右；在小阳春带动下，3月北京存量商品住宅冲高至1.92万套；二季度以来市场热度有所降温，4月网签量降至1.56万套，5月回落至1.5万套以下，6月小幅回升至1.51万套，整体来看，二季度成交量虽有所下降，但仍保持较高水平。</w:t>
      </w:r>
    </w:p>
    <w:p w14:paraId="5630582E">
      <w:pPr>
        <w:spacing w:line="360" w:lineRule="auto"/>
        <w:ind w:firstLine="560" w:firstLineChars="200"/>
        <w:jc w:val="both"/>
        <w:rPr>
          <w:rFonts w:ascii="Arial" w:hAnsi="Arial" w:cs="Arial"/>
          <w:sz w:val="28"/>
        </w:rPr>
      </w:pPr>
      <w:r>
        <w:rPr>
          <w:rFonts w:hint="eastAsia" w:ascii="Arial" w:hAnsi="Arial" w:cs="Arial"/>
          <w:sz w:val="28"/>
        </w:rPr>
        <w:t>2025年上半年，北京存量房市场延续“以价换量”主旋律。从统计局数据来看，1/2月二手房价格指数表现平稳，3月受小阳春传以及学区需求释放，购房者信心恢复，二手房价格环指数比上涨0.5%，至此，北京存量房已连续6个月环比上涨或持平。二季度以来，受存量房挂牌增加，学区需求下滑等因素影响，北京二手房价格指数环比持续下跌。</w:t>
      </w:r>
    </w:p>
    <w:p w14:paraId="74528DCF">
      <w:pPr>
        <w:spacing w:line="360" w:lineRule="auto"/>
        <w:jc w:val="both"/>
        <w:rPr>
          <w:rFonts w:ascii="Arial" w:hAnsi="Arial" w:cs="Arial"/>
          <w:sz w:val="28"/>
        </w:rPr>
      </w:pPr>
      <w:r>
        <w:rPr>
          <w:rFonts w:hint="eastAsia" w:ascii="Arial" w:hAnsi="Arial" w:cs="Arial"/>
          <w:sz w:val="28"/>
        </w:rPr>
        <w:drawing>
          <wp:inline distT="0" distB="0" distL="0" distR="0">
            <wp:extent cx="5904230" cy="1601470"/>
            <wp:effectExtent l="0" t="0" r="0" b="0"/>
            <wp:docPr id="4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904230" cy="1601470"/>
                    </a:xfrm>
                    <a:prstGeom prst="rect">
                      <a:avLst/>
                    </a:prstGeom>
                    <a:noFill/>
                    <a:ln>
                      <a:noFill/>
                    </a:ln>
                  </pic:spPr>
                </pic:pic>
              </a:graphicData>
            </a:graphic>
          </wp:inline>
        </w:drawing>
      </w:r>
    </w:p>
    <w:p w14:paraId="3ABA36AE">
      <w:pPr>
        <w:spacing w:line="360" w:lineRule="auto"/>
        <w:ind w:firstLine="560" w:firstLineChars="200"/>
        <w:jc w:val="both"/>
        <w:rPr>
          <w:rFonts w:ascii="Arial" w:hAnsi="Arial" w:cs="Arial"/>
          <w:sz w:val="28"/>
        </w:rPr>
      </w:pPr>
      <w:r>
        <w:rPr>
          <w:rFonts w:hint="eastAsia" w:ascii="Arial" w:hAnsi="Arial" w:cs="Arial"/>
          <w:sz w:val="28"/>
        </w:rPr>
        <w:t>2）各区县统计</w:t>
      </w:r>
    </w:p>
    <w:p w14:paraId="1E566D9B">
      <w:pPr>
        <w:spacing w:line="360" w:lineRule="auto"/>
        <w:ind w:firstLine="560" w:firstLineChars="200"/>
        <w:jc w:val="both"/>
        <w:rPr>
          <w:rFonts w:ascii="Arial" w:hAnsi="Arial" w:cs="Arial"/>
          <w:sz w:val="28"/>
        </w:rPr>
      </w:pPr>
      <w:r>
        <w:rPr>
          <w:rFonts w:hint="eastAsia" w:ascii="Arial" w:hAnsi="Arial" w:cs="Arial"/>
          <w:sz w:val="28"/>
        </w:rPr>
        <w:t>分区域来看，2025年上半年朝阳区存量房成交规模较大，成交规模达201.77万平方米，居各区第一位；海淀区、丰台区、昌平区、大兴区成交面积均超过60万平方米，成交规模居第二梯队；另外，远郊的平谷区、延庆区、怀柔区以及近郊的门头沟区存量房市场活跃度相对较低，成交规模均不足20万平方米。</w:t>
      </w:r>
    </w:p>
    <w:p w14:paraId="7D5E178B">
      <w:pPr>
        <w:spacing w:line="360" w:lineRule="auto"/>
        <w:ind w:firstLine="560" w:firstLineChars="200"/>
        <w:jc w:val="both"/>
        <w:rPr>
          <w:rFonts w:ascii="Arial" w:hAnsi="Arial" w:cs="Arial"/>
          <w:sz w:val="28"/>
        </w:rPr>
      </w:pPr>
      <w:r>
        <w:rPr>
          <w:rFonts w:hint="eastAsia" w:ascii="Arial" w:hAnsi="Arial" w:cs="Arial"/>
          <w:sz w:val="28"/>
        </w:rPr>
        <w:t>从同比变化来看，2025年上半年各区县存量房成交规模均同比上涨，其中门头沟区低基数下成交规模同比增加48%，朝阳区、东城区成交规模同比增幅超三成。成交价格方面，2025年上半年西城区成交价格最高，达115562元/平；其次为东城区，为98380元/平方米。</w:t>
      </w:r>
    </w:p>
    <w:p w14:paraId="0982D4C0">
      <w:pPr>
        <w:spacing w:line="360" w:lineRule="auto"/>
        <w:jc w:val="both"/>
        <w:rPr>
          <w:rFonts w:ascii="Arial" w:hAnsi="Arial" w:cs="Arial"/>
          <w:sz w:val="28"/>
        </w:rPr>
      </w:pPr>
      <w:r>
        <w:rPr>
          <w:rFonts w:hint="eastAsia" w:ascii="Arial" w:hAnsi="Arial" w:cs="Arial"/>
          <w:sz w:val="28"/>
        </w:rPr>
        <w:drawing>
          <wp:inline distT="0" distB="0" distL="0" distR="0">
            <wp:extent cx="5909310" cy="2119630"/>
            <wp:effectExtent l="0" t="0" r="0" b="0"/>
            <wp:docPr id="4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909310" cy="2119630"/>
                    </a:xfrm>
                    <a:prstGeom prst="rect">
                      <a:avLst/>
                    </a:prstGeom>
                    <a:noFill/>
                    <a:ln>
                      <a:noFill/>
                    </a:ln>
                  </pic:spPr>
                </pic:pic>
              </a:graphicData>
            </a:graphic>
          </wp:inline>
        </w:drawing>
      </w:r>
    </w:p>
    <w:p w14:paraId="26CDBDC5">
      <w:pPr>
        <w:spacing w:line="360" w:lineRule="auto"/>
        <w:ind w:firstLine="560" w:firstLineChars="200"/>
        <w:jc w:val="both"/>
        <w:rPr>
          <w:rFonts w:ascii="Arial" w:hAnsi="Arial" w:cs="Arial"/>
          <w:sz w:val="28"/>
        </w:rPr>
      </w:pPr>
      <w:r>
        <w:rPr>
          <w:rFonts w:hint="eastAsia" w:ascii="Arial" w:hAnsi="Arial" w:cs="Arial"/>
          <w:sz w:val="28"/>
        </w:rPr>
        <w:t>整体来看，北京市存量房对新房市场的分流效应逐步增强。2021年以来，北京市存量房成交占比波动增加。2025年上半年，北京新房市场虽有海淀、朝阳等改善项目的局部高热现象，但整体市场持续承压；反观存量房，市场热度较高，二季度虽有所下滑，但上半年成交套数升至近三年新高。2025年上半年北京存量商品住宅累计成交套数占比升至80%，较上年同期提高3个百分点。</w:t>
      </w:r>
    </w:p>
    <w:p w14:paraId="4F565FDB">
      <w:pPr>
        <w:spacing w:line="360" w:lineRule="auto"/>
        <w:jc w:val="both"/>
        <w:rPr>
          <w:rFonts w:ascii="Arial" w:hAnsi="Arial" w:cs="Arial"/>
          <w:sz w:val="28"/>
        </w:rPr>
      </w:pPr>
      <w:r>
        <w:rPr>
          <w:rFonts w:hint="eastAsia" w:ascii="Arial" w:hAnsi="Arial" w:cs="Arial"/>
          <w:sz w:val="28"/>
        </w:rPr>
        <w:drawing>
          <wp:inline distT="0" distB="0" distL="0" distR="0">
            <wp:extent cx="5909310" cy="1939925"/>
            <wp:effectExtent l="0" t="0" r="0" b="0"/>
            <wp:docPr id="4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909310" cy="1939925"/>
                    </a:xfrm>
                    <a:prstGeom prst="rect">
                      <a:avLst/>
                    </a:prstGeom>
                    <a:noFill/>
                    <a:ln>
                      <a:noFill/>
                    </a:ln>
                  </pic:spPr>
                </pic:pic>
              </a:graphicData>
            </a:graphic>
          </wp:inline>
        </w:drawing>
      </w:r>
    </w:p>
    <w:p w14:paraId="3F713FD4">
      <w:pPr>
        <w:spacing w:line="360" w:lineRule="auto"/>
        <w:ind w:firstLine="560" w:firstLineChars="200"/>
        <w:jc w:val="both"/>
        <w:rPr>
          <w:rFonts w:ascii="Arial" w:hAnsi="Arial" w:cs="Arial"/>
          <w:sz w:val="28"/>
        </w:rPr>
      </w:pPr>
      <w:r>
        <w:rPr>
          <w:rFonts w:hint="eastAsia" w:ascii="Arial" w:hAnsi="Arial" w:cs="Arial"/>
          <w:sz w:val="28"/>
        </w:rPr>
        <w:t>（4）未来市场预期</w:t>
      </w:r>
    </w:p>
    <w:p w14:paraId="617F45EA">
      <w:pPr>
        <w:spacing w:line="360" w:lineRule="auto"/>
        <w:ind w:firstLine="560" w:firstLineChars="200"/>
        <w:jc w:val="both"/>
        <w:rPr>
          <w:rFonts w:ascii="Arial" w:hAnsi="Arial" w:cs="Arial"/>
          <w:sz w:val="28"/>
        </w:rPr>
      </w:pPr>
      <w:r>
        <w:rPr>
          <w:rFonts w:hint="eastAsia" w:ascii="Arial" w:hAnsi="Arial" w:cs="Arial"/>
          <w:sz w:val="28"/>
        </w:rPr>
        <w:t>北京市住宅市场正处于转型升级的关键阶段，未来将呈现“总量平稳、结构优化”的发展格局。从短期来看，2025年下半年市场将在政策支持与需求释放的双重作用下保持平稳运行，核心区域优质住宅凭借稀缺性和完善配套仍具较强抗跌性，而供应充足的远郊区域或将延续“以价换量”态势。值得注意的是，随着住房消费理念升级，改善型需求持续释放，品质住宅将成为市场交易主力，推动行业从“规模竞争”向“品质竞争”转变。从中长期看，市场将呈现三大特征：一是住房供应体系更趋完善，形成“高端有市场、中端有支持、低端有保障”的多层次供应格局；二是区域发展更趋分化，核心区资产保值功能凸显，产业新城价值逐步释放；三是产品形态持续升级，绿色、智能、适老化住宅将成为行业发展新方向。在此过程中，城市更新和存量盘活将成为主要空间供给方式，为市场注入新的发展动能。要实现市场平稳健康发展，需要政策保持连续性和稳定性，企业加快转型升级步伐，购房者树立理性消费观念。总体而言，北京住宅市场正在从高速增长阶段转向高质量发展阶段，虽然短期面临调整压力，但随着发展模式转型和市场机制完善，有望实现更加健康、可持续的发展，为首都城市功能优化和高质量发展提供有力支撑。</w:t>
      </w:r>
    </w:p>
    <w:p w14:paraId="334A77A7">
      <w:pPr>
        <w:spacing w:line="360" w:lineRule="auto"/>
        <w:ind w:firstLine="560" w:firstLineChars="200"/>
        <w:jc w:val="both"/>
        <w:rPr>
          <w:rFonts w:ascii="Arial" w:hAnsi="Arial" w:cs="Arial"/>
          <w:sz w:val="28"/>
        </w:rPr>
      </w:pPr>
      <w:r>
        <w:rPr>
          <w:rFonts w:hint="eastAsia" w:ascii="Arial" w:hAnsi="Arial" w:cs="Arial"/>
          <w:sz w:val="28"/>
        </w:rPr>
        <w:t>3.产业政策</w:t>
      </w:r>
    </w:p>
    <w:p w14:paraId="358F1166">
      <w:pPr>
        <w:spacing w:line="360" w:lineRule="auto"/>
        <w:ind w:firstLine="560" w:firstLineChars="200"/>
        <w:jc w:val="both"/>
        <w:rPr>
          <w:rFonts w:ascii="Arial" w:hAnsi="Arial" w:cs="Arial"/>
          <w:sz w:val="28"/>
        </w:rPr>
      </w:pPr>
      <w:r>
        <w:rPr>
          <w:rFonts w:hint="eastAsia" w:ascii="Arial" w:hAnsi="Arial" w:cs="Arial"/>
          <w:sz w:val="28"/>
        </w:rPr>
        <w:t>◆  产业优惠政策</w:t>
      </w:r>
    </w:p>
    <w:p w14:paraId="7B248D79">
      <w:pPr>
        <w:spacing w:line="360" w:lineRule="auto"/>
        <w:ind w:firstLine="560" w:firstLineChars="200"/>
        <w:jc w:val="both"/>
        <w:rPr>
          <w:rFonts w:ascii="Arial" w:hAnsi="Arial" w:cs="Arial"/>
          <w:sz w:val="28"/>
        </w:rPr>
      </w:pPr>
      <w:r>
        <w:rPr>
          <w:rFonts w:hint="eastAsia" w:ascii="Arial" w:hAnsi="Arial" w:cs="Arial"/>
          <w:sz w:val="28"/>
        </w:rPr>
        <w:t>全国：</w:t>
      </w:r>
    </w:p>
    <w:p w14:paraId="6B7EF7B8">
      <w:pPr>
        <w:spacing w:line="360" w:lineRule="auto"/>
        <w:ind w:firstLine="560" w:firstLineChars="200"/>
        <w:jc w:val="both"/>
        <w:rPr>
          <w:rFonts w:ascii="Arial" w:hAnsi="Arial" w:cs="Arial"/>
          <w:sz w:val="28"/>
        </w:rPr>
      </w:pPr>
      <w:r>
        <w:rPr>
          <w:rFonts w:hint="eastAsia" w:ascii="Arial" w:hAnsi="Arial" w:cs="Arial"/>
          <w:sz w:val="28"/>
        </w:rPr>
        <w:t>2024年7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3FBE4E70">
      <w:pPr>
        <w:spacing w:line="360" w:lineRule="auto"/>
        <w:ind w:firstLine="560" w:firstLineChars="200"/>
        <w:jc w:val="both"/>
        <w:rPr>
          <w:rFonts w:ascii="Arial" w:hAnsi="Arial" w:cs="Arial"/>
          <w:sz w:val="28"/>
        </w:rPr>
      </w:pPr>
      <w:r>
        <w:rPr>
          <w:rFonts w:hint="eastAsia" w:ascii="Arial" w:hAnsi="Arial" w:cs="Arial"/>
          <w:sz w:val="28"/>
        </w:rPr>
        <w:t>2024年7月30日，中共中央政治局召开会议，分析研究当前经济形势，部署下半年经济工作。会议为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5607BD42">
      <w:pPr>
        <w:spacing w:line="360" w:lineRule="auto"/>
        <w:ind w:firstLine="560" w:firstLineChars="200"/>
        <w:jc w:val="both"/>
        <w:rPr>
          <w:rFonts w:ascii="Arial" w:hAnsi="Arial" w:cs="Arial"/>
          <w:sz w:val="28"/>
        </w:rPr>
      </w:pPr>
      <w:r>
        <w:rPr>
          <w:rFonts w:hint="eastAsia" w:ascii="Arial" w:hAnsi="Arial" w:cs="Arial"/>
          <w:sz w:val="28"/>
        </w:rPr>
        <w:t>2024年9月26日，中共中央政治局召开会议，分析研究当前经济形势，部署下一步经济工作。会议对房地产政策进行了重点部署，首次提出要“促进房地产市场止跌回稳”，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振市场信心。三、项目贷款：加大“白名单”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31DECC3C">
      <w:pPr>
        <w:spacing w:line="360" w:lineRule="auto"/>
        <w:ind w:firstLine="560" w:firstLineChars="200"/>
        <w:jc w:val="both"/>
        <w:rPr>
          <w:rFonts w:ascii="Arial" w:hAnsi="Arial" w:cs="Arial"/>
          <w:sz w:val="28"/>
        </w:rPr>
      </w:pPr>
      <w:r>
        <w:rPr>
          <w:rFonts w:hint="eastAsia" w:ascii="Arial" w:hAnsi="Arial" w:cs="Arial"/>
          <w:sz w:val="28"/>
        </w:rPr>
        <w:t>2024年12月11日至12日，2024年中央经济工作会议举行。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5421691E">
      <w:pPr>
        <w:spacing w:line="360" w:lineRule="auto"/>
        <w:ind w:firstLine="560" w:firstLineChars="200"/>
        <w:jc w:val="both"/>
        <w:rPr>
          <w:rFonts w:ascii="Arial" w:hAnsi="Arial" w:cs="Arial"/>
          <w:sz w:val="28"/>
        </w:rPr>
      </w:pPr>
      <w:r>
        <w:rPr>
          <w:rFonts w:hint="eastAsia" w:ascii="Arial" w:hAnsi="Arial" w:cs="Arial"/>
          <w:sz w:val="28"/>
        </w:rPr>
        <w:t>2024年12月24日至25日，全国住房城乡建设工作会议在北京召开。会议系统总结2024年工作，部署进一步全面深化住房城乡建设领域改革，明确2025年重点任务，奋力推进住房城乡建设事业高质量发展。会议强调，2025年的工作要重点抓好5大板块22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新城建”为引擎打造高水平“数字住建”五个方面，大力实施城市更新。四、从全面深化建筑业改革、以更高质量的制度供给激发活力、整体提升工程建设标准、支持打造形成现代化建筑产业链和把绿色建筑培育发展成新的经济增长点五个方面，打造“中国建造”升级版。五、从提高住宅建设标准、构建支持住房品质提升的制度体系、支持房企打造好房子样板、推进老旧住宅更新改造和大力实施物业服务质量提升行动五个方面，建设安全、舒适、绿色、智慧的好房子。</w:t>
      </w:r>
    </w:p>
    <w:p w14:paraId="07CE3621">
      <w:pPr>
        <w:spacing w:line="360" w:lineRule="auto"/>
        <w:ind w:firstLine="560" w:firstLineChars="200"/>
        <w:jc w:val="both"/>
        <w:rPr>
          <w:rFonts w:ascii="Arial" w:hAnsi="Arial" w:cs="Arial"/>
          <w:sz w:val="28"/>
        </w:rPr>
      </w:pPr>
      <w:r>
        <w:rPr>
          <w:rFonts w:hint="eastAsia" w:ascii="Arial" w:hAnsi="Arial" w:cs="Arial"/>
          <w:sz w:val="28"/>
        </w:rPr>
        <w:t>2025年3月5日全国两会召开。关于房地产的定调，政府工作报告延续了去年底中央经济工作会议基调，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0DED91F5">
      <w:pPr>
        <w:spacing w:line="360" w:lineRule="auto"/>
        <w:ind w:firstLine="560" w:firstLineChars="200"/>
        <w:jc w:val="both"/>
        <w:rPr>
          <w:rFonts w:ascii="Arial" w:hAnsi="Arial" w:cs="Arial"/>
          <w:sz w:val="28"/>
        </w:rPr>
      </w:pPr>
      <w:r>
        <w:rPr>
          <w:rFonts w:hint="eastAsia" w:ascii="Arial" w:hAnsi="Arial" w:cs="Arial"/>
          <w:sz w:val="28"/>
        </w:rPr>
        <w:t>2025年4月3日，财政部办公厅、住房城乡建设部办公厅联合发布《关于开展2025年度中央财政支持实施城市更新行动的通知》。《通知》提出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p>
    <w:p w14:paraId="64AB9E4B">
      <w:pPr>
        <w:spacing w:line="360" w:lineRule="auto"/>
        <w:ind w:firstLine="560" w:firstLineChars="200"/>
        <w:jc w:val="both"/>
        <w:rPr>
          <w:rFonts w:ascii="Arial" w:hAnsi="Arial" w:cs="Arial"/>
          <w:sz w:val="28"/>
        </w:rPr>
      </w:pPr>
      <w:r>
        <w:rPr>
          <w:rFonts w:hint="eastAsia" w:ascii="Arial" w:hAnsi="Arial" w:cs="Arial"/>
          <w:sz w:val="28"/>
        </w:rPr>
        <w:t>2025年4月25日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4C7E7912">
      <w:pPr>
        <w:spacing w:line="360" w:lineRule="auto"/>
        <w:ind w:firstLine="560" w:firstLineChars="200"/>
        <w:jc w:val="both"/>
        <w:rPr>
          <w:rFonts w:ascii="Arial" w:hAnsi="Arial" w:cs="Arial"/>
          <w:sz w:val="28"/>
        </w:rPr>
      </w:pPr>
      <w:r>
        <w:rPr>
          <w:rFonts w:hint="eastAsia" w:ascii="Arial" w:hAnsi="Arial" w:cs="Arial"/>
          <w:sz w:val="28"/>
        </w:rPr>
        <w:t>2025年5月15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187D492A">
      <w:pPr>
        <w:spacing w:line="360" w:lineRule="auto"/>
        <w:ind w:firstLine="560" w:firstLineChars="200"/>
        <w:jc w:val="both"/>
        <w:rPr>
          <w:rFonts w:ascii="Arial" w:hAnsi="Arial" w:cs="Arial"/>
          <w:sz w:val="28"/>
        </w:rPr>
      </w:pPr>
      <w:r>
        <w:rPr>
          <w:rFonts w:hint="eastAsia" w:ascii="Arial" w:hAnsi="Arial" w:cs="Arial"/>
          <w:sz w:val="28"/>
        </w:rPr>
        <w:t>2025年6月13日国务院常务会议召开，其中重点部署了房地产相关政策，核心目标是“更大力度推动房地产市场止跌回稳”，并围绕构建房地产发展新模式、推进“好房子”建设、盘活存量资源等方面提出具体措施。</w:t>
      </w:r>
    </w:p>
    <w:p w14:paraId="5BE277D0">
      <w:pPr>
        <w:spacing w:line="360" w:lineRule="auto"/>
        <w:ind w:firstLine="560" w:firstLineChars="200"/>
        <w:jc w:val="both"/>
        <w:rPr>
          <w:rFonts w:ascii="Arial" w:hAnsi="Arial" w:cs="Arial"/>
          <w:sz w:val="28"/>
        </w:rPr>
      </w:pPr>
      <w:r>
        <w:rPr>
          <w:rFonts w:hint="eastAsia" w:ascii="Arial" w:hAnsi="Arial" w:cs="Arial"/>
          <w:sz w:val="28"/>
        </w:rPr>
        <w:t>北京：</w:t>
      </w:r>
    </w:p>
    <w:p w14:paraId="2075AFE4">
      <w:pPr>
        <w:spacing w:line="360" w:lineRule="auto"/>
        <w:ind w:firstLine="560" w:firstLineChars="200"/>
        <w:jc w:val="both"/>
        <w:rPr>
          <w:rFonts w:ascii="Arial" w:hAnsi="Arial" w:cs="Arial"/>
          <w:sz w:val="28"/>
        </w:rPr>
      </w:pPr>
      <w:r>
        <w:rPr>
          <w:rFonts w:hint="eastAsia" w:ascii="Arial" w:hAnsi="Arial" w:cs="Arial"/>
          <w:sz w:val="28"/>
        </w:rPr>
        <w:t>2024年6月26日，北京市住房和城乡建设委员会、中国人民银行北京市分行、国家金融监督管理总局北京监管局、北京住房公积金管理中心联合发布《关于优化本市房地产市场平稳健康发展政策措施的通知》。《通知》明确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以旧换新”活动等政策措施。</w:t>
      </w:r>
    </w:p>
    <w:p w14:paraId="022798DC">
      <w:pPr>
        <w:spacing w:line="360" w:lineRule="auto"/>
        <w:ind w:firstLine="560" w:firstLineChars="200"/>
        <w:jc w:val="both"/>
        <w:rPr>
          <w:rFonts w:ascii="Arial" w:hAnsi="Arial" w:cs="Arial"/>
          <w:sz w:val="28"/>
        </w:rPr>
      </w:pPr>
      <w:r>
        <w:rPr>
          <w:rFonts w:hint="eastAsia" w:ascii="Arial" w:hAnsi="Arial" w:cs="Arial"/>
          <w:sz w:val="28"/>
        </w:rPr>
        <w:t>2024年7月31日，北京市住房和城乡建设委员会、中国人民银行北京市分行、国家金融监督管理总局北京监管局、北京住房公积金管理中心联合发布《关于印发北京市住房租赁押金托管和租金监管暂行办法的通知》。《通知》明确将承租他人住房从事转租的住房租赁企业收取的租金纳入监管，押金应当按照住房租赁合同约定的押金支付时间、金额存入用于押金托管的账户。住房租赁合同约定预收租金数额超过3个月租金的，全部租金应当按合同约定的租金支付时间、金额存入用于租金监管的账户。承租人可通过住房租赁合同备案编号等信息查询账户余额。该办法将于2024年10月1日起施行。</w:t>
      </w:r>
    </w:p>
    <w:p w14:paraId="0C17FE72">
      <w:pPr>
        <w:spacing w:line="360" w:lineRule="auto"/>
        <w:ind w:firstLine="560" w:firstLineChars="200"/>
        <w:jc w:val="both"/>
        <w:rPr>
          <w:rFonts w:ascii="Arial" w:hAnsi="Arial" w:cs="Arial"/>
          <w:sz w:val="28"/>
        </w:rPr>
      </w:pPr>
      <w:r>
        <w:rPr>
          <w:rFonts w:hint="eastAsia" w:ascii="Arial" w:hAnsi="Arial" w:cs="Arial"/>
          <w:sz w:val="28"/>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p>
    <w:p w14:paraId="420502DA">
      <w:pPr>
        <w:spacing w:line="360" w:lineRule="auto"/>
        <w:ind w:firstLine="560" w:firstLineChars="200"/>
        <w:jc w:val="both"/>
        <w:rPr>
          <w:rFonts w:ascii="Arial" w:hAnsi="Arial" w:cs="Arial"/>
          <w:sz w:val="28"/>
        </w:rPr>
      </w:pPr>
      <w:r>
        <w:rPr>
          <w:rFonts w:hint="eastAsia" w:ascii="Arial" w:hAnsi="Arial" w:cs="Arial"/>
          <w:sz w:val="28"/>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p>
    <w:p w14:paraId="4E7150DC">
      <w:pPr>
        <w:spacing w:line="360" w:lineRule="auto"/>
        <w:ind w:firstLine="560" w:firstLineChars="200"/>
        <w:jc w:val="both"/>
        <w:rPr>
          <w:rFonts w:ascii="Arial" w:hAnsi="Arial" w:cs="Arial"/>
          <w:sz w:val="28"/>
        </w:rPr>
      </w:pPr>
      <w:r>
        <w:rPr>
          <w:rFonts w:hint="eastAsia" w:ascii="Arial" w:hAnsi="Arial" w:cs="Arial"/>
          <w:sz w:val="28"/>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p>
    <w:p w14:paraId="732274D9">
      <w:pPr>
        <w:spacing w:line="360" w:lineRule="auto"/>
        <w:ind w:firstLine="560" w:firstLineChars="200"/>
        <w:jc w:val="both"/>
        <w:rPr>
          <w:rFonts w:ascii="Arial" w:hAnsi="Arial" w:cs="Arial"/>
          <w:sz w:val="28"/>
        </w:rPr>
      </w:pPr>
      <w:r>
        <w:rPr>
          <w:rFonts w:hint="eastAsia" w:ascii="Arial" w:hAnsi="Arial" w:cs="Arial"/>
          <w:sz w:val="28"/>
        </w:rPr>
        <w:t>2025年2月12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p>
    <w:p w14:paraId="4E75774A">
      <w:pPr>
        <w:spacing w:line="360" w:lineRule="auto"/>
        <w:ind w:firstLine="560" w:firstLineChars="200"/>
        <w:jc w:val="both"/>
        <w:rPr>
          <w:rFonts w:ascii="Arial" w:hAnsi="Arial" w:cs="Arial"/>
          <w:sz w:val="28"/>
        </w:rPr>
      </w:pPr>
      <w:r>
        <w:rPr>
          <w:rFonts w:hint="eastAsia" w:ascii="Arial" w:hAnsi="Arial" w:cs="Arial"/>
          <w:sz w:val="28"/>
        </w:rPr>
        <w:t>2025年5月9日，北京市住房和城乡建设委员会发布《关于印发〈2025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11423A75">
      <w:pPr>
        <w:spacing w:line="360" w:lineRule="auto"/>
        <w:ind w:firstLine="560" w:firstLineChars="200"/>
        <w:jc w:val="both"/>
        <w:rPr>
          <w:rFonts w:ascii="Arial" w:hAnsi="Arial" w:cs="Arial"/>
          <w:sz w:val="28"/>
        </w:rPr>
      </w:pPr>
      <w:r>
        <w:rPr>
          <w:rFonts w:hint="eastAsia" w:ascii="Arial" w:hAnsi="Arial" w:cs="Arial"/>
          <w:sz w:val="28"/>
        </w:rPr>
        <w:t>◆  税收政策：</w:t>
      </w:r>
    </w:p>
    <w:p w14:paraId="383BC846">
      <w:pPr>
        <w:spacing w:line="360" w:lineRule="auto"/>
        <w:ind w:firstLine="560" w:firstLineChars="200"/>
        <w:jc w:val="both"/>
        <w:rPr>
          <w:rFonts w:ascii="Arial" w:hAnsi="Arial" w:cs="Arial"/>
          <w:sz w:val="28"/>
        </w:rPr>
      </w:pPr>
      <w:r>
        <w:rPr>
          <w:rFonts w:hint="eastAsia" w:ascii="Arial" w:hAnsi="Arial" w:cs="Arial"/>
          <w:sz w:val="28"/>
        </w:rPr>
        <w:t>2025年4月，国家税务总局12366纳税服务平台以热点问题答复形式回应：纳税人按照《关于降低存量首套住房贷款 利率有关事项的通知》规定“二套转首套”，其商业住房贷款部分已执行首套住房贷款利率的，符合《国务院 关于印发个人所得税专项附加扣除暂行办法的通知》(国发〔2018〕41号)有关住房贷款利息专项附加扣除的 规定且之前未享受过住房贷款利息专项附加扣除的，可以自按照首套住房贷款利率开始还款的当月起享受住房贷款利息专项附加扣除。</w:t>
      </w:r>
    </w:p>
    <w:p w14:paraId="529EF8B8">
      <w:pPr>
        <w:spacing w:line="360" w:lineRule="auto"/>
        <w:ind w:firstLine="560" w:firstLineChars="200"/>
        <w:jc w:val="both"/>
        <w:rPr>
          <w:rFonts w:ascii="Arial" w:hAnsi="Arial" w:cs="Arial"/>
          <w:sz w:val="28"/>
        </w:rPr>
      </w:pPr>
      <w:r>
        <w:rPr>
          <w:rFonts w:hint="eastAsia" w:ascii="Arial" w:hAnsi="Arial" w:cs="Arial"/>
          <w:sz w:val="28"/>
        </w:rPr>
        <w:t>◆  金融政策：</w:t>
      </w:r>
    </w:p>
    <w:p w14:paraId="09CBA178">
      <w:pPr>
        <w:spacing w:line="360" w:lineRule="auto"/>
        <w:ind w:firstLine="560" w:firstLineChars="200"/>
        <w:jc w:val="both"/>
        <w:rPr>
          <w:rFonts w:ascii="Arial" w:hAnsi="Arial" w:cs="Arial"/>
          <w:sz w:val="28"/>
        </w:rPr>
      </w:pPr>
      <w:r>
        <w:rPr>
          <w:rFonts w:hint="eastAsia" w:ascii="Arial" w:hAnsi="Arial" w:cs="Arial"/>
          <w:sz w:val="28"/>
        </w:rPr>
        <w:t>全国：</w:t>
      </w:r>
    </w:p>
    <w:p w14:paraId="230C8F8B">
      <w:pPr>
        <w:spacing w:line="360" w:lineRule="auto"/>
        <w:ind w:firstLine="560" w:firstLineChars="200"/>
        <w:jc w:val="both"/>
        <w:rPr>
          <w:rFonts w:ascii="Arial" w:hAnsi="Arial" w:cs="Arial"/>
          <w:sz w:val="28"/>
        </w:rPr>
      </w:pPr>
      <w:r>
        <w:rPr>
          <w:rFonts w:hint="eastAsia" w:ascii="Arial" w:hAnsi="Arial" w:cs="Arial"/>
          <w:sz w:val="28"/>
        </w:rPr>
        <w:t>2025年5月7日，中国人民银行公告，下调金融机构存款准备金率、下调再贷款利率、下调个人住房公积金贷款利率：自5月15日起，下调金融机构存款准备金率0.5个百分点；自5月7日起，下调再贷款利率0.25个百分点；自5月 8日起，下调个人住房公积金贷款利率0.25个百分点。</w:t>
      </w:r>
    </w:p>
    <w:p w14:paraId="1D003FE9">
      <w:pPr>
        <w:spacing w:line="360" w:lineRule="auto"/>
        <w:ind w:firstLine="560" w:firstLineChars="200"/>
        <w:jc w:val="both"/>
        <w:rPr>
          <w:rFonts w:ascii="Arial" w:hAnsi="Arial" w:cs="Arial"/>
          <w:sz w:val="28"/>
        </w:rPr>
      </w:pPr>
      <w:r>
        <w:rPr>
          <w:rFonts w:hint="eastAsia" w:ascii="Arial" w:hAnsi="Arial" w:cs="Arial"/>
          <w:sz w:val="28"/>
        </w:rPr>
        <w:t>北京：</w:t>
      </w:r>
    </w:p>
    <w:p w14:paraId="48E491E6">
      <w:pPr>
        <w:spacing w:line="360" w:lineRule="auto"/>
        <w:ind w:firstLine="560" w:firstLineChars="200"/>
        <w:jc w:val="both"/>
        <w:rPr>
          <w:rFonts w:ascii="Arial" w:hAnsi="Arial" w:cs="Arial"/>
          <w:sz w:val="28"/>
        </w:rPr>
      </w:pPr>
      <w:r>
        <w:rPr>
          <w:rFonts w:hint="eastAsia" w:ascii="Arial" w:hAnsi="Arial" w:cs="Arial"/>
          <w:sz w:val="28"/>
        </w:rPr>
        <w:t>2024年6月26日，北京市住房和城乡建设委员会、北京住房公积金管理中心联合发布《关于调整本市公积金个人住房贷款最低首付款比例政策的通知》和《关于住房公积金支持北京市建筑绿色发展的实施办法》两个文件。其中，《关于调整本市公积金个人住房贷款最低首付款比例政策的通知》明确自通知印发次日起，对于使用贷款购买首套商品住房的居民家庭，最低首付款比例调整为不低于20%。对于使用贷款购买二套商品住房的居民家庭，所购住房位于五环以内的，最低首付款比例不低于35%；所购商品住房位于五环以外的，最低首付款比例不低于30%。</w:t>
      </w:r>
    </w:p>
    <w:p w14:paraId="4E7BAFEB">
      <w:pPr>
        <w:spacing w:line="360" w:lineRule="auto"/>
        <w:ind w:firstLine="560" w:firstLineChars="200"/>
        <w:jc w:val="both"/>
        <w:rPr>
          <w:rFonts w:ascii="Arial" w:hAnsi="Arial" w:cs="Arial"/>
          <w:sz w:val="28"/>
        </w:rPr>
      </w:pPr>
      <w:r>
        <w:rPr>
          <w:rFonts w:hint="eastAsia" w:ascii="Arial" w:hAnsi="Arial" w:cs="Arial"/>
          <w:sz w:val="28"/>
        </w:rPr>
        <w:t>2024年9月30日，北京市住房和城乡建设委员会、北京市财政局、中国人民银行北京市分行、国家金融监督管理总局北京监管局、国家税务总局北京市税务局、北京住房公积金管理中心联合发布《关于进一步优化调整本市房地产相关政策的通知》。《通知》提出，加大信贷政策支持力度。一是降低存量房贷利率。引导商业银行稳妥有序将存量房贷利率降至新发放贷款利率附近，切实减轻购房人房贷利息负担。二是下调房贷首付款比例。将商业性个人住房贷款首套房贷最低首付款比例由不低于20%下调至不低于15%，二套房贷由不低于35%（购买五环内住房）、不低于30%（购买五环外住房）统一下调至不低于20%。三是更好发挥住房公积金贷款作用。京籍二孩以上家庭购房的，公积金可贷款额度上浮40万元。</w:t>
      </w:r>
    </w:p>
    <w:p w14:paraId="727149BF">
      <w:pPr>
        <w:spacing w:line="360" w:lineRule="auto"/>
        <w:ind w:firstLine="560" w:firstLineChars="200"/>
        <w:jc w:val="both"/>
        <w:rPr>
          <w:rFonts w:ascii="Arial" w:hAnsi="Arial" w:cs="Arial"/>
          <w:sz w:val="28"/>
        </w:rPr>
      </w:pPr>
      <w:r>
        <w:rPr>
          <w:rFonts w:hint="eastAsia" w:ascii="Arial" w:hAnsi="Arial" w:cs="Arial"/>
          <w:sz w:val="28"/>
        </w:rPr>
        <w:t>2024年12月31日，北京住房公积金管理中心发布《关于调整住房公积金个人住房贷款借款人年龄上限的通知》，将住房公积金个人住房贷款借款期限调整到可计算到借款申请人法定退休年龄后5年，原则上最高不超过68周岁，贷款期限最长为30年。《通知》自2025年1月1日起执行。</w:t>
      </w:r>
    </w:p>
    <w:p w14:paraId="33A098E4">
      <w:pPr>
        <w:spacing w:line="360" w:lineRule="auto"/>
        <w:ind w:firstLine="560" w:firstLineChars="200"/>
        <w:jc w:val="both"/>
        <w:rPr>
          <w:rFonts w:ascii="Arial" w:hAnsi="Arial" w:cs="Arial"/>
          <w:sz w:val="28"/>
        </w:rPr>
      </w:pPr>
      <w:r>
        <w:rPr>
          <w:rFonts w:hint="eastAsia" w:ascii="Arial" w:hAnsi="Arial" w:cs="Arial"/>
          <w:sz w:val="28"/>
        </w:rPr>
        <w:t>2025年5月8日，北京住房公积金管理中心发布《关于下调个人住房公积金贷款利率的公告》，2025年5月8日（含）之后新发放的贷款，5年以下（含5年）和5年以上首套个人住房公积金贷款利率分别为2.1％和2.6％，5年以下 （含5年）和5年以上第二套个人住房公积金贷款利率分别为2.525％和3.075％。</w:t>
      </w:r>
    </w:p>
    <w:p w14:paraId="0D5B384E">
      <w:pPr>
        <w:spacing w:line="360" w:lineRule="auto"/>
        <w:ind w:firstLine="560" w:firstLineChars="200"/>
        <w:jc w:val="both"/>
        <w:rPr>
          <w:rFonts w:ascii="Arial" w:hAnsi="Arial" w:cs="Arial"/>
          <w:sz w:val="28"/>
        </w:rPr>
      </w:pPr>
      <w:r>
        <w:rPr>
          <w:rFonts w:hint="eastAsia" w:ascii="Arial" w:hAnsi="Arial" w:cs="Arial"/>
          <w:sz w:val="28"/>
        </w:rPr>
        <w:t>4.城市规划与发展目标</w:t>
      </w:r>
    </w:p>
    <w:p w14:paraId="491617F9">
      <w:pPr>
        <w:spacing w:line="360" w:lineRule="auto"/>
        <w:ind w:firstLine="560" w:firstLineChars="200"/>
        <w:jc w:val="both"/>
        <w:rPr>
          <w:rFonts w:ascii="Arial" w:hAnsi="Arial" w:cs="Arial"/>
          <w:sz w:val="28"/>
        </w:rPr>
      </w:pPr>
      <w:r>
        <w:rPr>
          <w:rFonts w:hint="eastAsia" w:ascii="Arial" w:hAnsi="Arial" w:cs="Arial"/>
          <w:sz w:val="28"/>
        </w:rPr>
        <w:t>（1）《北京城市总体规划(2016年-2035年)》于2017年9月29日正式发布。新版总体规划以资源环境为硬约束，确定了人口总量上限、生态控制线、城市开发边界“三条红线”。通过疏解非首都功能，实现人随功能走、人随产业走。</w:t>
      </w:r>
    </w:p>
    <w:p w14:paraId="18677607">
      <w:pPr>
        <w:spacing w:line="360" w:lineRule="auto"/>
        <w:ind w:firstLine="560" w:firstLineChars="200"/>
        <w:jc w:val="both"/>
        <w:rPr>
          <w:rFonts w:ascii="Arial" w:hAnsi="Arial" w:cs="Arial"/>
          <w:sz w:val="28"/>
        </w:rPr>
      </w:pPr>
      <w:r>
        <w:rPr>
          <w:rFonts w:hint="eastAsia" w:ascii="Arial" w:hAnsi="Arial" w:cs="Arial"/>
          <w:sz w:val="28"/>
        </w:rPr>
        <w:t>（2）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666ABD29">
      <w:pPr>
        <w:spacing w:line="360" w:lineRule="auto"/>
        <w:ind w:firstLine="560" w:firstLineChars="200"/>
        <w:jc w:val="both"/>
        <w:rPr>
          <w:rFonts w:ascii="Arial" w:hAnsi="Arial" w:cs="Arial"/>
          <w:sz w:val="28"/>
        </w:rPr>
      </w:pPr>
      <w:r>
        <w:rPr>
          <w:rFonts w:hint="eastAsia" w:ascii="Arial" w:hAnsi="Arial" w:cs="Arial"/>
          <w:sz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p>
    <w:p w14:paraId="4EDC5240">
      <w:pPr>
        <w:spacing w:line="360" w:lineRule="auto"/>
        <w:ind w:firstLine="560" w:firstLineChars="200"/>
        <w:jc w:val="both"/>
        <w:rPr>
          <w:rFonts w:ascii="Arial" w:hAnsi="Arial" w:cs="Arial"/>
          <w:sz w:val="28"/>
        </w:rPr>
      </w:pPr>
      <w:r>
        <w:rPr>
          <w:rFonts w:hint="eastAsia" w:ascii="Arial" w:hAnsi="Arial" w:cs="Arial"/>
          <w:sz w:val="28"/>
        </w:rPr>
        <w:t>完善多层次住房保障体系，加大住房有效供给，优化房地产市场管理和服务。坚持“房住不炒”，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5000公顷、供应各类住房100万套左右，基本实现总体供需平衡。加大多层次保障性租赁住房供给，针对中低收入家庭自住需求，大力筹集建设各类租赁型住房，提高公共租赁住房备案家庭保障率，新增供应套数占比不低于40%。新增集体土地租赁住房等政策性租赁住房供地占比不低于供应总量的15%，鼓励存量低效商业、办公、厂房等建筑改造为租赁型职工集体宿舍或公寓。加快高层次人才公租房和国际人才公寓建设。确保住房交易市场平稳有序，规范发展住房租赁市场，保持调控政策连续性稳定性，坚决遏制投机炒房，按照“全市统筹、因区施策”原则，逐步完善各区域调控长效机制，合理设定调控目标，全面落实稳地价、稳房价、稳预期。</w:t>
      </w:r>
    </w:p>
    <w:p w14:paraId="16B6F5F8">
      <w:pPr>
        <w:spacing w:line="360" w:lineRule="auto"/>
        <w:ind w:firstLine="560" w:firstLineChars="200"/>
        <w:jc w:val="both"/>
        <w:rPr>
          <w:rFonts w:ascii="Arial" w:hAnsi="Arial" w:cs="Arial"/>
          <w:sz w:val="28"/>
        </w:rPr>
      </w:pPr>
      <w:r>
        <w:rPr>
          <w:rFonts w:hint="eastAsia" w:ascii="Arial" w:hAnsi="Arial" w:cs="Arial"/>
          <w:sz w:val="28"/>
        </w:rPr>
        <w:t>（3）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14:paraId="468AA2CA">
      <w:pPr>
        <w:spacing w:line="360" w:lineRule="auto"/>
        <w:ind w:firstLine="560" w:firstLineChars="200"/>
        <w:jc w:val="both"/>
        <w:rPr>
          <w:rFonts w:ascii="Arial" w:hAnsi="Arial" w:cs="Arial"/>
          <w:sz w:val="28"/>
        </w:rPr>
      </w:pPr>
      <w:r>
        <w:rPr>
          <w:rFonts w:hint="eastAsia" w:ascii="Arial" w:hAnsi="Arial" w:cs="Arial"/>
          <w:sz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582E6CC3">
      <w:pPr>
        <w:spacing w:line="360" w:lineRule="auto"/>
        <w:ind w:firstLine="560" w:firstLineChars="200"/>
        <w:jc w:val="both"/>
        <w:rPr>
          <w:rFonts w:ascii="Arial" w:hAnsi="Arial" w:cs="Arial"/>
          <w:sz w:val="28"/>
        </w:rPr>
      </w:pPr>
      <w:r>
        <w:rPr>
          <w:rFonts w:hint="eastAsia" w:ascii="Arial" w:hAnsi="Arial" w:cs="Arial"/>
          <w:sz w:val="28"/>
        </w:rPr>
        <w:t>5.城市经济发展运行状况</w:t>
      </w:r>
    </w:p>
    <w:p w14:paraId="378A660A">
      <w:pPr>
        <w:spacing w:line="360" w:lineRule="auto"/>
        <w:ind w:firstLine="560" w:firstLineChars="200"/>
        <w:jc w:val="both"/>
        <w:rPr>
          <w:rFonts w:ascii="Arial" w:hAnsi="Arial" w:cs="Arial"/>
          <w:sz w:val="28"/>
        </w:rPr>
      </w:pPr>
      <w:r>
        <w:rPr>
          <w:rFonts w:hint="eastAsia" w:ascii="Arial" w:hAnsi="Arial" w:cs="Arial"/>
          <w:sz w:val="28"/>
        </w:rPr>
        <w:t>根据北京市统计局地区生产总值统一核算结果，2025年上半年，北京市实现地区生产总值25029.2亿元，按不变价格计算，同比增长5.5%。分产业看，第一产业实现增加值45.7亿元，增长1.5%；第二产业实现增加值3356.1亿元，增长4.7%；第三产业实现增加值21627.5亿元，增长5.6%。</w:t>
      </w:r>
    </w:p>
    <w:p w14:paraId="36289313">
      <w:pPr>
        <w:spacing w:line="360" w:lineRule="auto"/>
        <w:ind w:firstLine="560" w:firstLineChars="200"/>
        <w:jc w:val="both"/>
        <w:rPr>
          <w:rFonts w:ascii="Arial" w:hAnsi="Arial" w:cs="Arial"/>
          <w:sz w:val="28"/>
        </w:rPr>
      </w:pPr>
      <w:r>
        <w:rPr>
          <w:rFonts w:hint="eastAsia" w:ascii="Arial" w:hAnsi="Arial" w:cs="Arial"/>
          <w:sz w:val="28"/>
        </w:rPr>
        <w:t>（1）农业生产保持增长，乡村旅游升温向好</w:t>
      </w:r>
    </w:p>
    <w:p w14:paraId="74322F32">
      <w:pPr>
        <w:spacing w:line="360" w:lineRule="auto"/>
        <w:ind w:firstLine="560" w:firstLineChars="200"/>
        <w:jc w:val="both"/>
        <w:rPr>
          <w:rFonts w:ascii="Arial" w:hAnsi="Arial" w:cs="Arial"/>
          <w:sz w:val="28"/>
        </w:rPr>
      </w:pPr>
      <w:r>
        <w:rPr>
          <w:rFonts w:hint="eastAsia" w:ascii="Arial" w:hAnsi="Arial" w:cs="Arial"/>
          <w:sz w:val="28"/>
        </w:rPr>
        <w:t>2025年上半年，北京市实现农林牧渔业总产值97.9亿元，按可比价格计算，同比增长2.2%。其中，实现农业（种植业）产值47亿元，增长3.9%，蔬菜（含食用菌）播种面积和产量分别增长4.3%和7.4%，夏粮播种面积持续扩大；实现林业产值23.6亿元，下降12.4%；实现牧业产值20.9亿元，增长11.8%，生猪、牛、禽出栏量分别增长22.4%、32.3%和14.1%。乡村休闲旅游接待1123万人次，同比增长4.7%。</w:t>
      </w:r>
    </w:p>
    <w:p w14:paraId="70EE1024">
      <w:pPr>
        <w:spacing w:line="360" w:lineRule="auto"/>
        <w:ind w:firstLine="560" w:firstLineChars="200"/>
        <w:jc w:val="both"/>
        <w:rPr>
          <w:rFonts w:ascii="Arial" w:hAnsi="Arial" w:cs="Arial"/>
          <w:sz w:val="28"/>
        </w:rPr>
      </w:pPr>
      <w:r>
        <w:rPr>
          <w:rFonts w:hint="eastAsia" w:ascii="Arial" w:hAnsi="Arial" w:cs="Arial"/>
          <w:sz w:val="28"/>
        </w:rPr>
        <w:t>（2）工业生产增速提升，高端制造加快布局</w:t>
      </w:r>
    </w:p>
    <w:p w14:paraId="0DFB69D4">
      <w:pPr>
        <w:spacing w:line="360" w:lineRule="auto"/>
        <w:ind w:firstLine="560" w:firstLineChars="200"/>
        <w:jc w:val="both"/>
        <w:rPr>
          <w:rFonts w:ascii="Arial" w:hAnsi="Arial" w:cs="Arial"/>
          <w:sz w:val="28"/>
        </w:rPr>
      </w:pPr>
      <w:r>
        <w:rPr>
          <w:rFonts w:hint="eastAsia" w:ascii="Arial" w:hAnsi="Arial" w:cs="Arial"/>
          <w:sz w:val="28"/>
        </w:rPr>
        <w:t>2025年上半年，北京市规模以上工业增加值按可比价格计算，同比增长7.0%，比一季度提高0.2个百分点。重点行业中，计算机、通信和其他电子设备制造业增长24.6%，汽车制造业增长16.7%，电力、热力生产和供应业增长3.9%，医药制造业下降9.1%，五大装备制造业[1]延续回暖态势，增长9.7%。高端制造业表现活跃，规模以上工业战略性新兴产业、高技术制造业增加值分别增长16.8%和9.9%（二者有交叉），锂电子电池、新能源汽车、医疗仪器设备及器械、集成电路等产品产量分别增长3.3倍、1.5倍、1.1倍和14.9%。规模以上工业实现销售产值13045.8亿元，增长5.9%；其中，内销产值12019.1亿元，增长6.1%，出口交货值1026.7亿元，增长4.1%。</w:t>
      </w:r>
    </w:p>
    <w:p w14:paraId="2E6BD3C9">
      <w:pPr>
        <w:spacing w:line="360" w:lineRule="auto"/>
        <w:ind w:firstLine="560" w:firstLineChars="200"/>
        <w:jc w:val="both"/>
        <w:rPr>
          <w:rFonts w:ascii="Arial" w:hAnsi="Arial" w:cs="Arial"/>
          <w:sz w:val="28"/>
        </w:rPr>
      </w:pPr>
      <w:r>
        <w:rPr>
          <w:rFonts w:hint="eastAsia" w:ascii="Arial" w:hAnsi="Arial" w:cs="Arial"/>
          <w:sz w:val="28"/>
        </w:rPr>
        <w:t>（3）服务业发挥稳定器作用，优势行业有力支撑</w:t>
      </w:r>
    </w:p>
    <w:p w14:paraId="4D3F950F">
      <w:pPr>
        <w:spacing w:line="360" w:lineRule="auto"/>
        <w:ind w:firstLine="560" w:firstLineChars="200"/>
        <w:jc w:val="both"/>
        <w:rPr>
          <w:rFonts w:ascii="Arial" w:hAnsi="Arial" w:cs="Arial"/>
          <w:sz w:val="28"/>
        </w:rPr>
      </w:pPr>
      <w:r>
        <w:rPr>
          <w:rFonts w:hint="eastAsia" w:ascii="Arial" w:hAnsi="Arial" w:cs="Arial"/>
          <w:sz w:val="28"/>
        </w:rPr>
        <w:t>2025年上半年，北京市第三产业增加值按不变价格计算，同比增长5.6%，比一季度提高0.2个百分点。其中，信息传输、软件和信息技术服务业实现增加值6193.8亿元，增长11.1%；金融业实现增加值4362.8亿元，增长8.1%，两个行业对第三产业增长的贡献率超过八成；租赁和商务服务业实现增加值1341.3亿元，增长3.4%；交通运输、仓储和邮政业实现增加值646.8亿元，增长6.0%。</w:t>
      </w:r>
    </w:p>
    <w:p w14:paraId="4AA1D774">
      <w:pPr>
        <w:spacing w:line="360" w:lineRule="auto"/>
        <w:ind w:firstLine="560" w:firstLineChars="200"/>
        <w:jc w:val="both"/>
        <w:rPr>
          <w:rFonts w:ascii="Arial" w:hAnsi="Arial" w:cs="Arial"/>
          <w:sz w:val="28"/>
        </w:rPr>
      </w:pPr>
      <w:r>
        <w:rPr>
          <w:rFonts w:hint="eastAsia" w:ascii="Arial" w:hAnsi="Arial" w:cs="Arial"/>
          <w:sz w:val="28"/>
        </w:rPr>
        <w:t>（4）固定资产投资快速增长，设备购置投资带动明显</w:t>
      </w:r>
    </w:p>
    <w:p w14:paraId="5ABF3712">
      <w:pPr>
        <w:spacing w:line="360" w:lineRule="auto"/>
        <w:ind w:firstLine="560" w:firstLineChars="200"/>
        <w:jc w:val="both"/>
        <w:rPr>
          <w:rFonts w:ascii="Arial" w:hAnsi="Arial" w:cs="Arial"/>
          <w:sz w:val="28"/>
        </w:rPr>
      </w:pPr>
      <w:r>
        <w:rPr>
          <w:rFonts w:hint="eastAsia" w:ascii="Arial" w:hAnsi="Arial" w:cs="Arial"/>
          <w:sz w:val="28"/>
        </w:rPr>
        <w:t>2025年上半年，北京市固定资产投资（不含农户）同比增长14.1%。其中，反映企业扩大生产能力的设备购置投资增长99.0%，占全市固定资产投资的比重为28.2%，同比提高12个百分点。分领域看，基础设施投资增长2.0%，制造业投资增长8.9%，房地产开发投资下降7.5%。分产业看，第一产业投资增长80.0%，第二产业投资增长12.7%，第三产业投资增长14.2%。高技术产业投资保持活跃，增长72.9%，其中，信息传输、软件和信息技术服务业，汽车制造业，计算机、通信和其他电子设备制造业投资分别增长1.6倍、41.7%和9.4%。</w:t>
      </w:r>
    </w:p>
    <w:p w14:paraId="50416FEE">
      <w:pPr>
        <w:spacing w:line="360" w:lineRule="auto"/>
        <w:ind w:firstLine="560" w:firstLineChars="200"/>
        <w:jc w:val="both"/>
        <w:rPr>
          <w:rFonts w:ascii="Arial" w:hAnsi="Arial" w:cs="Arial"/>
          <w:sz w:val="28"/>
        </w:rPr>
      </w:pPr>
      <w:r>
        <w:rPr>
          <w:rFonts w:hint="eastAsia" w:ascii="Arial" w:hAnsi="Arial" w:cs="Arial"/>
          <w:sz w:val="28"/>
        </w:rPr>
        <w:t>2025年上半年，北京市房屋施工面积9896万平方米，同比下降8.0%，其中住宅施工面积4904.6万平方米，下降8.8%。全市新建商品房销售面积537.6万平方米，同比增长5.4%，其中住宅销售面积352.3万平方米，下降0.8%，住宅中的纯商品住宅销售面积增长33.8%。</w:t>
      </w:r>
    </w:p>
    <w:p w14:paraId="3A7C061E">
      <w:pPr>
        <w:spacing w:line="360" w:lineRule="auto"/>
        <w:ind w:firstLine="560" w:firstLineChars="200"/>
        <w:jc w:val="both"/>
        <w:rPr>
          <w:rFonts w:ascii="Arial" w:hAnsi="Arial" w:cs="Arial"/>
          <w:sz w:val="28"/>
        </w:rPr>
      </w:pPr>
      <w:r>
        <w:rPr>
          <w:rFonts w:hint="eastAsia" w:ascii="Arial" w:hAnsi="Arial" w:cs="Arial"/>
          <w:sz w:val="28"/>
        </w:rPr>
        <w:t>（5）服务性消费较为活跃，社会消费品零售总额仍呈降势</w:t>
      </w:r>
    </w:p>
    <w:p w14:paraId="6F4F3C25">
      <w:pPr>
        <w:spacing w:line="360" w:lineRule="auto"/>
        <w:ind w:firstLine="560" w:firstLineChars="200"/>
        <w:jc w:val="both"/>
        <w:rPr>
          <w:rFonts w:ascii="Arial" w:hAnsi="Arial" w:cs="Arial"/>
          <w:sz w:val="28"/>
        </w:rPr>
      </w:pPr>
      <w:r>
        <w:rPr>
          <w:rFonts w:hint="eastAsia" w:ascii="Arial" w:hAnsi="Arial" w:cs="Arial"/>
          <w:sz w:val="28"/>
        </w:rPr>
        <w:t>2025年上半年，北京市市场总消费额同比增长0.9%。其中，服务性消费在信息、交通、文化娱乐等领域带动下增长4.7%；实现社会消费品零售总额6734.2亿元，下降3.8%。社会消费品零售总额中，按消费形态分，商品零售6061.6亿元，下降3.8%；餐饮收入672.6亿元，下降3.6%。从商品类别看，限额以上批发和零售业中，基本生活类和时尚类商品销售较好，粮油食品类、金银珠宝类、体育娱乐用品类、化妆品类商品零售额分别增长13.9%、36.1%、9.3%和7.6%；消费品“以旧换新”政策继续显效，家用电器和音像器材类、文化办公用品类商品零售额分别增长4.6%和3.1%；受市场竞争激烈、销售渠道更加多元影响，汽车类、通讯器材类商品零售额分别下降20.0%和24.0%，对社会消费品零售总额产生较大下拉作用。</w:t>
      </w:r>
    </w:p>
    <w:p w14:paraId="3F092DA6">
      <w:pPr>
        <w:spacing w:line="360" w:lineRule="auto"/>
        <w:ind w:firstLine="560" w:firstLineChars="200"/>
        <w:jc w:val="both"/>
        <w:rPr>
          <w:rFonts w:ascii="Arial" w:hAnsi="Arial" w:cs="Arial"/>
          <w:sz w:val="28"/>
        </w:rPr>
      </w:pPr>
      <w:r>
        <w:rPr>
          <w:rFonts w:hint="eastAsia" w:ascii="Arial" w:hAnsi="Arial" w:cs="Arial"/>
          <w:sz w:val="28"/>
        </w:rPr>
        <w:t>（6）居民消费价格平稳运行，工业生产者出厂价格延续降势 </w:t>
      </w:r>
    </w:p>
    <w:p w14:paraId="7662B152">
      <w:pPr>
        <w:spacing w:line="360" w:lineRule="auto"/>
        <w:ind w:firstLine="560" w:firstLineChars="200"/>
        <w:jc w:val="both"/>
        <w:rPr>
          <w:rFonts w:ascii="Arial" w:hAnsi="Arial" w:cs="Arial"/>
          <w:sz w:val="28"/>
        </w:rPr>
      </w:pPr>
      <w:r>
        <w:rPr>
          <w:rFonts w:hint="eastAsia" w:ascii="Arial" w:hAnsi="Arial" w:cs="Arial"/>
          <w:sz w:val="28"/>
        </w:rPr>
        <w:t>2025年上半年，北京市居民消费价格同比下降0.3%。其中，消费品价格下降0.7%，服务价格上涨0.1%。八大类商品和服务项目中，其他用品及服务类价格上涨9.8%，生活用品及服务类价格上涨0.9%，居住类价格上涨0.3%，衣着类价格上涨0.2%，食品烟酒类价格下降1.1%，交通通信类价格下降2.7%，教育文化娱乐类价格下降1.1%，医疗保健类价格下降0.6%。6月份，居民消费价格同比下降0.1%，环比下降0.4%。</w:t>
      </w:r>
    </w:p>
    <w:p w14:paraId="37979DB1">
      <w:pPr>
        <w:spacing w:line="360" w:lineRule="auto"/>
        <w:ind w:firstLine="560" w:firstLineChars="200"/>
        <w:jc w:val="both"/>
        <w:rPr>
          <w:rFonts w:ascii="Arial" w:hAnsi="Arial" w:cs="Arial"/>
          <w:sz w:val="28"/>
        </w:rPr>
      </w:pPr>
      <w:r>
        <w:rPr>
          <w:rFonts w:hint="eastAsia" w:ascii="Arial" w:hAnsi="Arial" w:cs="Arial"/>
          <w:sz w:val="28"/>
        </w:rPr>
        <w:t>2025年上半年，北京市工业生产者出厂价格同比下降1.8%，购进价格同比下降1.1%。6月份，工业生产者出厂价格同比下降1.7%，环比下降0.3%；购进价格同比下降2.3%，环比下降0.3%。</w:t>
      </w:r>
    </w:p>
    <w:p w14:paraId="6F0BB4DC">
      <w:pPr>
        <w:spacing w:line="360" w:lineRule="auto"/>
        <w:ind w:firstLine="560" w:firstLineChars="200"/>
        <w:jc w:val="both"/>
        <w:rPr>
          <w:rFonts w:ascii="Arial" w:hAnsi="Arial" w:cs="Arial"/>
          <w:sz w:val="28"/>
        </w:rPr>
      </w:pPr>
      <w:r>
        <w:rPr>
          <w:rFonts w:hint="eastAsia" w:ascii="Arial" w:hAnsi="Arial" w:cs="Arial"/>
          <w:sz w:val="28"/>
        </w:rPr>
        <w:t>（7）就业形势总体平稳，居民收入稳步增加 </w:t>
      </w:r>
    </w:p>
    <w:p w14:paraId="47950FC2">
      <w:pPr>
        <w:spacing w:line="360" w:lineRule="auto"/>
        <w:ind w:firstLine="560" w:firstLineChars="200"/>
        <w:jc w:val="both"/>
        <w:rPr>
          <w:rFonts w:ascii="Arial" w:hAnsi="Arial" w:cs="Arial"/>
          <w:sz w:val="28"/>
        </w:rPr>
      </w:pPr>
      <w:r>
        <w:rPr>
          <w:rFonts w:hint="eastAsia" w:ascii="Arial" w:hAnsi="Arial" w:cs="Arial"/>
          <w:sz w:val="28"/>
        </w:rPr>
        <w:t>2025年上半年，北京市城镇调查失业率均值为4.1%，与一季度持平；6月份，城镇调查失业率为4.1%，环比上升0.1个百分点。</w:t>
      </w:r>
    </w:p>
    <w:p w14:paraId="74ED3F3E">
      <w:pPr>
        <w:spacing w:line="360" w:lineRule="auto"/>
        <w:ind w:firstLine="560" w:firstLineChars="200"/>
        <w:jc w:val="both"/>
        <w:rPr>
          <w:rFonts w:ascii="Arial" w:hAnsi="Arial" w:cs="Arial"/>
          <w:sz w:val="28"/>
        </w:rPr>
      </w:pPr>
      <w:r>
        <w:rPr>
          <w:rFonts w:hint="eastAsia" w:ascii="Arial" w:hAnsi="Arial" w:cs="Arial"/>
          <w:sz w:val="28"/>
        </w:rPr>
        <w:t>2025年上半年，北京市居民人均可支配收入45144元，同比增长4.8%，扣除价格因素，实际增长5.1%。其中，工资性收入增长5.3%，经营净收入增长2.4%，财产净收入增长2.3%，转移净收入增长5.2%。城镇居民人均可支配收入48666元，同比增长4.6%，农村居民人均可支配收入22124元，同比增长6.1%。</w:t>
      </w:r>
    </w:p>
    <w:p w14:paraId="384DAB87">
      <w:pPr>
        <w:spacing w:line="360" w:lineRule="auto"/>
        <w:ind w:firstLine="560" w:firstLineChars="200"/>
        <w:jc w:val="both"/>
        <w:rPr>
          <w:rFonts w:ascii="Arial" w:hAnsi="Arial" w:cs="Arial"/>
          <w:sz w:val="28"/>
        </w:rPr>
      </w:pPr>
      <w:r>
        <w:rPr>
          <w:rFonts w:hint="eastAsia" w:ascii="Arial" w:hAnsi="Arial" w:cs="Arial"/>
          <w:sz w:val="28"/>
        </w:rPr>
        <w:t>总的来看，2025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p w14:paraId="5690A395">
      <w:pPr>
        <w:spacing w:line="360" w:lineRule="auto"/>
        <w:jc w:val="both"/>
        <w:rPr>
          <w:rFonts w:ascii="Arial" w:hAnsi="Arial" w:cs="Arial"/>
          <w:sz w:val="28"/>
        </w:rPr>
      </w:pPr>
      <w:r>
        <w:rPr>
          <w:rFonts w:ascii="Arial" w:hAnsi="Arial" w:cs="Arial"/>
          <w:sz w:val="28"/>
        </w:rPr>
        <w:t>（二）区域因素</w:t>
      </w:r>
    </w:p>
    <w:p w14:paraId="66AC03CE">
      <w:pPr>
        <w:spacing w:line="360" w:lineRule="auto"/>
        <w:ind w:firstLine="560" w:firstLineChars="200"/>
        <w:jc w:val="both"/>
        <w:rPr>
          <w:rFonts w:ascii="Arial" w:hAnsi="Arial" w:cs="Arial"/>
          <w:sz w:val="28"/>
        </w:rPr>
      </w:pPr>
      <w:r>
        <w:rPr>
          <w:rFonts w:ascii="Arial" w:hAnsi="Arial" w:cs="Arial"/>
          <w:sz w:val="28"/>
        </w:rPr>
        <w:t>1.区域概况</w:t>
      </w:r>
    </w:p>
    <w:p w14:paraId="3C188D7B">
      <w:pPr>
        <w:spacing w:line="360" w:lineRule="auto"/>
        <w:ind w:firstLine="560" w:firstLineChars="200"/>
        <w:jc w:val="both"/>
        <w:rPr>
          <w:rFonts w:ascii="Arial" w:hAnsi="Arial" w:cs="Arial"/>
          <w:sz w:val="28"/>
        </w:rPr>
      </w:pPr>
      <w:r>
        <w:rPr>
          <w:rFonts w:ascii="Arial" w:hAnsi="Arial" w:cs="Arial"/>
          <w:sz w:val="28"/>
        </w:rPr>
        <w:t>咨询对象位于北京市</w:t>
      </w:r>
      <w:r>
        <w:rPr>
          <w:rFonts w:hint="eastAsia" w:ascii="Arial" w:hAnsi="Arial" w:cs="Arial"/>
          <w:sz w:val="28"/>
        </w:rPr>
        <w:t>昌平区马池口镇百泉庄村</w:t>
      </w:r>
      <w:r>
        <w:rPr>
          <w:rFonts w:ascii="Arial" w:hAnsi="Arial" w:cs="Arial"/>
          <w:sz w:val="28"/>
        </w:rPr>
        <w:t>。</w:t>
      </w:r>
      <w:r>
        <w:rPr>
          <w:rFonts w:hint="eastAsia" w:ascii="Arial" w:hAnsi="Arial" w:cs="Arial"/>
          <w:sz w:val="28"/>
        </w:rPr>
        <w:t>百泉庄村位于北京市昌平城区西部，距离马池口镇政府约4.7公里。东邻昌平城区，西接上念头村，南连宏道村，北邻昌平镇。村域面积286.07公顷（4291.05亩），村庄人口 2000人，其中非农业人口427人，农业人口1573人。共818户，其中非农业户200户，农业户618户。百泉庄村域面积较大，农业用地主要分布在温南路以南，经济发展平稳。第一产业以粮食作物种植、蔬菜水果种植以及塘鱼养殖为主，主要表现为经济功能的发展，其社会和生态的功能有待提高。村域西部大部分土地被征为国有土地，在村庄周边有大量的工业企业和对外服务设施。</w:t>
      </w:r>
    </w:p>
    <w:p w14:paraId="3E5EE98D">
      <w:pPr>
        <w:spacing w:line="360" w:lineRule="auto"/>
        <w:ind w:firstLine="560" w:firstLineChars="200"/>
        <w:jc w:val="both"/>
        <w:rPr>
          <w:rFonts w:ascii="Arial" w:hAnsi="Arial" w:cs="Arial"/>
          <w:sz w:val="28"/>
        </w:rPr>
      </w:pPr>
      <w:r>
        <w:rPr>
          <w:rFonts w:ascii="Arial" w:hAnsi="Arial" w:cs="Arial"/>
          <w:sz w:val="28"/>
        </w:rPr>
        <w:t>2.交通条件</w:t>
      </w:r>
    </w:p>
    <w:p w14:paraId="2F79EE4A">
      <w:pPr>
        <w:spacing w:line="360" w:lineRule="auto"/>
        <w:ind w:firstLine="560" w:firstLineChars="200"/>
        <w:rPr>
          <w:rFonts w:ascii="Arial" w:hAnsi="Arial" w:cs="Arial"/>
          <w:sz w:val="28"/>
        </w:rPr>
      </w:pPr>
      <w:r>
        <w:rPr>
          <w:rFonts w:ascii="Arial" w:hAnsi="Arial" w:cs="Arial"/>
          <w:sz w:val="28"/>
        </w:rPr>
        <w:t>咨询对象</w:t>
      </w:r>
      <w:r>
        <w:rPr>
          <w:rFonts w:hint="eastAsia" w:ascii="Arial" w:hAnsi="Arial" w:cs="Arial"/>
          <w:sz w:val="28"/>
        </w:rPr>
        <w:t>北侧紧</w:t>
      </w:r>
      <w:r>
        <w:rPr>
          <w:rFonts w:ascii="Arial" w:hAnsi="Arial" w:cs="Arial"/>
          <w:sz w:val="28"/>
        </w:rPr>
        <w:t>临城市次干道——</w:t>
      </w:r>
      <w:r>
        <w:rPr>
          <w:rFonts w:hint="eastAsia" w:ascii="Arial" w:hAnsi="Arial" w:cs="Arial"/>
          <w:sz w:val="28"/>
        </w:rPr>
        <w:t>水南路</w:t>
      </w:r>
      <w:r>
        <w:rPr>
          <w:rFonts w:ascii="Arial" w:hAnsi="Arial" w:cs="Arial"/>
          <w:sz w:val="28"/>
        </w:rPr>
        <w:t>，</w:t>
      </w:r>
      <w:r>
        <w:rPr>
          <w:rFonts w:hint="eastAsia" w:ascii="Arial" w:hAnsi="Arial" w:cs="Arial"/>
          <w:sz w:val="28"/>
        </w:rPr>
        <w:t>距京新高速约1.5公里，</w:t>
      </w:r>
      <w:r>
        <w:rPr>
          <w:rFonts w:ascii="Arial" w:hAnsi="Arial" w:cs="Arial"/>
          <w:sz w:val="28"/>
        </w:rPr>
        <w:t>周边有</w:t>
      </w:r>
      <w:r>
        <w:rPr>
          <w:rFonts w:hint="eastAsia" w:ascii="Arial" w:hAnsi="Arial" w:cs="Arial"/>
          <w:sz w:val="28"/>
        </w:rPr>
        <w:t>559</w:t>
      </w:r>
      <w:r>
        <w:rPr>
          <w:rFonts w:ascii="Arial" w:hAnsi="Arial" w:cs="Arial"/>
          <w:sz w:val="28"/>
        </w:rPr>
        <w:t>路、</w:t>
      </w:r>
      <w:r>
        <w:rPr>
          <w:rFonts w:hint="eastAsia" w:ascii="Arial" w:hAnsi="Arial" w:cs="Arial"/>
          <w:sz w:val="28"/>
        </w:rPr>
        <w:t>590</w:t>
      </w:r>
      <w:r>
        <w:rPr>
          <w:rFonts w:ascii="Arial" w:hAnsi="Arial" w:cs="Arial"/>
          <w:sz w:val="28"/>
        </w:rPr>
        <w:t>路、</w:t>
      </w:r>
      <w:r>
        <w:rPr>
          <w:rFonts w:hint="eastAsia" w:ascii="Arial" w:hAnsi="Arial" w:cs="Arial"/>
          <w:sz w:val="28"/>
        </w:rPr>
        <w:t>昌13</w:t>
      </w:r>
      <w:r>
        <w:rPr>
          <w:rFonts w:ascii="Arial" w:hAnsi="Arial" w:cs="Arial"/>
          <w:sz w:val="28"/>
        </w:rPr>
        <w:t>路</w:t>
      </w:r>
      <w:r>
        <w:rPr>
          <w:rFonts w:hint="eastAsia" w:ascii="Arial" w:hAnsi="Arial" w:cs="Arial"/>
          <w:sz w:val="28"/>
        </w:rPr>
        <w:t>、昌3路</w:t>
      </w:r>
      <w:r>
        <w:rPr>
          <w:rFonts w:ascii="Arial" w:hAnsi="Arial" w:cs="Arial"/>
          <w:sz w:val="28"/>
        </w:rPr>
        <w:t>等公交线路，</w:t>
      </w:r>
      <w:r>
        <w:rPr>
          <w:rFonts w:hint="eastAsia" w:ascii="Arial" w:hAnsi="Arial" w:cs="Arial"/>
          <w:sz w:val="28"/>
        </w:rPr>
        <w:t>2公里范围内无轨道交通</w:t>
      </w:r>
      <w:r>
        <w:rPr>
          <w:rFonts w:ascii="Arial" w:hAnsi="Arial" w:cs="Arial"/>
          <w:sz w:val="28"/>
        </w:rPr>
        <w:t>，综合评价交通便捷度</w:t>
      </w:r>
      <w:r>
        <w:rPr>
          <w:rFonts w:hint="eastAsia" w:ascii="Arial" w:hAnsi="Arial" w:cs="Arial"/>
          <w:sz w:val="28"/>
        </w:rPr>
        <w:t>较差</w:t>
      </w:r>
      <w:r>
        <w:rPr>
          <w:rFonts w:ascii="Arial" w:hAnsi="Arial" w:cs="Arial"/>
          <w:sz w:val="28"/>
        </w:rPr>
        <w:t>。</w:t>
      </w:r>
    </w:p>
    <w:p w14:paraId="2A835912">
      <w:pPr>
        <w:spacing w:line="360" w:lineRule="auto"/>
        <w:ind w:firstLine="560" w:firstLineChars="200"/>
        <w:rPr>
          <w:rFonts w:ascii="Arial" w:hAnsi="Arial" w:cs="Arial"/>
          <w:sz w:val="28"/>
        </w:rPr>
      </w:pPr>
      <w:r>
        <w:rPr>
          <w:rFonts w:ascii="Arial" w:hAnsi="Arial" w:cs="Arial"/>
          <w:sz w:val="28"/>
        </w:rPr>
        <w:t>3.环境条件</w:t>
      </w:r>
    </w:p>
    <w:p w14:paraId="32B4319D">
      <w:pPr>
        <w:spacing w:line="360" w:lineRule="auto"/>
        <w:ind w:firstLine="560" w:firstLineChars="200"/>
        <w:jc w:val="both"/>
        <w:rPr>
          <w:rFonts w:ascii="Arial" w:hAnsi="Arial" w:cs="Arial"/>
          <w:sz w:val="28"/>
        </w:rPr>
      </w:pPr>
      <w:r>
        <w:rPr>
          <w:rFonts w:ascii="Arial" w:hAnsi="Arial" w:cs="Arial"/>
          <w:sz w:val="28"/>
        </w:rPr>
        <w:t>咨询对象</w:t>
      </w:r>
      <w:r>
        <w:rPr>
          <w:rFonts w:hint="eastAsia" w:ascii="Arial" w:hAnsi="Arial" w:cs="Arial"/>
          <w:sz w:val="28"/>
        </w:rPr>
        <w:t>周边有京密引水渠等</w:t>
      </w:r>
      <w:r>
        <w:rPr>
          <w:rFonts w:ascii="Arial" w:hAnsi="Arial" w:cs="Arial"/>
          <w:sz w:val="28"/>
        </w:rPr>
        <w:t>自然环境；</w:t>
      </w:r>
      <w:r>
        <w:rPr>
          <w:rFonts w:hint="eastAsia" w:ascii="Arial" w:hAnsi="Arial" w:cs="Arial"/>
          <w:sz w:val="28"/>
        </w:rPr>
        <w:t>有中国石化石油化工科学研究院、中国标准化研究院、北京汇佳职业学院等人文场所。</w:t>
      </w:r>
      <w:r>
        <w:rPr>
          <w:rFonts w:ascii="Arial" w:hAnsi="Arial" w:cs="Arial"/>
          <w:sz w:val="28"/>
        </w:rPr>
        <w:t>综合评价环境状况一般。</w:t>
      </w:r>
    </w:p>
    <w:p w14:paraId="45C386C6">
      <w:pPr>
        <w:spacing w:line="360" w:lineRule="auto"/>
        <w:ind w:firstLine="560" w:firstLineChars="200"/>
        <w:jc w:val="both"/>
        <w:rPr>
          <w:rFonts w:ascii="Arial" w:hAnsi="Arial" w:cs="Arial"/>
          <w:i/>
          <w:sz w:val="28"/>
        </w:rPr>
      </w:pPr>
      <w:r>
        <w:rPr>
          <w:rFonts w:ascii="Arial" w:hAnsi="Arial" w:cs="Arial"/>
          <w:sz w:val="28"/>
        </w:rPr>
        <w:t>4.基础设施条件</w:t>
      </w:r>
    </w:p>
    <w:p w14:paraId="2458977E">
      <w:pPr>
        <w:spacing w:line="360" w:lineRule="auto"/>
        <w:ind w:firstLine="560" w:firstLineChars="200"/>
        <w:jc w:val="both"/>
        <w:rPr>
          <w:rFonts w:ascii="Arial" w:hAnsi="Arial" w:cs="Arial"/>
          <w:sz w:val="28"/>
        </w:rPr>
      </w:pPr>
      <w:r>
        <w:rPr>
          <w:rFonts w:hint="eastAsia" w:ascii="Arial" w:hAnsi="Arial" w:cs="Arial"/>
          <w:sz w:val="28"/>
        </w:rPr>
        <w:t>昌平</w:t>
      </w:r>
      <w:r>
        <w:rPr>
          <w:rFonts w:ascii="Arial" w:hAnsi="Arial" w:cs="Arial"/>
          <w:sz w:val="28"/>
        </w:rPr>
        <w:t>区目前已拥有完善的基础设施配套保障，区内大部分区域基础设施配套目前可达到“七通”（即通路、通电、通讯、通上水、通下水、通燃气、通热）条件。</w:t>
      </w:r>
    </w:p>
    <w:p w14:paraId="05DD67F2">
      <w:pPr>
        <w:spacing w:line="360" w:lineRule="auto"/>
        <w:ind w:firstLine="560" w:firstLineChars="200"/>
        <w:jc w:val="both"/>
        <w:rPr>
          <w:rFonts w:ascii="Arial" w:hAnsi="Arial" w:cs="Arial"/>
          <w:sz w:val="28"/>
        </w:rPr>
      </w:pPr>
      <w:r>
        <w:rPr>
          <w:rFonts w:ascii="Arial" w:hAnsi="Arial" w:cs="Arial"/>
          <w:sz w:val="28"/>
        </w:rPr>
        <w:t>5.居住社区成熟度</w:t>
      </w:r>
    </w:p>
    <w:p w14:paraId="70CCE7A7">
      <w:pPr>
        <w:spacing w:line="360" w:lineRule="auto"/>
        <w:ind w:firstLine="560" w:firstLineChars="200"/>
        <w:jc w:val="both"/>
        <w:rPr>
          <w:rFonts w:ascii="Arial" w:hAnsi="Arial" w:cs="Arial"/>
          <w:sz w:val="28"/>
        </w:rPr>
      </w:pPr>
      <w:r>
        <w:rPr>
          <w:rFonts w:ascii="Arial" w:hAnsi="Arial" w:cs="Arial"/>
          <w:sz w:val="28"/>
        </w:rPr>
        <w:t>咨询对象周边有</w:t>
      </w:r>
      <w:r>
        <w:rPr>
          <w:rFonts w:hint="eastAsia" w:ascii="Arial" w:hAnsi="Arial" w:cs="Arial"/>
          <w:sz w:val="28"/>
        </w:rPr>
        <w:t>华庭公寓</w:t>
      </w:r>
      <w:r>
        <w:rPr>
          <w:rFonts w:ascii="Arial" w:hAnsi="Arial" w:cs="Arial"/>
          <w:sz w:val="28"/>
        </w:rPr>
        <w:t>、</w:t>
      </w:r>
      <w:r>
        <w:rPr>
          <w:rFonts w:hint="eastAsia" w:ascii="Arial" w:hAnsi="Arial" w:cs="Arial"/>
          <w:sz w:val="28"/>
        </w:rPr>
        <w:t>水屯家园、水南佳苑、龙山跃、百泉花园</w:t>
      </w:r>
      <w:r>
        <w:rPr>
          <w:rFonts w:ascii="Arial" w:hAnsi="Arial" w:cs="Arial"/>
          <w:sz w:val="28"/>
        </w:rPr>
        <w:t>等居住小区，</w:t>
      </w:r>
      <w:r>
        <w:rPr>
          <w:rFonts w:hint="eastAsia" w:ascii="Arial" w:hAnsi="Arial" w:cs="Arial"/>
          <w:sz w:val="28"/>
        </w:rPr>
        <w:t>规模较小，分布</w:t>
      </w:r>
      <w:r>
        <w:rPr>
          <w:rFonts w:ascii="Arial" w:hAnsi="Arial" w:cs="Arial"/>
          <w:sz w:val="28"/>
        </w:rPr>
        <w:t>较为分散，居住社区成熟度</w:t>
      </w:r>
      <w:r>
        <w:rPr>
          <w:rFonts w:hint="eastAsia" w:ascii="Arial" w:hAnsi="Arial" w:cs="Arial"/>
          <w:sz w:val="28"/>
        </w:rPr>
        <w:t>一般</w:t>
      </w:r>
      <w:r>
        <w:rPr>
          <w:rFonts w:ascii="Arial" w:hAnsi="Arial" w:cs="Arial"/>
          <w:sz w:val="28"/>
        </w:rPr>
        <w:t>。</w:t>
      </w:r>
    </w:p>
    <w:p w14:paraId="1A09775F">
      <w:pPr>
        <w:spacing w:line="360" w:lineRule="auto"/>
        <w:ind w:firstLine="560" w:firstLineChars="200"/>
        <w:jc w:val="both"/>
        <w:rPr>
          <w:rFonts w:ascii="Arial" w:hAnsi="Arial" w:cs="Arial"/>
          <w:sz w:val="28"/>
        </w:rPr>
      </w:pPr>
      <w:r>
        <w:rPr>
          <w:rFonts w:ascii="Arial" w:hAnsi="Arial" w:cs="Arial"/>
          <w:sz w:val="28"/>
        </w:rPr>
        <w:t>6.</w:t>
      </w:r>
      <w:r>
        <w:rPr>
          <w:rFonts w:hint="eastAsia" w:ascii="Arial" w:hAnsi="Arial" w:cs="Arial"/>
          <w:sz w:val="28"/>
        </w:rPr>
        <w:t>商业繁华度</w:t>
      </w:r>
    </w:p>
    <w:p w14:paraId="3A934FE9">
      <w:pPr>
        <w:spacing w:line="360" w:lineRule="auto"/>
        <w:ind w:firstLine="560" w:firstLineChars="200"/>
        <w:jc w:val="both"/>
        <w:rPr>
          <w:rFonts w:ascii="Arial" w:hAnsi="Arial" w:cs="Arial"/>
          <w:sz w:val="28"/>
        </w:rPr>
      </w:pPr>
      <w:r>
        <w:rPr>
          <w:rFonts w:ascii="Arial" w:hAnsi="Arial" w:cs="Arial"/>
          <w:sz w:val="28"/>
        </w:rPr>
        <w:t>咨询对象周边有</w:t>
      </w:r>
      <w:r>
        <w:rPr>
          <w:rFonts w:hint="eastAsia" w:ascii="Arial" w:hAnsi="Arial" w:cs="Arial"/>
          <w:sz w:val="28"/>
        </w:rPr>
        <w:t>零星住宅配套商业，商业繁华度一般。</w:t>
      </w:r>
    </w:p>
    <w:p w14:paraId="45D649CC">
      <w:pPr>
        <w:spacing w:line="360" w:lineRule="auto"/>
        <w:ind w:firstLine="560" w:firstLineChars="200"/>
        <w:jc w:val="both"/>
        <w:rPr>
          <w:rFonts w:ascii="Arial" w:hAnsi="Arial" w:cs="Arial"/>
          <w:sz w:val="28"/>
        </w:rPr>
      </w:pPr>
      <w:r>
        <w:rPr>
          <w:rFonts w:hint="eastAsia" w:ascii="Arial" w:hAnsi="Arial" w:cs="Arial"/>
          <w:sz w:val="28"/>
        </w:rPr>
        <w:t>7.公共配套设施齐备度</w:t>
      </w:r>
    </w:p>
    <w:p w14:paraId="235B80B1">
      <w:pPr>
        <w:spacing w:line="360" w:lineRule="auto"/>
        <w:ind w:firstLine="560" w:firstLineChars="200"/>
        <w:jc w:val="both"/>
        <w:rPr>
          <w:rFonts w:ascii="Arial" w:hAnsi="Arial" w:cs="Arial"/>
          <w:sz w:val="28"/>
        </w:rPr>
      </w:pPr>
      <w:r>
        <w:rPr>
          <w:rFonts w:ascii="Arial" w:hAnsi="Arial" w:cs="Arial"/>
          <w:sz w:val="28"/>
        </w:rPr>
        <w:t>咨询对象所在区域周边2公里范围内有</w:t>
      </w:r>
      <w:r>
        <w:rPr>
          <w:rFonts w:hint="eastAsia" w:ascii="Arial" w:hAnsi="Arial" w:cs="Arial"/>
          <w:sz w:val="28"/>
        </w:rPr>
        <w:t>汇蕾学校、北京市昌平区马池口中心百泉庄小学、马池口小学、北京博仁祥医院、昌平区城南社区卫生服务中心水屯社区卫生服务站、北京农商银行（水南路分理处）、中国邮政储蓄银行（水屯营业所）、北京银行（水南路支行）</w:t>
      </w:r>
      <w:r>
        <w:rPr>
          <w:rFonts w:ascii="Arial" w:hAnsi="Arial" w:cs="Arial"/>
          <w:sz w:val="28"/>
        </w:rPr>
        <w:t>等，各类配套设施齐备程度</w:t>
      </w:r>
      <w:r>
        <w:rPr>
          <w:rFonts w:hint="eastAsia" w:ascii="Arial" w:hAnsi="Arial" w:cs="Arial"/>
          <w:sz w:val="28"/>
        </w:rPr>
        <w:t>一般</w:t>
      </w:r>
      <w:r>
        <w:rPr>
          <w:rFonts w:ascii="Arial" w:hAnsi="Arial" w:cs="Arial"/>
          <w:sz w:val="28"/>
        </w:rPr>
        <w:t>，故公共配套设施状况一般。</w:t>
      </w:r>
    </w:p>
    <w:p w14:paraId="67375022">
      <w:pPr>
        <w:spacing w:line="360" w:lineRule="auto"/>
        <w:ind w:firstLine="560" w:firstLineChars="200"/>
        <w:jc w:val="both"/>
        <w:rPr>
          <w:rFonts w:ascii="Arial" w:hAnsi="Arial" w:cs="Arial"/>
          <w:sz w:val="28"/>
        </w:rPr>
      </w:pPr>
      <w:r>
        <w:rPr>
          <w:rFonts w:ascii="Arial" w:hAnsi="Arial" w:cs="Arial"/>
          <w:sz w:val="28"/>
        </w:rPr>
        <w:t>综上所述，咨询对象所处区域地理位置条件</w:t>
      </w:r>
      <w:r>
        <w:rPr>
          <w:rFonts w:hint="eastAsia" w:ascii="Arial" w:hAnsi="Arial" w:cs="Arial"/>
          <w:sz w:val="28"/>
        </w:rPr>
        <w:t>一般</w:t>
      </w:r>
      <w:r>
        <w:rPr>
          <w:rFonts w:ascii="Arial" w:hAnsi="Arial" w:cs="Arial"/>
          <w:sz w:val="28"/>
        </w:rPr>
        <w:t>、交通条件</w:t>
      </w:r>
      <w:r>
        <w:rPr>
          <w:rFonts w:hint="eastAsia" w:ascii="Arial" w:hAnsi="Arial" w:cs="Arial"/>
          <w:sz w:val="28"/>
        </w:rPr>
        <w:t>较差</w:t>
      </w:r>
      <w:r>
        <w:rPr>
          <w:rFonts w:ascii="Arial" w:hAnsi="Arial" w:cs="Arial"/>
          <w:sz w:val="28"/>
        </w:rPr>
        <w:t>，基础设施水平</w:t>
      </w:r>
      <w:r>
        <w:rPr>
          <w:rFonts w:hint="eastAsia" w:ascii="Arial" w:hAnsi="Arial" w:cs="Arial"/>
          <w:sz w:val="28"/>
        </w:rPr>
        <w:t>完善</w:t>
      </w:r>
      <w:r>
        <w:rPr>
          <w:rFonts w:ascii="Arial" w:hAnsi="Arial" w:cs="Arial"/>
          <w:sz w:val="28"/>
        </w:rPr>
        <w:t>，环境条件一般，</w:t>
      </w:r>
      <w:r>
        <w:rPr>
          <w:rFonts w:hint="eastAsia" w:ascii="Arial" w:hAnsi="Arial" w:cs="Arial"/>
          <w:sz w:val="28"/>
        </w:rPr>
        <w:t>居住社区成熟度一般、商业</w:t>
      </w:r>
      <w:r>
        <w:rPr>
          <w:rFonts w:ascii="Arial" w:hAnsi="Arial" w:cs="Arial"/>
          <w:sz w:val="28"/>
        </w:rPr>
        <w:t>繁华度情况一般</w:t>
      </w:r>
      <w:r>
        <w:rPr>
          <w:rFonts w:hint="eastAsia" w:ascii="Arial" w:hAnsi="Arial" w:cs="Arial"/>
          <w:sz w:val="28"/>
        </w:rPr>
        <w:t>、公共配套设施齐备度一般</w:t>
      </w:r>
      <w:r>
        <w:rPr>
          <w:rFonts w:ascii="Arial" w:hAnsi="Arial" w:cs="Arial"/>
          <w:sz w:val="28"/>
        </w:rPr>
        <w:t>。总体评价影响咨询对象的区域因素一般。</w:t>
      </w:r>
    </w:p>
    <w:p w14:paraId="2D51C50E">
      <w:pPr>
        <w:spacing w:line="360" w:lineRule="auto"/>
        <w:jc w:val="both"/>
        <w:rPr>
          <w:rFonts w:ascii="Arial" w:hAnsi="Arial" w:cs="Arial"/>
          <w:sz w:val="28"/>
        </w:rPr>
      </w:pPr>
      <w:r>
        <w:rPr>
          <w:rFonts w:ascii="Arial" w:hAnsi="Arial" w:cs="Arial"/>
          <w:sz w:val="28"/>
        </w:rPr>
        <w:t>（三）个别因素</w:t>
      </w:r>
    </w:p>
    <w:p w14:paraId="47704B8C">
      <w:pPr>
        <w:spacing w:line="360" w:lineRule="auto"/>
        <w:ind w:firstLine="560" w:firstLineChars="200"/>
        <w:jc w:val="both"/>
        <w:rPr>
          <w:rFonts w:ascii="Arial" w:hAnsi="Arial" w:cs="Arial"/>
          <w:sz w:val="28"/>
        </w:rPr>
      </w:pPr>
      <w:r>
        <w:rPr>
          <w:rFonts w:ascii="Arial" w:hAnsi="Arial" w:cs="Arial"/>
          <w:sz w:val="28"/>
        </w:rPr>
        <w:t>1.咨询对象位置：咨询对象位于北京市</w:t>
      </w:r>
      <w:r>
        <w:rPr>
          <w:rFonts w:hint="eastAsia" w:ascii="Arial" w:hAnsi="Arial" w:cs="Arial"/>
          <w:sz w:val="28"/>
        </w:rPr>
        <w:t>昌平区马池口镇百泉庄村</w:t>
      </w:r>
      <w:r>
        <w:rPr>
          <w:rFonts w:ascii="Arial" w:hAnsi="Arial" w:cs="Arial"/>
          <w:sz w:val="28"/>
        </w:rPr>
        <w:t>，</w:t>
      </w:r>
      <w:r>
        <w:rPr>
          <w:rFonts w:hint="eastAsia" w:ascii="Arial" w:hAnsi="Arial" w:cs="Arial"/>
          <w:sz w:val="28"/>
        </w:rPr>
        <w:t>拟</w:t>
      </w:r>
      <w:r>
        <w:rPr>
          <w:rFonts w:ascii="Arial" w:hAnsi="Arial" w:cs="Arial"/>
          <w:sz w:val="28"/>
        </w:rPr>
        <w:t>开发建设的集体土地租赁住房项目。</w:t>
      </w:r>
    </w:p>
    <w:p w14:paraId="0F3849C8">
      <w:pPr>
        <w:spacing w:line="360" w:lineRule="auto"/>
        <w:ind w:firstLine="560" w:firstLineChars="200"/>
        <w:jc w:val="both"/>
        <w:rPr>
          <w:rFonts w:ascii="Arial" w:hAnsi="Arial" w:cs="Arial"/>
          <w:sz w:val="28"/>
        </w:rPr>
      </w:pPr>
      <w:r>
        <w:rPr>
          <w:rFonts w:ascii="Arial" w:hAnsi="Arial" w:cs="Arial"/>
          <w:sz w:val="28"/>
        </w:rPr>
        <w:t>2.宗地规划用途、面积</w:t>
      </w:r>
    </w:p>
    <w:p w14:paraId="75266C7C">
      <w:pPr>
        <w:spacing w:line="360" w:lineRule="auto"/>
        <w:ind w:firstLine="560" w:firstLineChars="200"/>
        <w:jc w:val="both"/>
        <w:rPr>
          <w:rFonts w:ascii="Arial" w:hAnsi="Arial" w:cs="Arial"/>
          <w:sz w:val="28"/>
        </w:rPr>
      </w:pPr>
      <w:r>
        <w:rPr>
          <w:rFonts w:ascii="Arial" w:hAnsi="Arial" w:cs="Arial"/>
          <w:sz w:val="28"/>
        </w:rPr>
        <w:t>咨询对象规划土地用途为</w:t>
      </w:r>
      <w:r>
        <w:rPr>
          <w:rFonts w:hint="eastAsia" w:ascii="Arial" w:hAnsi="Arial" w:cs="Arial"/>
          <w:sz w:val="28"/>
        </w:rPr>
        <w:t>公寓</w:t>
      </w:r>
      <w:r>
        <w:rPr>
          <w:rFonts w:ascii="Arial" w:hAnsi="Arial" w:cs="Arial"/>
          <w:sz w:val="28"/>
        </w:rPr>
        <w:t>、商业、地下车库，为最佳最有效用途</w:t>
      </w:r>
      <w:r>
        <w:rPr>
          <w:rFonts w:hint="eastAsia" w:ascii="Arial" w:hAnsi="Arial" w:cs="Arial"/>
          <w:sz w:val="28"/>
        </w:rPr>
        <w:t>。</w:t>
      </w:r>
      <w:r>
        <w:rPr>
          <w:rFonts w:ascii="Arial" w:hAnsi="Arial" w:cs="Arial"/>
          <w:spacing w:val="-12"/>
          <w:sz w:val="28"/>
        </w:rPr>
        <w:t>咨询对象土地面积</w:t>
      </w:r>
      <w:r>
        <w:rPr>
          <w:rFonts w:ascii="Arial" w:hAnsi="Arial" w:cs="Arial"/>
          <w:bCs/>
          <w:kern w:val="2"/>
          <w:sz w:val="28"/>
        </w:rPr>
        <w:t>为</w:t>
      </w:r>
      <w:r>
        <w:rPr>
          <w:rFonts w:hint="eastAsia" w:ascii="Arial" w:hAnsi="Arial" w:cs="Arial"/>
          <w:sz w:val="28"/>
        </w:rPr>
        <w:t>18132</w:t>
      </w:r>
      <w:r>
        <w:rPr>
          <w:rFonts w:ascii="Arial" w:hAnsi="Arial" w:cs="Arial"/>
          <w:bCs/>
          <w:kern w:val="2"/>
          <w:sz w:val="28"/>
        </w:rPr>
        <w:t>平方</w:t>
      </w:r>
      <w:r>
        <w:rPr>
          <w:rFonts w:ascii="Arial" w:hAnsi="Arial" w:cs="Arial"/>
          <w:sz w:val="28"/>
        </w:rPr>
        <w:t>米。</w:t>
      </w:r>
    </w:p>
    <w:p w14:paraId="54A2AB19">
      <w:pPr>
        <w:spacing w:line="360" w:lineRule="auto"/>
        <w:ind w:firstLine="560" w:firstLineChars="200"/>
        <w:jc w:val="both"/>
        <w:rPr>
          <w:rFonts w:ascii="Arial" w:hAnsi="Arial" w:cs="Arial"/>
          <w:sz w:val="28"/>
        </w:rPr>
      </w:pPr>
      <w:r>
        <w:rPr>
          <w:rFonts w:ascii="Arial" w:hAnsi="Arial" w:cs="Arial"/>
          <w:sz w:val="28"/>
        </w:rPr>
        <w:t>3.宗地容积率及可利用情况</w:t>
      </w:r>
    </w:p>
    <w:p w14:paraId="7E5804E4">
      <w:pPr>
        <w:spacing w:line="360" w:lineRule="auto"/>
        <w:ind w:firstLine="560" w:firstLineChars="200"/>
        <w:jc w:val="both"/>
        <w:rPr>
          <w:rFonts w:ascii="Arial" w:hAnsi="Arial" w:cs="Arial"/>
          <w:spacing w:val="-12"/>
          <w:sz w:val="28"/>
        </w:rPr>
      </w:pPr>
      <w:r>
        <w:rPr>
          <w:rFonts w:ascii="Arial" w:hAnsi="Arial" w:cs="Arial"/>
          <w:sz w:val="28"/>
        </w:rPr>
        <w:t>咨询对象规划建筑面积为</w:t>
      </w:r>
      <w:r>
        <w:rPr>
          <w:rFonts w:hint="eastAsia" w:ascii="Arial" w:hAnsi="Arial" w:cs="Arial"/>
          <w:sz w:val="28"/>
        </w:rPr>
        <w:t>43300</w:t>
      </w:r>
      <w:r>
        <w:rPr>
          <w:rFonts w:ascii="Arial" w:hAnsi="Arial" w:cs="Arial"/>
          <w:sz w:val="28"/>
        </w:rPr>
        <w:t>平方米，容积率为1.8。咨询对象宗地形状较规则、地形平坦、地质良好。综合评价咨询对象土地利用程度较好。</w:t>
      </w:r>
    </w:p>
    <w:p w14:paraId="68C802FC">
      <w:pPr>
        <w:spacing w:line="360" w:lineRule="auto"/>
        <w:ind w:firstLine="560" w:firstLineChars="200"/>
        <w:jc w:val="both"/>
        <w:rPr>
          <w:rFonts w:ascii="Arial" w:hAnsi="Arial" w:cs="Arial"/>
          <w:sz w:val="28"/>
        </w:rPr>
      </w:pPr>
      <w:r>
        <w:rPr>
          <w:rFonts w:ascii="Arial" w:hAnsi="Arial" w:cs="Arial"/>
          <w:sz w:val="28"/>
        </w:rPr>
        <w:t xml:space="preserve">4.宗地基础设施 </w:t>
      </w:r>
    </w:p>
    <w:p w14:paraId="67887B82">
      <w:pPr>
        <w:spacing w:line="360" w:lineRule="auto"/>
        <w:ind w:firstLine="528" w:firstLineChars="200"/>
        <w:jc w:val="both"/>
        <w:rPr>
          <w:rFonts w:ascii="Arial" w:hAnsi="Arial" w:cs="Arial"/>
          <w:sz w:val="28"/>
        </w:rPr>
      </w:pPr>
      <w:r>
        <w:rPr>
          <w:rFonts w:ascii="Arial" w:hAnsi="Arial" w:cs="Arial"/>
          <w:spacing w:val="-8"/>
          <w:sz w:val="28"/>
        </w:rPr>
        <w:t>根据委托方提供的资料</w:t>
      </w:r>
      <w:r>
        <w:rPr>
          <w:rFonts w:hint="eastAsia" w:ascii="Arial" w:hAnsi="Arial" w:cs="Arial"/>
          <w:spacing w:val="-8"/>
          <w:sz w:val="28"/>
        </w:rPr>
        <w:t>及介绍</w:t>
      </w:r>
      <w:r>
        <w:rPr>
          <w:rFonts w:ascii="Arial" w:hAnsi="Arial" w:cs="Arial"/>
          <w:spacing w:val="-8"/>
          <w:sz w:val="28"/>
        </w:rPr>
        <w:t>，咨询对象</w:t>
      </w:r>
      <w:r>
        <w:rPr>
          <w:rFonts w:ascii="Arial" w:hAnsi="Arial" w:cs="Arial"/>
          <w:sz w:val="28"/>
        </w:rPr>
        <w:t>开发完成后拟达到的市政基础设施条件为</w:t>
      </w:r>
      <w:r>
        <w:rPr>
          <w:rFonts w:ascii="Arial" w:hAnsi="Arial" w:cs="Arial"/>
          <w:spacing w:val="-8"/>
          <w:sz w:val="28"/>
        </w:rPr>
        <w:t>七通”，现状市政基础设施条件为红线外“三通”</w:t>
      </w:r>
      <w:r>
        <w:rPr>
          <w:rFonts w:ascii="Arial" w:hAnsi="Arial" w:cs="Arial"/>
          <w:sz w:val="28"/>
        </w:rPr>
        <w:t>。</w:t>
      </w:r>
    </w:p>
    <w:p w14:paraId="2F94A0C2">
      <w:pPr>
        <w:spacing w:line="360" w:lineRule="auto"/>
        <w:ind w:firstLine="560" w:firstLineChars="200"/>
        <w:jc w:val="both"/>
        <w:rPr>
          <w:rFonts w:ascii="Arial" w:hAnsi="Arial" w:cs="Arial"/>
          <w:sz w:val="28"/>
        </w:rPr>
      </w:pPr>
    </w:p>
    <w:p w14:paraId="1DE4C6E5">
      <w:pPr>
        <w:spacing w:line="360" w:lineRule="auto"/>
        <w:ind w:firstLine="560" w:firstLineChars="200"/>
        <w:jc w:val="both"/>
        <w:rPr>
          <w:rFonts w:ascii="Arial" w:hAnsi="Arial" w:cs="Arial"/>
          <w:sz w:val="28"/>
        </w:rPr>
      </w:pPr>
    </w:p>
    <w:p w14:paraId="5F20BC79">
      <w:pPr>
        <w:spacing w:line="360" w:lineRule="auto"/>
        <w:ind w:firstLine="560" w:firstLineChars="200"/>
        <w:jc w:val="both"/>
        <w:rPr>
          <w:rFonts w:ascii="Arial" w:hAnsi="Arial" w:cs="Arial"/>
          <w:sz w:val="28"/>
          <w:szCs w:val="18"/>
        </w:rPr>
      </w:pPr>
    </w:p>
    <w:p w14:paraId="6443718A">
      <w:pPr>
        <w:spacing w:line="360" w:lineRule="auto"/>
        <w:ind w:firstLine="565" w:firstLineChars="202"/>
        <w:jc w:val="both"/>
        <w:rPr>
          <w:rFonts w:ascii="Arial" w:hAnsi="Arial" w:cs="Arial"/>
          <w:sz w:val="28"/>
          <w:szCs w:val="18"/>
        </w:rPr>
      </w:pPr>
      <w:bookmarkStart w:id="288" w:name="_Toc416783599"/>
      <w:bookmarkStart w:id="289" w:name="_Toc416783695"/>
    </w:p>
    <w:p w14:paraId="7AC03D0A">
      <w:pPr>
        <w:spacing w:line="360" w:lineRule="auto"/>
        <w:ind w:firstLine="565" w:firstLineChars="202"/>
        <w:jc w:val="both"/>
        <w:rPr>
          <w:rFonts w:ascii="Arial" w:hAnsi="Arial" w:cs="Arial"/>
          <w:sz w:val="28"/>
          <w:szCs w:val="18"/>
        </w:rPr>
        <w:sectPr>
          <w:headerReference r:id="rId32" w:type="default"/>
          <w:footerReference r:id="rId33" w:type="even"/>
          <w:pgSz w:w="11907" w:h="16840"/>
          <w:pgMar w:top="1843" w:right="1304" w:bottom="1134" w:left="1304" w:header="1134" w:footer="907" w:gutter="0"/>
          <w:cols w:space="720" w:num="1"/>
          <w:docGrid w:linePitch="326" w:charSpace="0"/>
        </w:sectPr>
      </w:pPr>
    </w:p>
    <w:p w14:paraId="4BD8249B">
      <w:pPr>
        <w:spacing w:line="360" w:lineRule="auto"/>
        <w:jc w:val="center"/>
        <w:outlineLvl w:val="0"/>
        <w:rPr>
          <w:rFonts w:ascii="Arial" w:hAnsi="Arial" w:cs="Arial"/>
          <w:sz w:val="32"/>
        </w:rPr>
      </w:pPr>
      <w:bookmarkStart w:id="290" w:name="_Toc14390"/>
      <w:bookmarkStart w:id="291" w:name="_Toc97732886"/>
      <w:bookmarkStart w:id="292" w:name="_Toc18679"/>
      <w:bookmarkStart w:id="293" w:name="_Toc469066168"/>
      <w:bookmarkStart w:id="294" w:name="_Toc97732768"/>
      <w:bookmarkStart w:id="295" w:name="_Toc18858"/>
      <w:r>
        <w:rPr>
          <w:rFonts w:ascii="Arial" w:hAnsi="Arial" w:cs="Arial"/>
          <w:b/>
          <w:sz w:val="32"/>
        </w:rPr>
        <w:t>第三部分  土地估价</w:t>
      </w:r>
      <w:bookmarkEnd w:id="288"/>
      <w:bookmarkEnd w:id="289"/>
      <w:bookmarkEnd w:id="290"/>
      <w:bookmarkEnd w:id="291"/>
      <w:bookmarkEnd w:id="292"/>
      <w:bookmarkEnd w:id="293"/>
      <w:bookmarkEnd w:id="294"/>
      <w:bookmarkEnd w:id="295"/>
    </w:p>
    <w:p w14:paraId="616F855A">
      <w:pPr>
        <w:spacing w:line="360" w:lineRule="auto"/>
        <w:rPr>
          <w:rFonts w:ascii="Arial" w:hAnsi="Arial" w:cs="Arial"/>
          <w:b/>
          <w:sz w:val="28"/>
        </w:rPr>
      </w:pPr>
    </w:p>
    <w:p w14:paraId="6B0AF66A">
      <w:pPr>
        <w:spacing w:line="360" w:lineRule="auto"/>
        <w:outlineLvl w:val="1"/>
        <w:rPr>
          <w:rFonts w:ascii="Arial" w:hAnsi="Arial" w:cs="Arial"/>
          <w:sz w:val="28"/>
        </w:rPr>
      </w:pPr>
      <w:bookmarkStart w:id="296" w:name="_Toc97732887"/>
      <w:bookmarkStart w:id="297" w:name="_Toc469066169"/>
      <w:bookmarkStart w:id="298" w:name="_Toc28551"/>
      <w:bookmarkStart w:id="299" w:name="_Toc416783696"/>
      <w:bookmarkStart w:id="300" w:name="_Toc20056"/>
      <w:bookmarkStart w:id="301" w:name="_Toc416783600"/>
      <w:bookmarkStart w:id="302" w:name="_Toc26671"/>
      <w:bookmarkStart w:id="303" w:name="_Toc97732769"/>
      <w:r>
        <w:rPr>
          <w:rFonts w:ascii="Arial" w:hAnsi="Arial" w:cs="Arial"/>
          <w:b/>
          <w:sz w:val="28"/>
        </w:rPr>
        <w:t>一、估价原则</w:t>
      </w:r>
      <w:bookmarkEnd w:id="296"/>
      <w:bookmarkEnd w:id="297"/>
      <w:bookmarkEnd w:id="298"/>
      <w:bookmarkEnd w:id="299"/>
      <w:bookmarkEnd w:id="300"/>
      <w:bookmarkEnd w:id="301"/>
      <w:bookmarkEnd w:id="302"/>
      <w:bookmarkEnd w:id="303"/>
    </w:p>
    <w:p w14:paraId="36B6B6C3">
      <w:pPr>
        <w:spacing w:line="360" w:lineRule="auto"/>
        <w:ind w:firstLine="560" w:firstLineChars="200"/>
        <w:jc w:val="both"/>
        <w:rPr>
          <w:rFonts w:ascii="Arial" w:hAnsi="Arial" w:cs="Arial"/>
          <w:sz w:val="28"/>
        </w:rPr>
      </w:pPr>
      <w:r>
        <w:rPr>
          <w:rFonts w:ascii="Arial" w:hAnsi="Arial" w:cs="Arial"/>
          <w:sz w:val="28"/>
        </w:rPr>
        <w:t>地价是由其效用、相对稀缺性及有效需求三者相互作用影响所形成，由于这些因素又经常处于变动之中，我们在估价时遵循以下原则：</w:t>
      </w:r>
    </w:p>
    <w:p w14:paraId="659528C9">
      <w:pPr>
        <w:spacing w:before="60" w:beforeLines="25" w:after="60" w:afterLines="25" w:line="360" w:lineRule="auto"/>
        <w:jc w:val="both"/>
        <w:rPr>
          <w:rFonts w:ascii="Arial" w:hAnsi="Arial" w:cs="Arial"/>
          <w:sz w:val="28"/>
        </w:rPr>
      </w:pPr>
      <w:r>
        <w:rPr>
          <w:rFonts w:ascii="Arial" w:hAnsi="Arial" w:cs="Arial"/>
          <w:sz w:val="28"/>
        </w:rPr>
        <w:t>（一）替代原则</w:t>
      </w:r>
    </w:p>
    <w:p w14:paraId="27E89BB2">
      <w:pPr>
        <w:spacing w:line="360" w:lineRule="auto"/>
        <w:ind w:firstLine="560" w:firstLineChars="200"/>
        <w:jc w:val="both"/>
        <w:rPr>
          <w:rFonts w:ascii="Arial" w:hAnsi="Arial" w:cs="Arial"/>
          <w:sz w:val="28"/>
        </w:rPr>
      </w:pPr>
      <w:r>
        <w:rPr>
          <w:rFonts w:ascii="Arial" w:hAnsi="Arial" w:cs="Arial"/>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基于这一原则，咨询对象土地价格可参考周边同类或类似土地交易案例确定，且咨询对象未来开发完成后的价格水平可参考周边项目的租售水平确定。</w:t>
      </w:r>
    </w:p>
    <w:p w14:paraId="38F9E5B6">
      <w:pPr>
        <w:spacing w:before="60" w:beforeLines="25" w:after="60" w:afterLines="25" w:line="360" w:lineRule="auto"/>
        <w:jc w:val="both"/>
        <w:rPr>
          <w:rFonts w:ascii="Arial" w:hAnsi="Arial" w:cs="Arial"/>
          <w:sz w:val="28"/>
        </w:rPr>
      </w:pPr>
      <w:r>
        <w:rPr>
          <w:rFonts w:ascii="Arial" w:hAnsi="Arial" w:cs="Arial"/>
          <w:sz w:val="28"/>
        </w:rPr>
        <w:t>（二）最有效利用原则</w:t>
      </w:r>
    </w:p>
    <w:p w14:paraId="6D404855">
      <w:pPr>
        <w:spacing w:line="360" w:lineRule="auto"/>
        <w:ind w:firstLine="560" w:firstLineChars="200"/>
        <w:jc w:val="both"/>
        <w:rPr>
          <w:rFonts w:ascii="Arial" w:hAnsi="Arial" w:cs="Arial"/>
          <w:sz w:val="28"/>
        </w:rPr>
      </w:pPr>
      <w:r>
        <w:rPr>
          <w:rFonts w:ascii="Arial"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47C6CD5F">
      <w:pPr>
        <w:spacing w:before="60" w:beforeLines="25" w:after="60" w:afterLines="25" w:line="360" w:lineRule="auto"/>
        <w:jc w:val="both"/>
        <w:rPr>
          <w:rFonts w:ascii="Arial" w:hAnsi="Arial" w:cs="Arial"/>
          <w:sz w:val="28"/>
        </w:rPr>
      </w:pPr>
      <w:r>
        <w:rPr>
          <w:rFonts w:ascii="Arial" w:hAnsi="Arial" w:cs="Arial"/>
          <w:sz w:val="28"/>
        </w:rPr>
        <w:t>（三）预期收益原则</w:t>
      </w:r>
    </w:p>
    <w:p w14:paraId="0FF99F76">
      <w:pPr>
        <w:spacing w:line="360" w:lineRule="auto"/>
        <w:ind w:firstLine="560" w:firstLineChars="200"/>
        <w:jc w:val="both"/>
        <w:rPr>
          <w:rFonts w:ascii="Arial" w:hAnsi="Arial" w:cs="Arial"/>
          <w:sz w:val="28"/>
        </w:rPr>
      </w:pPr>
      <w:r>
        <w:rPr>
          <w:rFonts w:ascii="Arial"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咨询对象土地价格时，就是以该原则为原理。</w:t>
      </w:r>
    </w:p>
    <w:p w14:paraId="48643C8B">
      <w:pPr>
        <w:spacing w:before="60" w:beforeLines="25" w:after="60" w:afterLines="25" w:line="360" w:lineRule="auto"/>
        <w:jc w:val="both"/>
        <w:rPr>
          <w:rFonts w:ascii="Arial" w:hAnsi="Arial" w:cs="Arial"/>
          <w:sz w:val="28"/>
        </w:rPr>
      </w:pPr>
      <w:r>
        <w:rPr>
          <w:rFonts w:ascii="Arial" w:hAnsi="Arial" w:cs="Arial"/>
          <w:sz w:val="28"/>
        </w:rPr>
        <w:t>（四）供需原则</w:t>
      </w:r>
    </w:p>
    <w:p w14:paraId="0E5277F9">
      <w:pPr>
        <w:spacing w:line="360" w:lineRule="auto"/>
        <w:ind w:firstLine="560" w:firstLineChars="200"/>
        <w:jc w:val="both"/>
        <w:rPr>
          <w:rFonts w:ascii="Arial" w:hAnsi="Arial" w:cs="Arial"/>
          <w:sz w:val="28"/>
        </w:rPr>
      </w:pPr>
      <w:r>
        <w:rPr>
          <w:rFonts w:ascii="Arial"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咨询对象位于北京市顺义区南法信镇北法信村，属城区范围内，土地性质为集体建设用地使用权。区域内土地资产存在一定增值潜力。评估中剩余法的运用主要考虑此项原则。</w:t>
      </w:r>
    </w:p>
    <w:p w14:paraId="0DC4FA99">
      <w:pPr>
        <w:spacing w:before="60" w:beforeLines="25" w:after="60" w:afterLines="25" w:line="360" w:lineRule="auto"/>
        <w:jc w:val="both"/>
        <w:rPr>
          <w:rFonts w:ascii="Arial" w:hAnsi="Arial" w:cs="Arial"/>
          <w:sz w:val="28"/>
        </w:rPr>
      </w:pPr>
      <w:r>
        <w:rPr>
          <w:rFonts w:ascii="Arial" w:hAnsi="Arial" w:cs="Arial"/>
          <w:sz w:val="28"/>
        </w:rPr>
        <w:t>（五）贡献原则</w:t>
      </w:r>
    </w:p>
    <w:p w14:paraId="659F81CE">
      <w:pPr>
        <w:spacing w:line="360" w:lineRule="auto"/>
        <w:ind w:firstLine="560" w:firstLineChars="200"/>
        <w:jc w:val="both"/>
        <w:rPr>
          <w:rFonts w:ascii="Arial" w:hAnsi="Arial" w:cs="Arial"/>
          <w:sz w:val="28"/>
        </w:rPr>
      </w:pPr>
      <w:r>
        <w:rPr>
          <w:rFonts w:ascii="Arial"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6C99A234">
      <w:pPr>
        <w:spacing w:line="360" w:lineRule="auto"/>
        <w:jc w:val="both"/>
        <w:rPr>
          <w:rFonts w:ascii="Arial" w:hAnsi="Arial" w:cs="Arial"/>
          <w:b/>
          <w:sz w:val="28"/>
        </w:rPr>
      </w:pPr>
    </w:p>
    <w:p w14:paraId="617771C7">
      <w:pPr>
        <w:spacing w:line="360" w:lineRule="auto"/>
        <w:jc w:val="both"/>
        <w:outlineLvl w:val="1"/>
        <w:rPr>
          <w:rFonts w:ascii="Arial" w:hAnsi="Arial" w:cs="Arial"/>
          <w:b/>
          <w:sz w:val="28"/>
        </w:rPr>
      </w:pPr>
      <w:bookmarkStart w:id="304" w:name="_Toc469066170"/>
      <w:bookmarkStart w:id="305" w:name="_Toc97732888"/>
      <w:bookmarkStart w:id="306" w:name="_Toc21116"/>
      <w:bookmarkStart w:id="307" w:name="_Toc14002"/>
      <w:bookmarkStart w:id="308" w:name="_Toc416783697"/>
      <w:bookmarkStart w:id="309" w:name="_Toc21441"/>
      <w:bookmarkStart w:id="310" w:name="_Toc416783601"/>
      <w:bookmarkStart w:id="311" w:name="_Toc97732770"/>
      <w:r>
        <w:rPr>
          <w:rFonts w:ascii="Arial" w:hAnsi="Arial" w:cs="Arial"/>
          <w:b/>
          <w:sz w:val="28"/>
        </w:rPr>
        <w:t>二、估价方法与估价过程</w:t>
      </w:r>
      <w:bookmarkEnd w:id="304"/>
      <w:bookmarkEnd w:id="305"/>
      <w:bookmarkEnd w:id="306"/>
      <w:bookmarkEnd w:id="307"/>
      <w:bookmarkEnd w:id="308"/>
      <w:bookmarkEnd w:id="309"/>
      <w:bookmarkEnd w:id="310"/>
      <w:bookmarkEnd w:id="311"/>
    </w:p>
    <w:p w14:paraId="124788EB">
      <w:pPr>
        <w:pStyle w:val="59"/>
        <w:autoSpaceDE w:val="0"/>
        <w:autoSpaceDN w:val="0"/>
        <w:spacing w:line="360" w:lineRule="auto"/>
        <w:ind w:right="140"/>
        <w:jc w:val="both"/>
        <w:textAlignment w:val="bottom"/>
        <w:rPr>
          <w:rFonts w:ascii="Arial" w:hAnsi="Arial" w:cs="Arial"/>
          <w:bCs/>
          <w:sz w:val="28"/>
        </w:rPr>
      </w:pPr>
      <w:r>
        <w:rPr>
          <w:rFonts w:ascii="Arial" w:hAnsi="Arial" w:cs="Arial"/>
          <w:bCs/>
          <w:sz w:val="28"/>
        </w:rPr>
        <w:t>（一）估价方法选择</w:t>
      </w:r>
    </w:p>
    <w:p w14:paraId="13131AF1">
      <w:pPr>
        <w:spacing w:line="360" w:lineRule="auto"/>
        <w:ind w:firstLine="560" w:firstLineChars="200"/>
        <w:jc w:val="both"/>
        <w:rPr>
          <w:rFonts w:ascii="Arial" w:hAnsi="Arial" w:cs="Arial"/>
          <w:sz w:val="28"/>
        </w:rPr>
      </w:pPr>
      <w:r>
        <w:rPr>
          <w:rFonts w:ascii="Arial" w:hAnsi="Arial" w:cs="Arial"/>
          <w:sz w:val="28"/>
        </w:rPr>
        <w:t>1.方法选择</w:t>
      </w:r>
    </w:p>
    <w:p w14:paraId="1761A662">
      <w:pPr>
        <w:spacing w:line="360" w:lineRule="auto"/>
        <w:ind w:firstLine="560" w:firstLineChars="200"/>
        <w:jc w:val="both"/>
        <w:rPr>
          <w:rFonts w:ascii="Arial" w:hAnsi="Arial" w:cs="Arial"/>
          <w:sz w:val="28"/>
        </w:rPr>
      </w:pPr>
      <w:r>
        <w:rPr>
          <w:rFonts w:ascii="Arial" w:hAnsi="Arial" w:cs="Arial"/>
          <w:sz w:val="28"/>
        </w:rPr>
        <w:t>根据《城镇土地估价规程》[GB/T18508-2014]，估价方法通常有市场比较法、收益还原法、成本逼近法、剩余法及基准地价系数修正法共五种估价方法。</w:t>
      </w:r>
    </w:p>
    <w:p w14:paraId="1A7C95BC">
      <w:pPr>
        <w:pStyle w:val="59"/>
        <w:autoSpaceDE w:val="0"/>
        <w:autoSpaceDN w:val="0"/>
        <w:spacing w:line="360" w:lineRule="auto"/>
        <w:ind w:right="6" w:firstLine="560" w:firstLineChars="200"/>
        <w:jc w:val="both"/>
        <w:textAlignment w:val="bottom"/>
        <w:rPr>
          <w:rFonts w:ascii="Arial" w:hAnsi="Arial" w:cs="Arial"/>
          <w:i/>
          <w:sz w:val="28"/>
        </w:rPr>
      </w:pPr>
      <w:r>
        <w:rPr>
          <w:rFonts w:ascii="Arial" w:hAnsi="Arial" w:cs="Arial"/>
          <w:sz w:val="28"/>
        </w:rPr>
        <w:t>评估专业人员根据咨询对象的特点、实际情况以及咨询目的，对上述估价方法分析如下：</w:t>
      </w:r>
      <w:r>
        <w:rPr>
          <w:rFonts w:ascii="Arial" w:hAnsi="Arial" w:cs="Arial"/>
          <w:i/>
          <w:sz w:val="28"/>
        </w:rPr>
        <w:t xml:space="preserve"> </w:t>
      </w:r>
    </w:p>
    <w:p w14:paraId="5FCDA8B7">
      <w:pPr>
        <w:pStyle w:val="59"/>
        <w:autoSpaceDE w:val="0"/>
        <w:autoSpaceDN w:val="0"/>
        <w:spacing w:line="360" w:lineRule="auto"/>
        <w:ind w:right="6" w:firstLine="560" w:firstLineChars="200"/>
        <w:jc w:val="both"/>
        <w:textAlignment w:val="bottom"/>
        <w:rPr>
          <w:rFonts w:ascii="Arial" w:hAnsi="Arial" w:cs="Arial"/>
          <w:sz w:val="28"/>
        </w:rPr>
      </w:pPr>
      <w:r>
        <w:rPr>
          <w:rFonts w:ascii="Arial"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7A6A328D">
      <w:pPr>
        <w:spacing w:line="360" w:lineRule="auto"/>
        <w:ind w:firstLine="560" w:firstLineChars="200"/>
        <w:jc w:val="both"/>
        <w:rPr>
          <w:rFonts w:ascii="Arial" w:hAnsi="Arial" w:cs="Arial"/>
          <w:sz w:val="28"/>
        </w:rPr>
      </w:pPr>
      <w:r>
        <w:rPr>
          <w:rFonts w:ascii="Arial"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3C891DAA">
      <w:pPr>
        <w:spacing w:line="360" w:lineRule="auto"/>
        <w:ind w:left="-2" w:leftChars="-1" w:firstLine="560" w:firstLineChars="200"/>
        <w:jc w:val="both"/>
        <w:rPr>
          <w:rFonts w:ascii="Arial" w:hAnsi="Arial" w:cs="Arial"/>
          <w:sz w:val="28"/>
        </w:rPr>
      </w:pPr>
      <w:r>
        <w:rPr>
          <w:rFonts w:ascii="Arial" w:hAnsi="Arial" w:cs="Arial"/>
          <w:sz w:val="28"/>
        </w:rPr>
        <w:t>成本逼近法：成本逼近法是以取得和开发土地所耗费的各项费用之和为主要依据，再加上一定的利润、利息、应缴纳的税金和</w:t>
      </w:r>
      <w:r>
        <w:fldChar w:fldCharType="begin"/>
      </w:r>
      <w:r>
        <w:instrText xml:space="preserve"> HYPERLINK "http://baike.baidu.com/item/%E5%9C%9F%E5%9C%B0%E6%89%80%E6%9C%89%E6%9D%83" \t "_blank" </w:instrText>
      </w:r>
      <w:r>
        <w:fldChar w:fldCharType="separate"/>
      </w:r>
      <w:r>
        <w:rPr>
          <w:rFonts w:ascii="Arial" w:hAnsi="Arial" w:cs="Arial"/>
          <w:sz w:val="28"/>
        </w:rPr>
        <w:t>土地所有权</w:t>
      </w:r>
      <w:r>
        <w:rPr>
          <w:rFonts w:ascii="Arial" w:hAnsi="Arial" w:cs="Arial"/>
          <w:sz w:val="28"/>
        </w:rPr>
        <w:fldChar w:fldCharType="end"/>
      </w:r>
      <w:r>
        <w:rPr>
          <w:rFonts w:ascii="Arial" w:hAnsi="Arial" w:cs="Arial"/>
          <w:sz w:val="28"/>
        </w:rPr>
        <w:t>收益来确定</w:t>
      </w:r>
      <w:r>
        <w:fldChar w:fldCharType="begin"/>
      </w:r>
      <w:r>
        <w:instrText xml:space="preserve"> HYPERLINK "http://baike.baidu.com/item/%E5%9C%9F%E5%9C%B0%E4%BB%B7%E6%A0%BC" \t "_blank" </w:instrText>
      </w:r>
      <w:r>
        <w:fldChar w:fldCharType="separate"/>
      </w:r>
      <w:r>
        <w:rPr>
          <w:rFonts w:ascii="Arial" w:hAnsi="Arial" w:cs="Arial"/>
          <w:sz w:val="28"/>
        </w:rPr>
        <w:t>土地价格</w:t>
      </w:r>
      <w:r>
        <w:rPr>
          <w:rFonts w:ascii="Arial" w:hAnsi="Arial" w:cs="Arial"/>
          <w:sz w:val="28"/>
        </w:rPr>
        <w:fldChar w:fldCharType="end"/>
      </w:r>
      <w:r>
        <w:rPr>
          <w:rFonts w:ascii="Arial" w:hAnsi="Arial" w:cs="Arial"/>
          <w:sz w:val="28"/>
        </w:rPr>
        <w:t>的咨询方法。成本逼近法一般是用于新开发土地，或土地市场欠发育、交易实例少的地区的土地价格评估。</w:t>
      </w:r>
    </w:p>
    <w:p w14:paraId="2D808AA3">
      <w:pPr>
        <w:spacing w:line="360" w:lineRule="auto"/>
        <w:ind w:firstLine="560" w:firstLineChars="200"/>
        <w:jc w:val="both"/>
        <w:rPr>
          <w:rFonts w:ascii="Arial" w:hAnsi="Arial" w:cs="Arial"/>
          <w:sz w:val="28"/>
        </w:rPr>
      </w:pPr>
      <w:r>
        <w:rPr>
          <w:rFonts w:ascii="Arial" w:hAnsi="Arial" w:cs="Arial"/>
          <w:sz w:val="28"/>
        </w:rPr>
        <w:t>剩余（增值收益扣减）法:是在《城镇土地估价规程》剩余法 思路上衍生技术路线，通过出让土地使用权价格扣减土地增值收益的方 法评估划拨地价。咨询对象周边市场满足出让土地使用权价格评估，虽 然北京市暂未公布土地增值收益，但可以通过招拍挂市场成交价与土地 一级开发成本差额计算土地增值收益。</w:t>
      </w:r>
    </w:p>
    <w:p w14:paraId="3BE848E1">
      <w:pPr>
        <w:spacing w:line="360" w:lineRule="auto"/>
        <w:ind w:firstLine="560" w:firstLineChars="200"/>
        <w:jc w:val="both"/>
        <w:rPr>
          <w:rFonts w:ascii="Arial" w:hAnsi="Arial" w:cs="Arial"/>
          <w:sz w:val="28"/>
        </w:rPr>
      </w:pPr>
      <w:r>
        <w:rPr>
          <w:rFonts w:ascii="Arial" w:hAnsi="Arial" w:cs="Arial"/>
          <w:sz w:val="28"/>
        </w:rPr>
        <w:t>基准地价系数修正法：该方法适用于政府或其有关部门已公布基准地价地区的土地咨询。</w:t>
      </w:r>
    </w:p>
    <w:p w14:paraId="7DBD3E88">
      <w:pPr>
        <w:spacing w:line="360" w:lineRule="auto"/>
        <w:ind w:firstLine="560" w:firstLineChars="200"/>
        <w:jc w:val="both"/>
        <w:rPr>
          <w:rFonts w:ascii="Arial" w:hAnsi="Arial" w:cs="Arial"/>
          <w:sz w:val="28"/>
        </w:rPr>
      </w:pPr>
      <w:r>
        <w:rPr>
          <w:rFonts w:ascii="Arial" w:hAnsi="Arial" w:cs="Arial"/>
          <w:sz w:val="28"/>
        </w:rPr>
        <w:t>本评估项目评估对象的性质为集体土地使用权，开发建设项目未来将以住宅业态为主并建设部分商业业态采取出租收取租金的运营模式，该类开发建设项目属于新兴业态目前市场交易（包括出租、转让等）案例较少、公开信息不完整，故不适宜采用市场比较法、成本法和收益还原法；目前政府相关部门也尚未正式公布关于集体土地相关公示地价系数等资料，故也不适宜采用公示地价系数修正法。</w:t>
      </w:r>
    </w:p>
    <w:p w14:paraId="7512EB9A">
      <w:pPr>
        <w:pStyle w:val="59"/>
        <w:autoSpaceDE w:val="0"/>
        <w:autoSpaceDN w:val="0"/>
        <w:spacing w:line="360" w:lineRule="auto"/>
        <w:ind w:right="31" w:rightChars="13" w:firstLine="560" w:firstLineChars="200"/>
        <w:jc w:val="both"/>
        <w:textAlignment w:val="bottom"/>
        <w:rPr>
          <w:rFonts w:ascii="Arial" w:hAnsi="Arial" w:cs="Arial"/>
          <w:sz w:val="28"/>
        </w:rPr>
      </w:pPr>
      <w:r>
        <w:rPr>
          <w:rFonts w:ascii="Arial" w:hAnsi="Arial" w:cs="Arial"/>
          <w:sz w:val="28"/>
        </w:rPr>
        <w:t>综上所述，本次评估根据咨询对象的特点和实际状况，采用剩余法进行测算，其中剩余法中不动产开发完成后总价采用收益还原法求取，力求合理科学地评估出咨询对象的集体建设用地使用权价格。</w:t>
      </w:r>
    </w:p>
    <w:p w14:paraId="7EB4DBAB">
      <w:pPr>
        <w:pStyle w:val="59"/>
        <w:autoSpaceDE w:val="0"/>
        <w:autoSpaceDN w:val="0"/>
        <w:spacing w:line="360" w:lineRule="auto"/>
        <w:ind w:right="31" w:rightChars="13" w:firstLine="560" w:firstLineChars="200"/>
        <w:jc w:val="both"/>
        <w:textAlignment w:val="bottom"/>
        <w:rPr>
          <w:rFonts w:ascii="Arial" w:hAnsi="Arial" w:cs="Arial"/>
          <w:sz w:val="28"/>
        </w:rPr>
      </w:pPr>
      <w:r>
        <w:rPr>
          <w:rFonts w:ascii="Arial" w:hAnsi="Arial" w:cs="Arial"/>
          <w:sz w:val="28"/>
        </w:rPr>
        <w:t>2.本次评估所采用的估价方法简述如下：</w:t>
      </w:r>
    </w:p>
    <w:p w14:paraId="146C9491">
      <w:pPr>
        <w:spacing w:line="360" w:lineRule="auto"/>
        <w:ind w:firstLine="537" w:firstLineChars="192"/>
        <w:jc w:val="both"/>
        <w:rPr>
          <w:rFonts w:ascii="Arial" w:hAnsi="Arial" w:cs="Arial"/>
          <w:sz w:val="28"/>
        </w:rPr>
      </w:pPr>
      <w:r>
        <w:rPr>
          <w:rFonts w:ascii="Arial" w:hAnsi="Arial" w:cs="Arial"/>
          <w:sz w:val="28"/>
        </w:rPr>
        <w:t>剩余法是在测算完成开发后的不动产正常交易价格的基础上，扣除预计的正常建造成本以及有关专业费用、利息、利润和税费等，以价格余额来估算待估宗地价格的方法。</w:t>
      </w:r>
    </w:p>
    <w:p w14:paraId="583BF6C7">
      <w:pPr>
        <w:spacing w:before="25" w:after="25" w:line="360" w:lineRule="auto"/>
        <w:ind w:firstLine="555"/>
        <w:rPr>
          <w:rFonts w:ascii="Arial" w:hAnsi="Arial" w:cs="Arial"/>
          <w:spacing w:val="10"/>
          <w:sz w:val="28"/>
        </w:rPr>
      </w:pPr>
      <w:r>
        <w:rPr>
          <w:rFonts w:ascii="Arial" w:hAnsi="Arial" w:cs="Arial"/>
          <w:spacing w:val="10"/>
          <w:sz w:val="28"/>
        </w:rPr>
        <w:t>其计算公式为：</w:t>
      </w:r>
    </w:p>
    <w:p w14:paraId="6A3DA5A4">
      <w:pPr>
        <w:spacing w:before="25" w:after="25" w:line="360" w:lineRule="auto"/>
        <w:ind w:firstLine="646"/>
        <w:rPr>
          <w:rFonts w:ascii="Arial" w:hAnsi="Arial" w:cs="Arial"/>
          <w:spacing w:val="10"/>
          <w:sz w:val="28"/>
        </w:rPr>
      </w:pPr>
      <w:r>
        <w:rPr>
          <w:rFonts w:ascii="Arial" w:hAnsi="Arial" w:cs="Arial"/>
          <w:sz w:val="28"/>
        </w:rPr>
        <w:t>P=</w:t>
      </w:r>
      <w:r>
        <w:rPr>
          <w:rFonts w:ascii="Arial" w:hAnsi="Arial" w:cs="Arial"/>
          <w:spacing w:val="10"/>
          <w:sz w:val="28"/>
        </w:rPr>
        <w:t>A－B－C</w:t>
      </w:r>
    </w:p>
    <w:p w14:paraId="0085C547">
      <w:pPr>
        <w:pStyle w:val="59"/>
        <w:autoSpaceDE w:val="0"/>
        <w:autoSpaceDN w:val="0"/>
        <w:spacing w:line="360" w:lineRule="auto"/>
        <w:ind w:right="140" w:firstLine="570"/>
        <w:jc w:val="both"/>
        <w:textAlignment w:val="bottom"/>
        <w:rPr>
          <w:rFonts w:ascii="Arial" w:hAnsi="Arial" w:cs="Arial"/>
          <w:sz w:val="28"/>
        </w:rPr>
      </w:pPr>
      <w:r>
        <w:rPr>
          <w:rFonts w:ascii="Arial" w:hAnsi="Arial" w:cs="Arial"/>
          <w:sz w:val="28"/>
        </w:rPr>
        <w:t>式中：</w:t>
      </w:r>
    </w:p>
    <w:p w14:paraId="72871E8C">
      <w:pPr>
        <w:spacing w:before="25" w:after="25" w:line="360" w:lineRule="auto"/>
        <w:ind w:firstLine="646"/>
        <w:rPr>
          <w:rFonts w:ascii="Arial" w:hAnsi="Arial" w:cs="Arial"/>
          <w:spacing w:val="10"/>
          <w:sz w:val="28"/>
        </w:rPr>
      </w:pPr>
      <w:r>
        <w:rPr>
          <w:rFonts w:ascii="Arial" w:hAnsi="Arial" w:cs="Arial"/>
          <w:spacing w:val="10"/>
          <w:sz w:val="28"/>
        </w:rPr>
        <w:t>P——</w:t>
      </w:r>
      <w:r>
        <w:rPr>
          <w:rFonts w:ascii="Arial" w:hAnsi="Arial" w:cs="Arial"/>
          <w:sz w:val="28"/>
        </w:rPr>
        <w:t>待估宗地价格</w:t>
      </w:r>
    </w:p>
    <w:p w14:paraId="3EC38B8F">
      <w:pPr>
        <w:spacing w:before="25" w:after="25" w:line="360" w:lineRule="auto"/>
        <w:ind w:firstLine="646"/>
        <w:rPr>
          <w:rFonts w:ascii="Arial" w:hAnsi="Arial" w:cs="Arial"/>
          <w:sz w:val="28"/>
        </w:rPr>
      </w:pPr>
      <w:r>
        <w:rPr>
          <w:rFonts w:ascii="Arial" w:hAnsi="Arial" w:cs="Arial"/>
          <w:spacing w:val="10"/>
          <w:sz w:val="28"/>
        </w:rPr>
        <w:t>A——不动产总价</w:t>
      </w:r>
    </w:p>
    <w:p w14:paraId="6D62B9A4">
      <w:pPr>
        <w:spacing w:before="25" w:after="25" w:line="360" w:lineRule="auto"/>
        <w:ind w:firstLine="646"/>
        <w:rPr>
          <w:rFonts w:ascii="Arial" w:hAnsi="Arial" w:cs="Arial"/>
          <w:sz w:val="28"/>
        </w:rPr>
      </w:pPr>
      <w:r>
        <w:rPr>
          <w:rFonts w:ascii="Arial" w:hAnsi="Arial" w:cs="Arial"/>
          <w:spacing w:val="10"/>
          <w:sz w:val="28"/>
        </w:rPr>
        <w:t>B——开发项目整体的开发成本</w:t>
      </w:r>
    </w:p>
    <w:p w14:paraId="3E027C9D">
      <w:pPr>
        <w:spacing w:line="360" w:lineRule="auto"/>
        <w:ind w:firstLine="630" w:firstLineChars="225"/>
        <w:textAlignment w:val="bottom"/>
        <w:rPr>
          <w:rFonts w:ascii="Arial" w:hAnsi="Arial" w:cs="Arial"/>
          <w:sz w:val="28"/>
        </w:rPr>
      </w:pPr>
      <w:r>
        <w:rPr>
          <w:rFonts w:ascii="Arial" w:hAnsi="Arial" w:cs="Arial"/>
          <w:sz w:val="28"/>
        </w:rPr>
        <w:t>C——投资利润</w:t>
      </w:r>
    </w:p>
    <w:p w14:paraId="5FB9D52E">
      <w:pPr>
        <w:pStyle w:val="59"/>
        <w:autoSpaceDE w:val="0"/>
        <w:autoSpaceDN w:val="0"/>
        <w:spacing w:line="360" w:lineRule="auto"/>
        <w:ind w:right="31" w:rightChars="13" w:firstLine="560" w:firstLineChars="200"/>
        <w:jc w:val="both"/>
        <w:textAlignment w:val="bottom"/>
        <w:rPr>
          <w:rFonts w:ascii="Arial" w:hAnsi="Arial" w:cs="Arial"/>
          <w:sz w:val="28"/>
        </w:rPr>
      </w:pPr>
      <w:r>
        <w:rPr>
          <w:rFonts w:ascii="Arial" w:hAnsi="Arial" w:cs="Arial"/>
          <w:sz w:val="28"/>
        </w:rPr>
        <w:t>其中：</w:t>
      </w:r>
      <w:r>
        <w:rPr>
          <w:rFonts w:ascii="Arial" w:hAnsi="Arial" w:cs="Arial"/>
          <w:spacing w:val="10"/>
          <w:sz w:val="28"/>
        </w:rPr>
        <w:t>开发项目整体的开发成本包括购地税费、房屋建造成本、管理费用、销售费用、投资利息和销售税费。</w:t>
      </w:r>
    </w:p>
    <w:p w14:paraId="29126BB8">
      <w:pPr>
        <w:spacing w:line="360" w:lineRule="auto"/>
        <w:jc w:val="both"/>
        <w:rPr>
          <w:rFonts w:ascii="Arial" w:hAnsi="Arial" w:cs="Arial"/>
          <w:b/>
          <w:sz w:val="28"/>
        </w:rPr>
      </w:pPr>
      <w:bookmarkStart w:id="312" w:name="_Toc416783602"/>
      <w:bookmarkStart w:id="313" w:name="_Toc416783698"/>
    </w:p>
    <w:p w14:paraId="2EF25003">
      <w:pPr>
        <w:spacing w:line="360" w:lineRule="auto"/>
        <w:jc w:val="both"/>
        <w:rPr>
          <w:rFonts w:ascii="Arial" w:hAnsi="Arial" w:cs="Arial"/>
          <w:sz w:val="28"/>
        </w:rPr>
      </w:pPr>
      <w:r>
        <w:rPr>
          <w:rFonts w:ascii="Arial" w:hAnsi="Arial" w:cs="Arial"/>
          <w:sz w:val="28"/>
        </w:rPr>
        <w:t>（二）估价过程</w:t>
      </w:r>
      <w:bookmarkEnd w:id="312"/>
      <w:bookmarkEnd w:id="313"/>
    </w:p>
    <w:p w14:paraId="25BD5CB3">
      <w:pPr>
        <w:pStyle w:val="59"/>
        <w:autoSpaceDE w:val="0"/>
        <w:autoSpaceDN w:val="0"/>
        <w:spacing w:line="360" w:lineRule="auto"/>
        <w:ind w:right="140" w:firstLine="562" w:firstLineChars="200"/>
        <w:jc w:val="both"/>
        <w:textAlignment w:val="bottom"/>
        <w:rPr>
          <w:rFonts w:ascii="Arial" w:hAnsi="Arial" w:cs="Arial"/>
          <w:b/>
          <w:sz w:val="28"/>
        </w:rPr>
      </w:pPr>
      <w:r>
        <w:rPr>
          <w:rFonts w:ascii="Arial" w:hAnsi="Arial" w:cs="Arial"/>
          <w:b/>
          <w:sz w:val="28"/>
        </w:rPr>
        <w:t>相关参数</w:t>
      </w:r>
    </w:p>
    <w:p w14:paraId="0AB871C6">
      <w:pPr>
        <w:pStyle w:val="59"/>
        <w:autoSpaceDE w:val="0"/>
        <w:autoSpaceDN w:val="0"/>
        <w:spacing w:line="360" w:lineRule="auto"/>
        <w:ind w:right="140" w:firstLine="560" w:firstLineChars="200"/>
        <w:jc w:val="both"/>
        <w:textAlignment w:val="bottom"/>
        <w:rPr>
          <w:rFonts w:ascii="Arial" w:hAnsi="Arial" w:cs="Arial"/>
          <w:sz w:val="28"/>
        </w:rPr>
      </w:pPr>
      <w:r>
        <w:rPr>
          <w:rFonts w:ascii="Arial" w:hAnsi="Arial" w:cs="Arial"/>
          <w:sz w:val="28"/>
        </w:rPr>
        <w:t>1.咨询对象土地经济技术指标</w:t>
      </w:r>
    </w:p>
    <w:p w14:paraId="7D818D56">
      <w:pPr>
        <w:spacing w:line="360" w:lineRule="auto"/>
        <w:ind w:firstLine="560" w:firstLineChars="200"/>
        <w:jc w:val="both"/>
        <w:rPr>
          <w:rFonts w:ascii="Arial" w:hAnsi="Arial" w:cs="Arial"/>
          <w:sz w:val="28"/>
        </w:rPr>
      </w:pPr>
      <w:r>
        <w:rPr>
          <w:rFonts w:hint="eastAsia" w:ascii="Arial" w:hAnsi="Arial" w:cs="Arial"/>
          <w:sz w:val="28"/>
        </w:rPr>
        <w:t>根据委托方提供的经济技术指标，规划利用条件如下：</w:t>
      </w:r>
    </w:p>
    <w:tbl>
      <w:tblPr>
        <w:tblStyle w:val="32"/>
        <w:tblpPr w:leftFromText="180" w:rightFromText="180" w:vertAnchor="text" w:horzAnchor="margin" w:tblpX="1" w:tblpY="143"/>
        <w:tblW w:w="945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65"/>
        <w:gridCol w:w="1020"/>
        <w:gridCol w:w="3341"/>
        <w:gridCol w:w="1488"/>
        <w:gridCol w:w="2436"/>
      </w:tblGrid>
      <w:tr w14:paraId="432CB21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bottom w:val="single" w:color="auto" w:sz="4" w:space="0"/>
              <w:right w:val="single" w:color="auto" w:sz="4" w:space="0"/>
            </w:tcBorders>
            <w:noWrap/>
            <w:vAlign w:val="center"/>
          </w:tcPr>
          <w:p w14:paraId="0C816EF1">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color="auto" w:sz="4" w:space="0"/>
              <w:right w:val="single" w:color="auto" w:sz="4" w:space="0"/>
            </w:tcBorders>
            <w:noWrap/>
            <w:vAlign w:val="center"/>
          </w:tcPr>
          <w:p w14:paraId="760AAE04">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color="auto" w:sz="4" w:space="0"/>
              <w:right w:val="single" w:color="auto" w:sz="4" w:space="0"/>
            </w:tcBorders>
            <w:noWrap/>
            <w:vAlign w:val="center"/>
          </w:tcPr>
          <w:p w14:paraId="069F1440">
            <w:pPr>
              <w:widowControl/>
              <w:spacing w:line="240" w:lineRule="auto"/>
              <w:jc w:val="center"/>
              <w:rPr>
                <w:rFonts w:ascii="Arial" w:hAnsi="Arial" w:cs="Arial"/>
                <w:color w:val="000000"/>
                <w:sz w:val="20"/>
              </w:rPr>
            </w:pPr>
            <w:r>
              <w:rPr>
                <w:rFonts w:ascii="Arial" w:hAnsi="Arial" w:cs="Arial"/>
                <w:color w:val="000000"/>
                <w:sz w:val="20"/>
              </w:rPr>
              <w:t>数量</w:t>
            </w:r>
          </w:p>
        </w:tc>
      </w:tr>
      <w:tr w14:paraId="3B92DC4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6723A16C">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color="auto" w:sz="4" w:space="0"/>
              <w:right w:val="single" w:color="auto" w:sz="4" w:space="0"/>
            </w:tcBorders>
            <w:noWrap/>
            <w:vAlign w:val="center"/>
          </w:tcPr>
          <w:p w14:paraId="60F8442E">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BDEC10D">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34B791C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94816F0">
            <w:pPr>
              <w:widowControl/>
              <w:spacing w:line="240" w:lineRule="auto"/>
              <w:jc w:val="center"/>
              <w:rPr>
                <w:rFonts w:ascii="Arial" w:hAnsi="Arial" w:cs="Arial"/>
                <w:color w:val="000000"/>
                <w:sz w:val="20"/>
              </w:rPr>
            </w:pPr>
            <w:r>
              <w:rPr>
                <w:rFonts w:hint="eastAsia" w:ascii="Arial" w:hAnsi="Arial" w:cs="Arial"/>
                <w:color w:val="000000"/>
                <w:sz w:val="20"/>
              </w:rPr>
              <w:t>建设用地面积</w:t>
            </w:r>
          </w:p>
        </w:tc>
        <w:tc>
          <w:tcPr>
            <w:tcW w:w="1488" w:type="dxa"/>
            <w:tcBorders>
              <w:top w:val="nil"/>
              <w:left w:val="nil"/>
              <w:bottom w:val="single" w:color="auto" w:sz="4" w:space="0"/>
              <w:right w:val="single" w:color="auto" w:sz="4" w:space="0"/>
            </w:tcBorders>
            <w:noWrap/>
            <w:vAlign w:val="center"/>
          </w:tcPr>
          <w:p w14:paraId="78C3A918">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AC19D65">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4710AA2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7ADA95DE">
            <w:pPr>
              <w:widowControl/>
              <w:spacing w:line="240" w:lineRule="auto"/>
              <w:jc w:val="center"/>
              <w:rPr>
                <w:rFonts w:ascii="Arial" w:hAnsi="Arial" w:cs="Arial"/>
                <w:color w:val="000000"/>
                <w:sz w:val="20"/>
              </w:rPr>
            </w:pPr>
            <w:r>
              <w:rPr>
                <w:rFonts w:hint="eastAsia" w:ascii="Arial" w:hAnsi="Arial" w:cs="Arial"/>
                <w:color w:val="000000"/>
                <w:sz w:val="20"/>
              </w:rPr>
              <w:t>总建筑面积</w:t>
            </w:r>
          </w:p>
        </w:tc>
        <w:tc>
          <w:tcPr>
            <w:tcW w:w="1488" w:type="dxa"/>
            <w:tcBorders>
              <w:top w:val="nil"/>
              <w:left w:val="nil"/>
              <w:bottom w:val="single" w:color="auto" w:sz="4" w:space="0"/>
              <w:right w:val="single" w:color="auto" w:sz="4" w:space="0"/>
            </w:tcBorders>
            <w:noWrap/>
            <w:vAlign w:val="center"/>
          </w:tcPr>
          <w:p w14:paraId="59430EEB">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A1A301A">
            <w:pPr>
              <w:widowControl/>
              <w:spacing w:line="240" w:lineRule="auto"/>
              <w:jc w:val="center"/>
              <w:rPr>
                <w:rFonts w:ascii="Arial" w:hAnsi="Arial" w:cs="Arial"/>
                <w:color w:val="000000"/>
                <w:sz w:val="20"/>
              </w:rPr>
            </w:pPr>
            <w:r>
              <w:rPr>
                <w:rFonts w:hint="eastAsia" w:ascii="Arial" w:hAnsi="Arial" w:cs="Arial"/>
                <w:color w:val="000000"/>
                <w:sz w:val="20"/>
              </w:rPr>
              <w:t>43300</w:t>
            </w:r>
          </w:p>
        </w:tc>
      </w:tr>
      <w:tr w14:paraId="4096EB9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restart"/>
            <w:tcBorders>
              <w:top w:val="nil"/>
              <w:right w:val="single" w:color="auto" w:sz="4" w:space="0"/>
            </w:tcBorders>
            <w:noWrap/>
            <w:vAlign w:val="center"/>
          </w:tcPr>
          <w:p w14:paraId="0844DD2E">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color="auto" w:sz="4" w:space="0"/>
              <w:left w:val="nil"/>
              <w:bottom w:val="single" w:color="auto" w:sz="4" w:space="0"/>
              <w:right w:val="single" w:color="auto" w:sz="4" w:space="0"/>
            </w:tcBorders>
            <w:noWrap/>
            <w:vAlign w:val="center"/>
          </w:tcPr>
          <w:p w14:paraId="4A9AA771">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color="auto" w:sz="4" w:space="0"/>
              <w:right w:val="single" w:color="auto" w:sz="4" w:space="0"/>
            </w:tcBorders>
            <w:noWrap/>
            <w:vAlign w:val="center"/>
          </w:tcPr>
          <w:p w14:paraId="43BFD19D">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7838770">
            <w:pPr>
              <w:widowControl/>
              <w:spacing w:line="240" w:lineRule="auto"/>
              <w:jc w:val="center"/>
              <w:rPr>
                <w:rFonts w:ascii="Arial" w:hAnsi="Arial" w:cs="Arial"/>
                <w:color w:val="000000"/>
                <w:sz w:val="20"/>
              </w:rPr>
            </w:pPr>
            <w:r>
              <w:rPr>
                <w:rFonts w:hint="eastAsia" w:ascii="Arial" w:hAnsi="Arial" w:cs="Arial"/>
                <w:color w:val="000000"/>
                <w:sz w:val="20"/>
              </w:rPr>
              <w:t>32638</w:t>
            </w:r>
          </w:p>
        </w:tc>
      </w:tr>
      <w:tr w14:paraId="32AE954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268F5105">
            <w:pPr>
              <w:widowControl/>
              <w:spacing w:line="240" w:lineRule="auto"/>
              <w:jc w:val="center"/>
              <w:rPr>
                <w:rFonts w:ascii="Arial" w:hAnsi="Arial" w:cs="Arial"/>
                <w:color w:val="000000"/>
                <w:sz w:val="20"/>
              </w:rPr>
            </w:pPr>
          </w:p>
        </w:tc>
        <w:tc>
          <w:tcPr>
            <w:tcW w:w="1020" w:type="dxa"/>
            <w:vMerge w:val="restart"/>
            <w:tcBorders>
              <w:top w:val="nil"/>
              <w:left w:val="single" w:color="auto" w:sz="4" w:space="0"/>
              <w:bottom w:val="single" w:color="auto" w:sz="4" w:space="0"/>
              <w:right w:val="single" w:color="auto" w:sz="4" w:space="0"/>
            </w:tcBorders>
            <w:noWrap/>
            <w:vAlign w:val="center"/>
          </w:tcPr>
          <w:p w14:paraId="52D5B8A1">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color="auto" w:sz="4" w:space="0"/>
              <w:right w:val="single" w:color="auto" w:sz="4" w:space="0"/>
            </w:tcBorders>
            <w:noWrap/>
            <w:vAlign w:val="center"/>
          </w:tcPr>
          <w:p w14:paraId="327435DB">
            <w:pPr>
              <w:widowControl/>
              <w:spacing w:line="240" w:lineRule="auto"/>
              <w:jc w:val="center"/>
              <w:rPr>
                <w:rFonts w:ascii="Arial" w:hAnsi="Arial" w:cs="Arial"/>
                <w:color w:val="000000"/>
                <w:sz w:val="20"/>
              </w:rPr>
            </w:pPr>
            <w:r>
              <w:rPr>
                <w:rFonts w:hint="eastAsia" w:ascii="Arial" w:hAnsi="Arial" w:cs="Arial"/>
                <w:color w:val="000000"/>
                <w:sz w:val="20"/>
              </w:rPr>
              <w:t>公寓建筑面积</w:t>
            </w:r>
          </w:p>
        </w:tc>
        <w:tc>
          <w:tcPr>
            <w:tcW w:w="1488" w:type="dxa"/>
            <w:tcBorders>
              <w:top w:val="nil"/>
              <w:left w:val="nil"/>
              <w:bottom w:val="single" w:color="auto" w:sz="4" w:space="0"/>
              <w:right w:val="single" w:color="auto" w:sz="4" w:space="0"/>
            </w:tcBorders>
            <w:noWrap/>
            <w:vAlign w:val="center"/>
          </w:tcPr>
          <w:p w14:paraId="43CC8AA2">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9273660">
            <w:pPr>
              <w:widowControl/>
              <w:spacing w:line="240" w:lineRule="auto"/>
              <w:jc w:val="center"/>
              <w:rPr>
                <w:rFonts w:ascii="Arial" w:hAnsi="Arial" w:cs="Arial"/>
                <w:color w:val="000000"/>
                <w:sz w:val="20"/>
              </w:rPr>
            </w:pPr>
            <w:r>
              <w:rPr>
                <w:rFonts w:hint="eastAsia" w:ascii="Arial" w:hAnsi="Arial" w:cs="Arial"/>
                <w:color w:val="000000"/>
                <w:sz w:val="20"/>
              </w:rPr>
              <w:t>31152</w:t>
            </w:r>
          </w:p>
        </w:tc>
      </w:tr>
      <w:tr w14:paraId="32C9014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296F1B25">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4876F8DC">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35FDCB7B">
            <w:pPr>
              <w:widowControl/>
              <w:spacing w:line="240" w:lineRule="auto"/>
              <w:jc w:val="center"/>
              <w:rPr>
                <w:rFonts w:ascii="Arial" w:hAnsi="Arial" w:cs="Arial"/>
                <w:color w:val="000000"/>
                <w:sz w:val="20"/>
              </w:rPr>
            </w:pPr>
            <w:r>
              <w:rPr>
                <w:rFonts w:hint="eastAsia" w:ascii="Arial" w:hAnsi="Arial" w:cs="Arial"/>
                <w:color w:val="000000"/>
                <w:sz w:val="20"/>
              </w:rPr>
              <w:t>商业建筑面积</w:t>
            </w:r>
          </w:p>
        </w:tc>
        <w:tc>
          <w:tcPr>
            <w:tcW w:w="1488" w:type="dxa"/>
            <w:tcBorders>
              <w:top w:val="nil"/>
              <w:left w:val="nil"/>
              <w:bottom w:val="single" w:color="auto" w:sz="4" w:space="0"/>
              <w:right w:val="single" w:color="auto" w:sz="4" w:space="0"/>
            </w:tcBorders>
            <w:noWrap/>
            <w:vAlign w:val="center"/>
          </w:tcPr>
          <w:p w14:paraId="03559964">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C15BF7D">
            <w:pPr>
              <w:widowControl/>
              <w:spacing w:line="240" w:lineRule="auto"/>
              <w:jc w:val="center"/>
              <w:rPr>
                <w:rFonts w:ascii="Arial" w:hAnsi="Arial" w:cs="Arial"/>
                <w:color w:val="000000"/>
                <w:sz w:val="20"/>
              </w:rPr>
            </w:pPr>
            <w:r>
              <w:rPr>
                <w:rFonts w:hint="eastAsia" w:ascii="Arial" w:hAnsi="Arial" w:cs="Arial"/>
                <w:color w:val="000000"/>
                <w:sz w:val="20"/>
              </w:rPr>
              <w:t>796</w:t>
            </w:r>
          </w:p>
        </w:tc>
      </w:tr>
      <w:tr w14:paraId="76BA43C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C1E5A71">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53298414">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23F8B30">
            <w:pPr>
              <w:widowControl/>
              <w:spacing w:line="240" w:lineRule="auto"/>
              <w:jc w:val="center"/>
              <w:rPr>
                <w:rFonts w:ascii="Arial" w:hAnsi="Arial" w:cs="Arial"/>
                <w:color w:val="000000"/>
                <w:sz w:val="20"/>
              </w:rPr>
            </w:pPr>
            <w:r>
              <w:rPr>
                <w:rFonts w:hint="eastAsia" w:ascii="Arial" w:hAnsi="Arial" w:cs="Arial"/>
                <w:color w:val="000000"/>
                <w:sz w:val="20"/>
              </w:rPr>
              <w:t>地下建筑出入口</w:t>
            </w:r>
          </w:p>
        </w:tc>
        <w:tc>
          <w:tcPr>
            <w:tcW w:w="1488" w:type="dxa"/>
            <w:tcBorders>
              <w:top w:val="nil"/>
              <w:left w:val="nil"/>
              <w:bottom w:val="single" w:color="auto" w:sz="4" w:space="0"/>
              <w:right w:val="single" w:color="auto" w:sz="4" w:space="0"/>
            </w:tcBorders>
            <w:noWrap/>
            <w:vAlign w:val="center"/>
          </w:tcPr>
          <w:p w14:paraId="2807FA7E">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198641A">
            <w:pPr>
              <w:widowControl/>
              <w:spacing w:line="240" w:lineRule="auto"/>
              <w:jc w:val="center"/>
              <w:rPr>
                <w:rFonts w:ascii="Arial" w:hAnsi="Arial" w:cs="Arial"/>
                <w:color w:val="000000"/>
                <w:sz w:val="20"/>
              </w:rPr>
            </w:pPr>
            <w:r>
              <w:rPr>
                <w:rFonts w:hint="eastAsia" w:ascii="Arial" w:hAnsi="Arial" w:cs="Arial"/>
                <w:color w:val="000000"/>
                <w:sz w:val="20"/>
              </w:rPr>
              <w:t>150</w:t>
            </w:r>
          </w:p>
        </w:tc>
      </w:tr>
      <w:tr w14:paraId="605ABB3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66EE8A2">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1C6A95DC">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126AC49B">
            <w:pPr>
              <w:widowControl/>
              <w:spacing w:line="240" w:lineRule="auto"/>
              <w:jc w:val="center"/>
              <w:rPr>
                <w:rFonts w:ascii="Arial" w:hAnsi="Arial" w:cs="Arial"/>
                <w:color w:val="000000"/>
                <w:sz w:val="20"/>
              </w:rPr>
            </w:pPr>
            <w:r>
              <w:rPr>
                <w:rFonts w:hint="eastAsia" w:ascii="Arial" w:hAnsi="Arial" w:cs="Arial"/>
                <w:color w:val="000000"/>
                <w:sz w:val="20"/>
              </w:rPr>
              <w:t>配套设施面积</w:t>
            </w:r>
          </w:p>
        </w:tc>
        <w:tc>
          <w:tcPr>
            <w:tcW w:w="1488" w:type="dxa"/>
            <w:tcBorders>
              <w:top w:val="nil"/>
              <w:left w:val="nil"/>
              <w:bottom w:val="single" w:color="auto" w:sz="4" w:space="0"/>
              <w:right w:val="single" w:color="auto" w:sz="4" w:space="0"/>
            </w:tcBorders>
            <w:noWrap/>
            <w:vAlign w:val="center"/>
          </w:tcPr>
          <w:p w14:paraId="154D1411">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5512AF1">
            <w:pPr>
              <w:widowControl/>
              <w:spacing w:line="240" w:lineRule="auto"/>
              <w:jc w:val="center"/>
              <w:rPr>
                <w:rFonts w:ascii="Arial" w:hAnsi="Arial" w:cs="Arial"/>
                <w:color w:val="000000"/>
                <w:sz w:val="20"/>
              </w:rPr>
            </w:pPr>
            <w:r>
              <w:rPr>
                <w:rFonts w:hint="eastAsia" w:ascii="Arial" w:hAnsi="Arial" w:cs="Arial"/>
                <w:color w:val="000000"/>
                <w:sz w:val="20"/>
              </w:rPr>
              <w:t>540</w:t>
            </w:r>
          </w:p>
        </w:tc>
      </w:tr>
      <w:tr w14:paraId="783D2B9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433F8236">
            <w:pPr>
              <w:widowControl/>
              <w:spacing w:line="240" w:lineRule="auto"/>
              <w:jc w:val="center"/>
              <w:rPr>
                <w:rFonts w:ascii="Arial" w:hAnsi="Arial" w:cs="Arial"/>
                <w:color w:val="000000"/>
                <w:sz w:val="20"/>
              </w:rPr>
            </w:pPr>
          </w:p>
        </w:tc>
        <w:tc>
          <w:tcPr>
            <w:tcW w:w="4361" w:type="dxa"/>
            <w:gridSpan w:val="2"/>
            <w:tcBorders>
              <w:top w:val="single" w:color="auto" w:sz="4" w:space="0"/>
              <w:left w:val="single" w:color="auto" w:sz="4" w:space="0"/>
              <w:bottom w:val="single" w:color="auto" w:sz="4" w:space="0"/>
              <w:right w:val="single" w:color="auto" w:sz="4" w:space="0"/>
            </w:tcBorders>
            <w:vAlign w:val="center"/>
          </w:tcPr>
          <w:p w14:paraId="5A55E6F7">
            <w:pPr>
              <w:widowControl/>
              <w:spacing w:line="240" w:lineRule="auto"/>
              <w:jc w:val="center"/>
              <w:rPr>
                <w:rFonts w:ascii="Arial" w:hAnsi="Arial" w:cs="Arial"/>
                <w:color w:val="000000"/>
                <w:sz w:val="20"/>
              </w:rPr>
            </w:pPr>
            <w:r>
              <w:rPr>
                <w:rFonts w:ascii="Arial" w:hAnsi="Arial" w:cs="Arial"/>
                <w:color w:val="000000"/>
                <w:sz w:val="20"/>
              </w:rPr>
              <w:t>地下建筑面积</w:t>
            </w:r>
          </w:p>
        </w:tc>
        <w:tc>
          <w:tcPr>
            <w:tcW w:w="1488" w:type="dxa"/>
            <w:tcBorders>
              <w:top w:val="nil"/>
              <w:left w:val="nil"/>
              <w:bottom w:val="single" w:color="auto" w:sz="4" w:space="0"/>
              <w:right w:val="single" w:color="auto" w:sz="4" w:space="0"/>
            </w:tcBorders>
            <w:noWrap/>
            <w:vAlign w:val="center"/>
          </w:tcPr>
          <w:p w14:paraId="5AF59C3F">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1E84800">
            <w:pPr>
              <w:widowControl/>
              <w:spacing w:line="240" w:lineRule="auto"/>
              <w:jc w:val="center"/>
              <w:rPr>
                <w:rFonts w:ascii="Arial" w:hAnsi="Arial" w:cs="Arial"/>
                <w:color w:val="000000"/>
                <w:sz w:val="20"/>
              </w:rPr>
            </w:pPr>
            <w:r>
              <w:rPr>
                <w:rFonts w:hint="eastAsia" w:ascii="Arial" w:hAnsi="Arial" w:cs="Arial"/>
                <w:color w:val="000000"/>
                <w:sz w:val="20"/>
              </w:rPr>
              <w:t>10662</w:t>
            </w:r>
          </w:p>
        </w:tc>
      </w:tr>
      <w:tr w14:paraId="1064F71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7A3AAD43">
            <w:pPr>
              <w:widowControl/>
              <w:spacing w:line="240" w:lineRule="auto"/>
              <w:jc w:val="center"/>
              <w:rPr>
                <w:rFonts w:ascii="Arial" w:hAnsi="Arial" w:cs="Arial"/>
                <w:color w:val="000000"/>
                <w:sz w:val="20"/>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14:paraId="2245D736">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color="auto" w:sz="4" w:space="0"/>
              <w:left w:val="nil"/>
              <w:bottom w:val="single" w:color="auto" w:sz="4" w:space="0"/>
              <w:right w:val="single" w:color="auto" w:sz="4" w:space="0"/>
            </w:tcBorders>
            <w:noWrap/>
            <w:vAlign w:val="center"/>
          </w:tcPr>
          <w:p w14:paraId="5578A4F1">
            <w:pPr>
              <w:widowControl/>
              <w:spacing w:line="240" w:lineRule="auto"/>
              <w:jc w:val="center"/>
              <w:rPr>
                <w:rFonts w:ascii="Arial" w:hAnsi="Arial" w:cs="Arial"/>
                <w:color w:val="000000"/>
                <w:sz w:val="20"/>
              </w:rPr>
            </w:pPr>
            <w:r>
              <w:rPr>
                <w:rFonts w:hint="eastAsia" w:ascii="Arial" w:hAnsi="Arial" w:cs="Arial"/>
                <w:color w:val="000000"/>
                <w:sz w:val="20"/>
              </w:rPr>
              <w:t>人防建筑面积</w:t>
            </w:r>
          </w:p>
        </w:tc>
        <w:tc>
          <w:tcPr>
            <w:tcW w:w="1488" w:type="dxa"/>
            <w:tcBorders>
              <w:top w:val="nil"/>
              <w:left w:val="nil"/>
              <w:bottom w:val="single" w:color="auto" w:sz="4" w:space="0"/>
              <w:right w:val="single" w:color="auto" w:sz="4" w:space="0"/>
            </w:tcBorders>
            <w:noWrap/>
            <w:vAlign w:val="center"/>
          </w:tcPr>
          <w:p w14:paraId="45D44808">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1A6F326">
            <w:pPr>
              <w:widowControl/>
              <w:spacing w:line="240" w:lineRule="auto"/>
              <w:jc w:val="center"/>
              <w:rPr>
                <w:rFonts w:ascii="Arial" w:hAnsi="Arial" w:cs="Arial"/>
                <w:color w:val="000000"/>
                <w:sz w:val="20"/>
              </w:rPr>
            </w:pPr>
            <w:r>
              <w:rPr>
                <w:rFonts w:hint="eastAsia" w:ascii="Arial" w:hAnsi="Arial" w:cs="Arial"/>
                <w:color w:val="000000"/>
                <w:sz w:val="20"/>
              </w:rPr>
              <w:t>2837</w:t>
            </w:r>
          </w:p>
        </w:tc>
      </w:tr>
      <w:tr w14:paraId="2A9BD8F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14DD2D8B">
            <w:pPr>
              <w:widowControl/>
              <w:spacing w:line="240" w:lineRule="auto"/>
              <w:jc w:val="center"/>
              <w:rPr>
                <w:rFonts w:ascii="Arial" w:hAnsi="Arial" w:cs="Arial"/>
                <w:color w:val="000000"/>
                <w:sz w:val="20"/>
              </w:rPr>
            </w:pPr>
          </w:p>
        </w:tc>
        <w:tc>
          <w:tcPr>
            <w:tcW w:w="1020" w:type="dxa"/>
            <w:vMerge w:val="continue"/>
            <w:tcBorders>
              <w:top w:val="single" w:color="auto" w:sz="4" w:space="0"/>
              <w:left w:val="single" w:color="auto" w:sz="4" w:space="0"/>
              <w:right w:val="single" w:color="auto" w:sz="4" w:space="0"/>
            </w:tcBorders>
            <w:vAlign w:val="center"/>
          </w:tcPr>
          <w:p w14:paraId="42DF8DE7">
            <w:pPr>
              <w:widowControl/>
              <w:spacing w:line="240" w:lineRule="auto"/>
              <w:jc w:val="center"/>
              <w:rPr>
                <w:rFonts w:ascii="Arial" w:hAnsi="Arial" w:cs="Arial"/>
                <w:color w:val="000000"/>
                <w:sz w:val="20"/>
              </w:rPr>
            </w:pPr>
          </w:p>
        </w:tc>
        <w:tc>
          <w:tcPr>
            <w:tcW w:w="3341" w:type="dxa"/>
            <w:tcBorders>
              <w:top w:val="single" w:color="auto" w:sz="4" w:space="0"/>
              <w:left w:val="nil"/>
              <w:bottom w:val="single" w:color="auto" w:sz="4" w:space="0"/>
              <w:right w:val="single" w:color="auto" w:sz="4" w:space="0"/>
            </w:tcBorders>
            <w:noWrap/>
            <w:vAlign w:val="center"/>
          </w:tcPr>
          <w:p w14:paraId="6F6D85E8">
            <w:pPr>
              <w:widowControl/>
              <w:spacing w:line="240" w:lineRule="auto"/>
              <w:jc w:val="center"/>
              <w:rPr>
                <w:rFonts w:ascii="Arial" w:hAnsi="Arial" w:cs="Arial"/>
                <w:color w:val="000000"/>
                <w:sz w:val="20"/>
              </w:rPr>
            </w:pPr>
            <w:r>
              <w:rPr>
                <w:rFonts w:hint="eastAsia" w:ascii="Arial" w:hAnsi="Arial" w:cs="Arial"/>
                <w:color w:val="000000"/>
                <w:sz w:val="20"/>
              </w:rPr>
              <w:t>地下机动车库面积</w:t>
            </w:r>
          </w:p>
        </w:tc>
        <w:tc>
          <w:tcPr>
            <w:tcW w:w="1488" w:type="dxa"/>
            <w:tcBorders>
              <w:top w:val="nil"/>
              <w:left w:val="nil"/>
              <w:bottom w:val="single" w:color="auto" w:sz="4" w:space="0"/>
              <w:right w:val="single" w:color="auto" w:sz="4" w:space="0"/>
            </w:tcBorders>
            <w:noWrap/>
            <w:vAlign w:val="center"/>
          </w:tcPr>
          <w:p w14:paraId="2AAF5487">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01F8E11">
            <w:pPr>
              <w:widowControl/>
              <w:spacing w:line="240" w:lineRule="auto"/>
              <w:jc w:val="center"/>
              <w:rPr>
                <w:rFonts w:ascii="Arial" w:hAnsi="Arial" w:cs="Arial"/>
                <w:color w:val="000000"/>
                <w:sz w:val="20"/>
              </w:rPr>
            </w:pPr>
            <w:r>
              <w:rPr>
                <w:rFonts w:hint="eastAsia" w:ascii="Arial" w:hAnsi="Arial" w:cs="Arial"/>
                <w:color w:val="000000"/>
                <w:sz w:val="20"/>
              </w:rPr>
              <w:t>5556</w:t>
            </w:r>
          </w:p>
        </w:tc>
      </w:tr>
      <w:tr w14:paraId="2967960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5674D59F">
            <w:pPr>
              <w:widowControl/>
              <w:spacing w:line="240" w:lineRule="auto"/>
              <w:jc w:val="center"/>
              <w:rPr>
                <w:rFonts w:ascii="Arial" w:hAnsi="Arial" w:cs="Arial"/>
                <w:color w:val="000000"/>
                <w:sz w:val="20"/>
              </w:rPr>
            </w:pPr>
          </w:p>
        </w:tc>
        <w:tc>
          <w:tcPr>
            <w:tcW w:w="1020" w:type="dxa"/>
            <w:vMerge w:val="continue"/>
            <w:tcBorders>
              <w:left w:val="single" w:color="auto" w:sz="4" w:space="0"/>
              <w:right w:val="single" w:color="auto" w:sz="4" w:space="0"/>
            </w:tcBorders>
            <w:vAlign w:val="center"/>
          </w:tcPr>
          <w:p w14:paraId="58A5B9DD">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19CB67FB">
            <w:pPr>
              <w:widowControl/>
              <w:spacing w:line="240" w:lineRule="auto"/>
              <w:jc w:val="center"/>
              <w:rPr>
                <w:rFonts w:ascii="Arial" w:hAnsi="Arial" w:cs="Arial"/>
                <w:color w:val="000000"/>
                <w:sz w:val="20"/>
              </w:rPr>
            </w:pPr>
            <w:r>
              <w:rPr>
                <w:rFonts w:hint="eastAsia" w:ascii="Arial" w:hAnsi="Arial" w:cs="Arial"/>
                <w:color w:val="000000"/>
                <w:sz w:val="20"/>
              </w:rPr>
              <w:t>自行车</w:t>
            </w:r>
          </w:p>
        </w:tc>
        <w:tc>
          <w:tcPr>
            <w:tcW w:w="1488" w:type="dxa"/>
            <w:tcBorders>
              <w:top w:val="nil"/>
              <w:left w:val="nil"/>
              <w:bottom w:val="single" w:color="auto" w:sz="4" w:space="0"/>
              <w:right w:val="single" w:color="auto" w:sz="4" w:space="0"/>
            </w:tcBorders>
            <w:noWrap/>
            <w:vAlign w:val="center"/>
          </w:tcPr>
          <w:p w14:paraId="44B4224E">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0767BA9">
            <w:pPr>
              <w:widowControl/>
              <w:spacing w:line="240" w:lineRule="auto"/>
              <w:jc w:val="center"/>
              <w:rPr>
                <w:rFonts w:ascii="Arial" w:hAnsi="Arial" w:cs="Arial"/>
                <w:color w:val="000000"/>
                <w:sz w:val="20"/>
              </w:rPr>
            </w:pPr>
            <w:r>
              <w:rPr>
                <w:rFonts w:hint="eastAsia" w:ascii="Arial" w:hAnsi="Arial" w:cs="Arial"/>
                <w:color w:val="000000"/>
                <w:sz w:val="20"/>
              </w:rPr>
              <w:t>979</w:t>
            </w:r>
          </w:p>
        </w:tc>
      </w:tr>
      <w:tr w14:paraId="7B7916B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11EA7272">
            <w:pPr>
              <w:widowControl/>
              <w:spacing w:line="240" w:lineRule="auto"/>
              <w:jc w:val="center"/>
              <w:rPr>
                <w:rFonts w:ascii="Arial" w:hAnsi="Arial" w:cs="Arial"/>
                <w:color w:val="000000"/>
                <w:sz w:val="20"/>
              </w:rPr>
            </w:pPr>
          </w:p>
        </w:tc>
        <w:tc>
          <w:tcPr>
            <w:tcW w:w="1020" w:type="dxa"/>
            <w:vMerge w:val="continue"/>
            <w:tcBorders>
              <w:left w:val="single" w:color="auto" w:sz="4" w:space="0"/>
              <w:bottom w:val="single" w:color="auto" w:sz="4" w:space="0"/>
              <w:right w:val="single" w:color="auto" w:sz="4" w:space="0"/>
            </w:tcBorders>
            <w:vAlign w:val="center"/>
          </w:tcPr>
          <w:p w14:paraId="64599820">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4B2A0F2A">
            <w:pPr>
              <w:widowControl/>
              <w:spacing w:line="240" w:lineRule="auto"/>
              <w:jc w:val="center"/>
              <w:rPr>
                <w:rFonts w:ascii="Arial" w:hAnsi="Arial" w:cs="Arial"/>
                <w:color w:val="000000"/>
                <w:sz w:val="20"/>
              </w:rPr>
            </w:pPr>
            <w:r>
              <w:rPr>
                <w:rFonts w:hint="eastAsia" w:ascii="Arial" w:hAnsi="Arial" w:cs="Arial"/>
                <w:color w:val="000000"/>
                <w:sz w:val="20"/>
              </w:rPr>
              <w:t>设备用房</w:t>
            </w:r>
          </w:p>
        </w:tc>
        <w:tc>
          <w:tcPr>
            <w:tcW w:w="1488" w:type="dxa"/>
            <w:tcBorders>
              <w:top w:val="nil"/>
              <w:left w:val="nil"/>
              <w:bottom w:val="single" w:color="auto" w:sz="4" w:space="0"/>
              <w:right w:val="single" w:color="auto" w:sz="4" w:space="0"/>
            </w:tcBorders>
            <w:noWrap/>
            <w:vAlign w:val="center"/>
          </w:tcPr>
          <w:p w14:paraId="4EC37720">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B404671">
            <w:pPr>
              <w:widowControl/>
              <w:spacing w:line="240" w:lineRule="auto"/>
              <w:jc w:val="center"/>
              <w:rPr>
                <w:rFonts w:ascii="Arial" w:hAnsi="Arial" w:cs="Arial"/>
                <w:color w:val="000000"/>
                <w:sz w:val="20"/>
              </w:rPr>
            </w:pPr>
            <w:r>
              <w:rPr>
                <w:rFonts w:hint="eastAsia" w:ascii="Arial" w:hAnsi="Arial" w:cs="Arial"/>
                <w:color w:val="000000"/>
                <w:sz w:val="20"/>
              </w:rPr>
              <w:t>12900</w:t>
            </w:r>
          </w:p>
        </w:tc>
      </w:tr>
      <w:tr w14:paraId="46A5C1D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6B43AB4E">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color="auto" w:sz="4" w:space="0"/>
              <w:right w:val="single" w:color="auto" w:sz="4" w:space="0"/>
            </w:tcBorders>
            <w:noWrap/>
            <w:vAlign w:val="center"/>
          </w:tcPr>
          <w:p w14:paraId="0BDF0279">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color="auto" w:sz="4" w:space="0"/>
              <w:right w:val="single" w:color="auto" w:sz="4" w:space="0"/>
            </w:tcBorders>
            <w:noWrap/>
            <w:vAlign w:val="center"/>
          </w:tcPr>
          <w:p w14:paraId="71E2467C">
            <w:pPr>
              <w:widowControl/>
              <w:spacing w:line="240" w:lineRule="auto"/>
              <w:jc w:val="center"/>
              <w:rPr>
                <w:rFonts w:ascii="Arial" w:hAnsi="Arial" w:cs="Arial"/>
                <w:color w:val="000000"/>
                <w:sz w:val="20"/>
              </w:rPr>
            </w:pPr>
            <w:r>
              <w:rPr>
                <w:rFonts w:hint="eastAsia" w:ascii="Arial" w:hAnsi="Arial" w:cs="Arial"/>
                <w:color w:val="000000"/>
                <w:sz w:val="20"/>
              </w:rPr>
              <w:t>1090</w:t>
            </w:r>
          </w:p>
        </w:tc>
      </w:tr>
      <w:tr w14:paraId="5E16C01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61BA1DC1">
            <w:pPr>
              <w:widowControl/>
              <w:spacing w:line="240" w:lineRule="auto"/>
              <w:jc w:val="center"/>
              <w:rPr>
                <w:rFonts w:ascii="Arial" w:hAnsi="Arial" w:cs="Arial"/>
                <w:color w:val="000000"/>
                <w:sz w:val="20"/>
              </w:rPr>
            </w:pPr>
            <w:r>
              <w:rPr>
                <w:rFonts w:hint="eastAsia" w:ascii="Arial" w:hAnsi="Arial" w:cs="Arial"/>
                <w:color w:val="000000"/>
                <w:sz w:val="20"/>
              </w:rPr>
              <w:t>机动车停车位</w:t>
            </w:r>
          </w:p>
        </w:tc>
        <w:tc>
          <w:tcPr>
            <w:tcW w:w="1488" w:type="dxa"/>
            <w:tcBorders>
              <w:top w:val="nil"/>
              <w:left w:val="nil"/>
              <w:bottom w:val="single" w:color="auto" w:sz="4" w:space="0"/>
              <w:right w:val="single" w:color="auto" w:sz="4" w:space="0"/>
            </w:tcBorders>
            <w:noWrap/>
            <w:vAlign w:val="center"/>
          </w:tcPr>
          <w:p w14:paraId="73859EF5">
            <w:pPr>
              <w:widowControl/>
              <w:spacing w:line="240" w:lineRule="auto"/>
              <w:jc w:val="center"/>
              <w:rPr>
                <w:rFonts w:ascii="Arial" w:hAnsi="Arial" w:cs="Arial"/>
                <w:color w:val="000000"/>
                <w:sz w:val="20"/>
              </w:rPr>
            </w:pPr>
            <w:r>
              <w:rPr>
                <w:rFonts w:hint="eastAsia" w:ascii="Arial" w:hAnsi="Arial" w:cs="Arial"/>
                <w:color w:val="000000"/>
                <w:sz w:val="20"/>
              </w:rPr>
              <w:t>个</w:t>
            </w:r>
          </w:p>
        </w:tc>
        <w:tc>
          <w:tcPr>
            <w:tcW w:w="2436" w:type="dxa"/>
            <w:tcBorders>
              <w:top w:val="nil"/>
              <w:left w:val="nil"/>
              <w:bottom w:val="single" w:color="auto" w:sz="4" w:space="0"/>
              <w:right w:val="single" w:color="auto" w:sz="4" w:space="0"/>
            </w:tcBorders>
            <w:noWrap/>
            <w:vAlign w:val="center"/>
          </w:tcPr>
          <w:p w14:paraId="0EAE973F">
            <w:pPr>
              <w:widowControl/>
              <w:spacing w:line="240" w:lineRule="auto"/>
              <w:jc w:val="center"/>
              <w:rPr>
                <w:rFonts w:ascii="Arial" w:hAnsi="Arial" w:cs="Arial"/>
                <w:color w:val="000000"/>
                <w:sz w:val="20"/>
              </w:rPr>
            </w:pPr>
            <w:r>
              <w:rPr>
                <w:rFonts w:hint="eastAsia" w:ascii="Arial" w:hAnsi="Arial" w:cs="Arial"/>
                <w:color w:val="000000"/>
                <w:sz w:val="20"/>
              </w:rPr>
              <w:t>218</w:t>
            </w:r>
          </w:p>
        </w:tc>
      </w:tr>
      <w:tr w14:paraId="528A2F2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477439E8">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color="auto" w:sz="4" w:space="0"/>
              <w:right w:val="single" w:color="auto" w:sz="4" w:space="0"/>
            </w:tcBorders>
            <w:noWrap/>
            <w:vAlign w:val="center"/>
          </w:tcPr>
          <w:p w14:paraId="23E99355">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DA4F941">
            <w:pPr>
              <w:widowControl/>
              <w:spacing w:line="240" w:lineRule="auto"/>
              <w:jc w:val="center"/>
              <w:rPr>
                <w:rFonts w:ascii="Arial" w:hAnsi="Arial" w:cs="Arial"/>
                <w:color w:val="000000"/>
                <w:sz w:val="20"/>
              </w:rPr>
            </w:pPr>
            <w:r>
              <w:rPr>
                <w:rFonts w:hint="eastAsia" w:ascii="Arial" w:hAnsi="Arial" w:cs="Arial"/>
                <w:color w:val="000000"/>
                <w:sz w:val="20"/>
              </w:rPr>
              <w:t>1.8</w:t>
            </w:r>
          </w:p>
        </w:tc>
      </w:tr>
      <w:tr w14:paraId="3D822C9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75D93E43">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color="auto" w:sz="4" w:space="0"/>
              <w:right w:val="single" w:color="auto" w:sz="4" w:space="0"/>
            </w:tcBorders>
            <w:noWrap/>
            <w:vAlign w:val="center"/>
          </w:tcPr>
          <w:p w14:paraId="06A5CE98">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80F6D67">
            <w:pPr>
              <w:widowControl/>
              <w:spacing w:line="240" w:lineRule="auto"/>
              <w:jc w:val="center"/>
              <w:rPr>
                <w:rFonts w:ascii="Arial" w:hAnsi="Arial" w:cs="Arial"/>
                <w:color w:val="000000"/>
                <w:sz w:val="20"/>
              </w:rPr>
            </w:pPr>
            <w:r>
              <w:rPr>
                <w:rFonts w:hint="eastAsia" w:ascii="Arial" w:hAnsi="Arial" w:cs="Arial"/>
                <w:color w:val="000000"/>
                <w:sz w:val="20"/>
              </w:rPr>
              <w:t>29.93</w:t>
            </w:r>
            <w:r>
              <w:rPr>
                <w:rFonts w:ascii="Arial" w:hAnsi="Arial" w:cs="Arial"/>
                <w:color w:val="000000"/>
                <w:sz w:val="20"/>
              </w:rPr>
              <w:t>%</w:t>
            </w:r>
          </w:p>
        </w:tc>
      </w:tr>
      <w:tr w14:paraId="6808DA8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586FD8D">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color="auto" w:sz="4" w:space="0"/>
              <w:right w:val="single" w:color="auto" w:sz="4" w:space="0"/>
            </w:tcBorders>
            <w:noWrap/>
            <w:vAlign w:val="center"/>
          </w:tcPr>
          <w:p w14:paraId="4CA4A864">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A029B0E">
            <w:pPr>
              <w:widowControl/>
              <w:spacing w:line="240" w:lineRule="auto"/>
              <w:jc w:val="center"/>
              <w:rPr>
                <w:rFonts w:ascii="Arial" w:hAnsi="Arial" w:cs="Arial"/>
                <w:color w:val="000000"/>
                <w:sz w:val="20"/>
              </w:rPr>
            </w:pPr>
            <w:r>
              <w:rPr>
                <w:rFonts w:ascii="Arial" w:hAnsi="Arial" w:cs="Arial"/>
                <w:color w:val="000000"/>
                <w:sz w:val="20"/>
              </w:rPr>
              <w:t>30.0</w:t>
            </w:r>
            <w:r>
              <w:rPr>
                <w:rFonts w:hint="eastAsia" w:ascii="Arial" w:hAnsi="Arial" w:cs="Arial"/>
                <w:color w:val="000000"/>
                <w:sz w:val="20"/>
              </w:rPr>
              <w:t>0%</w:t>
            </w:r>
          </w:p>
        </w:tc>
      </w:tr>
    </w:tbl>
    <w:p w14:paraId="786C98C8">
      <w:pPr>
        <w:pStyle w:val="59"/>
        <w:autoSpaceDE w:val="0"/>
        <w:autoSpaceDN w:val="0"/>
        <w:spacing w:before="240" w:beforeLines="100" w:line="360" w:lineRule="auto"/>
        <w:ind w:right="142" w:firstLine="573"/>
        <w:jc w:val="both"/>
        <w:textAlignment w:val="bottom"/>
        <w:rPr>
          <w:rFonts w:ascii="Arial" w:hAnsi="Arial" w:cs="Arial"/>
          <w:sz w:val="28"/>
        </w:rPr>
      </w:pPr>
      <w:r>
        <w:rPr>
          <w:rFonts w:ascii="Arial" w:hAnsi="Arial" w:cs="Arial"/>
          <w:sz w:val="28"/>
        </w:rPr>
        <w:t>2.工期情况说明：</w:t>
      </w:r>
    </w:p>
    <w:p w14:paraId="44D55F68">
      <w:pPr>
        <w:pStyle w:val="59"/>
        <w:autoSpaceDE w:val="0"/>
        <w:autoSpaceDN w:val="0"/>
        <w:spacing w:line="360" w:lineRule="auto"/>
        <w:ind w:right="140" w:firstLine="570"/>
        <w:jc w:val="both"/>
        <w:textAlignment w:val="bottom"/>
        <w:rPr>
          <w:rFonts w:ascii="Arial" w:hAnsi="Arial" w:cs="Arial"/>
          <w:sz w:val="28"/>
        </w:rPr>
      </w:pPr>
      <w:commentRangeStart w:id="6"/>
      <w:r>
        <w:rPr>
          <w:rFonts w:ascii="Arial" w:hAnsi="Arial" w:cs="Arial"/>
          <w:sz w:val="28"/>
        </w:rPr>
        <w:t>土地开发期：</w:t>
      </w:r>
      <w:r>
        <w:rPr>
          <w:rFonts w:hint="eastAsia" w:ascii="Arial" w:hAnsi="Arial" w:cs="Arial"/>
          <w:sz w:val="28"/>
        </w:rPr>
        <w:t>0.5</w:t>
      </w:r>
      <w:r>
        <w:rPr>
          <w:rFonts w:ascii="Arial" w:hAnsi="Arial" w:cs="Arial"/>
          <w:sz w:val="28"/>
        </w:rPr>
        <w:t>年</w:t>
      </w:r>
    </w:p>
    <w:p w14:paraId="5A1B50C7">
      <w:pPr>
        <w:pStyle w:val="59"/>
        <w:autoSpaceDE w:val="0"/>
        <w:autoSpaceDN w:val="0"/>
        <w:spacing w:line="360" w:lineRule="auto"/>
        <w:ind w:right="140" w:firstLine="570"/>
        <w:jc w:val="both"/>
        <w:textAlignment w:val="bottom"/>
        <w:rPr>
          <w:rFonts w:ascii="Arial" w:hAnsi="Arial" w:cs="Arial"/>
          <w:sz w:val="28"/>
        </w:rPr>
      </w:pPr>
      <w:r>
        <w:rPr>
          <w:rFonts w:ascii="Arial" w:hAnsi="Arial" w:cs="Arial"/>
          <w:sz w:val="28"/>
        </w:rPr>
        <w:t>建筑物建设期：2</w:t>
      </w:r>
      <w:r>
        <w:rPr>
          <w:rFonts w:hint="eastAsia" w:ascii="Arial" w:hAnsi="Arial" w:cs="Arial"/>
          <w:sz w:val="28"/>
        </w:rPr>
        <w:t>.0</w:t>
      </w:r>
      <w:r>
        <w:rPr>
          <w:rFonts w:ascii="Arial" w:hAnsi="Arial" w:cs="Arial"/>
          <w:sz w:val="28"/>
        </w:rPr>
        <w:t>年</w:t>
      </w:r>
      <w:commentRangeEnd w:id="6"/>
      <w:r>
        <w:rPr>
          <w:rStyle w:val="38"/>
          <w:rFonts w:ascii="Times New Roman"/>
        </w:rPr>
        <w:commentReference w:id="6"/>
      </w:r>
    </w:p>
    <w:p w14:paraId="023FFA9C">
      <w:pPr>
        <w:pStyle w:val="59"/>
        <w:autoSpaceDE w:val="0"/>
        <w:autoSpaceDN w:val="0"/>
        <w:spacing w:line="360" w:lineRule="auto"/>
        <w:ind w:right="140" w:firstLine="570"/>
        <w:jc w:val="both"/>
        <w:textAlignment w:val="bottom"/>
        <w:rPr>
          <w:rFonts w:ascii="Arial" w:hAnsi="Arial" w:cs="Arial"/>
          <w:sz w:val="28"/>
        </w:rPr>
      </w:pPr>
    </w:p>
    <w:p w14:paraId="72E9F54F">
      <w:pPr>
        <w:pStyle w:val="59"/>
        <w:autoSpaceDE w:val="0"/>
        <w:autoSpaceDN w:val="0"/>
        <w:spacing w:line="360" w:lineRule="auto"/>
        <w:ind w:right="140" w:firstLine="570"/>
        <w:jc w:val="both"/>
        <w:textAlignment w:val="bottom"/>
        <w:rPr>
          <w:rFonts w:ascii="Arial" w:hAnsi="Arial" w:cs="Arial"/>
          <w:sz w:val="28"/>
        </w:rPr>
      </w:pPr>
      <w:r>
        <w:rPr>
          <w:rFonts w:ascii="Arial" w:hAnsi="Arial" w:cs="Arial"/>
          <w:sz w:val="28"/>
        </w:rPr>
        <w:t>以上述条件为基础计算咨询对象的价格。</w:t>
      </w:r>
    </w:p>
    <w:p w14:paraId="3A36C041">
      <w:pPr>
        <w:spacing w:line="360" w:lineRule="auto"/>
        <w:ind w:firstLine="562" w:firstLineChars="200"/>
        <w:jc w:val="both"/>
        <w:rPr>
          <w:rFonts w:ascii="Arial" w:hAnsi="Arial" w:cs="Arial"/>
          <w:b/>
          <w:sz w:val="28"/>
        </w:rPr>
      </w:pPr>
      <w:r>
        <w:rPr>
          <w:rFonts w:ascii="Arial" w:hAnsi="Arial" w:cs="Arial"/>
          <w:b/>
          <w:sz w:val="28"/>
        </w:rPr>
        <w:t>测算过程</w:t>
      </w:r>
    </w:p>
    <w:p w14:paraId="50635FF1">
      <w:pPr>
        <w:spacing w:line="360" w:lineRule="auto"/>
        <w:ind w:firstLine="562" w:firstLineChars="200"/>
        <w:jc w:val="both"/>
        <w:rPr>
          <w:rFonts w:ascii="Arial" w:hAnsi="Arial" w:cs="Arial"/>
          <w:b/>
          <w:sz w:val="28"/>
        </w:rPr>
      </w:pPr>
      <w:r>
        <w:rPr>
          <w:rFonts w:ascii="Arial" w:hAnsi="Arial" w:cs="Arial"/>
          <w:b/>
          <w:sz w:val="28"/>
        </w:rPr>
        <w:t>剩余法</w:t>
      </w:r>
    </w:p>
    <w:p w14:paraId="4E0A41F4">
      <w:pPr>
        <w:spacing w:line="360" w:lineRule="auto"/>
        <w:ind w:firstLine="560" w:firstLineChars="200"/>
        <w:rPr>
          <w:rFonts w:ascii="Arial" w:hAnsi="Arial" w:cs="Arial"/>
          <w:sz w:val="28"/>
        </w:rPr>
      </w:pPr>
      <w:r>
        <w:rPr>
          <w:rFonts w:ascii="Arial" w:hAnsi="Arial" w:cs="Arial"/>
          <w:sz w:val="28"/>
        </w:rPr>
        <w:t>（1）</w:t>
      </w:r>
      <w:r>
        <w:rPr>
          <w:rFonts w:ascii="Arial" w:hAnsi="Arial" w:cs="Arial"/>
          <w:bCs/>
          <w:sz w:val="28"/>
        </w:rPr>
        <w:t>土地最有效利用方式</w:t>
      </w:r>
    </w:p>
    <w:p w14:paraId="696D1AE2">
      <w:pPr>
        <w:snapToGrid w:val="0"/>
        <w:spacing w:line="360" w:lineRule="auto"/>
        <w:ind w:firstLine="560" w:firstLineChars="200"/>
        <w:jc w:val="both"/>
        <w:rPr>
          <w:rFonts w:ascii="Arial" w:hAnsi="Arial" w:cs="Arial"/>
          <w:sz w:val="28"/>
          <w:szCs w:val="28"/>
        </w:rPr>
      </w:pPr>
      <w:r>
        <w:rPr>
          <w:rFonts w:ascii="Arial" w:hAnsi="Arial" w:cs="Arial"/>
          <w:sz w:val="28"/>
          <w:szCs w:val="28"/>
        </w:rPr>
        <w:t>根据</w:t>
      </w:r>
      <w:r>
        <w:rPr>
          <w:rFonts w:ascii="Arial" w:hAnsi="Arial" w:cs="Arial"/>
          <w:sz w:val="28"/>
        </w:rPr>
        <w:t>委托方介绍及本次咨询目的</w:t>
      </w:r>
      <w:r>
        <w:rPr>
          <w:rFonts w:ascii="Arial" w:hAnsi="Arial" w:cs="Arial"/>
          <w:sz w:val="28"/>
          <w:szCs w:val="28"/>
        </w:rPr>
        <w:t>，本次评估设定如下：</w:t>
      </w:r>
    </w:p>
    <w:p w14:paraId="49E86FE9">
      <w:pPr>
        <w:numPr>
          <w:ilvl w:val="0"/>
          <w:numId w:val="8"/>
        </w:numPr>
        <w:spacing w:line="360" w:lineRule="auto"/>
        <w:rPr>
          <w:rFonts w:ascii="Arial" w:hAnsi="Arial" w:cs="Arial"/>
          <w:snapToGrid w:val="0"/>
          <w:sz w:val="28"/>
        </w:rPr>
      </w:pPr>
      <w:r>
        <w:rPr>
          <w:rFonts w:ascii="Arial" w:hAnsi="Arial" w:cs="Arial"/>
          <w:snapToGrid w:val="0"/>
          <w:sz w:val="28"/>
        </w:rPr>
        <w:t>设定咨询对象能够顺利完成预期的开发建设目标；</w:t>
      </w:r>
    </w:p>
    <w:p w14:paraId="37BC905E">
      <w:pPr>
        <w:numPr>
          <w:ilvl w:val="0"/>
          <w:numId w:val="8"/>
        </w:numPr>
        <w:spacing w:line="360" w:lineRule="auto"/>
        <w:rPr>
          <w:rFonts w:ascii="Arial" w:hAnsi="Arial" w:cs="Arial"/>
          <w:snapToGrid w:val="0"/>
          <w:sz w:val="28"/>
        </w:rPr>
      </w:pPr>
      <w:r>
        <w:rPr>
          <w:rFonts w:ascii="Arial" w:hAnsi="Arial" w:cs="Arial"/>
          <w:snapToGrid w:val="0"/>
          <w:sz w:val="28"/>
        </w:rPr>
        <w:t>本项目建筑物建设周期为2.0年；</w:t>
      </w:r>
    </w:p>
    <w:p w14:paraId="6C825608">
      <w:pPr>
        <w:numPr>
          <w:ilvl w:val="0"/>
          <w:numId w:val="8"/>
        </w:numPr>
        <w:spacing w:line="360" w:lineRule="auto"/>
        <w:rPr>
          <w:rFonts w:ascii="Arial" w:hAnsi="Arial" w:cs="Arial"/>
          <w:snapToGrid w:val="0"/>
          <w:sz w:val="28"/>
        </w:rPr>
      </w:pPr>
      <w:r>
        <w:rPr>
          <w:rFonts w:ascii="Arial" w:hAnsi="Arial" w:cs="Arial"/>
          <w:snapToGrid w:val="0"/>
          <w:sz w:val="28"/>
        </w:rPr>
        <w:t>建安费用在项目周期内均匀投入，利息按复利计算；</w:t>
      </w:r>
    </w:p>
    <w:p w14:paraId="398C6824">
      <w:pPr>
        <w:numPr>
          <w:ilvl w:val="0"/>
          <w:numId w:val="8"/>
        </w:numPr>
        <w:spacing w:line="360" w:lineRule="auto"/>
        <w:ind w:right="14"/>
        <w:rPr>
          <w:rFonts w:ascii="Arial" w:hAnsi="Arial" w:cs="Arial"/>
          <w:snapToGrid w:val="0"/>
          <w:sz w:val="28"/>
        </w:rPr>
      </w:pPr>
      <w:r>
        <w:rPr>
          <w:rFonts w:ascii="Arial" w:hAnsi="Arial" w:cs="Arial"/>
          <w:snapToGrid w:val="0"/>
          <w:sz w:val="28"/>
        </w:rPr>
        <w:t>在开发建设期间，房地产市场不会发生大的变化；</w:t>
      </w:r>
    </w:p>
    <w:p w14:paraId="1FCE04DB">
      <w:pPr>
        <w:numPr>
          <w:ilvl w:val="0"/>
          <w:numId w:val="8"/>
        </w:numPr>
        <w:spacing w:line="360" w:lineRule="auto"/>
        <w:ind w:right="14"/>
        <w:rPr>
          <w:rFonts w:ascii="Arial" w:hAnsi="Arial" w:cs="Arial"/>
          <w:snapToGrid w:val="0"/>
          <w:sz w:val="28"/>
        </w:rPr>
      </w:pPr>
      <w:r>
        <w:rPr>
          <w:rFonts w:ascii="Arial" w:hAnsi="Arial" w:cs="Arial"/>
          <w:snapToGrid w:val="0"/>
          <w:sz w:val="28"/>
        </w:rPr>
        <w:t>该项目在建成后即出租完毕；</w:t>
      </w:r>
    </w:p>
    <w:p w14:paraId="3970DE53">
      <w:pPr>
        <w:numPr>
          <w:ilvl w:val="0"/>
          <w:numId w:val="8"/>
        </w:numPr>
        <w:spacing w:line="360" w:lineRule="auto"/>
        <w:ind w:right="14"/>
        <w:jc w:val="both"/>
        <w:rPr>
          <w:rFonts w:ascii="Arial" w:hAnsi="Arial" w:cs="Arial"/>
          <w:snapToGrid w:val="0"/>
          <w:sz w:val="28"/>
        </w:rPr>
      </w:pPr>
      <w:r>
        <w:rPr>
          <w:rFonts w:ascii="Arial" w:hAnsi="Arial" w:cs="Arial"/>
          <w:snapToGrid w:val="0"/>
          <w:sz w:val="28"/>
        </w:rPr>
        <w:t>在开发过程中或有调整规划用途情况建议参照本咨询结果价值水平。</w:t>
      </w:r>
    </w:p>
    <w:p w14:paraId="4AB2E9E5">
      <w:pPr>
        <w:spacing w:after="26" w:line="360" w:lineRule="auto"/>
        <w:ind w:firstLine="560" w:firstLineChars="200"/>
        <w:rPr>
          <w:rFonts w:ascii="Arial" w:hAnsi="Arial" w:cs="Arial"/>
          <w:snapToGrid w:val="0"/>
          <w:sz w:val="28"/>
        </w:rPr>
      </w:pPr>
      <w:r>
        <w:rPr>
          <w:rFonts w:ascii="Arial" w:hAnsi="Arial" w:cs="Arial"/>
          <w:snapToGrid w:val="0"/>
          <w:sz w:val="28"/>
        </w:rPr>
        <w:t>（2）开发完成后</w:t>
      </w:r>
      <w:r>
        <w:rPr>
          <w:rFonts w:ascii="Arial" w:hAnsi="Arial" w:cs="Arial"/>
          <w:bCs/>
          <w:sz w:val="28"/>
        </w:rPr>
        <w:t>的不动产总价</w:t>
      </w:r>
    </w:p>
    <w:p w14:paraId="590E6969">
      <w:pPr>
        <w:spacing w:line="360" w:lineRule="auto"/>
        <w:ind w:firstLine="560" w:firstLineChars="200"/>
        <w:outlineLvl w:val="2"/>
        <w:rPr>
          <w:rFonts w:ascii="Arial" w:hAnsi="Arial" w:cs="Arial"/>
          <w:sz w:val="28"/>
        </w:rPr>
      </w:pPr>
      <w:r>
        <w:rPr>
          <w:rFonts w:ascii="Arial" w:hAnsi="Arial" w:cs="Arial"/>
          <w:sz w:val="28"/>
        </w:rPr>
        <w:t>1）住宅用房开发完成后不动产总价</w:t>
      </w:r>
    </w:p>
    <w:p w14:paraId="0F2DD669">
      <w:pPr>
        <w:spacing w:line="360" w:lineRule="auto"/>
        <w:ind w:firstLine="560" w:firstLineChars="200"/>
        <w:jc w:val="both"/>
        <w:rPr>
          <w:rFonts w:ascii="Arial" w:hAnsi="Arial" w:cs="Arial"/>
          <w:sz w:val="28"/>
        </w:rPr>
      </w:pPr>
      <w:r>
        <w:rPr>
          <w:rFonts w:hint="eastAsia" w:ascii="Arial" w:hAnsi="Arial" w:cs="Arial"/>
          <w:sz w:val="28"/>
        </w:rPr>
        <w:t>通过对昌平区马池口镇百泉庄村附近公寓用房租赁市场的调查，选取近期同一供需圈及邻近地区实际成交的案例进行分析比较，咨询对象周边租金水平约</w:t>
      </w:r>
      <w:r>
        <w:rPr>
          <w:rFonts w:ascii="Arial" w:hAnsi="Arial" w:cs="Arial"/>
          <w:sz w:val="28"/>
        </w:rPr>
        <w:t>30-</w:t>
      </w:r>
      <w:r>
        <w:rPr>
          <w:rFonts w:hint="eastAsia" w:ascii="Arial" w:hAnsi="Arial" w:cs="Arial"/>
          <w:sz w:val="28"/>
        </w:rPr>
        <w:t>45元</w:t>
      </w:r>
      <w:r>
        <w:rPr>
          <w:rFonts w:ascii="Arial" w:hAnsi="Arial" w:cs="Arial"/>
          <w:sz w:val="28"/>
        </w:rPr>
        <w:t>/</w:t>
      </w:r>
      <w:r>
        <w:rPr>
          <w:rFonts w:hint="eastAsia" w:ascii="Arial" w:hAnsi="Arial" w:cs="Arial"/>
          <w:sz w:val="28"/>
        </w:rPr>
        <w:t>平方米/月，结合咨询对象自身项目情况，最终估算咨询对象租金水平为40元</w:t>
      </w:r>
      <w:r>
        <w:rPr>
          <w:rFonts w:ascii="Arial" w:hAnsi="Arial" w:cs="Arial"/>
          <w:sz w:val="28"/>
        </w:rPr>
        <w:t>/</w:t>
      </w:r>
      <w:r>
        <w:rPr>
          <w:rFonts w:hint="eastAsia" w:ascii="Arial" w:hAnsi="Arial" w:cs="Arial"/>
          <w:sz w:val="28"/>
        </w:rPr>
        <w:t>平方米/月。</w:t>
      </w:r>
    </w:p>
    <w:tbl>
      <w:tblPr>
        <w:tblStyle w:val="32"/>
        <w:tblW w:w="5090" w:type="pct"/>
        <w:tblInd w:w="0" w:type="dxa"/>
        <w:tblLayout w:type="fixed"/>
        <w:tblCellMar>
          <w:top w:w="0" w:type="dxa"/>
          <w:left w:w="108" w:type="dxa"/>
          <w:bottom w:w="0" w:type="dxa"/>
          <w:right w:w="108" w:type="dxa"/>
        </w:tblCellMar>
      </w:tblPr>
      <w:tblGrid>
        <w:gridCol w:w="708"/>
        <w:gridCol w:w="1989"/>
        <w:gridCol w:w="988"/>
        <w:gridCol w:w="3400"/>
        <w:gridCol w:w="1561"/>
        <w:gridCol w:w="1040"/>
      </w:tblGrid>
      <w:tr w14:paraId="702AADA5">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6F4D164F">
            <w:pPr>
              <w:widowControl/>
              <w:adjustRightInd/>
              <w:spacing w:line="240" w:lineRule="auto"/>
              <w:textAlignment w:val="auto"/>
              <w:rPr>
                <w:rFonts w:ascii="Arial" w:hAnsi="Arial" w:cs="Arial"/>
                <w:snapToGrid w:val="0"/>
                <w:sz w:val="16"/>
              </w:rPr>
            </w:pPr>
            <w:r>
              <w:rPr>
                <w:rFonts w:ascii="Arial" w:hAnsi="Arial" w:cs="Arial"/>
                <w:snapToGrid w:val="0"/>
                <w:sz w:val="16"/>
              </w:rPr>
              <w:t>序号</w:t>
            </w:r>
          </w:p>
        </w:tc>
        <w:tc>
          <w:tcPr>
            <w:tcW w:w="1025" w:type="pct"/>
            <w:tcBorders>
              <w:top w:val="single" w:color="auto" w:sz="8" w:space="0"/>
              <w:left w:val="nil"/>
              <w:bottom w:val="single" w:color="auto" w:sz="4" w:space="0"/>
              <w:right w:val="single" w:color="auto" w:sz="4" w:space="0"/>
            </w:tcBorders>
            <w:noWrap/>
            <w:vAlign w:val="center"/>
          </w:tcPr>
          <w:p w14:paraId="6C9F2B56">
            <w:pPr>
              <w:widowControl/>
              <w:adjustRightInd/>
              <w:spacing w:line="240" w:lineRule="auto"/>
              <w:textAlignment w:val="auto"/>
              <w:rPr>
                <w:rFonts w:ascii="Arial" w:hAnsi="Arial" w:cs="Arial"/>
                <w:snapToGrid w:val="0"/>
                <w:sz w:val="16"/>
              </w:rPr>
            </w:pPr>
            <w:r>
              <w:rPr>
                <w:rFonts w:ascii="Arial" w:hAnsi="Arial" w:cs="Arial"/>
                <w:snapToGrid w:val="0"/>
                <w:sz w:val="16"/>
              </w:rPr>
              <w:t>项目</w:t>
            </w:r>
          </w:p>
        </w:tc>
        <w:tc>
          <w:tcPr>
            <w:tcW w:w="510" w:type="pct"/>
            <w:tcBorders>
              <w:top w:val="single" w:color="auto" w:sz="8" w:space="0"/>
              <w:left w:val="nil"/>
              <w:bottom w:val="single" w:color="auto" w:sz="4" w:space="0"/>
              <w:right w:val="single" w:color="auto" w:sz="4" w:space="0"/>
            </w:tcBorders>
            <w:noWrap/>
            <w:vAlign w:val="center"/>
          </w:tcPr>
          <w:p w14:paraId="696EB61C">
            <w:pPr>
              <w:widowControl/>
              <w:adjustRightInd/>
              <w:spacing w:line="240" w:lineRule="auto"/>
              <w:textAlignment w:val="auto"/>
              <w:rPr>
                <w:rFonts w:ascii="Arial" w:hAnsi="Arial" w:cs="Arial"/>
                <w:snapToGrid w:val="0"/>
                <w:sz w:val="16"/>
              </w:rPr>
            </w:pPr>
            <w:r>
              <w:rPr>
                <w:rFonts w:ascii="Arial" w:hAnsi="Arial" w:cs="Arial"/>
                <w:snapToGrid w:val="0"/>
                <w:sz w:val="16"/>
              </w:rPr>
              <w:t>数额</w:t>
            </w:r>
          </w:p>
        </w:tc>
        <w:tc>
          <w:tcPr>
            <w:tcW w:w="1754" w:type="pct"/>
            <w:tcBorders>
              <w:top w:val="single" w:color="auto" w:sz="8" w:space="0"/>
              <w:left w:val="nil"/>
              <w:bottom w:val="single" w:color="auto" w:sz="4" w:space="0"/>
              <w:right w:val="single" w:color="auto" w:sz="4" w:space="0"/>
            </w:tcBorders>
            <w:noWrap/>
            <w:vAlign w:val="center"/>
          </w:tcPr>
          <w:p w14:paraId="1FAABE38">
            <w:pPr>
              <w:widowControl/>
              <w:adjustRightInd/>
              <w:spacing w:line="240" w:lineRule="auto"/>
              <w:textAlignment w:val="auto"/>
              <w:rPr>
                <w:rFonts w:ascii="Arial" w:hAnsi="Arial" w:cs="Arial"/>
                <w:snapToGrid w:val="0"/>
                <w:sz w:val="16"/>
              </w:rPr>
            </w:pPr>
            <w:r>
              <w:rPr>
                <w:rFonts w:ascii="Arial" w:hAnsi="Arial" w:cs="Arial"/>
                <w:snapToGrid w:val="0"/>
                <w:sz w:val="16"/>
              </w:rPr>
              <w:t>计算公式</w:t>
            </w:r>
          </w:p>
        </w:tc>
        <w:tc>
          <w:tcPr>
            <w:tcW w:w="805" w:type="pct"/>
            <w:tcBorders>
              <w:top w:val="single" w:color="auto" w:sz="8" w:space="0"/>
              <w:left w:val="nil"/>
              <w:bottom w:val="single" w:color="auto" w:sz="4" w:space="0"/>
              <w:right w:val="nil"/>
            </w:tcBorders>
            <w:noWrap/>
            <w:vAlign w:val="center"/>
          </w:tcPr>
          <w:p w14:paraId="4F628B49">
            <w:pPr>
              <w:widowControl/>
              <w:adjustRightInd/>
              <w:spacing w:line="240" w:lineRule="auto"/>
              <w:textAlignment w:val="auto"/>
              <w:rPr>
                <w:rFonts w:ascii="Arial" w:hAnsi="Arial" w:cs="Arial"/>
                <w:snapToGrid w:val="0"/>
                <w:sz w:val="16"/>
              </w:rPr>
            </w:pPr>
            <w:r>
              <w:rPr>
                <w:rFonts w:ascii="Arial" w:hAnsi="Arial" w:cs="Arial"/>
                <w:snapToGrid w:val="0"/>
                <w:sz w:val="16"/>
              </w:rPr>
              <w:t>取费标准</w:t>
            </w:r>
          </w:p>
        </w:tc>
        <w:tc>
          <w:tcPr>
            <w:tcW w:w="537" w:type="pct"/>
            <w:tcBorders>
              <w:top w:val="single" w:color="auto" w:sz="8" w:space="0"/>
              <w:left w:val="nil"/>
              <w:bottom w:val="single" w:color="auto" w:sz="4" w:space="0"/>
              <w:right w:val="single" w:color="auto" w:sz="8" w:space="0"/>
            </w:tcBorders>
            <w:noWrap/>
            <w:vAlign w:val="center"/>
          </w:tcPr>
          <w:p w14:paraId="1664B012">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68115D2B">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74601934">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nil"/>
              <w:right w:val="single" w:color="auto" w:sz="4" w:space="0"/>
            </w:tcBorders>
            <w:vAlign w:val="center"/>
          </w:tcPr>
          <w:p w14:paraId="25329305">
            <w:pPr>
              <w:widowControl/>
              <w:adjustRightInd/>
              <w:spacing w:line="240" w:lineRule="auto"/>
              <w:textAlignment w:val="auto"/>
              <w:rPr>
                <w:rFonts w:ascii="Arial" w:hAnsi="Arial" w:cs="Arial"/>
                <w:snapToGrid w:val="0"/>
                <w:sz w:val="16"/>
              </w:rPr>
            </w:pPr>
            <w:r>
              <w:rPr>
                <w:rFonts w:ascii="Arial" w:hAnsi="Arial" w:cs="Arial"/>
                <w:snapToGrid w:val="0"/>
                <w:sz w:val="16"/>
              </w:rPr>
              <w:t>未来第一年年总收益</w:t>
            </w:r>
          </w:p>
        </w:tc>
        <w:tc>
          <w:tcPr>
            <w:tcW w:w="510" w:type="pct"/>
            <w:tcBorders>
              <w:top w:val="nil"/>
              <w:left w:val="nil"/>
              <w:bottom w:val="nil"/>
              <w:right w:val="single" w:color="auto" w:sz="4" w:space="0"/>
            </w:tcBorders>
            <w:noWrap/>
            <w:vAlign w:val="center"/>
          </w:tcPr>
          <w:p w14:paraId="0D21272F">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1423</w:t>
            </w:r>
          </w:p>
        </w:tc>
        <w:tc>
          <w:tcPr>
            <w:tcW w:w="3097" w:type="pct"/>
            <w:gridSpan w:val="3"/>
            <w:tcBorders>
              <w:top w:val="single" w:color="auto" w:sz="4" w:space="0"/>
              <w:left w:val="nil"/>
              <w:bottom w:val="single" w:color="auto" w:sz="4" w:space="0"/>
              <w:right w:val="single" w:color="auto" w:sz="4" w:space="0"/>
            </w:tcBorders>
            <w:noWrap/>
            <w:vAlign w:val="center"/>
          </w:tcPr>
          <w:p w14:paraId="08C9835F">
            <w:pPr>
              <w:widowControl/>
              <w:adjustRightInd/>
              <w:spacing w:line="240" w:lineRule="auto"/>
              <w:textAlignment w:val="auto"/>
              <w:rPr>
                <w:rFonts w:ascii="Arial" w:hAnsi="Arial" w:cs="Arial"/>
                <w:snapToGrid w:val="0"/>
                <w:sz w:val="16"/>
              </w:rPr>
            </w:pPr>
            <w:r>
              <w:rPr>
                <w:rFonts w:ascii="Arial" w:hAnsi="Arial" w:cs="Arial"/>
                <w:snapToGrid w:val="0"/>
                <w:sz w:val="16"/>
              </w:rPr>
              <w:t>年租金收入+押金利息收入</w:t>
            </w:r>
          </w:p>
          <w:p w14:paraId="03B4D5F4">
            <w:pPr>
              <w:widowControl/>
              <w:adjustRightInd/>
              <w:spacing w:line="240" w:lineRule="auto"/>
              <w:jc w:val="center"/>
              <w:textAlignment w:val="auto"/>
              <w:rPr>
                <w:rFonts w:ascii="Arial" w:hAnsi="Arial" w:cs="Arial"/>
                <w:snapToGrid w:val="0"/>
                <w:sz w:val="16"/>
              </w:rPr>
            </w:pPr>
          </w:p>
        </w:tc>
      </w:tr>
      <w:tr w14:paraId="587F0506">
        <w:tblPrEx>
          <w:tblCellMar>
            <w:top w:w="0" w:type="dxa"/>
            <w:left w:w="108" w:type="dxa"/>
            <w:bottom w:w="0" w:type="dxa"/>
            <w:right w:w="108" w:type="dxa"/>
          </w:tblCellMar>
        </w:tblPrEx>
        <w:trPr>
          <w:trHeight w:val="360" w:hRule="atLeast"/>
        </w:trPr>
        <w:tc>
          <w:tcPr>
            <w:tcW w:w="365" w:type="pct"/>
            <w:vMerge w:val="restart"/>
            <w:tcBorders>
              <w:top w:val="single" w:color="auto" w:sz="4" w:space="0"/>
              <w:left w:val="single" w:color="auto" w:sz="4" w:space="0"/>
              <w:right w:val="single" w:color="auto" w:sz="4" w:space="0"/>
            </w:tcBorders>
            <w:noWrap/>
            <w:vAlign w:val="center"/>
          </w:tcPr>
          <w:p w14:paraId="31DA0A00">
            <w:pPr>
              <w:widowControl/>
              <w:adjustRightInd/>
              <w:spacing w:line="240" w:lineRule="auto"/>
              <w:textAlignment w:val="auto"/>
              <w:rPr>
                <w:rFonts w:ascii="Arial" w:hAnsi="Arial" w:cs="Arial"/>
                <w:snapToGrid w:val="0"/>
                <w:sz w:val="16"/>
              </w:rPr>
            </w:pPr>
            <w:r>
              <w:rPr>
                <w:rFonts w:ascii="Arial" w:hAnsi="Arial" w:cs="Arial"/>
                <w:snapToGrid w:val="0"/>
                <w:sz w:val="16"/>
              </w:rPr>
              <w:t>（1）</w:t>
            </w:r>
          </w:p>
          <w:p w14:paraId="46482DE9">
            <w:pPr>
              <w:spacing w:line="240" w:lineRule="auto"/>
              <w:rPr>
                <w:rFonts w:ascii="Arial" w:hAnsi="Arial" w:cs="Arial"/>
                <w:snapToGrid w:val="0"/>
                <w:sz w:val="16"/>
              </w:rPr>
            </w:pPr>
          </w:p>
        </w:tc>
        <w:tc>
          <w:tcPr>
            <w:tcW w:w="1025" w:type="pct"/>
            <w:vMerge w:val="restart"/>
            <w:tcBorders>
              <w:top w:val="single" w:color="auto" w:sz="4" w:space="0"/>
              <w:left w:val="single" w:color="auto" w:sz="4" w:space="0"/>
              <w:bottom w:val="single" w:color="000000" w:sz="4" w:space="0"/>
              <w:right w:val="single" w:color="auto" w:sz="4" w:space="0"/>
            </w:tcBorders>
          </w:tcPr>
          <w:p w14:paraId="2EA694B6">
            <w:pPr>
              <w:widowControl/>
              <w:adjustRightInd/>
              <w:spacing w:line="240" w:lineRule="auto"/>
              <w:textAlignment w:val="auto"/>
              <w:rPr>
                <w:rFonts w:ascii="Arial" w:hAnsi="Arial" w:cs="Arial"/>
                <w:snapToGrid w:val="0"/>
                <w:sz w:val="16"/>
              </w:rPr>
            </w:pPr>
            <w:r>
              <w:rPr>
                <w:rFonts w:ascii="Arial" w:hAnsi="Arial" w:cs="Arial"/>
                <w:snapToGrid w:val="0"/>
                <w:sz w:val="16"/>
              </w:rPr>
              <w:t>年租金收入（年经营收入）</w:t>
            </w:r>
          </w:p>
        </w:tc>
        <w:tc>
          <w:tcPr>
            <w:tcW w:w="510" w:type="pct"/>
            <w:tcBorders>
              <w:top w:val="single" w:color="auto" w:sz="4" w:space="0"/>
              <w:left w:val="nil"/>
              <w:bottom w:val="nil"/>
              <w:right w:val="single" w:color="auto" w:sz="4" w:space="0"/>
            </w:tcBorders>
            <w:noWrap/>
            <w:vAlign w:val="center"/>
          </w:tcPr>
          <w:p w14:paraId="413B929A">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1421</w:t>
            </w:r>
          </w:p>
        </w:tc>
        <w:tc>
          <w:tcPr>
            <w:tcW w:w="1754" w:type="pct"/>
            <w:tcBorders>
              <w:top w:val="single" w:color="auto" w:sz="4" w:space="0"/>
              <w:left w:val="nil"/>
              <w:bottom w:val="nil"/>
              <w:right w:val="single" w:color="auto" w:sz="4" w:space="0"/>
            </w:tcBorders>
            <w:noWrap/>
            <w:vAlign w:val="center"/>
          </w:tcPr>
          <w:p w14:paraId="79D326C5">
            <w:pPr>
              <w:widowControl/>
              <w:adjustRightInd/>
              <w:spacing w:line="240" w:lineRule="auto"/>
              <w:textAlignment w:val="auto"/>
              <w:rPr>
                <w:rFonts w:ascii="Arial" w:hAnsi="Arial" w:cs="Arial"/>
                <w:snapToGrid w:val="0"/>
                <w:sz w:val="16"/>
              </w:rPr>
            </w:pPr>
            <w:r>
              <w:rPr>
                <w:rFonts w:ascii="Arial" w:hAnsi="Arial" w:cs="Arial"/>
                <w:snapToGrid w:val="0"/>
                <w:sz w:val="16"/>
              </w:rPr>
              <w:t>租金×月数×（1-空置率）</w:t>
            </w:r>
          </w:p>
        </w:tc>
        <w:tc>
          <w:tcPr>
            <w:tcW w:w="805" w:type="pct"/>
            <w:tcBorders>
              <w:top w:val="single" w:color="auto" w:sz="4" w:space="0"/>
              <w:left w:val="nil"/>
              <w:bottom w:val="single" w:color="auto" w:sz="4" w:space="0"/>
              <w:right w:val="single" w:color="auto" w:sz="4" w:space="0"/>
            </w:tcBorders>
            <w:noWrap/>
            <w:vAlign w:val="center"/>
          </w:tcPr>
          <w:p w14:paraId="5F39F1C6">
            <w:pPr>
              <w:spacing w:line="240" w:lineRule="auto"/>
              <w:rPr>
                <w:rFonts w:ascii="Arial" w:hAnsi="Arial" w:cs="Arial"/>
                <w:snapToGrid w:val="0"/>
                <w:sz w:val="16"/>
              </w:rPr>
            </w:pPr>
            <w:r>
              <w:rPr>
                <w:rFonts w:ascii="Arial" w:hAnsi="Arial" w:cs="Arial"/>
                <w:snapToGrid w:val="0"/>
                <w:sz w:val="16"/>
              </w:rPr>
              <w:t>租金（元/</w:t>
            </w:r>
            <w:r>
              <w:rPr>
                <w:rFonts w:hint="eastAsia" w:ascii="Arial" w:hAnsi="Arial" w:cs="Arial"/>
                <w:snapToGrid w:val="0"/>
                <w:sz w:val="16"/>
              </w:rPr>
              <w:t>平方米</w:t>
            </w:r>
            <w:r>
              <w:rPr>
                <w:rFonts w:ascii="Arial" w:hAnsi="Arial" w:cs="Arial"/>
                <w:snapToGrid w:val="0"/>
                <w:sz w:val="16"/>
              </w:rPr>
              <w:t>/</w:t>
            </w:r>
            <w:r>
              <w:rPr>
                <w:rFonts w:hint="eastAsia" w:ascii="Arial" w:hAnsi="Arial" w:cs="Arial"/>
                <w:snapToGrid w:val="0"/>
                <w:sz w:val="16"/>
              </w:rPr>
              <w:t>月</w:t>
            </w:r>
            <w:r>
              <w:rPr>
                <w:rFonts w:ascii="Arial" w:hAnsi="Arial" w:cs="Arial"/>
                <w:snapToGrid w:val="0"/>
                <w:sz w:val="16"/>
              </w:rPr>
              <w:t>）</w:t>
            </w:r>
          </w:p>
        </w:tc>
        <w:tc>
          <w:tcPr>
            <w:tcW w:w="537" w:type="pct"/>
            <w:tcBorders>
              <w:top w:val="single" w:color="auto" w:sz="4" w:space="0"/>
              <w:left w:val="nil"/>
              <w:bottom w:val="single" w:color="auto" w:sz="4" w:space="0"/>
              <w:right w:val="single" w:color="auto" w:sz="8" w:space="0"/>
            </w:tcBorders>
            <w:noWrap/>
            <w:vAlign w:val="center"/>
          </w:tcPr>
          <w:p w14:paraId="1D3E25F2">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40</w:t>
            </w:r>
          </w:p>
        </w:tc>
      </w:tr>
      <w:tr w14:paraId="46C24034">
        <w:tblPrEx>
          <w:tblCellMar>
            <w:top w:w="0" w:type="dxa"/>
            <w:left w:w="108" w:type="dxa"/>
            <w:bottom w:w="0" w:type="dxa"/>
            <w:right w:w="108" w:type="dxa"/>
          </w:tblCellMar>
        </w:tblPrEx>
        <w:trPr>
          <w:trHeight w:val="360" w:hRule="atLeast"/>
        </w:trPr>
        <w:tc>
          <w:tcPr>
            <w:tcW w:w="365" w:type="pct"/>
            <w:vMerge w:val="continue"/>
            <w:tcBorders>
              <w:left w:val="single" w:color="auto" w:sz="4" w:space="0"/>
              <w:right w:val="single" w:color="auto" w:sz="4" w:space="0"/>
            </w:tcBorders>
            <w:noWrap/>
            <w:vAlign w:val="center"/>
          </w:tcPr>
          <w:p w14:paraId="31FC0B61">
            <w:pPr>
              <w:spacing w:line="240" w:lineRule="auto"/>
              <w:rPr>
                <w:rFonts w:ascii="Arial" w:hAnsi="Arial" w:cs="Arial"/>
                <w:snapToGrid w:val="0"/>
                <w:sz w:val="16"/>
              </w:rPr>
            </w:pPr>
          </w:p>
        </w:tc>
        <w:tc>
          <w:tcPr>
            <w:tcW w:w="1025" w:type="pct"/>
            <w:vMerge w:val="continue"/>
            <w:tcBorders>
              <w:top w:val="single" w:color="auto" w:sz="4" w:space="0"/>
              <w:left w:val="single" w:color="auto" w:sz="4" w:space="0"/>
              <w:bottom w:val="single" w:color="000000" w:sz="4" w:space="0"/>
              <w:right w:val="single" w:color="auto" w:sz="4" w:space="0"/>
            </w:tcBorders>
            <w:vAlign w:val="center"/>
          </w:tcPr>
          <w:p w14:paraId="368DB672">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7A65D5CF">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754" w:type="pct"/>
            <w:tcBorders>
              <w:top w:val="nil"/>
              <w:left w:val="nil"/>
              <w:bottom w:val="nil"/>
              <w:right w:val="single" w:color="auto" w:sz="4" w:space="0"/>
            </w:tcBorders>
            <w:noWrap/>
            <w:vAlign w:val="center"/>
          </w:tcPr>
          <w:p w14:paraId="6A11C0AE">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single" w:color="auto" w:sz="4" w:space="0"/>
              <w:right w:val="single" w:color="auto" w:sz="4" w:space="0"/>
            </w:tcBorders>
            <w:noWrap/>
            <w:vAlign w:val="center"/>
          </w:tcPr>
          <w:p w14:paraId="02699FD4">
            <w:pPr>
              <w:spacing w:line="240" w:lineRule="auto"/>
              <w:rPr>
                <w:rFonts w:ascii="Arial" w:hAnsi="Arial" w:cs="Arial"/>
                <w:snapToGrid w:val="0"/>
                <w:sz w:val="16"/>
              </w:rPr>
            </w:pPr>
            <w:r>
              <w:rPr>
                <w:rFonts w:hint="eastAsia" w:ascii="Arial" w:hAnsi="Arial" w:cs="Arial"/>
                <w:snapToGrid w:val="0"/>
                <w:sz w:val="16"/>
              </w:rPr>
              <w:t>面积</w:t>
            </w:r>
            <w:r>
              <w:rPr>
                <w:rFonts w:ascii="Arial" w:hAnsi="Arial" w:cs="Arial"/>
                <w:snapToGrid w:val="0"/>
                <w:sz w:val="16"/>
              </w:rPr>
              <w:t>（</w:t>
            </w:r>
            <w:r>
              <w:rPr>
                <w:rFonts w:hint="eastAsia" w:ascii="Arial" w:hAnsi="Arial" w:cs="Arial"/>
                <w:snapToGrid w:val="0"/>
                <w:sz w:val="16"/>
              </w:rPr>
              <w:t>平方米</w:t>
            </w:r>
            <w:r>
              <w:rPr>
                <w:rFonts w:ascii="Arial" w:hAnsi="Arial" w:cs="Arial"/>
                <w:snapToGrid w:val="0"/>
                <w:sz w:val="16"/>
              </w:rPr>
              <w:t>）</w:t>
            </w:r>
          </w:p>
        </w:tc>
        <w:tc>
          <w:tcPr>
            <w:tcW w:w="537" w:type="pct"/>
            <w:tcBorders>
              <w:top w:val="nil"/>
              <w:left w:val="nil"/>
              <w:bottom w:val="single" w:color="auto" w:sz="4" w:space="0"/>
              <w:right w:val="single" w:color="auto" w:sz="8" w:space="0"/>
            </w:tcBorders>
            <w:noWrap/>
            <w:vAlign w:val="center"/>
          </w:tcPr>
          <w:p w14:paraId="21DE68D5">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31152</w:t>
            </w:r>
          </w:p>
        </w:tc>
      </w:tr>
      <w:tr w14:paraId="09F4104D">
        <w:tblPrEx>
          <w:tblCellMar>
            <w:top w:w="0" w:type="dxa"/>
            <w:left w:w="108" w:type="dxa"/>
            <w:bottom w:w="0" w:type="dxa"/>
            <w:right w:w="108" w:type="dxa"/>
          </w:tblCellMar>
        </w:tblPrEx>
        <w:trPr>
          <w:trHeight w:val="360" w:hRule="atLeast"/>
        </w:trPr>
        <w:tc>
          <w:tcPr>
            <w:tcW w:w="365" w:type="pct"/>
            <w:vMerge w:val="continue"/>
            <w:tcBorders>
              <w:left w:val="single" w:color="auto" w:sz="4" w:space="0"/>
              <w:right w:val="single" w:color="auto" w:sz="4" w:space="0"/>
            </w:tcBorders>
            <w:noWrap/>
            <w:vAlign w:val="center"/>
          </w:tcPr>
          <w:p w14:paraId="515DB996">
            <w:pPr>
              <w:spacing w:line="240" w:lineRule="auto"/>
              <w:rPr>
                <w:rFonts w:ascii="Arial" w:hAnsi="Arial" w:cs="Arial"/>
                <w:snapToGrid w:val="0"/>
                <w:sz w:val="16"/>
              </w:rPr>
            </w:pPr>
          </w:p>
        </w:tc>
        <w:tc>
          <w:tcPr>
            <w:tcW w:w="1025" w:type="pct"/>
            <w:vMerge w:val="continue"/>
            <w:tcBorders>
              <w:top w:val="single" w:color="auto" w:sz="4" w:space="0"/>
              <w:left w:val="single" w:color="auto" w:sz="4" w:space="0"/>
              <w:bottom w:val="single" w:color="000000" w:sz="4" w:space="0"/>
              <w:right w:val="single" w:color="auto" w:sz="4" w:space="0"/>
            </w:tcBorders>
            <w:vAlign w:val="center"/>
          </w:tcPr>
          <w:p w14:paraId="549FC480">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5449A3AD">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754" w:type="pct"/>
            <w:tcBorders>
              <w:top w:val="nil"/>
              <w:left w:val="nil"/>
              <w:bottom w:val="nil"/>
              <w:right w:val="single" w:color="auto" w:sz="4" w:space="0"/>
            </w:tcBorders>
            <w:noWrap/>
            <w:vAlign w:val="center"/>
          </w:tcPr>
          <w:p w14:paraId="4348FC9C">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single" w:color="auto" w:sz="4" w:space="0"/>
              <w:right w:val="single" w:color="auto" w:sz="4" w:space="0"/>
            </w:tcBorders>
            <w:noWrap/>
            <w:vAlign w:val="center"/>
          </w:tcPr>
          <w:p w14:paraId="7919E148">
            <w:pPr>
              <w:spacing w:line="240" w:lineRule="auto"/>
              <w:rPr>
                <w:rFonts w:ascii="Arial" w:hAnsi="Arial" w:cs="Arial"/>
                <w:snapToGrid w:val="0"/>
                <w:sz w:val="16"/>
              </w:rPr>
            </w:pPr>
            <w:r>
              <w:rPr>
                <w:rFonts w:hint="eastAsia" w:ascii="Arial" w:hAnsi="Arial" w:cs="Arial"/>
                <w:snapToGrid w:val="0"/>
                <w:sz w:val="16"/>
              </w:rPr>
              <w:t>月</w:t>
            </w:r>
            <w:r>
              <w:rPr>
                <w:rFonts w:ascii="Arial" w:hAnsi="Arial" w:cs="Arial"/>
                <w:snapToGrid w:val="0"/>
                <w:sz w:val="16"/>
              </w:rPr>
              <w:t>（个）</w:t>
            </w:r>
          </w:p>
        </w:tc>
        <w:tc>
          <w:tcPr>
            <w:tcW w:w="537" w:type="pct"/>
            <w:tcBorders>
              <w:top w:val="nil"/>
              <w:left w:val="nil"/>
              <w:bottom w:val="single" w:color="auto" w:sz="4" w:space="0"/>
              <w:right w:val="single" w:color="auto" w:sz="8" w:space="0"/>
            </w:tcBorders>
            <w:noWrap/>
            <w:vAlign w:val="center"/>
          </w:tcPr>
          <w:p w14:paraId="4B99747A">
            <w:pPr>
              <w:widowControl/>
              <w:adjustRightInd/>
              <w:spacing w:line="240" w:lineRule="auto"/>
              <w:jc w:val="center"/>
              <w:textAlignment w:val="auto"/>
              <w:rPr>
                <w:rFonts w:ascii="Arial" w:hAnsi="Arial" w:cs="Arial"/>
                <w:snapToGrid w:val="0"/>
                <w:sz w:val="16"/>
              </w:rPr>
            </w:pPr>
            <w:r>
              <w:rPr>
                <w:rFonts w:ascii="Arial" w:hAnsi="Arial" w:cs="Arial"/>
                <w:snapToGrid w:val="0"/>
                <w:sz w:val="16"/>
              </w:rPr>
              <w:t>12</w:t>
            </w:r>
          </w:p>
        </w:tc>
      </w:tr>
      <w:tr w14:paraId="683B3DDC">
        <w:tblPrEx>
          <w:tblCellMar>
            <w:top w:w="0" w:type="dxa"/>
            <w:left w:w="108" w:type="dxa"/>
            <w:bottom w:w="0" w:type="dxa"/>
            <w:right w:w="108" w:type="dxa"/>
          </w:tblCellMar>
        </w:tblPrEx>
        <w:trPr>
          <w:trHeight w:val="360" w:hRule="atLeast"/>
        </w:trPr>
        <w:tc>
          <w:tcPr>
            <w:tcW w:w="365" w:type="pct"/>
            <w:vMerge w:val="continue"/>
            <w:tcBorders>
              <w:left w:val="single" w:color="auto" w:sz="4" w:space="0"/>
              <w:bottom w:val="single" w:color="auto" w:sz="4" w:space="0"/>
              <w:right w:val="single" w:color="auto" w:sz="4" w:space="0"/>
            </w:tcBorders>
            <w:noWrap/>
            <w:vAlign w:val="center"/>
          </w:tcPr>
          <w:p w14:paraId="2B95015B">
            <w:pPr>
              <w:widowControl/>
              <w:adjustRightInd/>
              <w:spacing w:line="240" w:lineRule="auto"/>
              <w:textAlignment w:val="auto"/>
              <w:rPr>
                <w:rFonts w:ascii="Arial" w:hAnsi="Arial" w:cs="Arial"/>
                <w:snapToGrid w:val="0"/>
                <w:sz w:val="16"/>
              </w:rPr>
            </w:pPr>
          </w:p>
        </w:tc>
        <w:tc>
          <w:tcPr>
            <w:tcW w:w="1025" w:type="pct"/>
            <w:vMerge w:val="continue"/>
            <w:tcBorders>
              <w:top w:val="single" w:color="auto" w:sz="4" w:space="0"/>
              <w:left w:val="single" w:color="auto" w:sz="4" w:space="0"/>
              <w:bottom w:val="single" w:color="000000" w:sz="4" w:space="0"/>
              <w:right w:val="single" w:color="auto" w:sz="4" w:space="0"/>
            </w:tcBorders>
            <w:vAlign w:val="center"/>
          </w:tcPr>
          <w:p w14:paraId="52004EF9">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5DB80DD3">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754" w:type="pct"/>
            <w:tcBorders>
              <w:top w:val="nil"/>
              <w:left w:val="nil"/>
              <w:bottom w:val="nil"/>
              <w:right w:val="single" w:color="auto" w:sz="4" w:space="0"/>
            </w:tcBorders>
            <w:noWrap/>
            <w:vAlign w:val="center"/>
          </w:tcPr>
          <w:p w14:paraId="632CAE01">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single" w:color="auto" w:sz="4" w:space="0"/>
              <w:right w:val="single" w:color="auto" w:sz="4" w:space="0"/>
            </w:tcBorders>
            <w:noWrap/>
            <w:vAlign w:val="center"/>
          </w:tcPr>
          <w:p w14:paraId="6C9A5E7D">
            <w:pPr>
              <w:spacing w:line="240" w:lineRule="auto"/>
              <w:rPr>
                <w:rFonts w:ascii="Arial" w:hAnsi="Arial" w:cs="Arial"/>
                <w:snapToGrid w:val="0"/>
                <w:sz w:val="16"/>
              </w:rPr>
            </w:pPr>
            <w:r>
              <w:rPr>
                <w:rFonts w:ascii="Arial" w:hAnsi="Arial" w:cs="Arial"/>
                <w:snapToGrid w:val="0"/>
                <w:sz w:val="16"/>
              </w:rPr>
              <w:t>空置率（%）</w:t>
            </w:r>
          </w:p>
        </w:tc>
        <w:tc>
          <w:tcPr>
            <w:tcW w:w="537" w:type="pct"/>
            <w:tcBorders>
              <w:top w:val="nil"/>
              <w:left w:val="nil"/>
              <w:bottom w:val="single" w:color="auto" w:sz="4" w:space="0"/>
              <w:right w:val="single" w:color="auto" w:sz="8" w:space="0"/>
            </w:tcBorders>
            <w:noWrap/>
            <w:vAlign w:val="center"/>
          </w:tcPr>
          <w:p w14:paraId="6BC1BA91">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776454CA">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4D377DE2">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nil"/>
              <w:right w:val="single" w:color="auto" w:sz="4" w:space="0"/>
            </w:tcBorders>
            <w:vAlign w:val="center"/>
          </w:tcPr>
          <w:p w14:paraId="777CB8CC">
            <w:pPr>
              <w:widowControl/>
              <w:adjustRightInd/>
              <w:spacing w:line="240" w:lineRule="auto"/>
              <w:textAlignment w:val="auto"/>
              <w:rPr>
                <w:rFonts w:ascii="Arial" w:hAnsi="Arial" w:cs="Arial"/>
                <w:snapToGrid w:val="0"/>
                <w:sz w:val="16"/>
              </w:rPr>
            </w:pPr>
            <w:r>
              <w:rPr>
                <w:rFonts w:ascii="Arial" w:hAnsi="Arial" w:cs="Arial"/>
                <w:snapToGrid w:val="0"/>
                <w:sz w:val="16"/>
              </w:rPr>
              <w:t>押金利息收入</w:t>
            </w:r>
          </w:p>
        </w:tc>
        <w:tc>
          <w:tcPr>
            <w:tcW w:w="510" w:type="pct"/>
            <w:tcBorders>
              <w:top w:val="single" w:color="auto" w:sz="4" w:space="0"/>
              <w:left w:val="nil"/>
              <w:bottom w:val="single" w:color="auto" w:sz="4" w:space="0"/>
              <w:right w:val="single" w:color="auto" w:sz="4" w:space="0"/>
            </w:tcBorders>
            <w:noWrap/>
            <w:vAlign w:val="center"/>
          </w:tcPr>
          <w:p w14:paraId="17A122A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w:t>
            </w:r>
          </w:p>
        </w:tc>
        <w:tc>
          <w:tcPr>
            <w:tcW w:w="1754" w:type="pct"/>
            <w:tcBorders>
              <w:top w:val="single" w:color="auto" w:sz="4" w:space="0"/>
              <w:left w:val="nil"/>
              <w:bottom w:val="nil"/>
              <w:right w:val="single" w:color="auto" w:sz="4" w:space="0"/>
            </w:tcBorders>
            <w:noWrap/>
            <w:vAlign w:val="center"/>
          </w:tcPr>
          <w:p w14:paraId="50A2A031">
            <w:pPr>
              <w:widowControl/>
              <w:adjustRightInd/>
              <w:spacing w:line="240" w:lineRule="auto"/>
              <w:textAlignment w:val="auto"/>
              <w:rPr>
                <w:rFonts w:ascii="Arial" w:hAnsi="Arial" w:cs="Arial"/>
                <w:snapToGrid w:val="0"/>
                <w:sz w:val="16"/>
              </w:rPr>
            </w:pPr>
            <w:r>
              <w:rPr>
                <w:rFonts w:ascii="Arial" w:hAnsi="Arial" w:cs="Arial"/>
                <w:snapToGrid w:val="0"/>
                <w:sz w:val="16"/>
              </w:rPr>
              <w:t>押金*一年期存款利率</w:t>
            </w:r>
          </w:p>
        </w:tc>
        <w:tc>
          <w:tcPr>
            <w:tcW w:w="805" w:type="pct"/>
            <w:tcBorders>
              <w:top w:val="nil"/>
              <w:left w:val="nil"/>
              <w:bottom w:val="nil"/>
              <w:right w:val="single" w:color="auto" w:sz="4" w:space="0"/>
            </w:tcBorders>
            <w:noWrap/>
            <w:vAlign w:val="center"/>
          </w:tcPr>
          <w:p w14:paraId="5F51766B">
            <w:pPr>
              <w:widowControl/>
              <w:adjustRightInd/>
              <w:spacing w:line="240" w:lineRule="auto"/>
              <w:textAlignment w:val="auto"/>
              <w:rPr>
                <w:rFonts w:ascii="Arial" w:hAnsi="Arial" w:cs="Arial"/>
                <w:snapToGrid w:val="0"/>
                <w:sz w:val="16"/>
              </w:rPr>
            </w:pPr>
            <w:r>
              <w:rPr>
                <w:rFonts w:ascii="Arial" w:hAnsi="Arial" w:cs="Arial"/>
                <w:snapToGrid w:val="0"/>
                <w:sz w:val="16"/>
              </w:rPr>
              <w:t>押金方式</w:t>
            </w:r>
          </w:p>
        </w:tc>
        <w:tc>
          <w:tcPr>
            <w:tcW w:w="537" w:type="pct"/>
            <w:tcBorders>
              <w:top w:val="nil"/>
              <w:left w:val="nil"/>
              <w:bottom w:val="nil"/>
              <w:right w:val="single" w:color="auto" w:sz="8" w:space="0"/>
            </w:tcBorders>
            <w:noWrap/>
            <w:vAlign w:val="center"/>
          </w:tcPr>
          <w:p w14:paraId="51BF0280">
            <w:pPr>
              <w:widowControl/>
              <w:adjustRightInd/>
              <w:spacing w:line="240" w:lineRule="auto"/>
              <w:jc w:val="center"/>
              <w:textAlignment w:val="auto"/>
              <w:rPr>
                <w:rFonts w:ascii="Arial" w:hAnsi="Arial" w:cs="Arial"/>
                <w:snapToGrid w:val="0"/>
                <w:sz w:val="16"/>
              </w:rPr>
            </w:pPr>
            <w:r>
              <w:rPr>
                <w:rFonts w:ascii="Arial" w:hAnsi="Arial" w:cs="Arial"/>
                <w:snapToGrid w:val="0"/>
                <w:sz w:val="16"/>
              </w:rPr>
              <w:t>押一</w:t>
            </w:r>
          </w:p>
        </w:tc>
      </w:tr>
      <w:tr w14:paraId="4F33C589">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2D94BE44">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25" w:type="pct"/>
            <w:tcBorders>
              <w:top w:val="single" w:color="auto" w:sz="4" w:space="0"/>
              <w:left w:val="nil"/>
              <w:bottom w:val="single" w:color="auto" w:sz="4" w:space="0"/>
              <w:right w:val="single" w:color="auto" w:sz="4" w:space="0"/>
            </w:tcBorders>
            <w:vAlign w:val="center"/>
          </w:tcPr>
          <w:p w14:paraId="1065D8AB">
            <w:pPr>
              <w:widowControl/>
              <w:adjustRightInd/>
              <w:spacing w:line="240" w:lineRule="auto"/>
              <w:jc w:val="right"/>
              <w:textAlignment w:val="auto"/>
              <w:rPr>
                <w:rFonts w:ascii="Arial" w:hAnsi="Arial" w:cs="Arial"/>
                <w:snapToGrid w:val="0"/>
                <w:sz w:val="16"/>
              </w:rPr>
            </w:pPr>
            <w:r>
              <w:rPr>
                <w:rFonts w:ascii="Arial" w:hAnsi="Arial" w:cs="Arial"/>
                <w:snapToGrid w:val="0"/>
                <w:sz w:val="16"/>
              </w:rPr>
              <w:t>（自定义押金）单位：元</w:t>
            </w:r>
          </w:p>
        </w:tc>
        <w:tc>
          <w:tcPr>
            <w:tcW w:w="510" w:type="pct"/>
            <w:tcBorders>
              <w:top w:val="nil"/>
              <w:left w:val="nil"/>
              <w:bottom w:val="single" w:color="auto" w:sz="4" w:space="0"/>
              <w:right w:val="single" w:color="auto" w:sz="4" w:space="0"/>
            </w:tcBorders>
            <w:noWrap/>
            <w:vAlign w:val="center"/>
          </w:tcPr>
          <w:p w14:paraId="67B6FC58">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754" w:type="pct"/>
            <w:tcBorders>
              <w:top w:val="nil"/>
              <w:left w:val="nil"/>
              <w:bottom w:val="single" w:color="auto" w:sz="4" w:space="0"/>
              <w:right w:val="single" w:color="auto" w:sz="4" w:space="0"/>
            </w:tcBorders>
            <w:noWrap/>
            <w:vAlign w:val="center"/>
          </w:tcPr>
          <w:p w14:paraId="48931934">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single" w:color="auto" w:sz="4" w:space="0"/>
              <w:left w:val="nil"/>
              <w:bottom w:val="single" w:color="auto" w:sz="4" w:space="0"/>
              <w:right w:val="single" w:color="auto" w:sz="4" w:space="0"/>
            </w:tcBorders>
            <w:noWrap/>
            <w:vAlign w:val="center"/>
          </w:tcPr>
          <w:p w14:paraId="77851E0E">
            <w:pPr>
              <w:widowControl/>
              <w:adjustRightInd/>
              <w:spacing w:line="240" w:lineRule="auto"/>
              <w:textAlignment w:val="auto"/>
              <w:rPr>
                <w:rFonts w:ascii="Arial" w:hAnsi="Arial" w:cs="Arial"/>
                <w:snapToGrid w:val="0"/>
                <w:sz w:val="16"/>
              </w:rPr>
            </w:pPr>
            <w:r>
              <w:rPr>
                <w:rFonts w:ascii="Arial" w:hAnsi="Arial" w:cs="Arial"/>
                <w:snapToGrid w:val="0"/>
                <w:sz w:val="16"/>
              </w:rPr>
              <w:t>一年期存款利率</w:t>
            </w:r>
          </w:p>
        </w:tc>
        <w:tc>
          <w:tcPr>
            <w:tcW w:w="537" w:type="pct"/>
            <w:tcBorders>
              <w:top w:val="single" w:color="auto" w:sz="4" w:space="0"/>
              <w:left w:val="nil"/>
              <w:bottom w:val="single" w:color="auto" w:sz="4" w:space="0"/>
              <w:right w:val="single" w:color="auto" w:sz="8" w:space="0"/>
            </w:tcBorders>
            <w:noWrap/>
            <w:vAlign w:val="center"/>
          </w:tcPr>
          <w:p w14:paraId="6A6D5D8B">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54A34218">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3FE1856D">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single" w:color="auto" w:sz="4" w:space="0"/>
              <w:left w:val="nil"/>
              <w:bottom w:val="single" w:color="auto" w:sz="4" w:space="0"/>
              <w:right w:val="single" w:color="auto" w:sz="4" w:space="0"/>
            </w:tcBorders>
            <w:noWrap/>
            <w:vAlign w:val="center"/>
          </w:tcPr>
          <w:p w14:paraId="52E95A32">
            <w:pPr>
              <w:widowControl/>
              <w:adjustRightInd/>
              <w:spacing w:line="240" w:lineRule="auto"/>
              <w:textAlignment w:val="auto"/>
              <w:rPr>
                <w:rFonts w:ascii="Arial" w:hAnsi="Arial" w:cs="Arial"/>
                <w:snapToGrid w:val="0"/>
                <w:sz w:val="16"/>
              </w:rPr>
            </w:pPr>
            <w:r>
              <w:rPr>
                <w:rFonts w:ascii="Arial" w:hAnsi="Arial" w:cs="Arial"/>
                <w:snapToGrid w:val="0"/>
                <w:sz w:val="16"/>
              </w:rPr>
              <w:t>建筑物现值</w:t>
            </w:r>
          </w:p>
        </w:tc>
        <w:tc>
          <w:tcPr>
            <w:tcW w:w="510" w:type="pct"/>
            <w:tcBorders>
              <w:top w:val="single" w:color="auto" w:sz="4" w:space="0"/>
              <w:left w:val="nil"/>
              <w:bottom w:val="single" w:color="auto" w:sz="4" w:space="0"/>
              <w:right w:val="single" w:color="auto" w:sz="4" w:space="0"/>
            </w:tcBorders>
            <w:noWrap/>
            <w:vAlign w:val="center"/>
          </w:tcPr>
          <w:p w14:paraId="2830970F">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17757</w:t>
            </w:r>
          </w:p>
        </w:tc>
        <w:tc>
          <w:tcPr>
            <w:tcW w:w="1754" w:type="pct"/>
            <w:tcBorders>
              <w:top w:val="single" w:color="auto" w:sz="4" w:space="0"/>
              <w:left w:val="nil"/>
              <w:bottom w:val="single" w:color="auto" w:sz="4" w:space="0"/>
              <w:right w:val="single" w:color="auto" w:sz="4" w:space="0"/>
            </w:tcBorders>
            <w:noWrap/>
            <w:vAlign w:val="center"/>
          </w:tcPr>
          <w:p w14:paraId="53339779">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建筑物重置价格×成新度</w:t>
            </w:r>
          </w:p>
        </w:tc>
        <w:tc>
          <w:tcPr>
            <w:tcW w:w="805" w:type="pct"/>
            <w:tcBorders>
              <w:top w:val="single" w:color="auto" w:sz="4" w:space="0"/>
              <w:left w:val="nil"/>
              <w:bottom w:val="single" w:color="auto" w:sz="4" w:space="0"/>
              <w:right w:val="single" w:color="auto" w:sz="4" w:space="0"/>
            </w:tcBorders>
            <w:noWrap/>
            <w:vAlign w:val="center"/>
          </w:tcPr>
          <w:p w14:paraId="1A8C9B15">
            <w:pPr>
              <w:widowControl/>
              <w:adjustRightInd/>
              <w:spacing w:line="240" w:lineRule="auto"/>
              <w:textAlignment w:val="auto"/>
              <w:rPr>
                <w:rFonts w:ascii="Arial" w:hAnsi="Arial" w:cs="Arial"/>
                <w:snapToGrid w:val="0"/>
                <w:sz w:val="16"/>
              </w:rPr>
            </w:pPr>
            <w:r>
              <w:rPr>
                <w:rFonts w:ascii="Arial" w:hAnsi="Arial" w:cs="Arial"/>
                <w:snapToGrid w:val="0"/>
                <w:sz w:val="16"/>
              </w:rPr>
              <w:t>成新度（%）</w:t>
            </w:r>
          </w:p>
        </w:tc>
        <w:tc>
          <w:tcPr>
            <w:tcW w:w="537" w:type="pct"/>
            <w:tcBorders>
              <w:top w:val="single" w:color="auto" w:sz="4" w:space="0"/>
              <w:left w:val="nil"/>
              <w:bottom w:val="single" w:color="auto" w:sz="4" w:space="0"/>
              <w:right w:val="single" w:color="auto" w:sz="4" w:space="0"/>
            </w:tcBorders>
            <w:noWrap/>
            <w:vAlign w:val="center"/>
          </w:tcPr>
          <w:p w14:paraId="09B886DD">
            <w:pPr>
              <w:widowControl/>
              <w:adjustRightInd/>
              <w:spacing w:line="240" w:lineRule="auto"/>
              <w:jc w:val="center"/>
              <w:textAlignment w:val="auto"/>
              <w:rPr>
                <w:rFonts w:ascii="Arial" w:hAnsi="Arial" w:cs="Arial"/>
                <w:snapToGrid w:val="0"/>
                <w:sz w:val="16"/>
              </w:rPr>
            </w:pPr>
            <w:r>
              <w:rPr>
                <w:rFonts w:ascii="Arial" w:hAnsi="Arial" w:cs="Arial"/>
                <w:snapToGrid w:val="0"/>
                <w:sz w:val="16"/>
              </w:rPr>
              <w:t>100.0%</w:t>
            </w:r>
          </w:p>
        </w:tc>
      </w:tr>
      <w:tr w14:paraId="671E3FC9">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07D9B459">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single" w:color="auto" w:sz="4" w:space="0"/>
              <w:left w:val="nil"/>
              <w:bottom w:val="single" w:color="auto" w:sz="4" w:space="0"/>
              <w:right w:val="single" w:color="auto" w:sz="4" w:space="0"/>
            </w:tcBorders>
            <w:noWrap/>
            <w:vAlign w:val="center"/>
          </w:tcPr>
          <w:p w14:paraId="024B252D">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p>
        </w:tc>
        <w:tc>
          <w:tcPr>
            <w:tcW w:w="510" w:type="pct"/>
            <w:tcBorders>
              <w:top w:val="single" w:color="auto" w:sz="4" w:space="0"/>
              <w:left w:val="nil"/>
              <w:bottom w:val="single" w:color="auto" w:sz="4" w:space="0"/>
              <w:right w:val="single" w:color="auto" w:sz="4" w:space="0"/>
            </w:tcBorders>
            <w:noWrap/>
            <w:vAlign w:val="center"/>
          </w:tcPr>
          <w:p w14:paraId="08752F87">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12844</w:t>
            </w:r>
          </w:p>
        </w:tc>
        <w:tc>
          <w:tcPr>
            <w:tcW w:w="3097" w:type="pct"/>
            <w:gridSpan w:val="3"/>
            <w:tcBorders>
              <w:top w:val="single" w:color="auto" w:sz="4" w:space="0"/>
              <w:left w:val="single" w:color="auto" w:sz="4" w:space="0"/>
              <w:bottom w:val="single" w:color="auto" w:sz="4" w:space="0"/>
              <w:right w:val="single" w:color="auto" w:sz="4" w:space="0"/>
            </w:tcBorders>
            <w:vAlign w:val="center"/>
          </w:tcPr>
          <w:p w14:paraId="29A0E1D6">
            <w:pPr>
              <w:widowControl/>
              <w:adjustRightInd/>
              <w:spacing w:line="240" w:lineRule="auto"/>
              <w:jc w:val="center"/>
              <w:textAlignment w:val="auto"/>
              <w:rPr>
                <w:rFonts w:hint="eastAsia" w:ascii="Arial" w:hAnsi="Arial" w:eastAsia="宋体" w:cs="Arial"/>
                <w:snapToGrid w:val="0"/>
                <w:sz w:val="16"/>
                <w:lang w:eastAsia="zh-CN"/>
              </w:rPr>
            </w:pPr>
            <w:r>
              <w:rPr>
                <w:rFonts w:hint="eastAsia" w:ascii="Arial" w:hAnsi="Arial" w:cs="Arial"/>
                <w:snapToGrid w:val="0"/>
                <w:sz w:val="16"/>
                <w:lang w:val="en-US" w:eastAsia="zh-CN"/>
              </w:rPr>
              <w:t>-</w:t>
            </w:r>
          </w:p>
        </w:tc>
      </w:tr>
      <w:tr w14:paraId="7D49F0FA">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20296DDA">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1AC02A50">
            <w:pPr>
              <w:widowControl/>
              <w:adjustRightInd/>
              <w:spacing w:line="240" w:lineRule="auto"/>
              <w:textAlignment w:val="auto"/>
              <w:rPr>
                <w:rFonts w:ascii="Arial" w:hAnsi="Arial" w:cs="Arial"/>
                <w:snapToGrid w:val="0"/>
                <w:sz w:val="16"/>
              </w:rPr>
            </w:pPr>
            <w:r>
              <w:rPr>
                <w:rFonts w:ascii="Arial" w:hAnsi="Arial" w:cs="Arial"/>
                <w:snapToGrid w:val="0"/>
                <w:sz w:val="16"/>
              </w:rPr>
              <w:t>勘察设计和前期工程费</w:t>
            </w:r>
          </w:p>
        </w:tc>
        <w:tc>
          <w:tcPr>
            <w:tcW w:w="510" w:type="pct"/>
            <w:tcBorders>
              <w:top w:val="nil"/>
              <w:left w:val="nil"/>
              <w:bottom w:val="single" w:color="auto" w:sz="4" w:space="0"/>
              <w:right w:val="single" w:color="auto" w:sz="4" w:space="0"/>
            </w:tcBorders>
            <w:noWrap/>
            <w:vAlign w:val="center"/>
          </w:tcPr>
          <w:p w14:paraId="2072270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642</w:t>
            </w:r>
          </w:p>
        </w:tc>
        <w:tc>
          <w:tcPr>
            <w:tcW w:w="1754" w:type="pct"/>
            <w:tcBorders>
              <w:top w:val="single" w:color="auto" w:sz="4" w:space="0"/>
              <w:left w:val="nil"/>
              <w:bottom w:val="single" w:color="auto" w:sz="4" w:space="0"/>
              <w:right w:val="single" w:color="auto" w:sz="4" w:space="0"/>
            </w:tcBorders>
            <w:noWrap/>
            <w:vAlign w:val="center"/>
          </w:tcPr>
          <w:p w14:paraId="34DD2483">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05" w:type="pct"/>
            <w:tcBorders>
              <w:top w:val="single" w:color="auto" w:sz="4" w:space="0"/>
              <w:left w:val="nil"/>
              <w:bottom w:val="single" w:color="auto" w:sz="4" w:space="0"/>
              <w:right w:val="single" w:color="auto" w:sz="4" w:space="0"/>
            </w:tcBorders>
            <w:noWrap/>
            <w:vAlign w:val="center"/>
          </w:tcPr>
          <w:p w14:paraId="6CDEF4A3">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single" w:color="auto" w:sz="4" w:space="0"/>
              <w:left w:val="nil"/>
              <w:bottom w:val="single" w:color="auto" w:sz="4" w:space="0"/>
              <w:right w:val="single" w:color="auto" w:sz="8" w:space="0"/>
            </w:tcBorders>
            <w:noWrap/>
            <w:vAlign w:val="center"/>
          </w:tcPr>
          <w:p w14:paraId="6138D3EC">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0CF6FA89">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4A1EC6B4">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single" w:color="auto" w:sz="4" w:space="0"/>
              <w:right w:val="single" w:color="auto" w:sz="4" w:space="0"/>
            </w:tcBorders>
            <w:noWrap/>
            <w:vAlign w:val="center"/>
          </w:tcPr>
          <w:p w14:paraId="13DA5036">
            <w:pPr>
              <w:widowControl/>
              <w:adjustRightInd/>
              <w:spacing w:line="240" w:lineRule="auto"/>
              <w:textAlignment w:val="auto"/>
              <w:rPr>
                <w:rFonts w:ascii="Arial" w:hAnsi="Arial" w:cs="Arial"/>
                <w:snapToGrid w:val="0"/>
                <w:sz w:val="16"/>
              </w:rPr>
            </w:pPr>
            <w:r>
              <w:rPr>
                <w:rFonts w:ascii="Arial" w:hAnsi="Arial" w:cs="Arial"/>
                <w:snapToGrid w:val="0"/>
                <w:sz w:val="16"/>
              </w:rPr>
              <w:t>公共配套设施费用</w:t>
            </w:r>
          </w:p>
        </w:tc>
        <w:tc>
          <w:tcPr>
            <w:tcW w:w="510" w:type="pct"/>
            <w:tcBorders>
              <w:top w:val="nil"/>
              <w:left w:val="nil"/>
              <w:bottom w:val="single" w:color="auto" w:sz="4" w:space="0"/>
              <w:right w:val="single" w:color="auto" w:sz="4" w:space="0"/>
            </w:tcBorders>
            <w:noWrap/>
            <w:vAlign w:val="center"/>
          </w:tcPr>
          <w:p w14:paraId="7605278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623</w:t>
            </w:r>
          </w:p>
        </w:tc>
        <w:tc>
          <w:tcPr>
            <w:tcW w:w="1754" w:type="pct"/>
            <w:tcBorders>
              <w:top w:val="nil"/>
              <w:left w:val="nil"/>
              <w:bottom w:val="single" w:color="auto" w:sz="4" w:space="0"/>
              <w:right w:val="single" w:color="auto" w:sz="4" w:space="0"/>
            </w:tcBorders>
            <w:noWrap/>
            <w:vAlign w:val="center"/>
          </w:tcPr>
          <w:p w14:paraId="696C4533">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05" w:type="pct"/>
            <w:tcBorders>
              <w:top w:val="nil"/>
              <w:left w:val="nil"/>
              <w:bottom w:val="single" w:color="auto" w:sz="4" w:space="0"/>
              <w:right w:val="single" w:color="auto" w:sz="4" w:space="0"/>
            </w:tcBorders>
            <w:noWrap/>
            <w:vAlign w:val="center"/>
          </w:tcPr>
          <w:p w14:paraId="2924DB6D">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04802692">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4D363B17">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5B2946A3">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25" w:type="pct"/>
            <w:tcBorders>
              <w:top w:val="nil"/>
              <w:left w:val="nil"/>
              <w:bottom w:val="single" w:color="auto" w:sz="4" w:space="0"/>
              <w:right w:val="single" w:color="auto" w:sz="4" w:space="0"/>
            </w:tcBorders>
            <w:noWrap/>
            <w:vAlign w:val="center"/>
          </w:tcPr>
          <w:p w14:paraId="2020F741">
            <w:pPr>
              <w:widowControl/>
              <w:adjustRightInd/>
              <w:spacing w:line="240" w:lineRule="auto"/>
              <w:textAlignment w:val="auto"/>
              <w:rPr>
                <w:rFonts w:ascii="Arial" w:hAnsi="Arial" w:cs="Arial"/>
                <w:snapToGrid w:val="0"/>
                <w:sz w:val="16"/>
              </w:rPr>
            </w:pPr>
            <w:r>
              <w:rPr>
                <w:rFonts w:ascii="Arial" w:hAnsi="Arial" w:cs="Arial"/>
                <w:snapToGrid w:val="0"/>
                <w:sz w:val="16"/>
              </w:rPr>
              <w:t>基础设施建设费</w:t>
            </w:r>
          </w:p>
        </w:tc>
        <w:tc>
          <w:tcPr>
            <w:tcW w:w="510" w:type="pct"/>
            <w:tcBorders>
              <w:top w:val="nil"/>
              <w:left w:val="nil"/>
              <w:bottom w:val="single" w:color="auto" w:sz="4" w:space="0"/>
              <w:right w:val="single" w:color="auto" w:sz="4" w:space="0"/>
            </w:tcBorders>
            <w:noWrap/>
            <w:vAlign w:val="center"/>
          </w:tcPr>
          <w:p w14:paraId="35CE234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647</w:t>
            </w:r>
          </w:p>
        </w:tc>
        <w:tc>
          <w:tcPr>
            <w:tcW w:w="1754" w:type="pct"/>
            <w:tcBorders>
              <w:top w:val="nil"/>
              <w:left w:val="nil"/>
              <w:bottom w:val="single" w:color="auto" w:sz="4" w:space="0"/>
              <w:right w:val="single" w:color="auto" w:sz="4" w:space="0"/>
            </w:tcBorders>
            <w:noWrap/>
            <w:vAlign w:val="center"/>
          </w:tcPr>
          <w:p w14:paraId="14B6E1E4">
            <w:pPr>
              <w:widowControl/>
              <w:adjustRightInd/>
              <w:spacing w:line="240" w:lineRule="auto"/>
              <w:textAlignment w:val="auto"/>
              <w:rPr>
                <w:rFonts w:ascii="Arial" w:hAnsi="Arial" w:cs="Arial"/>
                <w:snapToGrid w:val="0"/>
                <w:sz w:val="16"/>
              </w:rPr>
            </w:pPr>
            <w:r>
              <w:rPr>
                <w:rFonts w:ascii="Arial" w:hAnsi="Arial" w:cs="Arial"/>
                <w:snapToGrid w:val="0"/>
                <w:sz w:val="16"/>
              </w:rPr>
              <w:t>建筑面积×取费标准</w:t>
            </w:r>
          </w:p>
        </w:tc>
        <w:tc>
          <w:tcPr>
            <w:tcW w:w="805" w:type="pct"/>
            <w:tcBorders>
              <w:top w:val="nil"/>
              <w:left w:val="nil"/>
              <w:bottom w:val="single" w:color="auto" w:sz="4" w:space="0"/>
              <w:right w:val="single" w:color="auto" w:sz="4" w:space="0"/>
            </w:tcBorders>
            <w:noWrap/>
            <w:vAlign w:val="center"/>
          </w:tcPr>
          <w:p w14:paraId="6C4AEF63">
            <w:pPr>
              <w:widowControl/>
              <w:adjustRightInd/>
              <w:spacing w:line="240" w:lineRule="auto"/>
              <w:textAlignment w:val="auto"/>
              <w:rPr>
                <w:rFonts w:ascii="Arial" w:hAnsi="Arial" w:cs="Arial"/>
                <w:snapToGrid w:val="0"/>
                <w:sz w:val="16"/>
              </w:rPr>
            </w:pPr>
            <w:r>
              <w:rPr>
                <w:rFonts w:ascii="Arial" w:hAnsi="Arial" w:cs="Arial"/>
                <w:snapToGrid w:val="0"/>
                <w:sz w:val="16"/>
              </w:rPr>
              <w:t>市政费用（元/㎡）</w:t>
            </w:r>
          </w:p>
        </w:tc>
        <w:tc>
          <w:tcPr>
            <w:tcW w:w="537" w:type="pct"/>
            <w:tcBorders>
              <w:top w:val="nil"/>
              <w:left w:val="nil"/>
              <w:bottom w:val="single" w:color="auto" w:sz="4" w:space="0"/>
              <w:right w:val="single" w:color="auto" w:sz="8" w:space="0"/>
            </w:tcBorders>
            <w:noWrap/>
            <w:vAlign w:val="center"/>
          </w:tcPr>
          <w:p w14:paraId="6DFBE180">
            <w:pPr>
              <w:widowControl/>
              <w:adjustRightInd/>
              <w:spacing w:line="240" w:lineRule="auto"/>
              <w:jc w:val="center"/>
              <w:textAlignment w:val="auto"/>
              <w:rPr>
                <w:rFonts w:ascii="Arial" w:hAnsi="Arial" w:cs="Arial"/>
                <w:snapToGrid w:val="0"/>
                <w:sz w:val="16"/>
              </w:rPr>
            </w:pPr>
            <w:r>
              <w:rPr>
                <w:rFonts w:ascii="Arial" w:hAnsi="Arial" w:cs="Arial"/>
                <w:snapToGrid w:val="0"/>
                <w:sz w:val="16"/>
              </w:rPr>
              <w:t>200</w:t>
            </w:r>
          </w:p>
        </w:tc>
      </w:tr>
      <w:tr w14:paraId="0EFF022D">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3ED8FE3D">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25" w:type="pct"/>
            <w:tcBorders>
              <w:top w:val="nil"/>
              <w:left w:val="nil"/>
              <w:bottom w:val="single" w:color="auto" w:sz="4" w:space="0"/>
              <w:right w:val="single" w:color="auto" w:sz="4" w:space="0"/>
            </w:tcBorders>
            <w:noWrap/>
            <w:vAlign w:val="center"/>
          </w:tcPr>
          <w:p w14:paraId="4C803494">
            <w:pPr>
              <w:widowControl/>
              <w:adjustRightInd/>
              <w:spacing w:line="240" w:lineRule="auto"/>
              <w:textAlignment w:val="auto"/>
              <w:rPr>
                <w:rFonts w:ascii="Arial" w:hAnsi="Arial" w:cs="Arial"/>
                <w:snapToGrid w:val="0"/>
                <w:sz w:val="16"/>
              </w:rPr>
            </w:pPr>
            <w:r>
              <w:rPr>
                <w:rFonts w:ascii="Arial" w:hAnsi="Arial" w:cs="Arial"/>
                <w:snapToGrid w:val="0"/>
                <w:sz w:val="16"/>
              </w:rPr>
              <w:t>相关税费</w:t>
            </w:r>
          </w:p>
        </w:tc>
        <w:tc>
          <w:tcPr>
            <w:tcW w:w="510" w:type="pct"/>
            <w:tcBorders>
              <w:top w:val="nil"/>
              <w:left w:val="nil"/>
              <w:bottom w:val="single" w:color="auto" w:sz="4" w:space="0"/>
              <w:right w:val="single" w:color="auto" w:sz="4" w:space="0"/>
            </w:tcBorders>
            <w:noWrap/>
            <w:vAlign w:val="center"/>
          </w:tcPr>
          <w:p w14:paraId="681E8788">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257</w:t>
            </w:r>
          </w:p>
        </w:tc>
        <w:tc>
          <w:tcPr>
            <w:tcW w:w="1754" w:type="pct"/>
            <w:tcBorders>
              <w:top w:val="nil"/>
              <w:left w:val="nil"/>
              <w:bottom w:val="single" w:color="auto" w:sz="4" w:space="0"/>
              <w:right w:val="single" w:color="auto" w:sz="4" w:space="0"/>
            </w:tcBorders>
            <w:noWrap/>
            <w:vAlign w:val="center"/>
          </w:tcPr>
          <w:p w14:paraId="14468352">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05" w:type="pct"/>
            <w:tcBorders>
              <w:top w:val="nil"/>
              <w:left w:val="nil"/>
              <w:bottom w:val="single" w:color="auto" w:sz="4" w:space="0"/>
              <w:right w:val="single" w:color="auto" w:sz="4" w:space="0"/>
            </w:tcBorders>
            <w:noWrap/>
            <w:vAlign w:val="center"/>
          </w:tcPr>
          <w:p w14:paraId="268A6B2E">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1884232F">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2.0</w:t>
            </w:r>
            <w:r>
              <w:rPr>
                <w:rFonts w:ascii="Arial" w:hAnsi="Arial" w:cs="Arial"/>
                <w:snapToGrid w:val="0"/>
                <w:sz w:val="16"/>
              </w:rPr>
              <w:t>%</w:t>
            </w:r>
          </w:p>
        </w:tc>
      </w:tr>
      <w:tr w14:paraId="328C6A2B">
        <w:tblPrEx>
          <w:tblCellMar>
            <w:top w:w="0" w:type="dxa"/>
            <w:left w:w="108" w:type="dxa"/>
            <w:bottom w:w="0" w:type="dxa"/>
            <w:right w:w="108" w:type="dxa"/>
          </w:tblCellMar>
        </w:tblPrEx>
        <w:trPr>
          <w:trHeight w:val="324"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4A8CB080">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single" w:color="auto" w:sz="4" w:space="0"/>
              <w:right w:val="single" w:color="auto" w:sz="4" w:space="0"/>
            </w:tcBorders>
            <w:noWrap/>
            <w:vAlign w:val="center"/>
          </w:tcPr>
          <w:p w14:paraId="3D144226">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p>
        </w:tc>
        <w:tc>
          <w:tcPr>
            <w:tcW w:w="510" w:type="pct"/>
            <w:tcBorders>
              <w:top w:val="nil"/>
              <w:left w:val="nil"/>
              <w:bottom w:val="single" w:color="auto" w:sz="4" w:space="0"/>
              <w:right w:val="single" w:color="auto" w:sz="4" w:space="0"/>
            </w:tcBorders>
            <w:noWrap/>
            <w:vAlign w:val="center"/>
          </w:tcPr>
          <w:p w14:paraId="05BE1B3D">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15013</w:t>
            </w:r>
          </w:p>
        </w:tc>
        <w:tc>
          <w:tcPr>
            <w:tcW w:w="2560" w:type="pct"/>
            <w:gridSpan w:val="2"/>
            <w:tcBorders>
              <w:top w:val="single" w:color="auto" w:sz="4" w:space="0"/>
              <w:left w:val="single" w:color="auto" w:sz="4" w:space="0"/>
              <w:bottom w:val="single" w:color="auto" w:sz="4" w:space="0"/>
              <w:right w:val="nil"/>
            </w:tcBorders>
            <w:noWrap/>
            <w:vAlign w:val="center"/>
          </w:tcPr>
          <w:p w14:paraId="708E8779">
            <w:pPr>
              <w:widowControl/>
              <w:adjustRightInd/>
              <w:spacing w:line="240" w:lineRule="auto"/>
              <w:textAlignment w:val="auto"/>
              <w:rPr>
                <w:rFonts w:ascii="Arial" w:hAnsi="Arial" w:cs="Arial"/>
                <w:snapToGrid w:val="0"/>
                <w:sz w:val="16"/>
              </w:rPr>
            </w:pPr>
            <w:r>
              <w:rPr>
                <w:rFonts w:ascii="Arial" w:hAnsi="Arial" w:cs="Arial"/>
                <w:snapToGrid w:val="0"/>
                <w:sz w:val="16"/>
              </w:rPr>
              <w:t>建安费用+公共配套设施费用+基础设施建设费+相关税费</w:t>
            </w:r>
          </w:p>
        </w:tc>
        <w:tc>
          <w:tcPr>
            <w:tcW w:w="537" w:type="pct"/>
            <w:tcBorders>
              <w:top w:val="nil"/>
              <w:left w:val="nil"/>
              <w:bottom w:val="single" w:color="auto" w:sz="4" w:space="0"/>
              <w:right w:val="single" w:color="auto" w:sz="8" w:space="0"/>
            </w:tcBorders>
            <w:noWrap/>
            <w:vAlign w:val="center"/>
          </w:tcPr>
          <w:p w14:paraId="7ECAFD84">
            <w:pPr>
              <w:widowControl/>
              <w:adjustRightInd/>
              <w:spacing w:line="240" w:lineRule="auto"/>
              <w:jc w:val="center"/>
              <w:textAlignment w:val="auto"/>
              <w:rPr>
                <w:rFonts w:ascii="Arial" w:hAnsi="Arial" w:cs="Arial"/>
                <w:snapToGrid w:val="0"/>
                <w:sz w:val="16"/>
              </w:rPr>
            </w:pPr>
          </w:p>
        </w:tc>
      </w:tr>
      <w:tr w14:paraId="0FD296D0">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4FB10B62">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44C2A1A7">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single" w:color="auto" w:sz="4" w:space="0"/>
              <w:right w:val="single" w:color="auto" w:sz="4" w:space="0"/>
            </w:tcBorders>
            <w:noWrap/>
            <w:vAlign w:val="center"/>
          </w:tcPr>
          <w:p w14:paraId="17220CA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300</w:t>
            </w:r>
          </w:p>
        </w:tc>
        <w:tc>
          <w:tcPr>
            <w:tcW w:w="1754" w:type="pct"/>
            <w:tcBorders>
              <w:top w:val="nil"/>
              <w:left w:val="nil"/>
              <w:bottom w:val="single" w:color="auto" w:sz="4" w:space="0"/>
              <w:right w:val="single" w:color="auto" w:sz="4" w:space="0"/>
            </w:tcBorders>
            <w:vAlign w:val="center"/>
          </w:tcPr>
          <w:p w14:paraId="195B78CD">
            <w:pPr>
              <w:widowControl/>
              <w:adjustRightInd/>
              <w:spacing w:line="240" w:lineRule="auto"/>
              <w:textAlignment w:val="auto"/>
              <w:rPr>
                <w:rFonts w:ascii="Arial" w:hAnsi="Arial" w:cs="Arial"/>
                <w:snapToGrid w:val="0"/>
                <w:sz w:val="16"/>
              </w:rPr>
            </w:pPr>
            <w:r>
              <w:rPr>
                <w:rFonts w:ascii="Arial" w:hAnsi="Arial" w:cs="Arial"/>
                <w:snapToGrid w:val="0"/>
                <w:sz w:val="16"/>
              </w:rPr>
              <w:t>建造成本×费率</w:t>
            </w:r>
          </w:p>
        </w:tc>
        <w:tc>
          <w:tcPr>
            <w:tcW w:w="805" w:type="pct"/>
            <w:tcBorders>
              <w:top w:val="nil"/>
              <w:left w:val="nil"/>
              <w:bottom w:val="single" w:color="auto" w:sz="4" w:space="0"/>
              <w:right w:val="single" w:color="auto" w:sz="4" w:space="0"/>
            </w:tcBorders>
            <w:noWrap/>
            <w:vAlign w:val="center"/>
          </w:tcPr>
          <w:p w14:paraId="12F6AD8B">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256DA5DA">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w:t>
            </w:r>
            <w:r>
              <w:rPr>
                <w:rFonts w:ascii="Arial" w:hAnsi="Arial" w:cs="Arial"/>
                <w:snapToGrid w:val="0"/>
                <w:sz w:val="16"/>
              </w:rPr>
              <w:t>.0%</w:t>
            </w:r>
          </w:p>
        </w:tc>
      </w:tr>
      <w:tr w14:paraId="28E6FE65">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0796618C">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single" w:color="auto" w:sz="4" w:space="0"/>
              <w:right w:val="single" w:color="auto" w:sz="4" w:space="0"/>
            </w:tcBorders>
            <w:noWrap/>
            <w:vAlign w:val="center"/>
          </w:tcPr>
          <w:p w14:paraId="1B9A4ED0">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p>
        </w:tc>
        <w:tc>
          <w:tcPr>
            <w:tcW w:w="510" w:type="pct"/>
            <w:tcBorders>
              <w:top w:val="nil"/>
              <w:left w:val="nil"/>
              <w:bottom w:val="single" w:color="auto" w:sz="4" w:space="0"/>
              <w:right w:val="single" w:color="auto" w:sz="4" w:space="0"/>
            </w:tcBorders>
            <w:noWrap/>
            <w:vAlign w:val="center"/>
          </w:tcPr>
          <w:p w14:paraId="0365914D">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c>
          <w:tcPr>
            <w:tcW w:w="1754" w:type="pct"/>
            <w:tcBorders>
              <w:top w:val="nil"/>
              <w:left w:val="nil"/>
              <w:bottom w:val="single" w:color="auto" w:sz="4" w:space="0"/>
              <w:right w:val="single" w:color="auto" w:sz="4" w:space="0"/>
            </w:tcBorders>
            <w:vAlign w:val="center"/>
          </w:tcPr>
          <w:p w14:paraId="66372A3F">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w:t>
            </w:r>
          </w:p>
        </w:tc>
        <w:tc>
          <w:tcPr>
            <w:tcW w:w="805" w:type="pct"/>
            <w:tcBorders>
              <w:top w:val="nil"/>
              <w:left w:val="nil"/>
              <w:bottom w:val="single" w:color="auto" w:sz="4" w:space="0"/>
              <w:right w:val="single" w:color="auto" w:sz="4" w:space="0"/>
            </w:tcBorders>
            <w:noWrap/>
            <w:vAlign w:val="center"/>
          </w:tcPr>
          <w:p w14:paraId="634D8808">
            <w:pPr>
              <w:widowControl/>
              <w:adjustRightInd/>
              <w:spacing w:line="240" w:lineRule="auto"/>
              <w:textAlignment w:val="auto"/>
              <w:rPr>
                <w:rFonts w:ascii="Arial" w:hAnsi="Arial" w:cs="Arial"/>
                <w:snapToGrid w:val="0"/>
                <w:sz w:val="16"/>
              </w:rPr>
            </w:pPr>
            <w:r>
              <w:rPr>
                <w:rFonts w:ascii="Arial" w:hAnsi="Arial" w:cs="Arial"/>
                <w:snapToGrid w:val="0"/>
                <w:sz w:val="16"/>
              </w:rPr>
              <w:t>销售费率（%）</w:t>
            </w:r>
          </w:p>
        </w:tc>
        <w:tc>
          <w:tcPr>
            <w:tcW w:w="537" w:type="pct"/>
            <w:tcBorders>
              <w:top w:val="nil"/>
              <w:left w:val="nil"/>
              <w:bottom w:val="single" w:color="auto" w:sz="4" w:space="0"/>
              <w:right w:val="single" w:color="auto" w:sz="8" w:space="0"/>
            </w:tcBorders>
            <w:noWrap/>
            <w:vAlign w:val="center"/>
          </w:tcPr>
          <w:p w14:paraId="0532C4AC">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w:t>
            </w:r>
            <w:r>
              <w:rPr>
                <w:rFonts w:ascii="Arial" w:hAnsi="Arial" w:cs="Arial"/>
                <w:snapToGrid w:val="0"/>
                <w:sz w:val="16"/>
              </w:rPr>
              <w:t>0%</w:t>
            </w:r>
          </w:p>
        </w:tc>
      </w:tr>
      <w:tr w14:paraId="51838B0E">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484E2EF7">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25" w:type="pct"/>
            <w:tcBorders>
              <w:top w:val="nil"/>
              <w:left w:val="nil"/>
              <w:bottom w:val="single" w:color="auto" w:sz="4" w:space="0"/>
              <w:right w:val="single" w:color="auto" w:sz="4" w:space="0"/>
            </w:tcBorders>
            <w:noWrap/>
            <w:vAlign w:val="center"/>
          </w:tcPr>
          <w:p w14:paraId="57E94106">
            <w:pPr>
              <w:widowControl/>
              <w:adjustRightInd/>
              <w:spacing w:line="240" w:lineRule="auto"/>
              <w:textAlignment w:val="auto"/>
              <w:rPr>
                <w:rFonts w:ascii="Arial" w:hAnsi="Arial" w:cs="Arial"/>
                <w:snapToGrid w:val="0"/>
                <w:sz w:val="16"/>
              </w:rPr>
            </w:pPr>
            <w:r>
              <w:rPr>
                <w:rFonts w:ascii="Arial" w:hAnsi="Arial" w:cs="Arial"/>
                <w:snapToGrid w:val="0"/>
                <w:sz w:val="16"/>
              </w:rPr>
              <w:t>贷款利息</w:t>
            </w:r>
          </w:p>
        </w:tc>
        <w:tc>
          <w:tcPr>
            <w:tcW w:w="510" w:type="pct"/>
            <w:tcBorders>
              <w:top w:val="nil"/>
              <w:left w:val="nil"/>
              <w:bottom w:val="single" w:color="auto" w:sz="4" w:space="0"/>
              <w:right w:val="single" w:color="auto" w:sz="4" w:space="0"/>
            </w:tcBorders>
            <w:noWrap/>
            <w:vAlign w:val="center"/>
          </w:tcPr>
          <w:p w14:paraId="23D4CC57">
            <w:pPr>
              <w:widowControl/>
              <w:adjustRightInd/>
              <w:spacing w:line="240" w:lineRule="auto"/>
              <w:jc w:val="center"/>
              <w:textAlignment w:val="auto"/>
              <w:rPr>
                <w:rFonts w:ascii="Arial" w:hAnsi="Arial" w:cs="Arial"/>
                <w:snapToGrid w:val="0"/>
                <w:sz w:val="16"/>
              </w:rPr>
            </w:pPr>
          </w:p>
        </w:tc>
        <w:tc>
          <w:tcPr>
            <w:tcW w:w="2560" w:type="pct"/>
            <w:gridSpan w:val="2"/>
            <w:tcBorders>
              <w:top w:val="single" w:color="auto" w:sz="4" w:space="0"/>
              <w:left w:val="single" w:color="auto" w:sz="4" w:space="0"/>
              <w:bottom w:val="single" w:color="auto" w:sz="4" w:space="0"/>
              <w:right w:val="nil"/>
            </w:tcBorders>
            <w:noWrap/>
            <w:vAlign w:val="center"/>
          </w:tcPr>
          <w:p w14:paraId="61DAE828">
            <w:pPr>
              <w:widowControl/>
              <w:adjustRightInd/>
              <w:spacing w:line="240" w:lineRule="auto"/>
              <w:textAlignment w:val="auto"/>
              <w:rPr>
                <w:rFonts w:ascii="Arial" w:hAnsi="Arial" w:cs="Arial"/>
                <w:snapToGrid w:val="0"/>
                <w:sz w:val="16"/>
              </w:rPr>
            </w:pPr>
            <w:r>
              <w:rPr>
                <w:rFonts w:ascii="Arial" w:hAnsi="Arial" w:cs="Arial"/>
                <w:snapToGrid w:val="0"/>
                <w:sz w:val="16"/>
              </w:rPr>
              <w:t>复利计息。建造成本、管理费用、销售费用产生的利息。</w:t>
            </w:r>
          </w:p>
        </w:tc>
        <w:tc>
          <w:tcPr>
            <w:tcW w:w="537" w:type="pct"/>
            <w:tcBorders>
              <w:top w:val="nil"/>
              <w:left w:val="nil"/>
              <w:bottom w:val="single" w:color="auto" w:sz="4" w:space="0"/>
              <w:right w:val="single" w:color="auto" w:sz="8" w:space="0"/>
            </w:tcBorders>
            <w:noWrap/>
            <w:vAlign w:val="center"/>
          </w:tcPr>
          <w:p w14:paraId="76EFC5F9">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6E7B2A73">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4AE65BF5">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single" w:color="auto" w:sz="4" w:space="0"/>
              <w:right w:val="single" w:color="auto" w:sz="4" w:space="0"/>
            </w:tcBorders>
            <w:noWrap/>
            <w:vAlign w:val="center"/>
          </w:tcPr>
          <w:p w14:paraId="5A421235">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（1）及（2）项产生的利息</w:t>
            </w:r>
          </w:p>
        </w:tc>
        <w:tc>
          <w:tcPr>
            <w:tcW w:w="510" w:type="pct"/>
            <w:tcBorders>
              <w:top w:val="nil"/>
              <w:left w:val="nil"/>
              <w:bottom w:val="single" w:color="auto" w:sz="4" w:space="0"/>
              <w:right w:val="single" w:color="auto" w:sz="4" w:space="0"/>
            </w:tcBorders>
            <w:noWrap/>
            <w:vAlign w:val="center"/>
          </w:tcPr>
          <w:p w14:paraId="53AA26A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488</w:t>
            </w:r>
          </w:p>
        </w:tc>
        <w:tc>
          <w:tcPr>
            <w:tcW w:w="1754" w:type="pct"/>
            <w:tcBorders>
              <w:top w:val="nil"/>
              <w:left w:val="nil"/>
              <w:bottom w:val="single" w:color="auto" w:sz="4" w:space="0"/>
              <w:right w:val="single" w:color="auto" w:sz="4" w:space="0"/>
            </w:tcBorders>
            <w:noWrap/>
            <w:vAlign w:val="center"/>
          </w:tcPr>
          <w:p w14:paraId="244A608B">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(建造成本+管理费用)×((1+利率)^(建设周期÷2)-1)</w:t>
            </w:r>
          </w:p>
        </w:tc>
        <w:tc>
          <w:tcPr>
            <w:tcW w:w="805" w:type="pct"/>
            <w:tcBorders>
              <w:top w:val="nil"/>
              <w:left w:val="nil"/>
              <w:bottom w:val="single" w:color="auto" w:sz="4" w:space="0"/>
              <w:right w:val="single" w:color="auto" w:sz="4" w:space="0"/>
            </w:tcBorders>
            <w:noWrap/>
            <w:vAlign w:val="center"/>
          </w:tcPr>
          <w:p w14:paraId="1AD20138">
            <w:pPr>
              <w:widowControl/>
              <w:adjustRightInd/>
              <w:spacing w:line="240" w:lineRule="auto"/>
              <w:textAlignment w:val="auto"/>
              <w:rPr>
                <w:rFonts w:ascii="Arial" w:hAnsi="Arial" w:cs="Arial"/>
                <w:snapToGrid w:val="0"/>
                <w:sz w:val="16"/>
              </w:rPr>
            </w:pPr>
            <w:r>
              <w:rPr>
                <w:rFonts w:ascii="Arial" w:hAnsi="Arial" w:cs="Arial"/>
                <w:snapToGrid w:val="0"/>
                <w:sz w:val="16"/>
              </w:rPr>
              <w:t>建设周期（年）</w:t>
            </w:r>
          </w:p>
        </w:tc>
        <w:tc>
          <w:tcPr>
            <w:tcW w:w="537" w:type="pct"/>
            <w:tcBorders>
              <w:top w:val="nil"/>
              <w:left w:val="nil"/>
              <w:bottom w:val="single" w:color="auto" w:sz="4" w:space="0"/>
              <w:right w:val="single" w:color="auto" w:sz="8" w:space="0"/>
            </w:tcBorders>
            <w:noWrap/>
            <w:vAlign w:val="center"/>
          </w:tcPr>
          <w:p w14:paraId="193FCBD7">
            <w:pPr>
              <w:widowControl/>
              <w:adjustRightInd/>
              <w:spacing w:line="240" w:lineRule="auto"/>
              <w:jc w:val="center"/>
              <w:textAlignment w:val="auto"/>
              <w:rPr>
                <w:rFonts w:ascii="Arial" w:hAnsi="Arial" w:cs="Arial"/>
                <w:snapToGrid w:val="0"/>
                <w:sz w:val="16"/>
              </w:rPr>
            </w:pPr>
            <w:r>
              <w:rPr>
                <w:rFonts w:ascii="Arial" w:hAnsi="Arial" w:cs="Arial"/>
                <w:snapToGrid w:val="0"/>
                <w:sz w:val="16"/>
              </w:rPr>
              <w:t>2</w:t>
            </w:r>
          </w:p>
        </w:tc>
      </w:tr>
      <w:tr w14:paraId="15FBFB7F">
        <w:tblPrEx>
          <w:tblCellMar>
            <w:top w:w="0" w:type="dxa"/>
            <w:left w:w="108" w:type="dxa"/>
            <w:bottom w:w="0" w:type="dxa"/>
            <w:right w:w="108" w:type="dxa"/>
          </w:tblCellMar>
        </w:tblPrEx>
        <w:trPr>
          <w:trHeight w:val="312"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139719A3">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15997805">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销售费用产生的利息</w:t>
            </w:r>
          </w:p>
        </w:tc>
        <w:tc>
          <w:tcPr>
            <w:tcW w:w="510" w:type="pct"/>
            <w:tcBorders>
              <w:top w:val="nil"/>
              <w:left w:val="nil"/>
              <w:bottom w:val="single" w:color="auto" w:sz="4" w:space="0"/>
              <w:right w:val="single" w:color="auto" w:sz="4" w:space="0"/>
            </w:tcBorders>
            <w:noWrap/>
            <w:vAlign w:val="center"/>
          </w:tcPr>
          <w:p w14:paraId="07E260F5">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0.001</w:t>
            </w:r>
          </w:p>
        </w:tc>
        <w:tc>
          <w:tcPr>
            <w:tcW w:w="1754" w:type="pct"/>
            <w:tcBorders>
              <w:top w:val="nil"/>
              <w:left w:val="nil"/>
              <w:bottom w:val="single" w:color="auto" w:sz="4" w:space="0"/>
              <w:right w:val="single" w:color="auto" w:sz="4" w:space="0"/>
            </w:tcBorders>
            <w:noWrap/>
            <w:vAlign w:val="center"/>
          </w:tcPr>
          <w:p w14:paraId="39DE7898">
            <w:pPr>
              <w:widowControl/>
              <w:adjustRightInd/>
              <w:spacing w:line="240" w:lineRule="auto"/>
              <w:textAlignment w:val="auto"/>
              <w:rPr>
                <w:rFonts w:ascii="Arial" w:hAnsi="Arial" w:cs="Arial"/>
                <w:snapToGrid w:val="0"/>
                <w:sz w:val="16"/>
              </w:rPr>
            </w:pPr>
            <w:r>
              <w:rPr>
                <w:rFonts w:ascii="Arial" w:hAnsi="Arial" w:cs="Arial"/>
                <w:snapToGrid w:val="0"/>
                <w:sz w:val="16"/>
              </w:rPr>
              <w:t>销售费用×((1+利率)^(建设周期÷2)-1)</w:t>
            </w:r>
          </w:p>
        </w:tc>
        <w:tc>
          <w:tcPr>
            <w:tcW w:w="805" w:type="pct"/>
            <w:tcBorders>
              <w:top w:val="nil"/>
              <w:left w:val="nil"/>
              <w:bottom w:val="single" w:color="auto" w:sz="4" w:space="0"/>
              <w:right w:val="single" w:color="auto" w:sz="4" w:space="0"/>
            </w:tcBorders>
            <w:noWrap/>
            <w:vAlign w:val="center"/>
          </w:tcPr>
          <w:p w14:paraId="1F3E878A">
            <w:pPr>
              <w:widowControl/>
              <w:adjustRightInd/>
              <w:spacing w:line="240" w:lineRule="auto"/>
              <w:textAlignment w:val="auto"/>
              <w:rPr>
                <w:rFonts w:ascii="Arial" w:hAnsi="Arial" w:cs="Arial"/>
                <w:snapToGrid w:val="0"/>
                <w:sz w:val="16"/>
              </w:rPr>
            </w:pPr>
            <w:r>
              <w:rPr>
                <w:rFonts w:ascii="Arial" w:hAnsi="Arial" w:cs="Arial"/>
                <w:snapToGrid w:val="0"/>
                <w:sz w:val="16"/>
              </w:rPr>
              <w:t>利息（%）</w:t>
            </w:r>
          </w:p>
        </w:tc>
        <w:tc>
          <w:tcPr>
            <w:tcW w:w="537" w:type="pct"/>
            <w:tcBorders>
              <w:top w:val="nil"/>
              <w:left w:val="nil"/>
              <w:bottom w:val="single" w:color="auto" w:sz="4" w:space="0"/>
              <w:right w:val="single" w:color="auto" w:sz="8" w:space="0"/>
            </w:tcBorders>
            <w:noWrap/>
            <w:vAlign w:val="center"/>
          </w:tcPr>
          <w:p w14:paraId="6D292AF8">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3.19</w:t>
            </w:r>
            <w:r>
              <w:rPr>
                <w:rFonts w:ascii="Arial" w:hAnsi="Arial" w:cs="Arial"/>
                <w:snapToGrid w:val="0"/>
                <w:sz w:val="16"/>
              </w:rPr>
              <w:t>%</w:t>
            </w:r>
          </w:p>
        </w:tc>
      </w:tr>
      <w:tr w14:paraId="72059817">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75DD1F8D">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25" w:type="pct"/>
            <w:tcBorders>
              <w:top w:val="nil"/>
              <w:left w:val="nil"/>
              <w:bottom w:val="single" w:color="auto" w:sz="4" w:space="0"/>
              <w:right w:val="single" w:color="auto" w:sz="4" w:space="0"/>
            </w:tcBorders>
            <w:noWrap/>
            <w:vAlign w:val="center"/>
          </w:tcPr>
          <w:p w14:paraId="17FF8E6B">
            <w:pPr>
              <w:widowControl/>
              <w:adjustRightInd/>
              <w:spacing w:line="240" w:lineRule="auto"/>
              <w:textAlignment w:val="auto"/>
              <w:rPr>
                <w:rFonts w:ascii="Arial" w:hAnsi="Arial" w:cs="Arial"/>
                <w:snapToGrid w:val="0"/>
                <w:sz w:val="16"/>
              </w:rPr>
            </w:pPr>
            <w:r>
              <w:rPr>
                <w:rFonts w:ascii="Arial" w:hAnsi="Arial" w:cs="Arial"/>
                <w:snapToGrid w:val="0"/>
                <w:sz w:val="16"/>
              </w:rPr>
              <w:t>利润</w:t>
            </w:r>
          </w:p>
        </w:tc>
        <w:tc>
          <w:tcPr>
            <w:tcW w:w="510" w:type="pct"/>
            <w:tcBorders>
              <w:top w:val="nil"/>
              <w:left w:val="nil"/>
              <w:bottom w:val="single" w:color="auto" w:sz="4" w:space="0"/>
              <w:right w:val="single" w:color="auto" w:sz="4" w:space="0"/>
            </w:tcBorders>
            <w:noWrap/>
            <w:vAlign w:val="center"/>
          </w:tcPr>
          <w:p w14:paraId="2A7F964D">
            <w:pPr>
              <w:widowControl/>
              <w:adjustRightInd/>
              <w:spacing w:line="240" w:lineRule="auto"/>
              <w:jc w:val="center"/>
              <w:textAlignment w:val="auto"/>
              <w:rPr>
                <w:rFonts w:ascii="Arial" w:hAnsi="Arial" w:cs="Arial"/>
                <w:snapToGrid w:val="0"/>
                <w:sz w:val="16"/>
              </w:rPr>
            </w:pPr>
          </w:p>
        </w:tc>
        <w:tc>
          <w:tcPr>
            <w:tcW w:w="1754" w:type="pct"/>
            <w:tcBorders>
              <w:top w:val="nil"/>
              <w:left w:val="nil"/>
              <w:bottom w:val="single" w:color="auto" w:sz="4" w:space="0"/>
              <w:right w:val="nil"/>
            </w:tcBorders>
            <w:noWrap/>
            <w:vAlign w:val="center"/>
          </w:tcPr>
          <w:p w14:paraId="1CB68B8A">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（建造成本+管理费用+销售费用）×利润率</w:t>
            </w:r>
          </w:p>
        </w:tc>
        <w:tc>
          <w:tcPr>
            <w:tcW w:w="805" w:type="pct"/>
            <w:tcBorders>
              <w:top w:val="nil"/>
              <w:left w:val="nil"/>
              <w:bottom w:val="single" w:color="auto" w:sz="4" w:space="0"/>
              <w:right w:val="nil"/>
            </w:tcBorders>
            <w:noWrap/>
            <w:vAlign w:val="center"/>
          </w:tcPr>
          <w:p w14:paraId="74E0709C">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37" w:type="pct"/>
            <w:tcBorders>
              <w:top w:val="nil"/>
              <w:left w:val="nil"/>
              <w:bottom w:val="single" w:color="auto" w:sz="4" w:space="0"/>
              <w:right w:val="single" w:color="auto" w:sz="8" w:space="0"/>
            </w:tcBorders>
            <w:noWrap/>
            <w:vAlign w:val="center"/>
          </w:tcPr>
          <w:p w14:paraId="5F7CF85C">
            <w:pPr>
              <w:widowControl/>
              <w:adjustRightInd/>
              <w:spacing w:line="240" w:lineRule="auto"/>
              <w:jc w:val="center"/>
              <w:textAlignment w:val="auto"/>
              <w:rPr>
                <w:rFonts w:ascii="Arial" w:hAnsi="Arial" w:cs="Arial"/>
                <w:snapToGrid w:val="0"/>
                <w:sz w:val="16"/>
              </w:rPr>
            </w:pPr>
          </w:p>
        </w:tc>
      </w:tr>
      <w:tr w14:paraId="714982C3">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5823AD3C">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single" w:color="auto" w:sz="4" w:space="0"/>
              <w:right w:val="single" w:color="auto" w:sz="4" w:space="0"/>
            </w:tcBorders>
            <w:noWrap/>
            <w:vAlign w:val="center"/>
          </w:tcPr>
          <w:p w14:paraId="2F8BE3C8">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（1）及（2）项产生的利润</w:t>
            </w:r>
          </w:p>
        </w:tc>
        <w:tc>
          <w:tcPr>
            <w:tcW w:w="510" w:type="pct"/>
            <w:tcBorders>
              <w:top w:val="nil"/>
              <w:left w:val="nil"/>
              <w:bottom w:val="single" w:color="auto" w:sz="4" w:space="0"/>
              <w:right w:val="single" w:color="auto" w:sz="4" w:space="0"/>
            </w:tcBorders>
            <w:noWrap/>
            <w:vAlign w:val="center"/>
          </w:tcPr>
          <w:p w14:paraId="20A8C3D5">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459</w:t>
            </w:r>
          </w:p>
        </w:tc>
        <w:tc>
          <w:tcPr>
            <w:tcW w:w="1754" w:type="pct"/>
            <w:tcBorders>
              <w:top w:val="nil"/>
              <w:left w:val="nil"/>
              <w:bottom w:val="single" w:color="auto" w:sz="4" w:space="0"/>
              <w:right w:val="single" w:color="auto" w:sz="4" w:space="0"/>
            </w:tcBorders>
            <w:vAlign w:val="center"/>
          </w:tcPr>
          <w:p w14:paraId="1C9E3A13">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（建造成本+管理费用）×利润率</w:t>
            </w:r>
          </w:p>
        </w:tc>
        <w:tc>
          <w:tcPr>
            <w:tcW w:w="805" w:type="pct"/>
            <w:tcBorders>
              <w:top w:val="nil"/>
              <w:left w:val="nil"/>
              <w:bottom w:val="nil"/>
              <w:right w:val="single" w:color="auto" w:sz="4" w:space="0"/>
            </w:tcBorders>
            <w:noWrap/>
            <w:vAlign w:val="center"/>
          </w:tcPr>
          <w:p w14:paraId="5C1CF970">
            <w:pPr>
              <w:widowControl/>
              <w:adjustRightInd/>
              <w:spacing w:line="240" w:lineRule="auto"/>
              <w:textAlignment w:val="auto"/>
              <w:rPr>
                <w:rFonts w:ascii="Arial" w:hAnsi="Arial" w:cs="Arial"/>
                <w:snapToGrid w:val="0"/>
                <w:sz w:val="16"/>
              </w:rPr>
            </w:pPr>
            <w:r>
              <w:rPr>
                <w:rFonts w:ascii="Arial" w:hAnsi="Arial" w:cs="Arial"/>
                <w:snapToGrid w:val="0"/>
                <w:sz w:val="16"/>
              </w:rPr>
              <w:t>利润率（%）</w:t>
            </w:r>
          </w:p>
        </w:tc>
        <w:tc>
          <w:tcPr>
            <w:tcW w:w="537" w:type="pct"/>
            <w:tcBorders>
              <w:top w:val="nil"/>
              <w:left w:val="nil"/>
              <w:bottom w:val="single" w:color="auto" w:sz="4" w:space="0"/>
              <w:right w:val="single" w:color="auto" w:sz="8" w:space="0"/>
            </w:tcBorders>
            <w:noWrap/>
            <w:vAlign w:val="center"/>
          </w:tcPr>
          <w:p w14:paraId="2F55D6A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3.0</w:t>
            </w:r>
            <w:r>
              <w:rPr>
                <w:rFonts w:ascii="Arial" w:hAnsi="Arial" w:cs="Arial"/>
                <w:snapToGrid w:val="0"/>
                <w:sz w:val="16"/>
              </w:rPr>
              <w:t>%</w:t>
            </w:r>
          </w:p>
        </w:tc>
      </w:tr>
      <w:tr w14:paraId="082C2CDC">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65C88C30">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463658BC">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销售费用产生的利润</w:t>
            </w:r>
          </w:p>
        </w:tc>
        <w:tc>
          <w:tcPr>
            <w:tcW w:w="510" w:type="pct"/>
            <w:tcBorders>
              <w:top w:val="nil"/>
              <w:left w:val="nil"/>
              <w:bottom w:val="single" w:color="auto" w:sz="4" w:space="0"/>
              <w:right w:val="single" w:color="auto" w:sz="4" w:space="0"/>
            </w:tcBorders>
            <w:noWrap/>
            <w:vAlign w:val="center"/>
          </w:tcPr>
          <w:p w14:paraId="4FA589DD">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0.0009</w:t>
            </w:r>
          </w:p>
        </w:tc>
        <w:tc>
          <w:tcPr>
            <w:tcW w:w="1754" w:type="pct"/>
            <w:tcBorders>
              <w:top w:val="nil"/>
              <w:left w:val="nil"/>
              <w:bottom w:val="single" w:color="auto" w:sz="4" w:space="0"/>
              <w:right w:val="single" w:color="auto" w:sz="4" w:space="0"/>
            </w:tcBorders>
            <w:vAlign w:val="center"/>
          </w:tcPr>
          <w:p w14:paraId="25CAA716">
            <w:pPr>
              <w:widowControl/>
              <w:adjustRightInd/>
              <w:spacing w:line="240" w:lineRule="auto"/>
              <w:textAlignment w:val="auto"/>
              <w:rPr>
                <w:rFonts w:ascii="Arial" w:hAnsi="Arial" w:cs="Arial"/>
                <w:snapToGrid w:val="0"/>
                <w:sz w:val="16"/>
              </w:rPr>
            </w:pPr>
            <w:r>
              <w:rPr>
                <w:rFonts w:ascii="Arial" w:hAnsi="Arial" w:cs="Arial"/>
                <w:snapToGrid w:val="0"/>
                <w:sz w:val="16"/>
              </w:rPr>
              <w:t>销售费用×利润率</w:t>
            </w:r>
          </w:p>
        </w:tc>
        <w:tc>
          <w:tcPr>
            <w:tcW w:w="805" w:type="pct"/>
            <w:tcBorders>
              <w:top w:val="nil"/>
              <w:left w:val="nil"/>
              <w:bottom w:val="single" w:color="auto" w:sz="4" w:space="0"/>
              <w:right w:val="single" w:color="auto" w:sz="4" w:space="0"/>
            </w:tcBorders>
            <w:noWrap/>
            <w:vAlign w:val="center"/>
          </w:tcPr>
          <w:p w14:paraId="5617104C">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37" w:type="pct"/>
            <w:tcBorders>
              <w:top w:val="nil"/>
              <w:left w:val="nil"/>
              <w:bottom w:val="single" w:color="auto" w:sz="4" w:space="0"/>
              <w:right w:val="single" w:color="auto" w:sz="8" w:space="0"/>
            </w:tcBorders>
            <w:noWrap/>
            <w:vAlign w:val="center"/>
          </w:tcPr>
          <w:p w14:paraId="6435BF6D">
            <w:pPr>
              <w:widowControl/>
              <w:adjustRightInd/>
              <w:spacing w:line="240" w:lineRule="auto"/>
              <w:jc w:val="center"/>
              <w:textAlignment w:val="auto"/>
              <w:rPr>
                <w:rFonts w:ascii="Arial" w:hAnsi="Arial" w:cs="Arial"/>
                <w:snapToGrid w:val="0"/>
                <w:sz w:val="16"/>
              </w:rPr>
            </w:pPr>
          </w:p>
        </w:tc>
      </w:tr>
      <w:tr w14:paraId="549A1FDE">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0FDF750C">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25" w:type="pct"/>
            <w:tcBorders>
              <w:top w:val="nil"/>
              <w:left w:val="nil"/>
              <w:bottom w:val="single" w:color="auto" w:sz="4" w:space="0"/>
              <w:right w:val="single" w:color="auto" w:sz="4" w:space="0"/>
            </w:tcBorders>
            <w:noWrap/>
            <w:vAlign w:val="center"/>
          </w:tcPr>
          <w:p w14:paraId="23DA1759">
            <w:pPr>
              <w:widowControl/>
              <w:adjustRightInd/>
              <w:spacing w:line="240" w:lineRule="auto"/>
              <w:textAlignment w:val="auto"/>
              <w:rPr>
                <w:rFonts w:ascii="Arial" w:hAnsi="Arial" w:cs="Arial"/>
                <w:snapToGrid w:val="0"/>
                <w:sz w:val="16"/>
              </w:rPr>
            </w:pPr>
            <w:r>
              <w:rPr>
                <w:rFonts w:ascii="Arial" w:hAnsi="Arial" w:cs="Arial"/>
                <w:snapToGrid w:val="0"/>
                <w:sz w:val="16"/>
              </w:rPr>
              <w:t>销售税费</w:t>
            </w:r>
          </w:p>
        </w:tc>
        <w:tc>
          <w:tcPr>
            <w:tcW w:w="510" w:type="pct"/>
            <w:tcBorders>
              <w:top w:val="nil"/>
              <w:left w:val="nil"/>
              <w:bottom w:val="single" w:color="auto" w:sz="4" w:space="0"/>
              <w:right w:val="single" w:color="auto" w:sz="4" w:space="0"/>
            </w:tcBorders>
            <w:noWrap/>
            <w:vAlign w:val="center"/>
          </w:tcPr>
          <w:p w14:paraId="1A6B6AD8">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0.0524</w:t>
            </w:r>
          </w:p>
        </w:tc>
        <w:tc>
          <w:tcPr>
            <w:tcW w:w="1754" w:type="pct"/>
            <w:tcBorders>
              <w:top w:val="nil"/>
              <w:left w:val="nil"/>
              <w:bottom w:val="single" w:color="auto" w:sz="4" w:space="0"/>
              <w:right w:val="single" w:color="auto" w:sz="4" w:space="0"/>
            </w:tcBorders>
            <w:vAlign w:val="center"/>
          </w:tcPr>
          <w:p w14:paraId="335E8AAF">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建筑物重置价格×费率/(1+5%)</w:t>
            </w:r>
          </w:p>
        </w:tc>
        <w:tc>
          <w:tcPr>
            <w:tcW w:w="805" w:type="pct"/>
            <w:tcBorders>
              <w:top w:val="nil"/>
              <w:left w:val="nil"/>
              <w:bottom w:val="single" w:color="auto" w:sz="4" w:space="0"/>
              <w:right w:val="single" w:color="auto" w:sz="4" w:space="0"/>
            </w:tcBorders>
            <w:noWrap/>
            <w:vAlign w:val="center"/>
          </w:tcPr>
          <w:p w14:paraId="03E9DA40">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4DCBBAA7">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43251567">
        <w:tblPrEx>
          <w:tblCellMar>
            <w:top w:w="0" w:type="dxa"/>
            <w:left w:w="108" w:type="dxa"/>
            <w:bottom w:w="0" w:type="dxa"/>
            <w:right w:w="108" w:type="dxa"/>
          </w:tblCellMar>
        </w:tblPrEx>
        <w:trPr>
          <w:trHeight w:val="360" w:hRule="atLeast"/>
        </w:trPr>
        <w:tc>
          <w:tcPr>
            <w:tcW w:w="365" w:type="pct"/>
            <w:tcBorders>
              <w:top w:val="nil"/>
              <w:left w:val="single" w:color="auto" w:sz="8" w:space="0"/>
              <w:bottom w:val="double" w:color="auto" w:sz="6" w:space="0"/>
              <w:right w:val="single" w:color="auto" w:sz="4" w:space="0"/>
            </w:tcBorders>
            <w:noWrap/>
            <w:vAlign w:val="center"/>
          </w:tcPr>
          <w:p w14:paraId="55E5295A">
            <w:pPr>
              <w:widowControl/>
              <w:adjustRightInd/>
              <w:spacing w:line="240" w:lineRule="auto"/>
              <w:textAlignment w:val="auto"/>
              <w:rPr>
                <w:rFonts w:ascii="Arial" w:hAnsi="Arial" w:cs="Arial"/>
                <w:snapToGrid w:val="0"/>
                <w:sz w:val="16"/>
              </w:rPr>
            </w:pPr>
            <w:r>
              <w:rPr>
                <w:rFonts w:ascii="Arial" w:hAnsi="Arial" w:cs="Arial"/>
                <w:snapToGrid w:val="0"/>
                <w:sz w:val="16"/>
              </w:rPr>
              <w:t>（7）</w:t>
            </w:r>
          </w:p>
        </w:tc>
        <w:tc>
          <w:tcPr>
            <w:tcW w:w="1025" w:type="pct"/>
            <w:tcBorders>
              <w:top w:val="nil"/>
              <w:left w:val="nil"/>
              <w:bottom w:val="double" w:color="auto" w:sz="6" w:space="0"/>
              <w:right w:val="single" w:color="auto" w:sz="4" w:space="0"/>
            </w:tcBorders>
            <w:noWrap/>
            <w:vAlign w:val="center"/>
          </w:tcPr>
          <w:p w14:paraId="05C04B01">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建筑物重置价格（P建）</w:t>
            </w:r>
          </w:p>
        </w:tc>
        <w:tc>
          <w:tcPr>
            <w:tcW w:w="510" w:type="pct"/>
            <w:tcBorders>
              <w:top w:val="nil"/>
              <w:left w:val="nil"/>
              <w:bottom w:val="double" w:color="auto" w:sz="6" w:space="0"/>
              <w:right w:val="single" w:color="auto" w:sz="4" w:space="0"/>
            </w:tcBorders>
            <w:noWrap/>
            <w:vAlign w:val="center"/>
          </w:tcPr>
          <w:p w14:paraId="5665FF7F">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17757</w:t>
            </w:r>
          </w:p>
        </w:tc>
        <w:tc>
          <w:tcPr>
            <w:tcW w:w="1754" w:type="pct"/>
            <w:tcBorders>
              <w:top w:val="nil"/>
              <w:left w:val="nil"/>
              <w:bottom w:val="double" w:color="auto" w:sz="6" w:space="0"/>
              <w:right w:val="single" w:color="auto" w:sz="4" w:space="0"/>
            </w:tcBorders>
            <w:vAlign w:val="center"/>
          </w:tcPr>
          <w:p w14:paraId="4686FC00">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double" w:color="auto" w:sz="6" w:space="0"/>
              <w:right w:val="single" w:color="auto" w:sz="4" w:space="0"/>
            </w:tcBorders>
            <w:noWrap/>
            <w:vAlign w:val="center"/>
          </w:tcPr>
          <w:p w14:paraId="5AFDFF4F">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37" w:type="pct"/>
            <w:tcBorders>
              <w:top w:val="nil"/>
              <w:left w:val="nil"/>
              <w:bottom w:val="double" w:color="auto" w:sz="6" w:space="0"/>
              <w:right w:val="single" w:color="auto" w:sz="8" w:space="0"/>
            </w:tcBorders>
            <w:noWrap/>
            <w:vAlign w:val="center"/>
          </w:tcPr>
          <w:p w14:paraId="50F9A947">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2704AD79">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5BB280DF">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single" w:color="auto" w:sz="4" w:space="0"/>
              <w:right w:val="single" w:color="auto" w:sz="4" w:space="0"/>
            </w:tcBorders>
            <w:noWrap/>
            <w:vAlign w:val="center"/>
          </w:tcPr>
          <w:p w14:paraId="1161236F">
            <w:pPr>
              <w:widowControl/>
              <w:adjustRightInd/>
              <w:spacing w:line="240" w:lineRule="auto"/>
              <w:textAlignment w:val="auto"/>
              <w:rPr>
                <w:rFonts w:ascii="Arial" w:hAnsi="Arial" w:cs="Arial"/>
                <w:snapToGrid w:val="0"/>
                <w:sz w:val="16"/>
              </w:rPr>
            </w:pPr>
            <w:r>
              <w:rPr>
                <w:rFonts w:ascii="Arial" w:hAnsi="Arial" w:cs="Arial"/>
                <w:snapToGrid w:val="0"/>
                <w:sz w:val="16"/>
              </w:rPr>
              <w:t>年经营费用</w:t>
            </w:r>
          </w:p>
        </w:tc>
        <w:tc>
          <w:tcPr>
            <w:tcW w:w="510" w:type="pct"/>
            <w:tcBorders>
              <w:top w:val="nil"/>
              <w:left w:val="nil"/>
              <w:bottom w:val="single" w:color="auto" w:sz="4" w:space="0"/>
              <w:right w:val="single" w:color="auto" w:sz="4" w:space="0"/>
            </w:tcBorders>
            <w:noWrap/>
          </w:tcPr>
          <w:p w14:paraId="12FD7C30">
            <w:pPr>
              <w:spacing w:line="240" w:lineRule="auto"/>
              <w:jc w:val="center"/>
              <w:rPr>
                <w:rFonts w:ascii="Arial" w:hAnsi="Arial" w:cs="Arial"/>
                <w:snapToGrid w:val="0"/>
                <w:sz w:val="16"/>
              </w:rPr>
            </w:pPr>
            <w:r>
              <w:rPr>
                <w:rFonts w:hint="eastAsia" w:ascii="Arial" w:hAnsi="Arial" w:cs="Arial"/>
                <w:snapToGrid w:val="0"/>
                <w:sz w:val="16"/>
              </w:rPr>
              <w:t>353</w:t>
            </w:r>
          </w:p>
        </w:tc>
        <w:tc>
          <w:tcPr>
            <w:tcW w:w="1754" w:type="pct"/>
            <w:tcBorders>
              <w:top w:val="nil"/>
              <w:left w:val="nil"/>
              <w:bottom w:val="single" w:color="auto" w:sz="4" w:space="0"/>
              <w:right w:val="nil"/>
            </w:tcBorders>
            <w:noWrap/>
            <w:vAlign w:val="center"/>
          </w:tcPr>
          <w:p w14:paraId="1B5B0EF1">
            <w:pPr>
              <w:widowControl/>
              <w:adjustRightInd/>
              <w:spacing w:line="240" w:lineRule="auto"/>
              <w:textAlignment w:val="auto"/>
              <w:rPr>
                <w:rFonts w:ascii="Arial" w:hAnsi="Arial" w:cs="Arial"/>
                <w:snapToGrid w:val="0"/>
                <w:sz w:val="16"/>
              </w:rPr>
            </w:pPr>
            <w:r>
              <w:rPr>
                <w:rFonts w:ascii="Arial" w:hAnsi="Arial" w:cs="Arial"/>
                <w:snapToGrid w:val="0"/>
                <w:sz w:val="16"/>
              </w:rPr>
              <w:t>税费+维修费+保险费+管理费</w:t>
            </w:r>
          </w:p>
        </w:tc>
        <w:tc>
          <w:tcPr>
            <w:tcW w:w="805" w:type="pct"/>
            <w:tcBorders>
              <w:top w:val="nil"/>
              <w:left w:val="nil"/>
              <w:bottom w:val="single" w:color="auto" w:sz="4" w:space="0"/>
              <w:right w:val="nil"/>
            </w:tcBorders>
            <w:noWrap/>
            <w:vAlign w:val="center"/>
          </w:tcPr>
          <w:p w14:paraId="7E5C3668">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537" w:type="pct"/>
            <w:tcBorders>
              <w:top w:val="nil"/>
              <w:left w:val="nil"/>
              <w:bottom w:val="single" w:color="auto" w:sz="4" w:space="0"/>
              <w:right w:val="single" w:color="auto" w:sz="8" w:space="0"/>
            </w:tcBorders>
            <w:noWrap/>
            <w:vAlign w:val="center"/>
          </w:tcPr>
          <w:p w14:paraId="4ED85DC7">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78BC3926">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5C36BABA">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single" w:color="auto" w:sz="4" w:space="0"/>
              <w:right w:val="single" w:color="auto" w:sz="4" w:space="0"/>
            </w:tcBorders>
            <w:noWrap/>
            <w:vAlign w:val="center"/>
          </w:tcPr>
          <w:p w14:paraId="0B48C958">
            <w:pPr>
              <w:widowControl/>
              <w:adjustRightInd/>
              <w:spacing w:line="240" w:lineRule="auto"/>
              <w:textAlignment w:val="auto"/>
              <w:rPr>
                <w:rFonts w:ascii="Arial" w:hAnsi="Arial" w:cs="Arial"/>
                <w:snapToGrid w:val="0"/>
                <w:sz w:val="16"/>
              </w:rPr>
            </w:pPr>
            <w:r>
              <w:rPr>
                <w:rFonts w:ascii="Arial" w:hAnsi="Arial" w:cs="Arial"/>
                <w:snapToGrid w:val="0"/>
                <w:sz w:val="16"/>
              </w:rPr>
              <w:t>税  费</w:t>
            </w:r>
          </w:p>
        </w:tc>
        <w:tc>
          <w:tcPr>
            <w:tcW w:w="510" w:type="pct"/>
            <w:tcBorders>
              <w:top w:val="nil"/>
              <w:left w:val="nil"/>
              <w:bottom w:val="single" w:color="auto" w:sz="4" w:space="0"/>
              <w:right w:val="single" w:color="auto" w:sz="4" w:space="0"/>
            </w:tcBorders>
            <w:noWrap/>
          </w:tcPr>
          <w:p w14:paraId="76745220">
            <w:pPr>
              <w:spacing w:line="240" w:lineRule="auto"/>
              <w:jc w:val="center"/>
              <w:rPr>
                <w:rFonts w:ascii="Arial" w:hAnsi="Arial" w:cs="Arial"/>
                <w:snapToGrid w:val="0"/>
                <w:sz w:val="16"/>
              </w:rPr>
            </w:pPr>
            <w:r>
              <w:rPr>
                <w:rFonts w:hint="eastAsia" w:ascii="Arial" w:hAnsi="Arial" w:cs="Arial"/>
                <w:snapToGrid w:val="0"/>
                <w:sz w:val="16"/>
              </w:rPr>
              <w:t>238.96</w:t>
            </w:r>
          </w:p>
        </w:tc>
        <w:tc>
          <w:tcPr>
            <w:tcW w:w="1754" w:type="pct"/>
            <w:tcBorders>
              <w:top w:val="nil"/>
              <w:left w:val="nil"/>
              <w:bottom w:val="single" w:color="auto" w:sz="4" w:space="0"/>
              <w:right w:val="nil"/>
            </w:tcBorders>
            <w:vAlign w:val="center"/>
          </w:tcPr>
          <w:p w14:paraId="0192CB37">
            <w:pPr>
              <w:widowControl/>
              <w:adjustRightInd/>
              <w:spacing w:line="240" w:lineRule="auto"/>
              <w:textAlignment w:val="auto"/>
              <w:rPr>
                <w:rFonts w:ascii="Arial" w:hAnsi="Arial" w:cs="Arial"/>
                <w:snapToGrid w:val="0"/>
                <w:sz w:val="16"/>
              </w:rPr>
            </w:pPr>
            <w:r>
              <w:rPr>
                <w:rFonts w:ascii="Arial" w:hAnsi="Arial" w:cs="Arial"/>
                <w:snapToGrid w:val="0"/>
                <w:sz w:val="16"/>
              </w:rPr>
              <w:t>两税一费+房产税+城镇土地使用税</w:t>
            </w:r>
          </w:p>
        </w:tc>
        <w:tc>
          <w:tcPr>
            <w:tcW w:w="805" w:type="pct"/>
            <w:tcBorders>
              <w:top w:val="nil"/>
              <w:left w:val="single" w:color="auto" w:sz="4" w:space="0"/>
              <w:bottom w:val="single" w:color="auto" w:sz="4" w:space="0"/>
              <w:right w:val="single" w:color="auto" w:sz="4" w:space="0"/>
            </w:tcBorders>
            <w:vAlign w:val="center"/>
          </w:tcPr>
          <w:p w14:paraId="0501967E">
            <w:pPr>
              <w:widowControl/>
              <w:adjustRightInd/>
              <w:spacing w:line="240" w:lineRule="auto"/>
              <w:textAlignment w:val="auto"/>
              <w:rPr>
                <w:rFonts w:ascii="Arial" w:hAnsi="Arial" w:cs="Arial"/>
                <w:snapToGrid w:val="0"/>
                <w:sz w:val="16"/>
              </w:rPr>
            </w:pPr>
            <w:r>
              <w:rPr>
                <w:rFonts w:ascii="Arial" w:hAnsi="Arial" w:cs="Arial"/>
                <w:snapToGrid w:val="0"/>
                <w:sz w:val="16"/>
              </w:rPr>
              <w:t>综合税率</w:t>
            </w:r>
          </w:p>
        </w:tc>
        <w:tc>
          <w:tcPr>
            <w:tcW w:w="537" w:type="pct"/>
            <w:tcBorders>
              <w:top w:val="nil"/>
              <w:left w:val="nil"/>
              <w:bottom w:val="single" w:color="auto" w:sz="4" w:space="0"/>
              <w:right w:val="single" w:color="auto" w:sz="8" w:space="0"/>
            </w:tcBorders>
            <w:vAlign w:val="center"/>
          </w:tcPr>
          <w:p w14:paraId="70FCB4E7">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r>
      <w:tr w14:paraId="3A98FA09">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750750BA">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single" w:color="auto" w:sz="4" w:space="0"/>
              <w:right w:val="single" w:color="auto" w:sz="4" w:space="0"/>
            </w:tcBorders>
            <w:noWrap/>
            <w:vAlign w:val="center"/>
          </w:tcPr>
          <w:p w14:paraId="604D51EF">
            <w:pPr>
              <w:widowControl/>
              <w:adjustRightInd/>
              <w:spacing w:line="240" w:lineRule="auto"/>
              <w:textAlignment w:val="auto"/>
              <w:rPr>
                <w:rFonts w:ascii="Arial" w:hAnsi="Arial" w:cs="Arial"/>
                <w:snapToGrid w:val="0"/>
                <w:sz w:val="16"/>
              </w:rPr>
            </w:pPr>
            <w:r>
              <w:rPr>
                <w:rFonts w:ascii="Arial" w:hAnsi="Arial" w:cs="Arial"/>
                <w:snapToGrid w:val="0"/>
                <w:sz w:val="16"/>
              </w:rPr>
              <w:t>两税两费</w:t>
            </w:r>
          </w:p>
        </w:tc>
        <w:tc>
          <w:tcPr>
            <w:tcW w:w="510" w:type="pct"/>
            <w:tcBorders>
              <w:top w:val="nil"/>
              <w:left w:val="nil"/>
              <w:bottom w:val="single" w:color="auto" w:sz="4" w:space="0"/>
              <w:right w:val="single" w:color="auto" w:sz="4" w:space="0"/>
            </w:tcBorders>
            <w:noWrap/>
          </w:tcPr>
          <w:p w14:paraId="43F7266E">
            <w:pPr>
              <w:spacing w:line="240" w:lineRule="auto"/>
              <w:jc w:val="center"/>
              <w:rPr>
                <w:rFonts w:ascii="Arial" w:hAnsi="Arial" w:cs="Arial"/>
                <w:snapToGrid w:val="0"/>
                <w:sz w:val="16"/>
              </w:rPr>
            </w:pPr>
            <w:r>
              <w:rPr>
                <w:rFonts w:hint="eastAsia" w:ascii="Arial" w:hAnsi="Arial" w:cs="Arial"/>
                <w:snapToGrid w:val="0"/>
                <w:sz w:val="16"/>
              </w:rPr>
              <w:t>74.43</w:t>
            </w:r>
          </w:p>
        </w:tc>
        <w:tc>
          <w:tcPr>
            <w:tcW w:w="1754" w:type="pct"/>
            <w:tcBorders>
              <w:top w:val="nil"/>
              <w:left w:val="nil"/>
              <w:bottom w:val="single" w:color="auto" w:sz="4" w:space="0"/>
              <w:right w:val="single" w:color="auto" w:sz="4" w:space="0"/>
            </w:tcBorders>
            <w:vAlign w:val="center"/>
          </w:tcPr>
          <w:p w14:paraId="61CB2198">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年总收益×费率/(1+5%)</w:t>
            </w:r>
          </w:p>
        </w:tc>
        <w:tc>
          <w:tcPr>
            <w:tcW w:w="805" w:type="pct"/>
            <w:tcBorders>
              <w:top w:val="nil"/>
              <w:left w:val="nil"/>
              <w:bottom w:val="single" w:color="auto" w:sz="4" w:space="0"/>
              <w:right w:val="single" w:color="auto" w:sz="4" w:space="0"/>
            </w:tcBorders>
            <w:noWrap/>
            <w:vAlign w:val="center"/>
          </w:tcPr>
          <w:p w14:paraId="0CA866E1">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10309AA7">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51EB1642">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4C54C3AF">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4FA3A1C9">
            <w:pPr>
              <w:widowControl/>
              <w:adjustRightInd/>
              <w:spacing w:line="240" w:lineRule="auto"/>
              <w:textAlignment w:val="auto"/>
              <w:rPr>
                <w:rFonts w:ascii="Arial" w:hAnsi="Arial" w:cs="Arial"/>
                <w:snapToGrid w:val="0"/>
                <w:sz w:val="16"/>
              </w:rPr>
            </w:pPr>
            <w:r>
              <w:rPr>
                <w:rFonts w:ascii="Arial" w:hAnsi="Arial" w:cs="Arial"/>
                <w:snapToGrid w:val="0"/>
                <w:sz w:val="16"/>
              </w:rPr>
              <w:t>房产税</w:t>
            </w:r>
          </w:p>
        </w:tc>
        <w:tc>
          <w:tcPr>
            <w:tcW w:w="510" w:type="pct"/>
            <w:tcBorders>
              <w:top w:val="nil"/>
              <w:left w:val="nil"/>
              <w:bottom w:val="single" w:color="auto" w:sz="4" w:space="0"/>
              <w:right w:val="single" w:color="auto" w:sz="4" w:space="0"/>
            </w:tcBorders>
            <w:noWrap/>
          </w:tcPr>
          <w:p w14:paraId="18B65CDA">
            <w:pPr>
              <w:spacing w:line="240" w:lineRule="auto"/>
              <w:jc w:val="center"/>
              <w:rPr>
                <w:rFonts w:ascii="Arial" w:hAnsi="Arial" w:cs="Arial"/>
                <w:snapToGrid w:val="0"/>
                <w:sz w:val="16"/>
              </w:rPr>
            </w:pPr>
            <w:r>
              <w:rPr>
                <w:rFonts w:hint="eastAsia" w:ascii="Arial" w:hAnsi="Arial" w:cs="Arial"/>
                <w:snapToGrid w:val="0"/>
                <w:sz w:val="16"/>
              </w:rPr>
              <w:t>162.4</w:t>
            </w:r>
          </w:p>
        </w:tc>
        <w:tc>
          <w:tcPr>
            <w:tcW w:w="1754" w:type="pct"/>
            <w:tcBorders>
              <w:top w:val="nil"/>
              <w:left w:val="nil"/>
              <w:bottom w:val="single" w:color="auto" w:sz="4" w:space="0"/>
              <w:right w:val="single" w:color="auto" w:sz="4" w:space="0"/>
            </w:tcBorders>
            <w:vAlign w:val="center"/>
          </w:tcPr>
          <w:p w14:paraId="5727B17C">
            <w:pPr>
              <w:widowControl/>
              <w:adjustRightInd/>
              <w:spacing w:line="240" w:lineRule="auto"/>
              <w:textAlignment w:val="auto"/>
              <w:rPr>
                <w:rFonts w:ascii="Arial" w:hAnsi="Arial" w:cs="Arial"/>
                <w:snapToGrid w:val="0"/>
                <w:sz w:val="16"/>
              </w:rPr>
            </w:pPr>
            <w:r>
              <w:rPr>
                <w:rFonts w:ascii="Arial" w:hAnsi="Arial" w:cs="Arial"/>
                <w:snapToGrid w:val="0"/>
                <w:sz w:val="16"/>
              </w:rPr>
              <w:t>按租金收入计税</w:t>
            </w:r>
          </w:p>
        </w:tc>
        <w:tc>
          <w:tcPr>
            <w:tcW w:w="805" w:type="pct"/>
            <w:tcBorders>
              <w:top w:val="nil"/>
              <w:left w:val="nil"/>
              <w:bottom w:val="single" w:color="auto" w:sz="4" w:space="0"/>
              <w:right w:val="single" w:color="auto" w:sz="4" w:space="0"/>
            </w:tcBorders>
            <w:noWrap/>
            <w:vAlign w:val="center"/>
          </w:tcPr>
          <w:p w14:paraId="52EC1609">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79C35EDC">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12.0</w:t>
            </w:r>
            <w:r>
              <w:rPr>
                <w:rFonts w:ascii="Arial" w:hAnsi="Arial" w:cs="Arial"/>
                <w:snapToGrid w:val="0"/>
                <w:sz w:val="16"/>
              </w:rPr>
              <w:t>%</w:t>
            </w:r>
          </w:p>
        </w:tc>
      </w:tr>
      <w:tr w14:paraId="47EBDA8E">
        <w:tblPrEx>
          <w:tblCellMar>
            <w:top w:w="0" w:type="dxa"/>
            <w:left w:w="108" w:type="dxa"/>
            <w:bottom w:w="0" w:type="dxa"/>
            <w:right w:w="108" w:type="dxa"/>
          </w:tblCellMar>
        </w:tblPrEx>
        <w:trPr>
          <w:trHeight w:val="90" w:hRule="atLeast"/>
        </w:trPr>
        <w:tc>
          <w:tcPr>
            <w:tcW w:w="365" w:type="pct"/>
            <w:tcBorders>
              <w:top w:val="nil"/>
              <w:left w:val="single" w:color="auto" w:sz="8" w:space="0"/>
              <w:bottom w:val="nil"/>
              <w:right w:val="single" w:color="auto" w:sz="4" w:space="0"/>
            </w:tcBorders>
            <w:noWrap/>
            <w:vAlign w:val="center"/>
          </w:tcPr>
          <w:p w14:paraId="37665B51">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nil"/>
              <w:right w:val="single" w:color="auto" w:sz="4" w:space="0"/>
            </w:tcBorders>
            <w:noWrap/>
            <w:vAlign w:val="center"/>
          </w:tcPr>
          <w:p w14:paraId="1FE753DF">
            <w:pPr>
              <w:widowControl/>
              <w:adjustRightInd/>
              <w:spacing w:line="240" w:lineRule="auto"/>
              <w:textAlignment w:val="auto"/>
              <w:rPr>
                <w:rFonts w:ascii="Arial" w:hAnsi="Arial" w:cs="Arial"/>
                <w:snapToGrid w:val="0"/>
                <w:sz w:val="16"/>
              </w:rPr>
            </w:pPr>
            <w:r>
              <w:rPr>
                <w:rFonts w:ascii="Arial" w:hAnsi="Arial" w:cs="Arial"/>
                <w:snapToGrid w:val="0"/>
                <w:sz w:val="16"/>
              </w:rPr>
              <w:t>城镇土地使用税</w:t>
            </w:r>
          </w:p>
        </w:tc>
        <w:tc>
          <w:tcPr>
            <w:tcW w:w="510" w:type="pct"/>
            <w:tcBorders>
              <w:top w:val="nil"/>
              <w:left w:val="nil"/>
              <w:bottom w:val="nil"/>
              <w:right w:val="single" w:color="auto" w:sz="4" w:space="0"/>
            </w:tcBorders>
            <w:noWrap/>
          </w:tcPr>
          <w:p w14:paraId="2BCF97BB">
            <w:pPr>
              <w:spacing w:line="240" w:lineRule="auto"/>
              <w:jc w:val="center"/>
              <w:rPr>
                <w:rFonts w:ascii="Arial" w:hAnsi="Arial" w:cs="Arial"/>
                <w:snapToGrid w:val="0"/>
                <w:sz w:val="16"/>
              </w:rPr>
            </w:pPr>
            <w:r>
              <w:rPr>
                <w:rFonts w:hint="eastAsia" w:ascii="Arial" w:hAnsi="Arial" w:cs="Arial"/>
                <w:snapToGrid w:val="0"/>
                <w:sz w:val="16"/>
              </w:rPr>
              <w:t>2.13</w:t>
            </w:r>
          </w:p>
        </w:tc>
        <w:tc>
          <w:tcPr>
            <w:tcW w:w="1754" w:type="pct"/>
            <w:tcBorders>
              <w:top w:val="nil"/>
              <w:left w:val="nil"/>
              <w:bottom w:val="nil"/>
              <w:right w:val="single" w:color="auto" w:sz="4" w:space="0"/>
            </w:tcBorders>
            <w:vAlign w:val="center"/>
          </w:tcPr>
          <w:p w14:paraId="0BAA7422">
            <w:pPr>
              <w:widowControl/>
              <w:adjustRightInd/>
              <w:spacing w:line="240" w:lineRule="auto"/>
              <w:textAlignment w:val="auto"/>
              <w:rPr>
                <w:rFonts w:ascii="Arial" w:hAnsi="Arial" w:cs="Arial"/>
                <w:snapToGrid w:val="0"/>
                <w:sz w:val="16"/>
              </w:rPr>
            </w:pPr>
            <w:r>
              <w:rPr>
                <w:rFonts w:ascii="Arial" w:hAnsi="Arial" w:cs="Arial"/>
                <w:snapToGrid w:val="0"/>
                <w:sz w:val="16"/>
              </w:rPr>
              <w:t>土地面积×取费标准</w:t>
            </w:r>
          </w:p>
        </w:tc>
        <w:tc>
          <w:tcPr>
            <w:tcW w:w="805" w:type="pct"/>
            <w:tcBorders>
              <w:top w:val="nil"/>
              <w:left w:val="nil"/>
              <w:bottom w:val="single" w:color="auto" w:sz="4" w:space="0"/>
              <w:right w:val="single" w:color="auto" w:sz="4" w:space="0"/>
            </w:tcBorders>
            <w:noWrap/>
            <w:vAlign w:val="center"/>
          </w:tcPr>
          <w:p w14:paraId="0F326E1D">
            <w:pPr>
              <w:widowControl/>
              <w:adjustRightInd/>
              <w:spacing w:line="240" w:lineRule="auto"/>
              <w:textAlignment w:val="auto"/>
              <w:rPr>
                <w:rFonts w:ascii="Arial" w:hAnsi="Arial" w:cs="Arial"/>
                <w:snapToGrid w:val="0"/>
                <w:sz w:val="16"/>
              </w:rPr>
            </w:pPr>
            <w:r>
              <w:rPr>
                <w:rFonts w:ascii="Arial" w:hAnsi="Arial" w:cs="Arial"/>
                <w:snapToGrid w:val="0"/>
                <w:sz w:val="16"/>
              </w:rPr>
              <w:t>纳税标准（元/㎡）</w:t>
            </w:r>
          </w:p>
        </w:tc>
        <w:tc>
          <w:tcPr>
            <w:tcW w:w="537" w:type="pct"/>
            <w:tcBorders>
              <w:top w:val="nil"/>
              <w:left w:val="nil"/>
              <w:bottom w:val="single" w:color="auto" w:sz="4" w:space="0"/>
              <w:right w:val="single" w:color="auto" w:sz="8" w:space="0"/>
            </w:tcBorders>
            <w:noWrap/>
            <w:vAlign w:val="center"/>
          </w:tcPr>
          <w:p w14:paraId="2AE68BF2">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4CD8FF67">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61006281">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25" w:type="pct"/>
            <w:tcBorders>
              <w:top w:val="nil"/>
              <w:left w:val="nil"/>
              <w:bottom w:val="single" w:color="auto" w:sz="4" w:space="0"/>
              <w:right w:val="single" w:color="auto" w:sz="4" w:space="0"/>
            </w:tcBorders>
            <w:noWrap/>
            <w:vAlign w:val="center"/>
          </w:tcPr>
          <w:p w14:paraId="2D3A6406">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single" w:color="auto" w:sz="4" w:space="0"/>
              <w:right w:val="single" w:color="auto" w:sz="4" w:space="0"/>
            </w:tcBorders>
            <w:noWrap/>
          </w:tcPr>
          <w:p w14:paraId="0AA28035">
            <w:pPr>
              <w:spacing w:line="240" w:lineRule="auto"/>
              <w:jc w:val="center"/>
              <w:rPr>
                <w:rFonts w:ascii="Arial" w:hAnsi="Arial" w:cs="Arial"/>
                <w:snapToGrid w:val="0"/>
                <w:sz w:val="16"/>
              </w:rPr>
            </w:pPr>
          </w:p>
        </w:tc>
        <w:tc>
          <w:tcPr>
            <w:tcW w:w="1754" w:type="pct"/>
            <w:tcBorders>
              <w:top w:val="nil"/>
              <w:left w:val="nil"/>
              <w:bottom w:val="single" w:color="auto" w:sz="4" w:space="0"/>
              <w:right w:val="single" w:color="auto" w:sz="4" w:space="0"/>
            </w:tcBorders>
            <w:vAlign w:val="center"/>
          </w:tcPr>
          <w:p w14:paraId="1AD0D66F">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single" w:color="auto" w:sz="4" w:space="0"/>
              <w:right w:val="single" w:color="auto" w:sz="4" w:space="0"/>
            </w:tcBorders>
            <w:noWrap/>
            <w:vAlign w:val="center"/>
          </w:tcPr>
          <w:p w14:paraId="516EBD70">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p>
        </w:tc>
        <w:tc>
          <w:tcPr>
            <w:tcW w:w="537" w:type="pct"/>
            <w:tcBorders>
              <w:top w:val="nil"/>
              <w:left w:val="nil"/>
              <w:bottom w:val="single" w:color="auto" w:sz="4" w:space="0"/>
              <w:right w:val="single" w:color="auto" w:sz="8" w:space="0"/>
            </w:tcBorders>
            <w:noWrap/>
            <w:vAlign w:val="center"/>
          </w:tcPr>
          <w:p w14:paraId="4AEE998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14181.95</w:t>
            </w:r>
          </w:p>
        </w:tc>
      </w:tr>
      <w:tr w14:paraId="0E208FDD">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1A12AC5E">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55E21E3E">
            <w:pPr>
              <w:widowControl/>
              <w:adjustRightInd/>
              <w:spacing w:line="240" w:lineRule="auto"/>
              <w:textAlignment w:val="auto"/>
              <w:rPr>
                <w:rFonts w:ascii="Arial" w:hAnsi="Arial" w:cs="Arial"/>
                <w:snapToGrid w:val="0"/>
                <w:sz w:val="16"/>
              </w:rPr>
            </w:pPr>
            <w:r>
              <w:rPr>
                <w:rFonts w:ascii="Arial" w:hAnsi="Arial" w:cs="Arial"/>
                <w:snapToGrid w:val="0"/>
                <w:sz w:val="16"/>
              </w:rPr>
              <w:t>维修费</w:t>
            </w:r>
          </w:p>
        </w:tc>
        <w:tc>
          <w:tcPr>
            <w:tcW w:w="510" w:type="pct"/>
            <w:tcBorders>
              <w:top w:val="nil"/>
              <w:left w:val="nil"/>
              <w:bottom w:val="single" w:color="auto" w:sz="4" w:space="0"/>
              <w:right w:val="single" w:color="auto" w:sz="4" w:space="0"/>
            </w:tcBorders>
            <w:noWrap/>
          </w:tcPr>
          <w:p w14:paraId="2E0F8A98">
            <w:pPr>
              <w:spacing w:line="240" w:lineRule="auto"/>
              <w:jc w:val="center"/>
              <w:rPr>
                <w:rFonts w:ascii="Arial" w:hAnsi="Arial" w:cs="Arial"/>
                <w:snapToGrid w:val="0"/>
                <w:sz w:val="16"/>
              </w:rPr>
            </w:pPr>
            <w:r>
              <w:rPr>
                <w:rFonts w:hint="eastAsia" w:ascii="Arial" w:hAnsi="Arial" w:cs="Arial"/>
                <w:snapToGrid w:val="0"/>
                <w:sz w:val="16"/>
              </w:rPr>
              <w:t>88.79</w:t>
            </w:r>
          </w:p>
        </w:tc>
        <w:tc>
          <w:tcPr>
            <w:tcW w:w="1754" w:type="pct"/>
            <w:tcBorders>
              <w:top w:val="nil"/>
              <w:left w:val="nil"/>
              <w:bottom w:val="single" w:color="auto" w:sz="4" w:space="0"/>
              <w:right w:val="single" w:color="auto" w:sz="4" w:space="0"/>
            </w:tcBorders>
            <w:vAlign w:val="center"/>
          </w:tcPr>
          <w:p w14:paraId="6261EB60">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建筑物重置价格×维修费率</w:t>
            </w:r>
          </w:p>
        </w:tc>
        <w:tc>
          <w:tcPr>
            <w:tcW w:w="805" w:type="pct"/>
            <w:tcBorders>
              <w:top w:val="nil"/>
              <w:left w:val="nil"/>
              <w:bottom w:val="single" w:color="auto" w:sz="4" w:space="0"/>
              <w:right w:val="single" w:color="auto" w:sz="4" w:space="0"/>
            </w:tcBorders>
            <w:noWrap/>
            <w:vAlign w:val="center"/>
          </w:tcPr>
          <w:p w14:paraId="4C757AAA">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2AD6759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0.50</w:t>
            </w:r>
            <w:r>
              <w:rPr>
                <w:rFonts w:ascii="Arial" w:hAnsi="Arial" w:cs="Arial"/>
                <w:snapToGrid w:val="0"/>
                <w:sz w:val="16"/>
              </w:rPr>
              <w:t>%</w:t>
            </w:r>
          </w:p>
        </w:tc>
      </w:tr>
      <w:tr w14:paraId="2C68FAEE">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439A8D6E">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single" w:color="auto" w:sz="4" w:space="0"/>
              <w:right w:val="single" w:color="auto" w:sz="4" w:space="0"/>
            </w:tcBorders>
            <w:noWrap/>
            <w:vAlign w:val="center"/>
          </w:tcPr>
          <w:p w14:paraId="332BF63D">
            <w:pPr>
              <w:widowControl/>
              <w:adjustRightInd/>
              <w:spacing w:line="240" w:lineRule="auto"/>
              <w:textAlignment w:val="auto"/>
              <w:rPr>
                <w:rFonts w:ascii="Arial" w:hAnsi="Arial" w:cs="Arial"/>
                <w:snapToGrid w:val="0"/>
                <w:sz w:val="16"/>
              </w:rPr>
            </w:pPr>
            <w:r>
              <w:rPr>
                <w:rFonts w:ascii="Arial" w:hAnsi="Arial" w:cs="Arial"/>
                <w:snapToGrid w:val="0"/>
                <w:sz w:val="16"/>
              </w:rPr>
              <w:t>保险费</w:t>
            </w:r>
          </w:p>
        </w:tc>
        <w:tc>
          <w:tcPr>
            <w:tcW w:w="510" w:type="pct"/>
            <w:tcBorders>
              <w:top w:val="nil"/>
              <w:left w:val="nil"/>
              <w:bottom w:val="single" w:color="auto" w:sz="4" w:space="0"/>
              <w:right w:val="single" w:color="auto" w:sz="4" w:space="0"/>
            </w:tcBorders>
            <w:noWrap/>
          </w:tcPr>
          <w:p w14:paraId="7046951C">
            <w:pPr>
              <w:spacing w:line="240" w:lineRule="auto"/>
              <w:jc w:val="center"/>
              <w:rPr>
                <w:rFonts w:ascii="Arial" w:hAnsi="Arial" w:cs="Arial"/>
                <w:snapToGrid w:val="0"/>
                <w:sz w:val="16"/>
              </w:rPr>
            </w:pPr>
            <w:r>
              <w:rPr>
                <w:rFonts w:hint="eastAsia" w:ascii="Arial" w:hAnsi="Arial" w:cs="Arial"/>
                <w:snapToGrid w:val="0"/>
                <w:sz w:val="16"/>
              </w:rPr>
              <w:t>17.76</w:t>
            </w:r>
          </w:p>
        </w:tc>
        <w:tc>
          <w:tcPr>
            <w:tcW w:w="1754" w:type="pct"/>
            <w:tcBorders>
              <w:top w:val="nil"/>
              <w:left w:val="nil"/>
              <w:bottom w:val="single" w:color="auto" w:sz="4" w:space="0"/>
              <w:right w:val="single" w:color="auto" w:sz="4" w:space="0"/>
            </w:tcBorders>
            <w:vAlign w:val="center"/>
          </w:tcPr>
          <w:p w14:paraId="7C4430AB">
            <w:pPr>
              <w:widowControl/>
              <w:adjustRightInd/>
              <w:spacing w:line="240" w:lineRule="auto"/>
              <w:textAlignment w:val="auto"/>
              <w:rPr>
                <w:rFonts w:ascii="Arial" w:hAnsi="Arial" w:cs="Arial"/>
                <w:snapToGrid w:val="0"/>
                <w:sz w:val="16"/>
              </w:rPr>
            </w:pPr>
            <w:r>
              <w:rPr>
                <w:rFonts w:ascii="Arial" w:hAnsi="Arial" w:cs="Arial"/>
                <w:snapToGrid w:val="0"/>
                <w:sz w:val="16"/>
              </w:rPr>
              <w:t>现值×保险费率</w:t>
            </w:r>
          </w:p>
        </w:tc>
        <w:tc>
          <w:tcPr>
            <w:tcW w:w="805" w:type="pct"/>
            <w:tcBorders>
              <w:top w:val="nil"/>
              <w:left w:val="nil"/>
              <w:bottom w:val="single" w:color="auto" w:sz="4" w:space="0"/>
              <w:right w:val="single" w:color="auto" w:sz="4" w:space="0"/>
            </w:tcBorders>
            <w:noWrap/>
            <w:vAlign w:val="center"/>
          </w:tcPr>
          <w:p w14:paraId="60976320">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1A7C551D">
            <w:pPr>
              <w:widowControl/>
              <w:adjustRightInd/>
              <w:spacing w:line="240" w:lineRule="auto"/>
              <w:jc w:val="center"/>
              <w:textAlignment w:val="auto"/>
              <w:rPr>
                <w:rFonts w:ascii="Arial" w:hAnsi="Arial" w:cs="Arial"/>
                <w:snapToGrid w:val="0"/>
                <w:sz w:val="16"/>
              </w:rPr>
            </w:pPr>
            <w:r>
              <w:rPr>
                <w:rFonts w:ascii="Arial" w:hAnsi="Arial" w:cs="Arial"/>
                <w:snapToGrid w:val="0"/>
                <w:sz w:val="16"/>
              </w:rPr>
              <w:t>0.</w:t>
            </w:r>
            <w:r>
              <w:rPr>
                <w:rFonts w:hint="eastAsia" w:ascii="Arial" w:hAnsi="Arial" w:cs="Arial"/>
                <w:snapToGrid w:val="0"/>
                <w:sz w:val="16"/>
              </w:rPr>
              <w:t>100</w:t>
            </w:r>
            <w:r>
              <w:rPr>
                <w:rFonts w:ascii="Arial" w:hAnsi="Arial" w:cs="Arial"/>
                <w:snapToGrid w:val="0"/>
                <w:sz w:val="16"/>
              </w:rPr>
              <w:t>%</w:t>
            </w:r>
          </w:p>
        </w:tc>
      </w:tr>
      <w:tr w14:paraId="6A71AA9B">
        <w:tblPrEx>
          <w:tblCellMar>
            <w:top w:w="0" w:type="dxa"/>
            <w:left w:w="108" w:type="dxa"/>
            <w:bottom w:w="0" w:type="dxa"/>
            <w:right w:w="108" w:type="dxa"/>
          </w:tblCellMar>
        </w:tblPrEx>
        <w:trPr>
          <w:trHeight w:val="360" w:hRule="atLeast"/>
        </w:trPr>
        <w:tc>
          <w:tcPr>
            <w:tcW w:w="365" w:type="pct"/>
            <w:tcBorders>
              <w:top w:val="nil"/>
              <w:left w:val="single" w:color="auto" w:sz="8" w:space="0"/>
              <w:bottom w:val="double" w:color="auto" w:sz="6" w:space="0"/>
              <w:right w:val="single" w:color="auto" w:sz="4" w:space="0"/>
            </w:tcBorders>
            <w:noWrap/>
            <w:vAlign w:val="center"/>
          </w:tcPr>
          <w:p w14:paraId="39CE9806">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25" w:type="pct"/>
            <w:tcBorders>
              <w:top w:val="nil"/>
              <w:left w:val="nil"/>
              <w:bottom w:val="double" w:color="auto" w:sz="6" w:space="0"/>
              <w:right w:val="single" w:color="auto" w:sz="4" w:space="0"/>
            </w:tcBorders>
            <w:noWrap/>
            <w:vAlign w:val="center"/>
          </w:tcPr>
          <w:p w14:paraId="26154FC6">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double" w:color="auto" w:sz="6" w:space="0"/>
              <w:right w:val="single" w:color="auto" w:sz="4" w:space="0"/>
            </w:tcBorders>
            <w:noWrap/>
          </w:tcPr>
          <w:p w14:paraId="4B62083C">
            <w:pPr>
              <w:spacing w:line="240" w:lineRule="auto"/>
              <w:jc w:val="center"/>
              <w:rPr>
                <w:rFonts w:ascii="Arial" w:hAnsi="Arial" w:cs="Arial"/>
                <w:snapToGrid w:val="0"/>
                <w:sz w:val="16"/>
              </w:rPr>
            </w:pPr>
            <w:r>
              <w:rPr>
                <w:rFonts w:hint="eastAsia" w:ascii="Arial" w:hAnsi="Arial" w:cs="Arial"/>
                <w:snapToGrid w:val="0"/>
                <w:sz w:val="16"/>
              </w:rPr>
              <w:t>7.12</w:t>
            </w:r>
          </w:p>
        </w:tc>
        <w:tc>
          <w:tcPr>
            <w:tcW w:w="1754" w:type="pct"/>
            <w:tcBorders>
              <w:top w:val="nil"/>
              <w:left w:val="nil"/>
              <w:bottom w:val="double" w:color="auto" w:sz="6" w:space="0"/>
              <w:right w:val="single" w:color="auto" w:sz="4" w:space="0"/>
            </w:tcBorders>
            <w:vAlign w:val="center"/>
          </w:tcPr>
          <w:p w14:paraId="184D0E4B">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w:t>
            </w:r>
          </w:p>
        </w:tc>
        <w:tc>
          <w:tcPr>
            <w:tcW w:w="805" w:type="pct"/>
            <w:tcBorders>
              <w:top w:val="nil"/>
              <w:left w:val="nil"/>
              <w:bottom w:val="double" w:color="auto" w:sz="6" w:space="0"/>
              <w:right w:val="single" w:color="auto" w:sz="4" w:space="0"/>
            </w:tcBorders>
            <w:noWrap/>
            <w:vAlign w:val="center"/>
          </w:tcPr>
          <w:p w14:paraId="44307917">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double" w:color="auto" w:sz="6" w:space="0"/>
              <w:right w:val="single" w:color="auto" w:sz="8" w:space="0"/>
            </w:tcBorders>
            <w:noWrap/>
            <w:vAlign w:val="center"/>
          </w:tcPr>
          <w:p w14:paraId="02436B12">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0.5</w:t>
            </w:r>
            <w:r>
              <w:rPr>
                <w:rFonts w:ascii="Arial" w:hAnsi="Arial" w:cs="Arial"/>
                <w:snapToGrid w:val="0"/>
                <w:sz w:val="16"/>
              </w:rPr>
              <w:t>%</w:t>
            </w:r>
          </w:p>
        </w:tc>
      </w:tr>
      <w:tr w14:paraId="0FD1D5C6">
        <w:tblPrEx>
          <w:tblCellMar>
            <w:top w:w="0" w:type="dxa"/>
            <w:left w:w="108" w:type="dxa"/>
            <w:bottom w:w="0" w:type="dxa"/>
            <w:right w:w="108" w:type="dxa"/>
          </w:tblCellMar>
        </w:tblPrEx>
        <w:trPr>
          <w:trHeight w:val="492" w:hRule="atLeast"/>
        </w:trPr>
        <w:tc>
          <w:tcPr>
            <w:tcW w:w="365" w:type="pct"/>
            <w:tcBorders>
              <w:top w:val="nil"/>
              <w:left w:val="single" w:color="auto" w:sz="8" w:space="0"/>
              <w:bottom w:val="single" w:color="auto" w:sz="4" w:space="0"/>
              <w:right w:val="single" w:color="auto" w:sz="4" w:space="0"/>
            </w:tcBorders>
            <w:noWrap/>
            <w:vAlign w:val="center"/>
          </w:tcPr>
          <w:p w14:paraId="60C406CF">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25" w:type="pct"/>
            <w:tcBorders>
              <w:top w:val="nil"/>
              <w:left w:val="nil"/>
              <w:bottom w:val="single" w:color="auto" w:sz="4" w:space="0"/>
              <w:right w:val="single" w:color="auto" w:sz="4" w:space="0"/>
            </w:tcBorders>
            <w:vAlign w:val="center"/>
          </w:tcPr>
          <w:p w14:paraId="640E2F03">
            <w:pPr>
              <w:widowControl/>
              <w:adjustRightInd/>
              <w:spacing w:line="240" w:lineRule="auto"/>
              <w:textAlignment w:val="auto"/>
              <w:rPr>
                <w:rFonts w:ascii="Arial" w:hAnsi="Arial" w:cs="Arial"/>
                <w:snapToGrid w:val="0"/>
                <w:sz w:val="16"/>
              </w:rPr>
            </w:pPr>
            <w:r>
              <w:rPr>
                <w:rFonts w:ascii="Arial" w:hAnsi="Arial" w:cs="Arial"/>
                <w:snapToGrid w:val="0"/>
                <w:sz w:val="16"/>
              </w:rPr>
              <w:t>不动产未来第一年净收益</w:t>
            </w:r>
          </w:p>
        </w:tc>
        <w:tc>
          <w:tcPr>
            <w:tcW w:w="510" w:type="pct"/>
            <w:tcBorders>
              <w:top w:val="nil"/>
              <w:left w:val="nil"/>
              <w:bottom w:val="single" w:color="auto" w:sz="4" w:space="0"/>
              <w:right w:val="single" w:color="auto" w:sz="4" w:space="0"/>
            </w:tcBorders>
            <w:noWrap/>
            <w:vAlign w:val="center"/>
          </w:tcPr>
          <w:p w14:paraId="182E4A9B">
            <w:pPr>
              <w:spacing w:line="240" w:lineRule="auto"/>
              <w:jc w:val="center"/>
              <w:rPr>
                <w:rFonts w:ascii="Arial" w:hAnsi="Arial" w:cs="Arial"/>
                <w:snapToGrid w:val="0"/>
                <w:sz w:val="16"/>
              </w:rPr>
            </w:pPr>
            <w:r>
              <w:rPr>
                <w:rFonts w:hint="eastAsia" w:ascii="Arial" w:hAnsi="Arial" w:cs="Arial"/>
                <w:snapToGrid w:val="0"/>
                <w:sz w:val="16"/>
              </w:rPr>
              <w:t>1070</w:t>
            </w:r>
          </w:p>
        </w:tc>
        <w:tc>
          <w:tcPr>
            <w:tcW w:w="1754" w:type="pct"/>
            <w:tcBorders>
              <w:top w:val="nil"/>
              <w:left w:val="nil"/>
              <w:bottom w:val="single" w:color="auto" w:sz="4" w:space="0"/>
              <w:right w:val="nil"/>
            </w:tcBorders>
            <w:vAlign w:val="center"/>
          </w:tcPr>
          <w:p w14:paraId="26A2193F">
            <w:pPr>
              <w:widowControl/>
              <w:adjustRightInd/>
              <w:spacing w:line="240" w:lineRule="auto"/>
              <w:textAlignment w:val="auto"/>
              <w:rPr>
                <w:rFonts w:ascii="Arial" w:hAnsi="Arial" w:cs="Arial"/>
                <w:snapToGrid w:val="0"/>
                <w:sz w:val="16"/>
              </w:rPr>
            </w:pPr>
            <w:r>
              <w:rPr>
                <w:rFonts w:ascii="Arial" w:hAnsi="Arial" w:cs="Arial"/>
                <w:snapToGrid w:val="0"/>
                <w:sz w:val="16"/>
              </w:rPr>
              <w:t>年总收益-年经营费用</w:t>
            </w:r>
          </w:p>
        </w:tc>
        <w:tc>
          <w:tcPr>
            <w:tcW w:w="805" w:type="pct"/>
            <w:tcBorders>
              <w:top w:val="nil"/>
              <w:left w:val="nil"/>
              <w:bottom w:val="single" w:color="auto" w:sz="4" w:space="0"/>
              <w:right w:val="nil"/>
            </w:tcBorders>
            <w:vAlign w:val="center"/>
          </w:tcPr>
          <w:p w14:paraId="7AB59536">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537" w:type="pct"/>
            <w:tcBorders>
              <w:top w:val="nil"/>
              <w:left w:val="nil"/>
              <w:bottom w:val="single" w:color="auto" w:sz="4" w:space="0"/>
              <w:right w:val="single" w:color="auto" w:sz="8" w:space="0"/>
            </w:tcBorders>
            <w:vAlign w:val="center"/>
          </w:tcPr>
          <w:p w14:paraId="4D4575D6">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57F5319F">
        <w:tblPrEx>
          <w:tblCellMar>
            <w:top w:w="0" w:type="dxa"/>
            <w:left w:w="108" w:type="dxa"/>
            <w:bottom w:w="0" w:type="dxa"/>
            <w:right w:w="108" w:type="dxa"/>
          </w:tblCellMar>
        </w:tblPrEx>
        <w:trPr>
          <w:trHeight w:val="360" w:hRule="atLeast"/>
        </w:trPr>
        <w:tc>
          <w:tcPr>
            <w:tcW w:w="365" w:type="pct"/>
            <w:tcBorders>
              <w:top w:val="nil"/>
              <w:left w:val="single" w:color="auto" w:sz="8" w:space="0"/>
              <w:bottom w:val="nil"/>
              <w:right w:val="single" w:color="auto" w:sz="4" w:space="0"/>
            </w:tcBorders>
            <w:noWrap/>
            <w:vAlign w:val="center"/>
          </w:tcPr>
          <w:p w14:paraId="38C4B66B">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25" w:type="pct"/>
            <w:tcBorders>
              <w:top w:val="nil"/>
              <w:left w:val="nil"/>
              <w:bottom w:val="nil"/>
              <w:right w:val="single" w:color="auto" w:sz="4" w:space="0"/>
            </w:tcBorders>
            <w:vAlign w:val="center"/>
          </w:tcPr>
          <w:p w14:paraId="62958F77">
            <w:pPr>
              <w:widowControl/>
              <w:adjustRightInd/>
              <w:spacing w:line="240" w:lineRule="auto"/>
              <w:textAlignment w:val="auto"/>
              <w:rPr>
                <w:rFonts w:ascii="Arial" w:hAnsi="Arial" w:cs="Arial"/>
                <w:snapToGrid w:val="0"/>
                <w:sz w:val="16"/>
              </w:rPr>
            </w:pPr>
            <w:r>
              <w:rPr>
                <w:rFonts w:ascii="Arial" w:hAnsi="Arial" w:cs="Arial"/>
                <w:snapToGrid w:val="0"/>
                <w:sz w:val="16"/>
              </w:rPr>
              <w:t>不动产总价</w:t>
            </w:r>
          </w:p>
        </w:tc>
        <w:tc>
          <w:tcPr>
            <w:tcW w:w="510" w:type="pct"/>
            <w:tcBorders>
              <w:top w:val="nil"/>
              <w:left w:val="nil"/>
              <w:bottom w:val="nil"/>
              <w:right w:val="single" w:color="auto" w:sz="4" w:space="0"/>
            </w:tcBorders>
            <w:noWrap/>
            <w:vAlign w:val="center"/>
          </w:tcPr>
          <w:p w14:paraId="15B431B9">
            <w:pPr>
              <w:spacing w:line="240" w:lineRule="auto"/>
              <w:jc w:val="center"/>
              <w:rPr>
                <w:rFonts w:ascii="Arial" w:hAnsi="Arial" w:cs="Arial"/>
                <w:snapToGrid w:val="0"/>
                <w:sz w:val="16"/>
              </w:rPr>
            </w:pPr>
            <w:r>
              <w:rPr>
                <w:rFonts w:hint="eastAsia" w:ascii="Arial" w:hAnsi="Arial" w:cs="Arial"/>
                <w:snapToGrid w:val="0"/>
                <w:sz w:val="16"/>
              </w:rPr>
              <w:t>22522</w:t>
            </w:r>
          </w:p>
        </w:tc>
        <w:tc>
          <w:tcPr>
            <w:tcW w:w="1754" w:type="pct"/>
            <w:tcBorders>
              <w:top w:val="nil"/>
              <w:left w:val="nil"/>
              <w:bottom w:val="nil"/>
              <w:right w:val="single" w:color="auto" w:sz="4" w:space="0"/>
            </w:tcBorders>
            <w:vAlign w:val="center"/>
          </w:tcPr>
          <w:p w14:paraId="0B3E74DA">
            <w:pPr>
              <w:widowControl/>
              <w:adjustRightInd/>
              <w:spacing w:line="240" w:lineRule="auto"/>
              <w:textAlignment w:val="auto"/>
              <w:rPr>
                <w:rFonts w:ascii="Arial" w:hAnsi="Arial" w:cs="Arial"/>
                <w:snapToGrid w:val="0"/>
                <w:sz w:val="16"/>
              </w:rPr>
            </w:pPr>
            <w:r>
              <w:rPr>
                <w:rFonts w:ascii="Arial" w:hAnsi="Arial" w:cs="Arial"/>
                <w:snapToGrid w:val="0"/>
                <w:sz w:val="16"/>
              </w:rPr>
              <w:t>房地产未来第一年净收益×</w:t>
            </w:r>
          </w:p>
        </w:tc>
        <w:tc>
          <w:tcPr>
            <w:tcW w:w="805" w:type="pct"/>
            <w:tcBorders>
              <w:top w:val="nil"/>
              <w:left w:val="nil"/>
              <w:bottom w:val="single" w:color="auto" w:sz="4" w:space="0"/>
              <w:right w:val="single" w:color="auto" w:sz="4" w:space="0"/>
            </w:tcBorders>
            <w:noWrap/>
            <w:vAlign w:val="center"/>
          </w:tcPr>
          <w:p w14:paraId="602CFCB7">
            <w:pPr>
              <w:widowControl/>
              <w:adjustRightInd/>
              <w:spacing w:line="240" w:lineRule="auto"/>
              <w:textAlignment w:val="auto"/>
              <w:rPr>
                <w:rFonts w:ascii="Arial" w:hAnsi="Arial" w:cs="Arial"/>
                <w:snapToGrid w:val="0"/>
                <w:sz w:val="16"/>
              </w:rPr>
            </w:pPr>
            <w:r>
              <w:rPr>
                <w:rFonts w:ascii="Arial" w:hAnsi="Arial" w:cs="Arial"/>
                <w:snapToGrid w:val="0"/>
                <w:sz w:val="16"/>
              </w:rPr>
              <w:t>还原率（Y）</w:t>
            </w:r>
          </w:p>
        </w:tc>
        <w:tc>
          <w:tcPr>
            <w:tcW w:w="537" w:type="pct"/>
            <w:tcBorders>
              <w:top w:val="nil"/>
              <w:left w:val="nil"/>
              <w:bottom w:val="single" w:color="auto" w:sz="4" w:space="0"/>
              <w:right w:val="single" w:color="auto" w:sz="8" w:space="0"/>
            </w:tcBorders>
            <w:noWrap/>
            <w:vAlign w:val="center"/>
          </w:tcPr>
          <w:p w14:paraId="22C60AFF">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5.0</w:t>
            </w:r>
            <w:r>
              <w:rPr>
                <w:rFonts w:ascii="Arial" w:hAnsi="Arial" w:cs="Arial"/>
                <w:snapToGrid w:val="0"/>
                <w:sz w:val="16"/>
              </w:rPr>
              <w:t>%</w:t>
            </w:r>
          </w:p>
        </w:tc>
      </w:tr>
      <w:tr w14:paraId="60A7E088">
        <w:tblPrEx>
          <w:tblCellMar>
            <w:top w:w="0" w:type="dxa"/>
            <w:left w:w="108" w:type="dxa"/>
            <w:bottom w:w="0" w:type="dxa"/>
            <w:right w:w="108" w:type="dxa"/>
          </w:tblCellMar>
        </w:tblPrEx>
        <w:trPr>
          <w:trHeight w:val="360" w:hRule="atLeast"/>
        </w:trPr>
        <w:tc>
          <w:tcPr>
            <w:tcW w:w="365" w:type="pct"/>
            <w:tcBorders>
              <w:top w:val="nil"/>
              <w:left w:val="single" w:color="auto" w:sz="8" w:space="0"/>
              <w:bottom w:val="nil"/>
              <w:right w:val="single" w:color="auto" w:sz="4" w:space="0"/>
            </w:tcBorders>
            <w:noWrap/>
            <w:vAlign w:val="center"/>
          </w:tcPr>
          <w:p w14:paraId="2723587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25" w:type="pct"/>
            <w:tcBorders>
              <w:top w:val="nil"/>
              <w:left w:val="nil"/>
              <w:bottom w:val="nil"/>
              <w:right w:val="single" w:color="auto" w:sz="4" w:space="0"/>
            </w:tcBorders>
            <w:vAlign w:val="center"/>
          </w:tcPr>
          <w:p w14:paraId="4764DE3F">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nil"/>
              <w:right w:val="single" w:color="auto" w:sz="4" w:space="0"/>
            </w:tcBorders>
            <w:noWrap/>
            <w:vAlign w:val="center"/>
          </w:tcPr>
          <w:p w14:paraId="27631EC9">
            <w:pPr>
              <w:spacing w:line="240" w:lineRule="auto"/>
              <w:rPr>
                <w:rFonts w:ascii="Arial" w:hAnsi="Arial" w:cs="Arial"/>
                <w:snapToGrid w:val="0"/>
                <w:sz w:val="16"/>
              </w:rPr>
            </w:pPr>
            <w:r>
              <w:rPr>
                <w:rFonts w:ascii="Arial" w:hAnsi="Arial" w:cs="Arial"/>
                <w:snapToGrid w:val="0"/>
                <w:sz w:val="16"/>
              </w:rPr>
              <w:t>　</w:t>
            </w:r>
          </w:p>
        </w:tc>
        <w:tc>
          <w:tcPr>
            <w:tcW w:w="1754" w:type="pct"/>
            <w:tcBorders>
              <w:top w:val="nil"/>
              <w:left w:val="nil"/>
              <w:bottom w:val="nil"/>
              <w:right w:val="single" w:color="auto" w:sz="4" w:space="0"/>
            </w:tcBorders>
            <w:vAlign w:val="center"/>
          </w:tcPr>
          <w:p w14:paraId="1C709C74">
            <w:pPr>
              <w:widowControl/>
              <w:adjustRightInd/>
              <w:spacing w:line="240" w:lineRule="auto"/>
              <w:textAlignment w:val="auto"/>
              <w:rPr>
                <w:rFonts w:ascii="Arial" w:hAnsi="Arial" w:cs="Arial"/>
                <w:snapToGrid w:val="0"/>
                <w:sz w:val="16"/>
              </w:rPr>
            </w:pPr>
            <w:r>
              <w:rPr>
                <w:rFonts w:ascii="Arial" w:hAnsi="Arial" w:cs="Arial"/>
                <w:snapToGrid w:val="0"/>
                <w:sz w:val="16"/>
              </w:rPr>
              <w:t>[1-（(1+g)/(1+Y)） ^n ]/(Y-g)</w:t>
            </w:r>
          </w:p>
        </w:tc>
        <w:tc>
          <w:tcPr>
            <w:tcW w:w="805" w:type="pct"/>
            <w:tcBorders>
              <w:top w:val="nil"/>
              <w:left w:val="nil"/>
              <w:bottom w:val="single" w:color="auto" w:sz="4" w:space="0"/>
              <w:right w:val="single" w:color="auto" w:sz="4" w:space="0"/>
            </w:tcBorders>
            <w:noWrap/>
            <w:vAlign w:val="center"/>
          </w:tcPr>
          <w:p w14:paraId="3F66F285">
            <w:pPr>
              <w:widowControl/>
              <w:adjustRightInd/>
              <w:spacing w:line="240" w:lineRule="auto"/>
              <w:textAlignment w:val="auto"/>
              <w:rPr>
                <w:rFonts w:ascii="Arial" w:hAnsi="Arial" w:cs="Arial"/>
                <w:snapToGrid w:val="0"/>
                <w:sz w:val="16"/>
              </w:rPr>
            </w:pPr>
            <w:r>
              <w:rPr>
                <w:rFonts w:ascii="Arial" w:hAnsi="Arial" w:cs="Arial"/>
                <w:snapToGrid w:val="0"/>
                <w:sz w:val="16"/>
              </w:rPr>
              <w:t>收益年期(n)</w:t>
            </w:r>
          </w:p>
        </w:tc>
        <w:tc>
          <w:tcPr>
            <w:tcW w:w="537" w:type="pct"/>
            <w:tcBorders>
              <w:top w:val="nil"/>
              <w:left w:val="nil"/>
              <w:bottom w:val="single" w:color="auto" w:sz="4" w:space="0"/>
              <w:right w:val="single" w:color="auto" w:sz="8" w:space="0"/>
            </w:tcBorders>
            <w:noWrap/>
            <w:vAlign w:val="center"/>
          </w:tcPr>
          <w:p w14:paraId="0F1C7AA3">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47.50</w:t>
            </w:r>
            <w:r>
              <w:rPr>
                <w:rFonts w:ascii="Arial" w:hAnsi="Arial" w:cs="Arial"/>
                <w:snapToGrid w:val="0"/>
                <w:sz w:val="16"/>
              </w:rPr>
              <w:t xml:space="preserve"> </w:t>
            </w:r>
          </w:p>
        </w:tc>
      </w:tr>
      <w:tr w14:paraId="37CEF776">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4A7A3BD1">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25" w:type="pct"/>
            <w:tcBorders>
              <w:top w:val="nil"/>
              <w:left w:val="nil"/>
              <w:bottom w:val="single" w:color="auto" w:sz="4" w:space="0"/>
              <w:right w:val="single" w:color="auto" w:sz="4" w:space="0"/>
            </w:tcBorders>
            <w:vAlign w:val="center"/>
          </w:tcPr>
          <w:p w14:paraId="4371851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single" w:color="auto" w:sz="4" w:space="0"/>
              <w:right w:val="single" w:color="auto" w:sz="4" w:space="0"/>
            </w:tcBorders>
            <w:noWrap/>
            <w:vAlign w:val="center"/>
          </w:tcPr>
          <w:p w14:paraId="019928CA">
            <w:pPr>
              <w:spacing w:line="240" w:lineRule="auto"/>
              <w:rPr>
                <w:rFonts w:ascii="Arial" w:hAnsi="Arial" w:cs="Arial"/>
                <w:snapToGrid w:val="0"/>
                <w:sz w:val="16"/>
              </w:rPr>
            </w:pPr>
            <w:r>
              <w:rPr>
                <w:rFonts w:ascii="Arial" w:hAnsi="Arial" w:cs="Arial"/>
                <w:snapToGrid w:val="0"/>
                <w:sz w:val="16"/>
              </w:rPr>
              <w:t>　</w:t>
            </w:r>
          </w:p>
        </w:tc>
        <w:tc>
          <w:tcPr>
            <w:tcW w:w="1754" w:type="pct"/>
            <w:tcBorders>
              <w:top w:val="nil"/>
              <w:left w:val="nil"/>
              <w:bottom w:val="single" w:color="auto" w:sz="4" w:space="0"/>
              <w:right w:val="single" w:color="auto" w:sz="4" w:space="0"/>
            </w:tcBorders>
            <w:vAlign w:val="center"/>
          </w:tcPr>
          <w:p w14:paraId="74AC0CA6">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single" w:color="auto" w:sz="4" w:space="0"/>
              <w:right w:val="single" w:color="auto" w:sz="4" w:space="0"/>
            </w:tcBorders>
            <w:noWrap/>
            <w:vAlign w:val="center"/>
          </w:tcPr>
          <w:p w14:paraId="3A91D7D4">
            <w:pPr>
              <w:widowControl/>
              <w:adjustRightInd/>
              <w:spacing w:line="240" w:lineRule="auto"/>
              <w:textAlignment w:val="auto"/>
              <w:rPr>
                <w:rFonts w:ascii="Arial" w:hAnsi="Arial" w:cs="Arial"/>
                <w:snapToGrid w:val="0"/>
                <w:sz w:val="16"/>
              </w:rPr>
            </w:pPr>
            <w:r>
              <w:rPr>
                <w:rFonts w:ascii="Arial" w:hAnsi="Arial" w:cs="Arial"/>
                <w:snapToGrid w:val="0"/>
                <w:sz w:val="16"/>
              </w:rPr>
              <w:t>年增长比率(g)</w:t>
            </w:r>
          </w:p>
        </w:tc>
        <w:tc>
          <w:tcPr>
            <w:tcW w:w="537" w:type="pct"/>
            <w:tcBorders>
              <w:top w:val="nil"/>
              <w:left w:val="nil"/>
              <w:bottom w:val="single" w:color="auto" w:sz="4" w:space="0"/>
              <w:right w:val="single" w:color="auto" w:sz="8" w:space="0"/>
            </w:tcBorders>
            <w:noWrap/>
            <w:vAlign w:val="center"/>
          </w:tcPr>
          <w:p w14:paraId="51FC853C">
            <w:pPr>
              <w:widowControl/>
              <w:adjustRightInd/>
              <w:spacing w:line="240" w:lineRule="auto"/>
              <w:jc w:val="center"/>
              <w:textAlignment w:val="auto"/>
              <w:rPr>
                <w:rFonts w:ascii="Arial" w:hAnsi="Arial" w:cs="Arial"/>
                <w:snapToGrid w:val="0"/>
                <w:sz w:val="16"/>
              </w:rPr>
            </w:pPr>
            <w:r>
              <w:rPr>
                <w:rFonts w:ascii="Arial" w:hAnsi="Arial" w:cs="Arial"/>
                <w:snapToGrid w:val="0"/>
                <w:sz w:val="16"/>
              </w:rPr>
              <w:t>1.0%</w:t>
            </w:r>
          </w:p>
        </w:tc>
      </w:tr>
      <w:tr w14:paraId="4657EB8E">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8" w:space="0"/>
              <w:right w:val="single" w:color="auto" w:sz="4" w:space="0"/>
            </w:tcBorders>
            <w:noWrap/>
            <w:vAlign w:val="center"/>
          </w:tcPr>
          <w:p w14:paraId="473EFD29">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25" w:type="pct"/>
            <w:tcBorders>
              <w:top w:val="nil"/>
              <w:left w:val="nil"/>
              <w:bottom w:val="single" w:color="auto" w:sz="8" w:space="0"/>
              <w:right w:val="single" w:color="auto" w:sz="4" w:space="0"/>
            </w:tcBorders>
            <w:noWrap/>
            <w:vAlign w:val="center"/>
          </w:tcPr>
          <w:p w14:paraId="4DE5AE5D">
            <w:pPr>
              <w:widowControl/>
              <w:adjustRightInd/>
              <w:spacing w:line="240" w:lineRule="auto"/>
              <w:textAlignment w:val="auto"/>
              <w:rPr>
                <w:rFonts w:ascii="Arial" w:hAnsi="Arial" w:cs="Arial"/>
                <w:snapToGrid w:val="0"/>
                <w:sz w:val="16"/>
              </w:rPr>
            </w:pPr>
            <w:r>
              <w:rPr>
                <w:rFonts w:ascii="Arial" w:hAnsi="Arial" w:cs="Arial"/>
                <w:snapToGrid w:val="0"/>
                <w:sz w:val="16"/>
              </w:rPr>
              <w:t>单价(元/平方米)</w:t>
            </w:r>
          </w:p>
        </w:tc>
        <w:tc>
          <w:tcPr>
            <w:tcW w:w="510" w:type="pct"/>
            <w:tcBorders>
              <w:top w:val="nil"/>
              <w:left w:val="nil"/>
              <w:bottom w:val="single" w:color="auto" w:sz="8" w:space="0"/>
              <w:right w:val="single" w:color="auto" w:sz="4" w:space="0"/>
            </w:tcBorders>
            <w:noWrap/>
            <w:vAlign w:val="center"/>
          </w:tcPr>
          <w:p w14:paraId="27B13D1E">
            <w:pPr>
              <w:spacing w:line="240" w:lineRule="auto"/>
              <w:rPr>
                <w:rFonts w:ascii="Arial" w:hAnsi="Arial" w:cs="Arial"/>
                <w:snapToGrid w:val="0"/>
                <w:sz w:val="16"/>
              </w:rPr>
            </w:pPr>
            <w:r>
              <w:rPr>
                <w:rFonts w:hint="eastAsia" w:ascii="Arial" w:hAnsi="Arial" w:cs="Arial"/>
                <w:snapToGrid w:val="0"/>
                <w:sz w:val="16"/>
              </w:rPr>
              <w:t>7230</w:t>
            </w:r>
          </w:p>
        </w:tc>
        <w:tc>
          <w:tcPr>
            <w:tcW w:w="1754" w:type="pct"/>
            <w:tcBorders>
              <w:top w:val="nil"/>
              <w:left w:val="nil"/>
              <w:bottom w:val="single" w:color="auto" w:sz="8" w:space="0"/>
              <w:right w:val="single" w:color="auto" w:sz="4" w:space="0"/>
            </w:tcBorders>
            <w:noWrap/>
            <w:vAlign w:val="center"/>
          </w:tcPr>
          <w:p w14:paraId="7802B132">
            <w:pPr>
              <w:widowControl/>
              <w:adjustRightInd/>
              <w:spacing w:line="240" w:lineRule="auto"/>
              <w:textAlignment w:val="auto"/>
              <w:rPr>
                <w:rFonts w:ascii="Arial" w:hAnsi="Arial" w:cs="Arial"/>
                <w:snapToGrid w:val="0"/>
                <w:sz w:val="16"/>
              </w:rPr>
            </w:pPr>
            <w:r>
              <w:rPr>
                <w:rFonts w:ascii="Arial" w:hAnsi="Arial" w:cs="Arial"/>
                <w:snapToGrid w:val="0"/>
                <w:sz w:val="16"/>
              </w:rPr>
              <w:t>收益价值÷建筑面积</w:t>
            </w:r>
          </w:p>
        </w:tc>
        <w:tc>
          <w:tcPr>
            <w:tcW w:w="805" w:type="pct"/>
            <w:tcBorders>
              <w:top w:val="nil"/>
              <w:left w:val="nil"/>
              <w:bottom w:val="single" w:color="auto" w:sz="8" w:space="0"/>
              <w:right w:val="single" w:color="auto" w:sz="4" w:space="0"/>
            </w:tcBorders>
            <w:noWrap/>
            <w:vAlign w:val="center"/>
          </w:tcPr>
          <w:p w14:paraId="7239BEEF">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p>
        </w:tc>
        <w:tc>
          <w:tcPr>
            <w:tcW w:w="537" w:type="pct"/>
            <w:tcBorders>
              <w:top w:val="nil"/>
              <w:left w:val="nil"/>
              <w:bottom w:val="single" w:color="auto" w:sz="8" w:space="0"/>
              <w:right w:val="single" w:color="auto" w:sz="8" w:space="0"/>
            </w:tcBorders>
            <w:noWrap/>
            <w:vAlign w:val="center"/>
          </w:tcPr>
          <w:p w14:paraId="1A0FEEB5">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31152.00</w:t>
            </w:r>
            <w:r>
              <w:rPr>
                <w:rFonts w:ascii="Arial" w:hAnsi="Arial" w:cs="Arial"/>
                <w:snapToGrid w:val="0"/>
                <w:sz w:val="16"/>
              </w:rPr>
              <w:t xml:space="preserve"> </w:t>
            </w:r>
          </w:p>
        </w:tc>
      </w:tr>
    </w:tbl>
    <w:p w14:paraId="73E98BC9">
      <w:pPr>
        <w:spacing w:after="26" w:line="360" w:lineRule="auto"/>
        <w:ind w:firstLine="560" w:firstLineChars="200"/>
        <w:rPr>
          <w:rFonts w:ascii="Arial" w:hAnsi="Arial" w:cs="Arial"/>
          <w:sz w:val="28"/>
        </w:rPr>
      </w:pPr>
    </w:p>
    <w:p w14:paraId="2AE8A0A9">
      <w:pPr>
        <w:spacing w:line="360" w:lineRule="auto"/>
        <w:ind w:firstLine="560" w:firstLineChars="200"/>
        <w:jc w:val="both"/>
        <w:rPr>
          <w:rFonts w:ascii="Arial" w:hAnsi="Arial" w:cs="Arial"/>
          <w:sz w:val="28"/>
        </w:rPr>
      </w:pPr>
      <w:r>
        <w:rPr>
          <w:rFonts w:ascii="Arial" w:hAnsi="Arial" w:cs="Arial"/>
          <w:sz w:val="28"/>
        </w:rPr>
        <w:t>2）商业用房开发完成后不动产总价</w:t>
      </w:r>
    </w:p>
    <w:p w14:paraId="6ADE7239">
      <w:pPr>
        <w:spacing w:line="360" w:lineRule="auto"/>
        <w:ind w:firstLine="560" w:firstLineChars="200"/>
        <w:jc w:val="both"/>
        <w:rPr>
          <w:rFonts w:ascii="Arial" w:hAnsi="Arial" w:cs="Arial"/>
          <w:sz w:val="28"/>
        </w:rPr>
      </w:pPr>
      <w:r>
        <w:rPr>
          <w:rFonts w:hint="eastAsia" w:ascii="Arial" w:hAnsi="Arial" w:cs="Arial"/>
          <w:sz w:val="28"/>
        </w:rPr>
        <w:t>通过对昌平区马池口镇百泉庄村附近商业用房租赁市场的调查，选取近期同一供需圈及邻近地区实际成交的案例进行分析比较，咨询对象周边租金水平约50-65元</w:t>
      </w:r>
      <w:r>
        <w:rPr>
          <w:rFonts w:ascii="Arial" w:hAnsi="Arial" w:cs="Arial"/>
          <w:sz w:val="28"/>
        </w:rPr>
        <w:t>/</w:t>
      </w:r>
      <w:r>
        <w:rPr>
          <w:rFonts w:hint="eastAsia" w:ascii="Arial" w:hAnsi="Arial" w:cs="Arial"/>
          <w:sz w:val="28"/>
        </w:rPr>
        <w:t>平方米/月，结合咨询对象自身项目情况，最终估算咨询对象租金水平为58元</w:t>
      </w:r>
      <w:r>
        <w:rPr>
          <w:rFonts w:ascii="Arial" w:hAnsi="Arial" w:cs="Arial"/>
          <w:sz w:val="28"/>
        </w:rPr>
        <w:t>/</w:t>
      </w:r>
      <w:r>
        <w:rPr>
          <w:rFonts w:hint="eastAsia" w:ascii="Arial" w:hAnsi="Arial" w:cs="Arial"/>
          <w:sz w:val="28"/>
        </w:rPr>
        <w:t>平方米/月。</w:t>
      </w:r>
    </w:p>
    <w:tbl>
      <w:tblPr>
        <w:tblStyle w:val="32"/>
        <w:tblW w:w="5091" w:type="pct"/>
        <w:tblInd w:w="-176" w:type="dxa"/>
        <w:tblLayout w:type="fixed"/>
        <w:tblCellMar>
          <w:top w:w="0" w:type="dxa"/>
          <w:left w:w="108" w:type="dxa"/>
          <w:bottom w:w="0" w:type="dxa"/>
          <w:right w:w="108" w:type="dxa"/>
        </w:tblCellMar>
      </w:tblPr>
      <w:tblGrid>
        <w:gridCol w:w="761"/>
        <w:gridCol w:w="1973"/>
        <w:gridCol w:w="952"/>
        <w:gridCol w:w="3503"/>
        <w:gridCol w:w="1599"/>
        <w:gridCol w:w="901"/>
      </w:tblGrid>
      <w:tr w14:paraId="6D45B1B6">
        <w:tblPrEx>
          <w:tblCellMar>
            <w:top w:w="0" w:type="dxa"/>
            <w:left w:w="108" w:type="dxa"/>
            <w:bottom w:w="0" w:type="dxa"/>
            <w:right w:w="108" w:type="dxa"/>
          </w:tblCellMar>
        </w:tblPrEx>
        <w:trPr>
          <w:trHeight w:val="360" w:hRule="atLeast"/>
        </w:trPr>
        <w:tc>
          <w:tcPr>
            <w:tcW w:w="392" w:type="pct"/>
            <w:tcBorders>
              <w:top w:val="single" w:color="auto" w:sz="8" w:space="0"/>
              <w:left w:val="single" w:color="auto" w:sz="8" w:space="0"/>
              <w:bottom w:val="single" w:color="auto" w:sz="4" w:space="0"/>
              <w:right w:val="single" w:color="auto" w:sz="4" w:space="0"/>
            </w:tcBorders>
            <w:noWrap/>
            <w:vAlign w:val="center"/>
          </w:tcPr>
          <w:p w14:paraId="5E775449">
            <w:pPr>
              <w:widowControl/>
              <w:adjustRightInd/>
              <w:spacing w:line="240" w:lineRule="auto"/>
              <w:textAlignment w:val="auto"/>
              <w:rPr>
                <w:rFonts w:ascii="Arial" w:hAnsi="Arial" w:cs="Arial"/>
                <w:snapToGrid w:val="0"/>
                <w:sz w:val="16"/>
              </w:rPr>
            </w:pPr>
            <w:r>
              <w:rPr>
                <w:rFonts w:ascii="Arial" w:hAnsi="Arial" w:cs="Arial"/>
                <w:snapToGrid w:val="0"/>
                <w:sz w:val="16"/>
              </w:rPr>
              <w:t>序号</w:t>
            </w:r>
          </w:p>
        </w:tc>
        <w:tc>
          <w:tcPr>
            <w:tcW w:w="1018" w:type="pct"/>
            <w:tcBorders>
              <w:top w:val="single" w:color="auto" w:sz="8" w:space="0"/>
              <w:left w:val="nil"/>
              <w:bottom w:val="single" w:color="auto" w:sz="4" w:space="0"/>
              <w:right w:val="single" w:color="auto" w:sz="4" w:space="0"/>
            </w:tcBorders>
            <w:noWrap/>
            <w:vAlign w:val="center"/>
          </w:tcPr>
          <w:p w14:paraId="787E7213">
            <w:pPr>
              <w:widowControl/>
              <w:adjustRightInd/>
              <w:spacing w:line="240" w:lineRule="auto"/>
              <w:textAlignment w:val="auto"/>
              <w:rPr>
                <w:rFonts w:ascii="Arial" w:hAnsi="Arial" w:cs="Arial"/>
                <w:snapToGrid w:val="0"/>
                <w:sz w:val="16"/>
              </w:rPr>
            </w:pPr>
            <w:r>
              <w:rPr>
                <w:rFonts w:ascii="Arial" w:hAnsi="Arial" w:cs="Arial"/>
                <w:snapToGrid w:val="0"/>
                <w:sz w:val="16"/>
              </w:rPr>
              <w:t>项目</w:t>
            </w:r>
          </w:p>
        </w:tc>
        <w:tc>
          <w:tcPr>
            <w:tcW w:w="491" w:type="pct"/>
            <w:tcBorders>
              <w:top w:val="single" w:color="auto" w:sz="8" w:space="0"/>
              <w:left w:val="nil"/>
              <w:bottom w:val="single" w:color="auto" w:sz="4" w:space="0"/>
              <w:right w:val="single" w:color="auto" w:sz="4" w:space="0"/>
            </w:tcBorders>
            <w:noWrap/>
            <w:vAlign w:val="center"/>
          </w:tcPr>
          <w:p w14:paraId="59DE6099">
            <w:pPr>
              <w:widowControl/>
              <w:adjustRightInd/>
              <w:spacing w:line="240" w:lineRule="auto"/>
              <w:textAlignment w:val="auto"/>
              <w:rPr>
                <w:rFonts w:ascii="Arial" w:hAnsi="Arial" w:cs="Arial"/>
                <w:snapToGrid w:val="0"/>
                <w:sz w:val="16"/>
              </w:rPr>
            </w:pPr>
            <w:r>
              <w:rPr>
                <w:rFonts w:ascii="Arial" w:hAnsi="Arial" w:cs="Arial"/>
                <w:snapToGrid w:val="0"/>
                <w:sz w:val="16"/>
              </w:rPr>
              <w:t>数额</w:t>
            </w:r>
          </w:p>
        </w:tc>
        <w:tc>
          <w:tcPr>
            <w:tcW w:w="1808" w:type="pct"/>
            <w:tcBorders>
              <w:top w:val="single" w:color="auto" w:sz="8" w:space="0"/>
              <w:left w:val="nil"/>
              <w:bottom w:val="single" w:color="auto" w:sz="4" w:space="0"/>
              <w:right w:val="single" w:color="auto" w:sz="4" w:space="0"/>
            </w:tcBorders>
            <w:noWrap/>
            <w:vAlign w:val="center"/>
          </w:tcPr>
          <w:p w14:paraId="60B7E26A">
            <w:pPr>
              <w:widowControl/>
              <w:adjustRightInd/>
              <w:spacing w:line="240" w:lineRule="auto"/>
              <w:textAlignment w:val="auto"/>
              <w:rPr>
                <w:rFonts w:ascii="Arial" w:hAnsi="Arial" w:cs="Arial"/>
                <w:snapToGrid w:val="0"/>
                <w:sz w:val="16"/>
              </w:rPr>
            </w:pPr>
            <w:r>
              <w:rPr>
                <w:rFonts w:ascii="Arial" w:hAnsi="Arial" w:cs="Arial"/>
                <w:snapToGrid w:val="0"/>
                <w:sz w:val="16"/>
              </w:rPr>
              <w:t>计算公式</w:t>
            </w:r>
          </w:p>
        </w:tc>
        <w:tc>
          <w:tcPr>
            <w:tcW w:w="825" w:type="pct"/>
            <w:tcBorders>
              <w:top w:val="single" w:color="auto" w:sz="8" w:space="0"/>
              <w:left w:val="nil"/>
              <w:bottom w:val="single" w:color="auto" w:sz="4" w:space="0"/>
              <w:right w:val="nil"/>
            </w:tcBorders>
            <w:noWrap/>
            <w:vAlign w:val="center"/>
          </w:tcPr>
          <w:p w14:paraId="6A91940D">
            <w:pPr>
              <w:widowControl/>
              <w:adjustRightInd/>
              <w:spacing w:line="240" w:lineRule="auto"/>
              <w:textAlignment w:val="auto"/>
              <w:rPr>
                <w:rFonts w:ascii="Arial" w:hAnsi="Arial" w:cs="Arial"/>
                <w:snapToGrid w:val="0"/>
                <w:sz w:val="16"/>
              </w:rPr>
            </w:pPr>
            <w:r>
              <w:rPr>
                <w:rFonts w:ascii="Arial" w:hAnsi="Arial" w:cs="Arial"/>
                <w:snapToGrid w:val="0"/>
                <w:sz w:val="16"/>
              </w:rPr>
              <w:t>取费标准</w:t>
            </w:r>
          </w:p>
        </w:tc>
        <w:tc>
          <w:tcPr>
            <w:tcW w:w="464" w:type="pct"/>
            <w:tcBorders>
              <w:top w:val="single" w:color="auto" w:sz="8" w:space="0"/>
              <w:left w:val="nil"/>
              <w:bottom w:val="single" w:color="auto" w:sz="4" w:space="0"/>
              <w:right w:val="single" w:color="auto" w:sz="8" w:space="0"/>
            </w:tcBorders>
            <w:noWrap/>
            <w:vAlign w:val="center"/>
          </w:tcPr>
          <w:p w14:paraId="0FA50C09">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4F49D3F5">
        <w:tblPrEx>
          <w:tblCellMar>
            <w:top w:w="0" w:type="dxa"/>
            <w:left w:w="108" w:type="dxa"/>
            <w:bottom w:w="0" w:type="dxa"/>
            <w:right w:w="108" w:type="dxa"/>
          </w:tblCellMar>
        </w:tblPrEx>
        <w:trPr>
          <w:trHeight w:val="360" w:hRule="atLeast"/>
        </w:trPr>
        <w:tc>
          <w:tcPr>
            <w:tcW w:w="392" w:type="pct"/>
            <w:tcBorders>
              <w:top w:val="nil"/>
              <w:left w:val="single" w:color="auto" w:sz="8" w:space="0"/>
              <w:bottom w:val="nil"/>
              <w:right w:val="single" w:color="auto" w:sz="4" w:space="0"/>
            </w:tcBorders>
            <w:noWrap/>
            <w:vAlign w:val="center"/>
          </w:tcPr>
          <w:p w14:paraId="3C7EF2E5">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18" w:type="pct"/>
            <w:tcBorders>
              <w:top w:val="nil"/>
              <w:left w:val="nil"/>
              <w:bottom w:val="nil"/>
              <w:right w:val="single" w:color="auto" w:sz="4" w:space="0"/>
            </w:tcBorders>
            <w:vAlign w:val="center"/>
          </w:tcPr>
          <w:p w14:paraId="763829B4">
            <w:pPr>
              <w:widowControl/>
              <w:adjustRightInd/>
              <w:spacing w:line="240" w:lineRule="auto"/>
              <w:textAlignment w:val="auto"/>
              <w:rPr>
                <w:rFonts w:ascii="Arial" w:hAnsi="Arial" w:cs="Arial"/>
                <w:snapToGrid w:val="0"/>
                <w:sz w:val="16"/>
              </w:rPr>
            </w:pPr>
            <w:r>
              <w:rPr>
                <w:rFonts w:ascii="Arial" w:hAnsi="Arial" w:cs="Arial"/>
                <w:snapToGrid w:val="0"/>
                <w:sz w:val="16"/>
              </w:rPr>
              <w:t>未来第一年年总收益</w:t>
            </w:r>
          </w:p>
        </w:tc>
        <w:tc>
          <w:tcPr>
            <w:tcW w:w="491" w:type="pct"/>
            <w:tcBorders>
              <w:top w:val="nil"/>
              <w:left w:val="nil"/>
              <w:bottom w:val="nil"/>
              <w:right w:val="single" w:color="auto" w:sz="4" w:space="0"/>
            </w:tcBorders>
            <w:noWrap/>
            <w:vAlign w:val="center"/>
          </w:tcPr>
          <w:p w14:paraId="7D81E0B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50</w:t>
            </w:r>
          </w:p>
        </w:tc>
        <w:tc>
          <w:tcPr>
            <w:tcW w:w="3098" w:type="pct"/>
            <w:gridSpan w:val="3"/>
            <w:tcBorders>
              <w:top w:val="single" w:color="auto" w:sz="4" w:space="0"/>
              <w:left w:val="nil"/>
              <w:bottom w:val="single" w:color="auto" w:sz="4" w:space="0"/>
              <w:right w:val="single" w:color="auto" w:sz="4" w:space="0"/>
            </w:tcBorders>
            <w:noWrap/>
            <w:vAlign w:val="center"/>
          </w:tcPr>
          <w:p w14:paraId="570FFDEF">
            <w:pPr>
              <w:widowControl/>
              <w:adjustRightInd/>
              <w:spacing w:line="240" w:lineRule="auto"/>
              <w:textAlignment w:val="auto"/>
              <w:rPr>
                <w:rFonts w:ascii="Arial" w:hAnsi="Arial" w:cs="Arial"/>
                <w:snapToGrid w:val="0"/>
                <w:sz w:val="16"/>
              </w:rPr>
            </w:pPr>
            <w:r>
              <w:rPr>
                <w:rFonts w:ascii="Arial" w:hAnsi="Arial" w:cs="Arial"/>
                <w:snapToGrid w:val="0"/>
                <w:sz w:val="16"/>
              </w:rPr>
              <w:t>年租金收入+押金利息收入</w:t>
            </w:r>
          </w:p>
        </w:tc>
      </w:tr>
      <w:tr w14:paraId="7DAEF570">
        <w:tblPrEx>
          <w:tblCellMar>
            <w:top w:w="0" w:type="dxa"/>
            <w:left w:w="108" w:type="dxa"/>
            <w:bottom w:w="0" w:type="dxa"/>
            <w:right w:w="108" w:type="dxa"/>
          </w:tblCellMar>
        </w:tblPrEx>
        <w:trPr>
          <w:trHeight w:val="360" w:hRule="atLeast"/>
        </w:trPr>
        <w:tc>
          <w:tcPr>
            <w:tcW w:w="392" w:type="pct"/>
            <w:vMerge w:val="restart"/>
            <w:tcBorders>
              <w:top w:val="single" w:color="auto" w:sz="4" w:space="0"/>
              <w:left w:val="single" w:color="auto" w:sz="8" w:space="0"/>
              <w:right w:val="single" w:color="auto" w:sz="4" w:space="0"/>
            </w:tcBorders>
            <w:noWrap/>
            <w:vAlign w:val="center"/>
          </w:tcPr>
          <w:p w14:paraId="77E89361">
            <w:pPr>
              <w:widowControl/>
              <w:adjustRightInd/>
              <w:spacing w:line="240" w:lineRule="auto"/>
              <w:textAlignment w:val="auto"/>
              <w:rPr>
                <w:rFonts w:ascii="Arial" w:hAnsi="Arial" w:cs="Arial"/>
                <w:snapToGrid w:val="0"/>
                <w:sz w:val="16"/>
              </w:rPr>
            </w:pPr>
            <w:r>
              <w:rPr>
                <w:rFonts w:ascii="Arial" w:hAnsi="Arial" w:cs="Arial"/>
                <w:snapToGrid w:val="0"/>
                <w:sz w:val="16"/>
              </w:rPr>
              <w:t>（1）</w:t>
            </w:r>
          </w:p>
          <w:p w14:paraId="541870A7">
            <w:pPr>
              <w:spacing w:line="240" w:lineRule="auto"/>
              <w:rPr>
                <w:rFonts w:ascii="Arial" w:hAnsi="Arial" w:cs="Arial"/>
                <w:snapToGrid w:val="0"/>
                <w:sz w:val="16"/>
              </w:rPr>
            </w:pPr>
          </w:p>
        </w:tc>
        <w:tc>
          <w:tcPr>
            <w:tcW w:w="1018" w:type="pct"/>
            <w:vMerge w:val="restart"/>
            <w:tcBorders>
              <w:top w:val="single" w:color="auto" w:sz="4" w:space="0"/>
              <w:left w:val="single" w:color="auto" w:sz="4" w:space="0"/>
              <w:bottom w:val="single" w:color="000000" w:sz="4" w:space="0"/>
              <w:right w:val="single" w:color="auto" w:sz="4" w:space="0"/>
            </w:tcBorders>
          </w:tcPr>
          <w:p w14:paraId="105EAFC7">
            <w:pPr>
              <w:widowControl/>
              <w:adjustRightInd/>
              <w:spacing w:line="240" w:lineRule="auto"/>
              <w:textAlignment w:val="auto"/>
              <w:rPr>
                <w:rFonts w:ascii="Arial" w:hAnsi="Arial" w:cs="Arial"/>
                <w:snapToGrid w:val="0"/>
                <w:sz w:val="16"/>
              </w:rPr>
            </w:pPr>
            <w:r>
              <w:rPr>
                <w:rFonts w:ascii="Arial" w:hAnsi="Arial" w:cs="Arial"/>
                <w:snapToGrid w:val="0"/>
                <w:sz w:val="16"/>
              </w:rPr>
              <w:t>年租金收入（年经营收入）</w:t>
            </w:r>
          </w:p>
        </w:tc>
        <w:tc>
          <w:tcPr>
            <w:tcW w:w="491" w:type="pct"/>
            <w:tcBorders>
              <w:top w:val="single" w:color="auto" w:sz="4" w:space="0"/>
              <w:left w:val="nil"/>
              <w:bottom w:val="nil"/>
              <w:right w:val="single" w:color="auto" w:sz="4" w:space="0"/>
            </w:tcBorders>
            <w:noWrap/>
            <w:vAlign w:val="center"/>
          </w:tcPr>
          <w:p w14:paraId="595241D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50</w:t>
            </w:r>
          </w:p>
        </w:tc>
        <w:tc>
          <w:tcPr>
            <w:tcW w:w="1808" w:type="pct"/>
            <w:tcBorders>
              <w:top w:val="single" w:color="auto" w:sz="4" w:space="0"/>
              <w:left w:val="nil"/>
              <w:bottom w:val="nil"/>
              <w:right w:val="single" w:color="auto" w:sz="4" w:space="0"/>
            </w:tcBorders>
            <w:noWrap/>
            <w:vAlign w:val="center"/>
          </w:tcPr>
          <w:p w14:paraId="3F5A6D9D">
            <w:pPr>
              <w:widowControl/>
              <w:adjustRightInd/>
              <w:spacing w:line="240" w:lineRule="auto"/>
              <w:textAlignment w:val="auto"/>
              <w:rPr>
                <w:rFonts w:ascii="Arial" w:hAnsi="Arial" w:cs="Arial"/>
                <w:snapToGrid w:val="0"/>
                <w:sz w:val="16"/>
              </w:rPr>
            </w:pPr>
            <w:r>
              <w:rPr>
                <w:rFonts w:ascii="Arial" w:hAnsi="Arial" w:cs="Arial"/>
                <w:snapToGrid w:val="0"/>
                <w:sz w:val="16"/>
              </w:rPr>
              <w:t>租金×月数×（1-空置率）</w:t>
            </w:r>
          </w:p>
        </w:tc>
        <w:tc>
          <w:tcPr>
            <w:tcW w:w="825" w:type="pct"/>
            <w:tcBorders>
              <w:top w:val="single" w:color="auto" w:sz="4" w:space="0"/>
              <w:left w:val="nil"/>
              <w:bottom w:val="single" w:color="auto" w:sz="4" w:space="0"/>
              <w:right w:val="single" w:color="auto" w:sz="4" w:space="0"/>
            </w:tcBorders>
            <w:noWrap/>
            <w:vAlign w:val="center"/>
          </w:tcPr>
          <w:p w14:paraId="1BE93B4A">
            <w:pPr>
              <w:spacing w:line="240" w:lineRule="auto"/>
              <w:rPr>
                <w:rFonts w:ascii="Arial" w:hAnsi="Arial" w:cs="Arial"/>
                <w:snapToGrid w:val="0"/>
                <w:sz w:val="16"/>
              </w:rPr>
            </w:pPr>
            <w:r>
              <w:rPr>
                <w:rFonts w:ascii="Arial" w:hAnsi="Arial" w:cs="Arial"/>
                <w:snapToGrid w:val="0"/>
                <w:sz w:val="16"/>
              </w:rPr>
              <w:t>租金（元/</w:t>
            </w:r>
            <w:r>
              <w:rPr>
                <w:rFonts w:hint="eastAsia" w:ascii="Arial" w:hAnsi="Arial" w:cs="Arial"/>
                <w:snapToGrid w:val="0"/>
                <w:sz w:val="16"/>
              </w:rPr>
              <w:t>平方米</w:t>
            </w:r>
            <w:r>
              <w:rPr>
                <w:rFonts w:ascii="Arial" w:hAnsi="Arial" w:cs="Arial"/>
                <w:snapToGrid w:val="0"/>
                <w:sz w:val="16"/>
              </w:rPr>
              <w:t>/</w:t>
            </w:r>
            <w:r>
              <w:rPr>
                <w:rFonts w:hint="eastAsia" w:ascii="Arial" w:hAnsi="Arial" w:cs="Arial"/>
                <w:snapToGrid w:val="0"/>
                <w:sz w:val="16"/>
              </w:rPr>
              <w:t>月</w:t>
            </w:r>
            <w:r>
              <w:rPr>
                <w:rFonts w:ascii="Arial" w:hAnsi="Arial" w:cs="Arial"/>
                <w:snapToGrid w:val="0"/>
                <w:sz w:val="16"/>
              </w:rPr>
              <w:t>）</w:t>
            </w:r>
          </w:p>
        </w:tc>
        <w:tc>
          <w:tcPr>
            <w:tcW w:w="464" w:type="pct"/>
            <w:tcBorders>
              <w:top w:val="single" w:color="auto" w:sz="4" w:space="0"/>
              <w:left w:val="nil"/>
              <w:bottom w:val="single" w:color="auto" w:sz="4" w:space="0"/>
              <w:right w:val="single" w:color="auto" w:sz="8" w:space="0"/>
            </w:tcBorders>
            <w:noWrap/>
            <w:vAlign w:val="center"/>
          </w:tcPr>
          <w:p w14:paraId="6B70D96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58</w:t>
            </w:r>
          </w:p>
        </w:tc>
      </w:tr>
      <w:tr w14:paraId="233D219A">
        <w:tblPrEx>
          <w:tblCellMar>
            <w:top w:w="0" w:type="dxa"/>
            <w:left w:w="108" w:type="dxa"/>
            <w:bottom w:w="0" w:type="dxa"/>
            <w:right w:w="108" w:type="dxa"/>
          </w:tblCellMar>
        </w:tblPrEx>
        <w:trPr>
          <w:trHeight w:val="447" w:hRule="atLeast"/>
        </w:trPr>
        <w:tc>
          <w:tcPr>
            <w:tcW w:w="392" w:type="pct"/>
            <w:vMerge w:val="continue"/>
            <w:tcBorders>
              <w:left w:val="single" w:color="auto" w:sz="8" w:space="0"/>
              <w:right w:val="single" w:color="auto" w:sz="4" w:space="0"/>
            </w:tcBorders>
            <w:noWrap/>
            <w:vAlign w:val="center"/>
          </w:tcPr>
          <w:p w14:paraId="69097840">
            <w:pPr>
              <w:spacing w:line="240" w:lineRule="auto"/>
              <w:rPr>
                <w:rFonts w:ascii="Arial" w:hAnsi="Arial" w:cs="Arial"/>
                <w:snapToGrid w:val="0"/>
                <w:sz w:val="16"/>
              </w:rPr>
            </w:pPr>
          </w:p>
        </w:tc>
        <w:tc>
          <w:tcPr>
            <w:tcW w:w="1018" w:type="pct"/>
            <w:vMerge w:val="continue"/>
            <w:tcBorders>
              <w:top w:val="single" w:color="auto" w:sz="4" w:space="0"/>
              <w:left w:val="single" w:color="auto" w:sz="4" w:space="0"/>
              <w:bottom w:val="single" w:color="000000" w:sz="4" w:space="0"/>
              <w:right w:val="single" w:color="auto" w:sz="4" w:space="0"/>
            </w:tcBorders>
            <w:vAlign w:val="center"/>
          </w:tcPr>
          <w:p w14:paraId="5CFF9C5D">
            <w:pPr>
              <w:widowControl/>
              <w:adjustRightInd/>
              <w:spacing w:line="240" w:lineRule="auto"/>
              <w:textAlignment w:val="auto"/>
              <w:rPr>
                <w:rFonts w:ascii="Arial" w:hAnsi="Arial" w:cs="Arial"/>
                <w:snapToGrid w:val="0"/>
                <w:sz w:val="16"/>
              </w:rPr>
            </w:pPr>
          </w:p>
        </w:tc>
        <w:tc>
          <w:tcPr>
            <w:tcW w:w="491" w:type="pct"/>
            <w:tcBorders>
              <w:top w:val="nil"/>
              <w:left w:val="nil"/>
              <w:bottom w:val="nil"/>
              <w:right w:val="single" w:color="auto" w:sz="4" w:space="0"/>
            </w:tcBorders>
            <w:noWrap/>
            <w:vAlign w:val="center"/>
          </w:tcPr>
          <w:p w14:paraId="6ED7EB70">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nil"/>
              <w:right w:val="single" w:color="auto" w:sz="4" w:space="0"/>
            </w:tcBorders>
            <w:noWrap/>
            <w:vAlign w:val="center"/>
          </w:tcPr>
          <w:p w14:paraId="2DF5B098">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single" w:color="auto" w:sz="4" w:space="0"/>
              <w:right w:val="single" w:color="auto" w:sz="4" w:space="0"/>
            </w:tcBorders>
            <w:noWrap/>
            <w:vAlign w:val="center"/>
          </w:tcPr>
          <w:p w14:paraId="6D51D063">
            <w:pPr>
              <w:spacing w:line="240" w:lineRule="auto"/>
              <w:rPr>
                <w:rFonts w:ascii="Arial" w:hAnsi="Arial" w:cs="Arial"/>
                <w:snapToGrid w:val="0"/>
                <w:sz w:val="16"/>
              </w:rPr>
            </w:pPr>
            <w:r>
              <w:rPr>
                <w:rFonts w:hint="eastAsia" w:ascii="Arial" w:hAnsi="Arial" w:cs="Arial"/>
                <w:snapToGrid w:val="0"/>
                <w:sz w:val="16"/>
              </w:rPr>
              <w:t>面积</w:t>
            </w:r>
            <w:r>
              <w:rPr>
                <w:rFonts w:ascii="Arial" w:hAnsi="Arial" w:cs="Arial"/>
                <w:snapToGrid w:val="0"/>
                <w:sz w:val="16"/>
              </w:rPr>
              <w:t>（</w:t>
            </w:r>
            <w:r>
              <w:rPr>
                <w:rFonts w:hint="eastAsia" w:ascii="Arial" w:hAnsi="Arial" w:cs="Arial"/>
                <w:snapToGrid w:val="0"/>
                <w:sz w:val="16"/>
              </w:rPr>
              <w:t>平方米</w:t>
            </w:r>
            <w:r>
              <w:rPr>
                <w:rFonts w:ascii="Arial" w:hAnsi="Arial" w:cs="Arial"/>
                <w:snapToGrid w:val="0"/>
                <w:sz w:val="16"/>
              </w:rPr>
              <w:t>）</w:t>
            </w:r>
          </w:p>
        </w:tc>
        <w:tc>
          <w:tcPr>
            <w:tcW w:w="464" w:type="pct"/>
            <w:tcBorders>
              <w:top w:val="nil"/>
              <w:left w:val="nil"/>
              <w:bottom w:val="single" w:color="auto" w:sz="4" w:space="0"/>
              <w:right w:val="single" w:color="auto" w:sz="8" w:space="0"/>
            </w:tcBorders>
            <w:noWrap/>
            <w:vAlign w:val="center"/>
          </w:tcPr>
          <w:p w14:paraId="3B34CA5D">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796</w:t>
            </w:r>
          </w:p>
        </w:tc>
      </w:tr>
      <w:tr w14:paraId="09F59911">
        <w:tblPrEx>
          <w:tblCellMar>
            <w:top w:w="0" w:type="dxa"/>
            <w:left w:w="108" w:type="dxa"/>
            <w:bottom w:w="0" w:type="dxa"/>
            <w:right w:w="108" w:type="dxa"/>
          </w:tblCellMar>
        </w:tblPrEx>
        <w:trPr>
          <w:trHeight w:val="360" w:hRule="atLeast"/>
        </w:trPr>
        <w:tc>
          <w:tcPr>
            <w:tcW w:w="392" w:type="pct"/>
            <w:vMerge w:val="continue"/>
            <w:tcBorders>
              <w:left w:val="single" w:color="auto" w:sz="8" w:space="0"/>
              <w:right w:val="single" w:color="auto" w:sz="4" w:space="0"/>
            </w:tcBorders>
            <w:noWrap/>
            <w:vAlign w:val="center"/>
          </w:tcPr>
          <w:p w14:paraId="4106285A">
            <w:pPr>
              <w:spacing w:line="240" w:lineRule="auto"/>
              <w:rPr>
                <w:rFonts w:ascii="Arial" w:hAnsi="Arial" w:cs="Arial"/>
                <w:snapToGrid w:val="0"/>
                <w:sz w:val="16"/>
              </w:rPr>
            </w:pPr>
          </w:p>
        </w:tc>
        <w:tc>
          <w:tcPr>
            <w:tcW w:w="1018" w:type="pct"/>
            <w:vMerge w:val="continue"/>
            <w:tcBorders>
              <w:top w:val="single" w:color="auto" w:sz="4" w:space="0"/>
              <w:left w:val="single" w:color="auto" w:sz="4" w:space="0"/>
              <w:bottom w:val="single" w:color="000000" w:sz="4" w:space="0"/>
              <w:right w:val="single" w:color="auto" w:sz="4" w:space="0"/>
            </w:tcBorders>
            <w:vAlign w:val="center"/>
          </w:tcPr>
          <w:p w14:paraId="20CF9A95">
            <w:pPr>
              <w:widowControl/>
              <w:adjustRightInd/>
              <w:spacing w:line="240" w:lineRule="auto"/>
              <w:textAlignment w:val="auto"/>
              <w:rPr>
                <w:rFonts w:ascii="Arial" w:hAnsi="Arial" w:cs="Arial"/>
                <w:snapToGrid w:val="0"/>
                <w:sz w:val="16"/>
              </w:rPr>
            </w:pPr>
          </w:p>
        </w:tc>
        <w:tc>
          <w:tcPr>
            <w:tcW w:w="491" w:type="pct"/>
            <w:tcBorders>
              <w:top w:val="nil"/>
              <w:left w:val="nil"/>
              <w:bottom w:val="nil"/>
              <w:right w:val="single" w:color="auto" w:sz="4" w:space="0"/>
            </w:tcBorders>
            <w:noWrap/>
            <w:vAlign w:val="center"/>
          </w:tcPr>
          <w:p w14:paraId="587F1DD1">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nil"/>
              <w:right w:val="single" w:color="auto" w:sz="4" w:space="0"/>
            </w:tcBorders>
            <w:noWrap/>
            <w:vAlign w:val="center"/>
          </w:tcPr>
          <w:p w14:paraId="4728EC86">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single" w:color="auto" w:sz="4" w:space="0"/>
              <w:right w:val="single" w:color="auto" w:sz="4" w:space="0"/>
            </w:tcBorders>
            <w:noWrap/>
            <w:vAlign w:val="center"/>
          </w:tcPr>
          <w:p w14:paraId="73F75F79">
            <w:pPr>
              <w:spacing w:line="240" w:lineRule="auto"/>
              <w:rPr>
                <w:rFonts w:ascii="Arial" w:hAnsi="Arial" w:cs="Arial"/>
                <w:snapToGrid w:val="0"/>
                <w:sz w:val="16"/>
              </w:rPr>
            </w:pPr>
            <w:r>
              <w:rPr>
                <w:rFonts w:hint="eastAsia" w:ascii="Arial" w:hAnsi="Arial" w:cs="Arial"/>
                <w:snapToGrid w:val="0"/>
                <w:sz w:val="16"/>
              </w:rPr>
              <w:t>月</w:t>
            </w:r>
            <w:r>
              <w:rPr>
                <w:rFonts w:ascii="Arial" w:hAnsi="Arial" w:cs="Arial"/>
                <w:snapToGrid w:val="0"/>
                <w:sz w:val="16"/>
              </w:rPr>
              <w:t>（个）</w:t>
            </w:r>
          </w:p>
        </w:tc>
        <w:tc>
          <w:tcPr>
            <w:tcW w:w="464" w:type="pct"/>
            <w:tcBorders>
              <w:top w:val="nil"/>
              <w:left w:val="nil"/>
              <w:bottom w:val="single" w:color="auto" w:sz="4" w:space="0"/>
              <w:right w:val="single" w:color="auto" w:sz="8" w:space="0"/>
            </w:tcBorders>
            <w:noWrap/>
            <w:vAlign w:val="center"/>
          </w:tcPr>
          <w:p w14:paraId="52197BB2">
            <w:pPr>
              <w:widowControl/>
              <w:adjustRightInd/>
              <w:spacing w:line="240" w:lineRule="auto"/>
              <w:jc w:val="center"/>
              <w:textAlignment w:val="auto"/>
              <w:rPr>
                <w:rFonts w:ascii="Arial" w:hAnsi="Arial" w:cs="Arial"/>
                <w:snapToGrid w:val="0"/>
                <w:sz w:val="16"/>
              </w:rPr>
            </w:pPr>
            <w:r>
              <w:rPr>
                <w:rFonts w:ascii="Arial" w:hAnsi="Arial" w:cs="Arial"/>
                <w:snapToGrid w:val="0"/>
                <w:sz w:val="16"/>
              </w:rPr>
              <w:t>12</w:t>
            </w:r>
          </w:p>
        </w:tc>
      </w:tr>
      <w:tr w14:paraId="3E1EF6D2">
        <w:trPr>
          <w:trHeight w:val="360" w:hRule="atLeast"/>
        </w:trPr>
        <w:tc>
          <w:tcPr>
            <w:tcW w:w="392" w:type="pct"/>
            <w:vMerge w:val="continue"/>
            <w:tcBorders>
              <w:left w:val="single" w:color="auto" w:sz="8" w:space="0"/>
              <w:bottom w:val="nil"/>
              <w:right w:val="single" w:color="auto" w:sz="4" w:space="0"/>
            </w:tcBorders>
            <w:noWrap/>
            <w:vAlign w:val="center"/>
          </w:tcPr>
          <w:p w14:paraId="1D6F4E08">
            <w:pPr>
              <w:widowControl/>
              <w:adjustRightInd/>
              <w:spacing w:line="240" w:lineRule="auto"/>
              <w:textAlignment w:val="auto"/>
              <w:rPr>
                <w:rFonts w:ascii="Arial" w:hAnsi="Arial" w:cs="Arial"/>
                <w:snapToGrid w:val="0"/>
                <w:sz w:val="16"/>
              </w:rPr>
            </w:pPr>
          </w:p>
        </w:tc>
        <w:tc>
          <w:tcPr>
            <w:tcW w:w="1018" w:type="pct"/>
            <w:vMerge w:val="continue"/>
            <w:tcBorders>
              <w:top w:val="single" w:color="auto" w:sz="4" w:space="0"/>
              <w:left w:val="single" w:color="auto" w:sz="4" w:space="0"/>
              <w:bottom w:val="single" w:color="000000" w:sz="4" w:space="0"/>
              <w:right w:val="single" w:color="auto" w:sz="4" w:space="0"/>
            </w:tcBorders>
            <w:vAlign w:val="center"/>
          </w:tcPr>
          <w:p w14:paraId="5962007C">
            <w:pPr>
              <w:widowControl/>
              <w:adjustRightInd/>
              <w:spacing w:line="240" w:lineRule="auto"/>
              <w:textAlignment w:val="auto"/>
              <w:rPr>
                <w:rFonts w:ascii="Arial" w:hAnsi="Arial" w:cs="Arial"/>
                <w:snapToGrid w:val="0"/>
                <w:sz w:val="16"/>
              </w:rPr>
            </w:pPr>
          </w:p>
        </w:tc>
        <w:tc>
          <w:tcPr>
            <w:tcW w:w="491" w:type="pct"/>
            <w:tcBorders>
              <w:top w:val="nil"/>
              <w:left w:val="nil"/>
              <w:bottom w:val="nil"/>
              <w:right w:val="single" w:color="auto" w:sz="4" w:space="0"/>
            </w:tcBorders>
            <w:noWrap/>
            <w:vAlign w:val="center"/>
          </w:tcPr>
          <w:p w14:paraId="22D7D0CC">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nil"/>
              <w:right w:val="single" w:color="auto" w:sz="4" w:space="0"/>
            </w:tcBorders>
            <w:noWrap/>
            <w:vAlign w:val="center"/>
          </w:tcPr>
          <w:p w14:paraId="3275A7C9">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single" w:color="auto" w:sz="4" w:space="0"/>
              <w:right w:val="single" w:color="auto" w:sz="4" w:space="0"/>
            </w:tcBorders>
            <w:noWrap/>
            <w:vAlign w:val="center"/>
          </w:tcPr>
          <w:p w14:paraId="45A70D1E">
            <w:pPr>
              <w:spacing w:line="240" w:lineRule="auto"/>
              <w:rPr>
                <w:rFonts w:ascii="Arial" w:hAnsi="Arial" w:cs="Arial"/>
                <w:snapToGrid w:val="0"/>
                <w:sz w:val="16"/>
              </w:rPr>
            </w:pPr>
            <w:r>
              <w:rPr>
                <w:rFonts w:ascii="Arial" w:hAnsi="Arial" w:cs="Arial"/>
                <w:snapToGrid w:val="0"/>
                <w:sz w:val="16"/>
              </w:rPr>
              <w:t>空置率（%）</w:t>
            </w:r>
          </w:p>
        </w:tc>
        <w:tc>
          <w:tcPr>
            <w:tcW w:w="464" w:type="pct"/>
            <w:tcBorders>
              <w:top w:val="nil"/>
              <w:left w:val="nil"/>
              <w:bottom w:val="single" w:color="auto" w:sz="4" w:space="0"/>
              <w:right w:val="single" w:color="auto" w:sz="8" w:space="0"/>
            </w:tcBorders>
            <w:noWrap/>
            <w:vAlign w:val="center"/>
          </w:tcPr>
          <w:p w14:paraId="53129E29">
            <w:pPr>
              <w:widowControl/>
              <w:adjustRightInd/>
              <w:spacing w:line="240" w:lineRule="auto"/>
              <w:jc w:val="center"/>
              <w:textAlignment w:val="auto"/>
              <w:rPr>
                <w:rFonts w:ascii="Arial" w:hAnsi="Arial" w:cs="Arial"/>
                <w:snapToGrid w:val="0"/>
                <w:sz w:val="16"/>
              </w:rPr>
            </w:pPr>
            <w:r>
              <w:rPr>
                <w:rFonts w:ascii="Arial" w:hAnsi="Arial" w:cs="Arial"/>
                <w:snapToGrid w:val="0"/>
                <w:sz w:val="16"/>
              </w:rPr>
              <w:t>1</w:t>
            </w:r>
            <w:r>
              <w:rPr>
                <w:rFonts w:hint="eastAsia" w:ascii="Arial" w:hAnsi="Arial" w:cs="Arial"/>
                <w:snapToGrid w:val="0"/>
                <w:sz w:val="16"/>
              </w:rPr>
              <w:t>0</w:t>
            </w:r>
            <w:r>
              <w:rPr>
                <w:rFonts w:ascii="Arial" w:hAnsi="Arial" w:cs="Arial"/>
                <w:snapToGrid w:val="0"/>
                <w:sz w:val="16"/>
              </w:rPr>
              <w:t>.0%</w:t>
            </w:r>
          </w:p>
        </w:tc>
      </w:tr>
      <w:tr w14:paraId="0749E8B7">
        <w:tblPrEx>
          <w:tblCellMar>
            <w:top w:w="0" w:type="dxa"/>
            <w:left w:w="108" w:type="dxa"/>
            <w:bottom w:w="0" w:type="dxa"/>
            <w:right w:w="108" w:type="dxa"/>
          </w:tblCellMar>
        </w:tblPrEx>
        <w:trPr>
          <w:trHeight w:val="360" w:hRule="atLeast"/>
        </w:trPr>
        <w:tc>
          <w:tcPr>
            <w:tcW w:w="392" w:type="pct"/>
            <w:tcBorders>
              <w:top w:val="single" w:color="auto" w:sz="4" w:space="0"/>
              <w:left w:val="single" w:color="auto" w:sz="8" w:space="0"/>
              <w:bottom w:val="nil"/>
              <w:right w:val="single" w:color="auto" w:sz="4" w:space="0"/>
            </w:tcBorders>
            <w:noWrap/>
            <w:vAlign w:val="center"/>
          </w:tcPr>
          <w:p w14:paraId="5894325F">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18" w:type="pct"/>
            <w:tcBorders>
              <w:top w:val="nil"/>
              <w:left w:val="nil"/>
              <w:bottom w:val="nil"/>
              <w:right w:val="single" w:color="auto" w:sz="4" w:space="0"/>
            </w:tcBorders>
            <w:vAlign w:val="center"/>
          </w:tcPr>
          <w:p w14:paraId="21F68775">
            <w:pPr>
              <w:widowControl/>
              <w:adjustRightInd/>
              <w:spacing w:line="240" w:lineRule="auto"/>
              <w:textAlignment w:val="auto"/>
              <w:rPr>
                <w:rFonts w:ascii="Arial" w:hAnsi="Arial" w:cs="Arial"/>
                <w:snapToGrid w:val="0"/>
                <w:sz w:val="16"/>
              </w:rPr>
            </w:pPr>
            <w:r>
              <w:rPr>
                <w:rFonts w:ascii="Arial" w:hAnsi="Arial" w:cs="Arial"/>
                <w:snapToGrid w:val="0"/>
                <w:sz w:val="16"/>
              </w:rPr>
              <w:t>押金利息收入</w:t>
            </w:r>
          </w:p>
        </w:tc>
        <w:tc>
          <w:tcPr>
            <w:tcW w:w="491" w:type="pct"/>
            <w:tcBorders>
              <w:top w:val="single" w:color="auto" w:sz="4" w:space="0"/>
              <w:left w:val="nil"/>
              <w:bottom w:val="single" w:color="auto" w:sz="4" w:space="0"/>
              <w:right w:val="single" w:color="auto" w:sz="4" w:space="0"/>
            </w:tcBorders>
            <w:noWrap/>
            <w:vAlign w:val="center"/>
          </w:tcPr>
          <w:p w14:paraId="5BB025C2">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0.05</w:t>
            </w:r>
          </w:p>
        </w:tc>
        <w:tc>
          <w:tcPr>
            <w:tcW w:w="1808" w:type="pct"/>
            <w:tcBorders>
              <w:top w:val="single" w:color="auto" w:sz="4" w:space="0"/>
              <w:left w:val="nil"/>
              <w:bottom w:val="nil"/>
              <w:right w:val="single" w:color="auto" w:sz="4" w:space="0"/>
            </w:tcBorders>
            <w:noWrap/>
            <w:vAlign w:val="center"/>
          </w:tcPr>
          <w:p w14:paraId="7E78174C">
            <w:pPr>
              <w:widowControl/>
              <w:adjustRightInd/>
              <w:spacing w:line="240" w:lineRule="auto"/>
              <w:textAlignment w:val="auto"/>
              <w:rPr>
                <w:rFonts w:ascii="Arial" w:hAnsi="Arial" w:cs="Arial"/>
                <w:snapToGrid w:val="0"/>
                <w:sz w:val="16"/>
              </w:rPr>
            </w:pPr>
            <w:r>
              <w:rPr>
                <w:rFonts w:ascii="Arial" w:hAnsi="Arial" w:cs="Arial"/>
                <w:snapToGrid w:val="0"/>
                <w:sz w:val="16"/>
              </w:rPr>
              <w:t>押金*一年期存款利率</w:t>
            </w:r>
          </w:p>
        </w:tc>
        <w:tc>
          <w:tcPr>
            <w:tcW w:w="825" w:type="pct"/>
            <w:tcBorders>
              <w:top w:val="nil"/>
              <w:left w:val="nil"/>
              <w:bottom w:val="nil"/>
              <w:right w:val="single" w:color="auto" w:sz="4" w:space="0"/>
            </w:tcBorders>
            <w:noWrap/>
            <w:vAlign w:val="center"/>
          </w:tcPr>
          <w:p w14:paraId="35E904A2">
            <w:pPr>
              <w:widowControl/>
              <w:adjustRightInd/>
              <w:spacing w:line="240" w:lineRule="auto"/>
              <w:textAlignment w:val="auto"/>
              <w:rPr>
                <w:rFonts w:ascii="Arial" w:hAnsi="Arial" w:cs="Arial"/>
                <w:snapToGrid w:val="0"/>
                <w:sz w:val="16"/>
              </w:rPr>
            </w:pPr>
            <w:r>
              <w:rPr>
                <w:rFonts w:ascii="Arial" w:hAnsi="Arial" w:cs="Arial"/>
                <w:snapToGrid w:val="0"/>
                <w:sz w:val="16"/>
              </w:rPr>
              <w:t>押金方式</w:t>
            </w:r>
          </w:p>
        </w:tc>
        <w:tc>
          <w:tcPr>
            <w:tcW w:w="464" w:type="pct"/>
            <w:tcBorders>
              <w:top w:val="nil"/>
              <w:left w:val="nil"/>
              <w:bottom w:val="nil"/>
              <w:right w:val="single" w:color="auto" w:sz="8" w:space="0"/>
            </w:tcBorders>
            <w:noWrap/>
            <w:vAlign w:val="center"/>
          </w:tcPr>
          <w:p w14:paraId="700D19C0">
            <w:pPr>
              <w:widowControl/>
              <w:adjustRightInd/>
              <w:spacing w:line="240" w:lineRule="auto"/>
              <w:jc w:val="center"/>
              <w:textAlignment w:val="auto"/>
              <w:rPr>
                <w:rFonts w:ascii="Arial" w:hAnsi="Arial" w:cs="Arial"/>
                <w:snapToGrid w:val="0"/>
                <w:sz w:val="16"/>
              </w:rPr>
            </w:pPr>
            <w:r>
              <w:rPr>
                <w:rFonts w:ascii="Arial" w:hAnsi="Arial" w:cs="Arial"/>
                <w:snapToGrid w:val="0"/>
                <w:sz w:val="16"/>
              </w:rPr>
              <w:t>押一</w:t>
            </w:r>
          </w:p>
        </w:tc>
      </w:tr>
      <w:tr w14:paraId="3543D861">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7DA1AB9A">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18" w:type="pct"/>
            <w:tcBorders>
              <w:top w:val="single" w:color="auto" w:sz="4" w:space="0"/>
              <w:left w:val="nil"/>
              <w:bottom w:val="single" w:color="auto" w:sz="4" w:space="0"/>
              <w:right w:val="single" w:color="auto" w:sz="4" w:space="0"/>
            </w:tcBorders>
            <w:vAlign w:val="center"/>
          </w:tcPr>
          <w:p w14:paraId="44126987">
            <w:pPr>
              <w:widowControl/>
              <w:adjustRightInd/>
              <w:spacing w:line="240" w:lineRule="auto"/>
              <w:jc w:val="right"/>
              <w:textAlignment w:val="auto"/>
              <w:rPr>
                <w:rFonts w:ascii="Arial" w:hAnsi="Arial" w:cs="Arial"/>
                <w:snapToGrid w:val="0"/>
                <w:sz w:val="16"/>
              </w:rPr>
            </w:pPr>
            <w:r>
              <w:rPr>
                <w:rFonts w:ascii="Arial" w:hAnsi="Arial" w:cs="Arial"/>
                <w:snapToGrid w:val="0"/>
                <w:sz w:val="16"/>
              </w:rPr>
              <w:t>（自定义押金）单位：元</w:t>
            </w:r>
          </w:p>
        </w:tc>
        <w:tc>
          <w:tcPr>
            <w:tcW w:w="491" w:type="pct"/>
            <w:tcBorders>
              <w:top w:val="nil"/>
              <w:left w:val="nil"/>
              <w:bottom w:val="single" w:color="auto" w:sz="4" w:space="0"/>
              <w:right w:val="single" w:color="auto" w:sz="4" w:space="0"/>
            </w:tcBorders>
            <w:noWrap/>
            <w:vAlign w:val="center"/>
          </w:tcPr>
          <w:p w14:paraId="7219331E">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single" w:color="auto" w:sz="4" w:space="0"/>
              <w:right w:val="single" w:color="auto" w:sz="4" w:space="0"/>
            </w:tcBorders>
            <w:noWrap/>
            <w:vAlign w:val="center"/>
          </w:tcPr>
          <w:p w14:paraId="5024F2D0">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single" w:color="auto" w:sz="4" w:space="0"/>
              <w:left w:val="nil"/>
              <w:bottom w:val="single" w:color="auto" w:sz="4" w:space="0"/>
              <w:right w:val="single" w:color="auto" w:sz="4" w:space="0"/>
            </w:tcBorders>
            <w:noWrap/>
            <w:vAlign w:val="center"/>
          </w:tcPr>
          <w:p w14:paraId="7E8C522A">
            <w:pPr>
              <w:widowControl/>
              <w:adjustRightInd/>
              <w:spacing w:line="240" w:lineRule="auto"/>
              <w:textAlignment w:val="auto"/>
              <w:rPr>
                <w:rFonts w:ascii="Arial" w:hAnsi="Arial" w:cs="Arial"/>
                <w:snapToGrid w:val="0"/>
                <w:sz w:val="16"/>
              </w:rPr>
            </w:pPr>
            <w:r>
              <w:rPr>
                <w:rFonts w:ascii="Arial" w:hAnsi="Arial" w:cs="Arial"/>
                <w:snapToGrid w:val="0"/>
                <w:sz w:val="16"/>
              </w:rPr>
              <w:t>一年期存款利率</w:t>
            </w:r>
          </w:p>
        </w:tc>
        <w:tc>
          <w:tcPr>
            <w:tcW w:w="464" w:type="pct"/>
            <w:tcBorders>
              <w:top w:val="single" w:color="auto" w:sz="4" w:space="0"/>
              <w:left w:val="nil"/>
              <w:bottom w:val="single" w:color="auto" w:sz="4" w:space="0"/>
              <w:right w:val="single" w:color="auto" w:sz="8" w:space="0"/>
            </w:tcBorders>
            <w:noWrap/>
            <w:vAlign w:val="center"/>
          </w:tcPr>
          <w:p w14:paraId="045C8439">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2B7D97E9">
        <w:tblPrEx>
          <w:tblCellMar>
            <w:top w:w="0" w:type="dxa"/>
            <w:left w:w="108" w:type="dxa"/>
            <w:bottom w:w="0" w:type="dxa"/>
            <w:right w:w="108" w:type="dxa"/>
          </w:tblCellMar>
        </w:tblPrEx>
        <w:trPr>
          <w:trHeight w:val="360" w:hRule="atLeast"/>
        </w:trPr>
        <w:tc>
          <w:tcPr>
            <w:tcW w:w="392" w:type="pct"/>
            <w:tcBorders>
              <w:top w:val="single" w:color="auto" w:sz="4" w:space="0"/>
              <w:left w:val="single" w:color="auto" w:sz="4" w:space="0"/>
              <w:bottom w:val="single" w:color="auto" w:sz="4" w:space="0"/>
              <w:right w:val="single" w:color="auto" w:sz="4" w:space="0"/>
            </w:tcBorders>
            <w:noWrap/>
            <w:vAlign w:val="center"/>
          </w:tcPr>
          <w:p w14:paraId="13694AD7">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18" w:type="pct"/>
            <w:tcBorders>
              <w:top w:val="single" w:color="auto" w:sz="4" w:space="0"/>
              <w:left w:val="nil"/>
              <w:bottom w:val="single" w:color="auto" w:sz="4" w:space="0"/>
              <w:right w:val="single" w:color="auto" w:sz="4" w:space="0"/>
            </w:tcBorders>
            <w:noWrap/>
            <w:vAlign w:val="center"/>
          </w:tcPr>
          <w:p w14:paraId="7CF37654">
            <w:pPr>
              <w:widowControl/>
              <w:adjustRightInd/>
              <w:spacing w:line="240" w:lineRule="auto"/>
              <w:textAlignment w:val="auto"/>
              <w:rPr>
                <w:rFonts w:ascii="Arial" w:hAnsi="Arial" w:cs="Arial"/>
                <w:snapToGrid w:val="0"/>
                <w:sz w:val="16"/>
              </w:rPr>
            </w:pPr>
            <w:r>
              <w:rPr>
                <w:rFonts w:ascii="Arial" w:hAnsi="Arial" w:cs="Arial"/>
                <w:snapToGrid w:val="0"/>
                <w:sz w:val="16"/>
              </w:rPr>
              <w:t>建筑物现值</w:t>
            </w:r>
          </w:p>
        </w:tc>
        <w:tc>
          <w:tcPr>
            <w:tcW w:w="491" w:type="pct"/>
            <w:tcBorders>
              <w:top w:val="single" w:color="auto" w:sz="4" w:space="0"/>
              <w:left w:val="nil"/>
              <w:bottom w:val="single" w:color="auto" w:sz="4" w:space="0"/>
              <w:right w:val="single" w:color="auto" w:sz="4" w:space="0"/>
            </w:tcBorders>
            <w:noWrap/>
            <w:vAlign w:val="center"/>
          </w:tcPr>
          <w:p w14:paraId="47422627">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465</w:t>
            </w:r>
          </w:p>
        </w:tc>
        <w:tc>
          <w:tcPr>
            <w:tcW w:w="1808" w:type="pct"/>
            <w:tcBorders>
              <w:top w:val="single" w:color="auto" w:sz="4" w:space="0"/>
              <w:left w:val="nil"/>
              <w:bottom w:val="single" w:color="auto" w:sz="4" w:space="0"/>
              <w:right w:val="single" w:color="auto" w:sz="4" w:space="0"/>
            </w:tcBorders>
            <w:noWrap/>
            <w:vAlign w:val="center"/>
          </w:tcPr>
          <w:p w14:paraId="42B855FF">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建筑物重置价格×成新度</w:t>
            </w:r>
          </w:p>
        </w:tc>
        <w:tc>
          <w:tcPr>
            <w:tcW w:w="825" w:type="pct"/>
            <w:tcBorders>
              <w:top w:val="single" w:color="auto" w:sz="4" w:space="0"/>
              <w:left w:val="nil"/>
              <w:bottom w:val="single" w:color="auto" w:sz="4" w:space="0"/>
              <w:right w:val="single" w:color="auto" w:sz="4" w:space="0"/>
            </w:tcBorders>
            <w:noWrap/>
            <w:vAlign w:val="center"/>
          </w:tcPr>
          <w:p w14:paraId="41FE5635">
            <w:pPr>
              <w:widowControl/>
              <w:adjustRightInd/>
              <w:spacing w:line="240" w:lineRule="auto"/>
              <w:textAlignment w:val="auto"/>
              <w:rPr>
                <w:rFonts w:ascii="Arial" w:hAnsi="Arial" w:cs="Arial"/>
                <w:snapToGrid w:val="0"/>
                <w:sz w:val="16"/>
              </w:rPr>
            </w:pPr>
            <w:r>
              <w:rPr>
                <w:rFonts w:ascii="Arial" w:hAnsi="Arial" w:cs="Arial"/>
                <w:snapToGrid w:val="0"/>
                <w:sz w:val="16"/>
              </w:rPr>
              <w:t>成新度（%）</w:t>
            </w:r>
          </w:p>
        </w:tc>
        <w:tc>
          <w:tcPr>
            <w:tcW w:w="464" w:type="pct"/>
            <w:tcBorders>
              <w:top w:val="single" w:color="auto" w:sz="4" w:space="0"/>
              <w:left w:val="nil"/>
              <w:bottom w:val="single" w:color="auto" w:sz="4" w:space="0"/>
              <w:right w:val="single" w:color="auto" w:sz="4" w:space="0"/>
            </w:tcBorders>
            <w:noWrap/>
            <w:vAlign w:val="center"/>
          </w:tcPr>
          <w:p w14:paraId="7DD92030">
            <w:pPr>
              <w:widowControl/>
              <w:adjustRightInd/>
              <w:spacing w:line="240" w:lineRule="auto"/>
              <w:jc w:val="center"/>
              <w:textAlignment w:val="auto"/>
              <w:rPr>
                <w:rFonts w:ascii="Arial" w:hAnsi="Arial" w:cs="Arial"/>
                <w:snapToGrid w:val="0"/>
                <w:sz w:val="16"/>
              </w:rPr>
            </w:pPr>
            <w:r>
              <w:rPr>
                <w:rFonts w:ascii="Arial" w:hAnsi="Arial" w:cs="Arial"/>
                <w:snapToGrid w:val="0"/>
                <w:sz w:val="16"/>
              </w:rPr>
              <w:t>100.0%</w:t>
            </w:r>
          </w:p>
        </w:tc>
      </w:tr>
      <w:tr w14:paraId="2773A07D">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63915BA0">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18" w:type="pct"/>
            <w:tcBorders>
              <w:top w:val="nil"/>
              <w:left w:val="nil"/>
              <w:bottom w:val="single" w:color="auto" w:sz="4" w:space="0"/>
              <w:right w:val="single" w:color="auto" w:sz="4" w:space="0"/>
            </w:tcBorders>
            <w:noWrap/>
            <w:vAlign w:val="center"/>
          </w:tcPr>
          <w:p w14:paraId="7336DCE2">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p>
        </w:tc>
        <w:tc>
          <w:tcPr>
            <w:tcW w:w="491" w:type="pct"/>
            <w:tcBorders>
              <w:top w:val="nil"/>
              <w:left w:val="nil"/>
              <w:bottom w:val="single" w:color="auto" w:sz="4" w:space="0"/>
              <w:right w:val="nil"/>
            </w:tcBorders>
            <w:noWrap/>
            <w:vAlign w:val="center"/>
          </w:tcPr>
          <w:p w14:paraId="24F9FD6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328</w:t>
            </w:r>
          </w:p>
        </w:tc>
        <w:tc>
          <w:tcPr>
            <w:tcW w:w="3098" w:type="pct"/>
            <w:gridSpan w:val="3"/>
            <w:tcBorders>
              <w:top w:val="single" w:color="auto" w:sz="4" w:space="0"/>
              <w:left w:val="single" w:color="auto" w:sz="4" w:space="0"/>
              <w:bottom w:val="single" w:color="auto" w:sz="4" w:space="0"/>
              <w:right w:val="single" w:color="auto" w:sz="4" w:space="0"/>
            </w:tcBorders>
            <w:vAlign w:val="center"/>
          </w:tcPr>
          <w:p w14:paraId="0E8AA178">
            <w:pPr>
              <w:widowControl/>
              <w:adjustRightInd/>
              <w:spacing w:line="240" w:lineRule="auto"/>
              <w:jc w:val="center"/>
              <w:textAlignment w:val="auto"/>
              <w:rPr>
                <w:rFonts w:hint="eastAsia" w:ascii="Arial" w:hAnsi="Arial" w:eastAsia="宋体" w:cs="Arial"/>
                <w:snapToGrid w:val="0"/>
                <w:sz w:val="16"/>
                <w:lang w:eastAsia="zh-CN"/>
              </w:rPr>
            </w:pPr>
            <w:r>
              <w:rPr>
                <w:rFonts w:hint="eastAsia" w:ascii="Arial" w:hAnsi="Arial" w:cs="Arial"/>
                <w:snapToGrid w:val="0"/>
                <w:sz w:val="16"/>
                <w:lang w:val="en-US" w:eastAsia="zh-CN"/>
              </w:rPr>
              <w:t>-</w:t>
            </w:r>
          </w:p>
        </w:tc>
      </w:tr>
      <w:tr w14:paraId="7FCC6BA9">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08F9284B">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18" w:type="pct"/>
            <w:tcBorders>
              <w:top w:val="nil"/>
              <w:left w:val="nil"/>
              <w:bottom w:val="single" w:color="auto" w:sz="4" w:space="0"/>
              <w:right w:val="single" w:color="auto" w:sz="4" w:space="0"/>
            </w:tcBorders>
            <w:noWrap/>
            <w:vAlign w:val="center"/>
          </w:tcPr>
          <w:p w14:paraId="7E8F0247">
            <w:pPr>
              <w:widowControl/>
              <w:adjustRightInd/>
              <w:spacing w:line="240" w:lineRule="auto"/>
              <w:textAlignment w:val="auto"/>
              <w:rPr>
                <w:rFonts w:ascii="Arial" w:hAnsi="Arial" w:cs="Arial"/>
                <w:snapToGrid w:val="0"/>
                <w:sz w:val="16"/>
              </w:rPr>
            </w:pPr>
            <w:r>
              <w:rPr>
                <w:rFonts w:ascii="Arial" w:hAnsi="Arial" w:cs="Arial"/>
                <w:snapToGrid w:val="0"/>
                <w:sz w:val="16"/>
              </w:rPr>
              <w:t>勘察设计和前期工程费</w:t>
            </w:r>
          </w:p>
        </w:tc>
        <w:tc>
          <w:tcPr>
            <w:tcW w:w="491" w:type="pct"/>
            <w:tcBorders>
              <w:top w:val="nil"/>
              <w:left w:val="nil"/>
              <w:bottom w:val="single" w:color="auto" w:sz="4" w:space="0"/>
              <w:right w:val="single" w:color="auto" w:sz="4" w:space="0"/>
            </w:tcBorders>
            <w:noWrap/>
            <w:vAlign w:val="center"/>
          </w:tcPr>
          <w:p w14:paraId="3090C67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16</w:t>
            </w:r>
          </w:p>
        </w:tc>
        <w:tc>
          <w:tcPr>
            <w:tcW w:w="1808" w:type="pct"/>
            <w:tcBorders>
              <w:top w:val="nil"/>
              <w:left w:val="nil"/>
              <w:bottom w:val="single" w:color="auto" w:sz="4" w:space="0"/>
              <w:right w:val="single" w:color="auto" w:sz="4" w:space="0"/>
            </w:tcBorders>
            <w:noWrap/>
            <w:vAlign w:val="center"/>
          </w:tcPr>
          <w:p w14:paraId="6ED347EA">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25" w:type="pct"/>
            <w:tcBorders>
              <w:top w:val="nil"/>
              <w:left w:val="nil"/>
              <w:bottom w:val="single" w:color="auto" w:sz="4" w:space="0"/>
              <w:right w:val="single" w:color="auto" w:sz="4" w:space="0"/>
            </w:tcBorders>
            <w:noWrap/>
            <w:vAlign w:val="center"/>
          </w:tcPr>
          <w:p w14:paraId="111AEDF8">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4" w:type="pct"/>
            <w:tcBorders>
              <w:top w:val="nil"/>
              <w:left w:val="nil"/>
              <w:bottom w:val="single" w:color="auto" w:sz="4" w:space="0"/>
              <w:right w:val="single" w:color="auto" w:sz="8" w:space="0"/>
            </w:tcBorders>
            <w:noWrap/>
            <w:vAlign w:val="center"/>
          </w:tcPr>
          <w:p w14:paraId="7EA3F35A">
            <w:pPr>
              <w:widowControl/>
              <w:adjustRightInd/>
              <w:spacing w:line="240" w:lineRule="auto"/>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5F4F7307">
        <w:tblPrEx>
          <w:tblCellMar>
            <w:top w:w="0" w:type="dxa"/>
            <w:left w:w="108" w:type="dxa"/>
            <w:bottom w:w="0" w:type="dxa"/>
            <w:right w:w="108" w:type="dxa"/>
          </w:tblCellMar>
        </w:tblPrEx>
        <w:trPr>
          <w:trHeight w:val="90" w:hRule="atLeast"/>
        </w:trPr>
        <w:tc>
          <w:tcPr>
            <w:tcW w:w="392" w:type="pct"/>
            <w:tcBorders>
              <w:top w:val="nil"/>
              <w:left w:val="single" w:color="auto" w:sz="8" w:space="0"/>
              <w:bottom w:val="single" w:color="auto" w:sz="4" w:space="0"/>
              <w:right w:val="single" w:color="auto" w:sz="4" w:space="0"/>
            </w:tcBorders>
            <w:noWrap/>
            <w:vAlign w:val="center"/>
          </w:tcPr>
          <w:p w14:paraId="212F5A7A">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18" w:type="pct"/>
            <w:tcBorders>
              <w:top w:val="nil"/>
              <w:left w:val="nil"/>
              <w:bottom w:val="single" w:color="auto" w:sz="4" w:space="0"/>
              <w:right w:val="single" w:color="auto" w:sz="4" w:space="0"/>
            </w:tcBorders>
            <w:noWrap/>
            <w:vAlign w:val="center"/>
          </w:tcPr>
          <w:p w14:paraId="5F7F07F8">
            <w:pPr>
              <w:widowControl/>
              <w:adjustRightInd/>
              <w:spacing w:line="240" w:lineRule="auto"/>
              <w:textAlignment w:val="auto"/>
              <w:rPr>
                <w:rFonts w:ascii="Arial" w:hAnsi="Arial" w:cs="Arial"/>
                <w:snapToGrid w:val="0"/>
                <w:sz w:val="16"/>
              </w:rPr>
            </w:pPr>
            <w:r>
              <w:rPr>
                <w:rFonts w:ascii="Arial" w:hAnsi="Arial" w:cs="Arial"/>
                <w:snapToGrid w:val="0"/>
                <w:sz w:val="16"/>
              </w:rPr>
              <w:t>公共配套设施费用</w:t>
            </w:r>
          </w:p>
        </w:tc>
        <w:tc>
          <w:tcPr>
            <w:tcW w:w="491" w:type="pct"/>
            <w:tcBorders>
              <w:top w:val="nil"/>
              <w:left w:val="nil"/>
              <w:bottom w:val="single" w:color="auto" w:sz="4" w:space="0"/>
              <w:right w:val="single" w:color="auto" w:sz="4" w:space="0"/>
            </w:tcBorders>
            <w:noWrap/>
            <w:vAlign w:val="center"/>
          </w:tcPr>
          <w:p w14:paraId="4F218863">
            <w:pPr>
              <w:widowControl/>
              <w:adjustRightInd/>
              <w:spacing w:line="240" w:lineRule="auto"/>
              <w:jc w:val="center"/>
              <w:textAlignment w:val="auto"/>
              <w:rPr>
                <w:rFonts w:ascii="Arial" w:hAnsi="Arial" w:cs="Arial"/>
                <w:snapToGrid w:val="0"/>
                <w:sz w:val="16"/>
              </w:rPr>
            </w:pPr>
            <w:r>
              <w:rPr>
                <w:rFonts w:ascii="Arial" w:hAnsi="Arial" w:cs="Arial"/>
                <w:snapToGrid w:val="0"/>
                <w:sz w:val="16"/>
              </w:rPr>
              <w:t>0</w:t>
            </w:r>
          </w:p>
        </w:tc>
        <w:tc>
          <w:tcPr>
            <w:tcW w:w="1808" w:type="pct"/>
            <w:tcBorders>
              <w:top w:val="nil"/>
              <w:left w:val="nil"/>
              <w:bottom w:val="single" w:color="auto" w:sz="4" w:space="0"/>
              <w:right w:val="single" w:color="auto" w:sz="4" w:space="0"/>
            </w:tcBorders>
            <w:noWrap/>
            <w:vAlign w:val="center"/>
          </w:tcPr>
          <w:p w14:paraId="2150FB94">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25" w:type="pct"/>
            <w:tcBorders>
              <w:top w:val="nil"/>
              <w:left w:val="nil"/>
              <w:bottom w:val="single" w:color="auto" w:sz="4" w:space="0"/>
              <w:right w:val="single" w:color="auto" w:sz="4" w:space="0"/>
            </w:tcBorders>
            <w:noWrap/>
            <w:vAlign w:val="center"/>
          </w:tcPr>
          <w:p w14:paraId="39EE9FCE">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4" w:type="pct"/>
            <w:tcBorders>
              <w:top w:val="nil"/>
              <w:left w:val="nil"/>
              <w:bottom w:val="single" w:color="auto" w:sz="4" w:space="0"/>
              <w:right w:val="single" w:color="auto" w:sz="8" w:space="0"/>
            </w:tcBorders>
            <w:noWrap/>
            <w:vAlign w:val="center"/>
          </w:tcPr>
          <w:p w14:paraId="5DC3651C">
            <w:pPr>
              <w:widowControl/>
              <w:adjustRightInd/>
              <w:spacing w:line="240" w:lineRule="auto"/>
              <w:textAlignment w:val="auto"/>
              <w:rPr>
                <w:rFonts w:ascii="Arial" w:hAnsi="Arial" w:cs="Arial"/>
                <w:snapToGrid w:val="0"/>
                <w:sz w:val="16"/>
              </w:rPr>
            </w:pPr>
            <w:r>
              <w:rPr>
                <w:rFonts w:hint="eastAsia" w:ascii="Arial" w:hAnsi="Arial" w:cs="Arial"/>
                <w:snapToGrid w:val="0"/>
                <w:sz w:val="16"/>
              </w:rPr>
              <w:t>不计取</w:t>
            </w:r>
          </w:p>
        </w:tc>
      </w:tr>
      <w:tr w14:paraId="5EBB616B">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5282C4BF">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18" w:type="pct"/>
            <w:tcBorders>
              <w:top w:val="nil"/>
              <w:left w:val="nil"/>
              <w:bottom w:val="single" w:color="auto" w:sz="4" w:space="0"/>
              <w:right w:val="single" w:color="auto" w:sz="4" w:space="0"/>
            </w:tcBorders>
            <w:noWrap/>
            <w:vAlign w:val="center"/>
          </w:tcPr>
          <w:p w14:paraId="7D71605A">
            <w:pPr>
              <w:widowControl/>
              <w:adjustRightInd/>
              <w:spacing w:line="240" w:lineRule="auto"/>
              <w:textAlignment w:val="auto"/>
              <w:rPr>
                <w:rFonts w:ascii="Arial" w:hAnsi="Arial" w:cs="Arial"/>
                <w:snapToGrid w:val="0"/>
                <w:sz w:val="16"/>
              </w:rPr>
            </w:pPr>
            <w:r>
              <w:rPr>
                <w:rFonts w:ascii="Arial" w:hAnsi="Arial" w:cs="Arial"/>
                <w:snapToGrid w:val="0"/>
                <w:sz w:val="16"/>
              </w:rPr>
              <w:t>基础设施建设费</w:t>
            </w:r>
          </w:p>
        </w:tc>
        <w:tc>
          <w:tcPr>
            <w:tcW w:w="491" w:type="pct"/>
            <w:tcBorders>
              <w:top w:val="nil"/>
              <w:left w:val="nil"/>
              <w:bottom w:val="single" w:color="auto" w:sz="4" w:space="0"/>
              <w:right w:val="single" w:color="auto" w:sz="4" w:space="0"/>
            </w:tcBorders>
            <w:noWrap/>
            <w:vAlign w:val="center"/>
          </w:tcPr>
          <w:p w14:paraId="4743F79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17</w:t>
            </w:r>
          </w:p>
        </w:tc>
        <w:tc>
          <w:tcPr>
            <w:tcW w:w="1808" w:type="pct"/>
            <w:tcBorders>
              <w:top w:val="nil"/>
              <w:left w:val="nil"/>
              <w:bottom w:val="single" w:color="auto" w:sz="4" w:space="0"/>
              <w:right w:val="single" w:color="auto" w:sz="4" w:space="0"/>
            </w:tcBorders>
            <w:noWrap/>
            <w:vAlign w:val="center"/>
          </w:tcPr>
          <w:p w14:paraId="2C899E95">
            <w:pPr>
              <w:widowControl/>
              <w:adjustRightInd/>
              <w:spacing w:line="240" w:lineRule="auto"/>
              <w:textAlignment w:val="auto"/>
              <w:rPr>
                <w:rFonts w:ascii="Arial" w:hAnsi="Arial" w:cs="Arial"/>
                <w:snapToGrid w:val="0"/>
                <w:sz w:val="16"/>
              </w:rPr>
            </w:pPr>
            <w:r>
              <w:rPr>
                <w:rFonts w:ascii="Arial" w:hAnsi="Arial" w:cs="Arial"/>
                <w:snapToGrid w:val="0"/>
                <w:sz w:val="16"/>
              </w:rPr>
              <w:t>建筑面积×取费标准</w:t>
            </w:r>
          </w:p>
        </w:tc>
        <w:tc>
          <w:tcPr>
            <w:tcW w:w="825" w:type="pct"/>
            <w:tcBorders>
              <w:top w:val="nil"/>
              <w:left w:val="nil"/>
              <w:bottom w:val="single" w:color="auto" w:sz="4" w:space="0"/>
              <w:right w:val="single" w:color="auto" w:sz="4" w:space="0"/>
            </w:tcBorders>
            <w:noWrap/>
            <w:vAlign w:val="center"/>
          </w:tcPr>
          <w:p w14:paraId="32FA43C5">
            <w:pPr>
              <w:widowControl/>
              <w:adjustRightInd/>
              <w:spacing w:line="240" w:lineRule="auto"/>
              <w:textAlignment w:val="auto"/>
              <w:rPr>
                <w:rFonts w:ascii="Arial" w:hAnsi="Arial" w:cs="Arial"/>
                <w:snapToGrid w:val="0"/>
                <w:sz w:val="16"/>
              </w:rPr>
            </w:pPr>
            <w:r>
              <w:rPr>
                <w:rFonts w:ascii="Arial" w:hAnsi="Arial" w:cs="Arial"/>
                <w:snapToGrid w:val="0"/>
                <w:sz w:val="16"/>
              </w:rPr>
              <w:t>市政费用（元/㎡）</w:t>
            </w:r>
          </w:p>
        </w:tc>
        <w:tc>
          <w:tcPr>
            <w:tcW w:w="464" w:type="pct"/>
            <w:tcBorders>
              <w:top w:val="nil"/>
              <w:left w:val="nil"/>
              <w:bottom w:val="single" w:color="auto" w:sz="4" w:space="0"/>
              <w:right w:val="single" w:color="auto" w:sz="8" w:space="0"/>
            </w:tcBorders>
            <w:noWrap/>
            <w:vAlign w:val="center"/>
          </w:tcPr>
          <w:p w14:paraId="463125CB">
            <w:pPr>
              <w:widowControl/>
              <w:adjustRightInd/>
              <w:spacing w:line="240" w:lineRule="auto"/>
              <w:textAlignment w:val="auto"/>
              <w:rPr>
                <w:rFonts w:ascii="Arial" w:hAnsi="Arial" w:cs="Arial"/>
                <w:snapToGrid w:val="0"/>
                <w:sz w:val="16"/>
              </w:rPr>
            </w:pPr>
            <w:r>
              <w:rPr>
                <w:rFonts w:ascii="Arial" w:hAnsi="Arial" w:cs="Arial"/>
                <w:snapToGrid w:val="0"/>
                <w:sz w:val="16"/>
              </w:rPr>
              <w:t>200</w:t>
            </w:r>
          </w:p>
        </w:tc>
      </w:tr>
      <w:tr w14:paraId="1391D698">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203CA45A">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18" w:type="pct"/>
            <w:tcBorders>
              <w:top w:val="nil"/>
              <w:left w:val="nil"/>
              <w:bottom w:val="single" w:color="auto" w:sz="4" w:space="0"/>
              <w:right w:val="single" w:color="auto" w:sz="4" w:space="0"/>
            </w:tcBorders>
            <w:noWrap/>
            <w:vAlign w:val="center"/>
          </w:tcPr>
          <w:p w14:paraId="377A8E84">
            <w:pPr>
              <w:widowControl/>
              <w:adjustRightInd/>
              <w:spacing w:line="240" w:lineRule="auto"/>
              <w:textAlignment w:val="auto"/>
              <w:rPr>
                <w:rFonts w:ascii="Arial" w:hAnsi="Arial" w:cs="Arial"/>
                <w:snapToGrid w:val="0"/>
                <w:sz w:val="16"/>
              </w:rPr>
            </w:pPr>
            <w:r>
              <w:rPr>
                <w:rFonts w:ascii="Arial" w:hAnsi="Arial" w:cs="Arial"/>
                <w:snapToGrid w:val="0"/>
                <w:sz w:val="16"/>
              </w:rPr>
              <w:t>相关税费</w:t>
            </w:r>
          </w:p>
        </w:tc>
        <w:tc>
          <w:tcPr>
            <w:tcW w:w="491" w:type="pct"/>
            <w:tcBorders>
              <w:top w:val="nil"/>
              <w:left w:val="nil"/>
              <w:bottom w:val="single" w:color="auto" w:sz="4" w:space="0"/>
              <w:right w:val="single" w:color="auto" w:sz="4" w:space="0"/>
            </w:tcBorders>
            <w:noWrap/>
            <w:vAlign w:val="center"/>
          </w:tcPr>
          <w:p w14:paraId="1651836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7</w:t>
            </w:r>
          </w:p>
        </w:tc>
        <w:tc>
          <w:tcPr>
            <w:tcW w:w="1808" w:type="pct"/>
            <w:tcBorders>
              <w:top w:val="nil"/>
              <w:left w:val="nil"/>
              <w:bottom w:val="single" w:color="auto" w:sz="4" w:space="0"/>
              <w:right w:val="single" w:color="auto" w:sz="4" w:space="0"/>
            </w:tcBorders>
            <w:noWrap/>
            <w:vAlign w:val="center"/>
          </w:tcPr>
          <w:p w14:paraId="4036D736">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25" w:type="pct"/>
            <w:tcBorders>
              <w:top w:val="nil"/>
              <w:left w:val="nil"/>
              <w:bottom w:val="single" w:color="auto" w:sz="4" w:space="0"/>
              <w:right w:val="single" w:color="auto" w:sz="4" w:space="0"/>
            </w:tcBorders>
            <w:noWrap/>
            <w:vAlign w:val="center"/>
          </w:tcPr>
          <w:p w14:paraId="008BE61F">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4" w:type="pct"/>
            <w:tcBorders>
              <w:top w:val="nil"/>
              <w:left w:val="nil"/>
              <w:bottom w:val="single" w:color="auto" w:sz="4" w:space="0"/>
              <w:right w:val="single" w:color="auto" w:sz="8" w:space="0"/>
            </w:tcBorders>
            <w:noWrap/>
            <w:vAlign w:val="center"/>
          </w:tcPr>
          <w:p w14:paraId="4338032E">
            <w:pPr>
              <w:widowControl/>
              <w:adjustRightInd/>
              <w:spacing w:line="240" w:lineRule="auto"/>
              <w:textAlignment w:val="auto"/>
              <w:rPr>
                <w:rFonts w:ascii="Arial" w:hAnsi="Arial" w:cs="Arial"/>
                <w:snapToGrid w:val="0"/>
                <w:sz w:val="16"/>
              </w:rPr>
            </w:pPr>
            <w:r>
              <w:rPr>
                <w:rFonts w:ascii="Arial" w:hAnsi="Arial" w:cs="Arial"/>
                <w:snapToGrid w:val="0"/>
                <w:sz w:val="16"/>
              </w:rPr>
              <w:t>1.5%</w:t>
            </w:r>
          </w:p>
        </w:tc>
      </w:tr>
      <w:tr w14:paraId="0E54022A">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2E288DD9">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18" w:type="pct"/>
            <w:tcBorders>
              <w:top w:val="nil"/>
              <w:left w:val="nil"/>
              <w:bottom w:val="single" w:color="auto" w:sz="4" w:space="0"/>
              <w:right w:val="single" w:color="auto" w:sz="4" w:space="0"/>
            </w:tcBorders>
            <w:noWrap/>
            <w:vAlign w:val="center"/>
          </w:tcPr>
          <w:p w14:paraId="147CAEFA">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p>
        </w:tc>
        <w:tc>
          <w:tcPr>
            <w:tcW w:w="491" w:type="pct"/>
            <w:tcBorders>
              <w:top w:val="nil"/>
              <w:left w:val="nil"/>
              <w:bottom w:val="single" w:color="auto" w:sz="4" w:space="0"/>
              <w:right w:val="single" w:color="auto" w:sz="4" w:space="0"/>
            </w:tcBorders>
            <w:noWrap/>
            <w:vAlign w:val="center"/>
          </w:tcPr>
          <w:p w14:paraId="6D63CBBC">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368</w:t>
            </w:r>
          </w:p>
        </w:tc>
        <w:tc>
          <w:tcPr>
            <w:tcW w:w="2633" w:type="pct"/>
            <w:gridSpan w:val="2"/>
            <w:tcBorders>
              <w:top w:val="single" w:color="auto" w:sz="4" w:space="0"/>
              <w:left w:val="single" w:color="auto" w:sz="4" w:space="0"/>
              <w:bottom w:val="single" w:color="auto" w:sz="4" w:space="0"/>
              <w:right w:val="nil"/>
            </w:tcBorders>
            <w:noWrap/>
            <w:vAlign w:val="center"/>
          </w:tcPr>
          <w:p w14:paraId="6B8665A2">
            <w:pPr>
              <w:widowControl/>
              <w:adjustRightInd/>
              <w:spacing w:line="240" w:lineRule="auto"/>
              <w:textAlignment w:val="auto"/>
              <w:rPr>
                <w:rFonts w:ascii="Arial" w:hAnsi="Arial" w:cs="Arial"/>
                <w:snapToGrid w:val="0"/>
                <w:sz w:val="16"/>
              </w:rPr>
            </w:pPr>
            <w:r>
              <w:rPr>
                <w:rFonts w:ascii="Arial" w:hAnsi="Arial" w:cs="Arial"/>
                <w:snapToGrid w:val="0"/>
                <w:sz w:val="16"/>
              </w:rPr>
              <w:t>建安费用+公共配套设施费用+基础设施建设费+相关税费</w:t>
            </w:r>
          </w:p>
        </w:tc>
        <w:tc>
          <w:tcPr>
            <w:tcW w:w="464" w:type="pct"/>
            <w:tcBorders>
              <w:top w:val="nil"/>
              <w:left w:val="nil"/>
              <w:bottom w:val="single" w:color="auto" w:sz="4" w:space="0"/>
              <w:right w:val="single" w:color="auto" w:sz="8" w:space="0"/>
            </w:tcBorders>
            <w:noWrap/>
            <w:vAlign w:val="center"/>
          </w:tcPr>
          <w:p w14:paraId="5605F645">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06F8703C">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0EB938D6">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18" w:type="pct"/>
            <w:tcBorders>
              <w:top w:val="nil"/>
              <w:left w:val="nil"/>
              <w:bottom w:val="single" w:color="auto" w:sz="4" w:space="0"/>
              <w:right w:val="single" w:color="auto" w:sz="4" w:space="0"/>
            </w:tcBorders>
            <w:noWrap/>
            <w:vAlign w:val="center"/>
          </w:tcPr>
          <w:p w14:paraId="4D17869D">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491" w:type="pct"/>
            <w:tcBorders>
              <w:top w:val="nil"/>
              <w:left w:val="nil"/>
              <w:bottom w:val="single" w:color="auto" w:sz="4" w:space="0"/>
              <w:right w:val="single" w:color="auto" w:sz="4" w:space="0"/>
            </w:tcBorders>
            <w:noWrap/>
            <w:vAlign w:val="center"/>
          </w:tcPr>
          <w:p w14:paraId="5F60A9C4">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7</w:t>
            </w:r>
          </w:p>
        </w:tc>
        <w:tc>
          <w:tcPr>
            <w:tcW w:w="1808" w:type="pct"/>
            <w:tcBorders>
              <w:top w:val="nil"/>
              <w:left w:val="nil"/>
              <w:bottom w:val="single" w:color="auto" w:sz="4" w:space="0"/>
              <w:right w:val="single" w:color="auto" w:sz="4" w:space="0"/>
            </w:tcBorders>
            <w:vAlign w:val="center"/>
          </w:tcPr>
          <w:p w14:paraId="0463EC0B">
            <w:pPr>
              <w:widowControl/>
              <w:adjustRightInd/>
              <w:spacing w:line="240" w:lineRule="auto"/>
              <w:textAlignment w:val="auto"/>
              <w:rPr>
                <w:rFonts w:ascii="Arial" w:hAnsi="Arial" w:cs="Arial"/>
                <w:snapToGrid w:val="0"/>
                <w:sz w:val="16"/>
              </w:rPr>
            </w:pPr>
            <w:r>
              <w:rPr>
                <w:rFonts w:ascii="Arial" w:hAnsi="Arial" w:cs="Arial"/>
                <w:snapToGrid w:val="0"/>
                <w:sz w:val="16"/>
              </w:rPr>
              <w:t>建造成本×费率</w:t>
            </w:r>
          </w:p>
        </w:tc>
        <w:tc>
          <w:tcPr>
            <w:tcW w:w="825" w:type="pct"/>
            <w:tcBorders>
              <w:top w:val="nil"/>
              <w:left w:val="nil"/>
              <w:bottom w:val="single" w:color="auto" w:sz="4" w:space="0"/>
              <w:right w:val="single" w:color="auto" w:sz="4" w:space="0"/>
            </w:tcBorders>
            <w:noWrap/>
            <w:vAlign w:val="center"/>
          </w:tcPr>
          <w:p w14:paraId="0C6E7869">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4" w:type="pct"/>
            <w:tcBorders>
              <w:top w:val="nil"/>
              <w:left w:val="nil"/>
              <w:bottom w:val="single" w:color="auto" w:sz="4" w:space="0"/>
              <w:right w:val="single" w:color="auto" w:sz="8" w:space="0"/>
            </w:tcBorders>
            <w:noWrap/>
            <w:vAlign w:val="center"/>
          </w:tcPr>
          <w:p w14:paraId="12240287">
            <w:pPr>
              <w:widowControl/>
              <w:adjustRightInd/>
              <w:spacing w:line="240" w:lineRule="auto"/>
              <w:textAlignment w:val="auto"/>
              <w:rPr>
                <w:rFonts w:ascii="Arial" w:hAnsi="Arial" w:cs="Arial"/>
                <w:snapToGrid w:val="0"/>
                <w:sz w:val="16"/>
              </w:rPr>
            </w:pPr>
            <w:r>
              <w:rPr>
                <w:rFonts w:hint="eastAsia" w:ascii="Arial" w:hAnsi="Arial" w:cs="Arial"/>
                <w:snapToGrid w:val="0"/>
                <w:sz w:val="16"/>
              </w:rPr>
              <w:t>2</w:t>
            </w:r>
            <w:r>
              <w:rPr>
                <w:rFonts w:ascii="Arial" w:hAnsi="Arial" w:cs="Arial"/>
                <w:snapToGrid w:val="0"/>
                <w:sz w:val="16"/>
              </w:rPr>
              <w:t>.0%</w:t>
            </w:r>
          </w:p>
        </w:tc>
      </w:tr>
      <w:tr w14:paraId="6B7B0C12">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38D97D8D">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18" w:type="pct"/>
            <w:tcBorders>
              <w:top w:val="nil"/>
              <w:left w:val="nil"/>
              <w:bottom w:val="single" w:color="auto" w:sz="4" w:space="0"/>
              <w:right w:val="single" w:color="auto" w:sz="4" w:space="0"/>
            </w:tcBorders>
            <w:noWrap/>
            <w:vAlign w:val="center"/>
          </w:tcPr>
          <w:p w14:paraId="2802B048">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p>
        </w:tc>
        <w:tc>
          <w:tcPr>
            <w:tcW w:w="491" w:type="pct"/>
            <w:tcBorders>
              <w:top w:val="nil"/>
              <w:left w:val="nil"/>
              <w:bottom w:val="single" w:color="auto" w:sz="4" w:space="0"/>
              <w:right w:val="single" w:color="auto" w:sz="4" w:space="0"/>
            </w:tcBorders>
            <w:noWrap/>
            <w:vAlign w:val="center"/>
          </w:tcPr>
          <w:p w14:paraId="128B8FA0">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c>
          <w:tcPr>
            <w:tcW w:w="1808" w:type="pct"/>
            <w:tcBorders>
              <w:top w:val="nil"/>
              <w:left w:val="nil"/>
              <w:bottom w:val="single" w:color="auto" w:sz="4" w:space="0"/>
              <w:right w:val="single" w:color="auto" w:sz="4" w:space="0"/>
            </w:tcBorders>
            <w:vAlign w:val="center"/>
          </w:tcPr>
          <w:p w14:paraId="533A8FF9">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w:t>
            </w:r>
          </w:p>
        </w:tc>
        <w:tc>
          <w:tcPr>
            <w:tcW w:w="825" w:type="pct"/>
            <w:tcBorders>
              <w:top w:val="nil"/>
              <w:left w:val="nil"/>
              <w:bottom w:val="single" w:color="auto" w:sz="4" w:space="0"/>
              <w:right w:val="single" w:color="auto" w:sz="4" w:space="0"/>
            </w:tcBorders>
            <w:noWrap/>
            <w:vAlign w:val="center"/>
          </w:tcPr>
          <w:p w14:paraId="7CB8BDA0">
            <w:pPr>
              <w:widowControl/>
              <w:adjustRightInd/>
              <w:spacing w:line="240" w:lineRule="auto"/>
              <w:textAlignment w:val="auto"/>
              <w:rPr>
                <w:rFonts w:ascii="Arial" w:hAnsi="Arial" w:cs="Arial"/>
                <w:snapToGrid w:val="0"/>
                <w:sz w:val="16"/>
              </w:rPr>
            </w:pPr>
            <w:r>
              <w:rPr>
                <w:rFonts w:ascii="Arial" w:hAnsi="Arial" w:cs="Arial"/>
                <w:snapToGrid w:val="0"/>
                <w:sz w:val="16"/>
              </w:rPr>
              <w:t>销售费率（%）</w:t>
            </w:r>
          </w:p>
        </w:tc>
        <w:tc>
          <w:tcPr>
            <w:tcW w:w="464" w:type="pct"/>
            <w:tcBorders>
              <w:top w:val="nil"/>
              <w:left w:val="nil"/>
              <w:bottom w:val="single" w:color="auto" w:sz="4" w:space="0"/>
              <w:right w:val="single" w:color="auto" w:sz="8" w:space="0"/>
            </w:tcBorders>
            <w:noWrap/>
            <w:vAlign w:val="center"/>
          </w:tcPr>
          <w:p w14:paraId="771C3A86">
            <w:pPr>
              <w:widowControl/>
              <w:adjustRightInd/>
              <w:spacing w:line="240" w:lineRule="auto"/>
              <w:textAlignment w:val="auto"/>
              <w:rPr>
                <w:rFonts w:ascii="Arial" w:hAnsi="Arial" w:cs="Arial"/>
                <w:snapToGrid w:val="0"/>
                <w:sz w:val="16"/>
              </w:rPr>
            </w:pPr>
            <w:r>
              <w:rPr>
                <w:rFonts w:hint="eastAsia" w:ascii="Arial" w:hAnsi="Arial" w:cs="Arial"/>
                <w:snapToGrid w:val="0"/>
                <w:sz w:val="16"/>
              </w:rPr>
              <w:t>3.0</w:t>
            </w:r>
            <w:r>
              <w:rPr>
                <w:rFonts w:ascii="Arial" w:hAnsi="Arial" w:cs="Arial"/>
                <w:snapToGrid w:val="0"/>
                <w:sz w:val="16"/>
              </w:rPr>
              <w:t>%</w:t>
            </w:r>
          </w:p>
        </w:tc>
      </w:tr>
      <w:tr w14:paraId="33B649F5">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2FF6E387">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18" w:type="pct"/>
            <w:tcBorders>
              <w:top w:val="nil"/>
              <w:left w:val="nil"/>
              <w:bottom w:val="single" w:color="auto" w:sz="4" w:space="0"/>
              <w:right w:val="single" w:color="auto" w:sz="4" w:space="0"/>
            </w:tcBorders>
            <w:noWrap/>
            <w:vAlign w:val="center"/>
          </w:tcPr>
          <w:p w14:paraId="125FD35F">
            <w:pPr>
              <w:widowControl/>
              <w:adjustRightInd/>
              <w:spacing w:line="240" w:lineRule="auto"/>
              <w:textAlignment w:val="auto"/>
              <w:rPr>
                <w:rFonts w:ascii="Arial" w:hAnsi="Arial" w:cs="Arial"/>
                <w:snapToGrid w:val="0"/>
                <w:sz w:val="16"/>
              </w:rPr>
            </w:pPr>
            <w:r>
              <w:rPr>
                <w:rFonts w:ascii="Arial" w:hAnsi="Arial" w:cs="Arial"/>
                <w:snapToGrid w:val="0"/>
                <w:sz w:val="16"/>
              </w:rPr>
              <w:t>贷款利息</w:t>
            </w:r>
          </w:p>
        </w:tc>
        <w:tc>
          <w:tcPr>
            <w:tcW w:w="491" w:type="pct"/>
            <w:tcBorders>
              <w:top w:val="nil"/>
              <w:left w:val="nil"/>
              <w:bottom w:val="single" w:color="auto" w:sz="4" w:space="0"/>
              <w:right w:val="single" w:color="auto" w:sz="4" w:space="0"/>
            </w:tcBorders>
            <w:noWrap/>
            <w:vAlign w:val="center"/>
          </w:tcPr>
          <w:p w14:paraId="29FAC38C">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2633" w:type="pct"/>
            <w:gridSpan w:val="2"/>
            <w:tcBorders>
              <w:top w:val="single" w:color="auto" w:sz="4" w:space="0"/>
              <w:left w:val="single" w:color="auto" w:sz="4" w:space="0"/>
              <w:bottom w:val="single" w:color="auto" w:sz="4" w:space="0"/>
              <w:right w:val="nil"/>
            </w:tcBorders>
            <w:noWrap/>
            <w:vAlign w:val="center"/>
          </w:tcPr>
          <w:p w14:paraId="74EDEA42">
            <w:pPr>
              <w:widowControl/>
              <w:adjustRightInd/>
              <w:spacing w:line="240" w:lineRule="auto"/>
              <w:textAlignment w:val="auto"/>
              <w:rPr>
                <w:rFonts w:ascii="Arial" w:hAnsi="Arial" w:cs="Arial"/>
                <w:snapToGrid w:val="0"/>
                <w:sz w:val="16"/>
              </w:rPr>
            </w:pPr>
            <w:r>
              <w:rPr>
                <w:rFonts w:ascii="Arial" w:hAnsi="Arial" w:cs="Arial"/>
                <w:snapToGrid w:val="0"/>
                <w:sz w:val="16"/>
              </w:rPr>
              <w:t>复利计息。建造成本、管理费用、销售费用产生的利息。</w:t>
            </w:r>
          </w:p>
        </w:tc>
        <w:tc>
          <w:tcPr>
            <w:tcW w:w="464" w:type="pct"/>
            <w:tcBorders>
              <w:top w:val="nil"/>
              <w:left w:val="nil"/>
              <w:bottom w:val="single" w:color="auto" w:sz="4" w:space="0"/>
              <w:right w:val="single" w:color="auto" w:sz="8" w:space="0"/>
            </w:tcBorders>
            <w:noWrap/>
            <w:vAlign w:val="center"/>
          </w:tcPr>
          <w:p w14:paraId="55AFF13F">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0A5C0189">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4CAFE25F">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18" w:type="pct"/>
            <w:tcBorders>
              <w:top w:val="nil"/>
              <w:left w:val="nil"/>
              <w:bottom w:val="single" w:color="auto" w:sz="4" w:space="0"/>
              <w:right w:val="single" w:color="auto" w:sz="4" w:space="0"/>
            </w:tcBorders>
            <w:noWrap/>
            <w:vAlign w:val="center"/>
          </w:tcPr>
          <w:p w14:paraId="10351049">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（1）及（2）项产生的利息</w:t>
            </w:r>
          </w:p>
        </w:tc>
        <w:tc>
          <w:tcPr>
            <w:tcW w:w="491" w:type="pct"/>
            <w:tcBorders>
              <w:top w:val="nil"/>
              <w:left w:val="nil"/>
              <w:bottom w:val="single" w:color="auto" w:sz="4" w:space="0"/>
              <w:right w:val="single" w:color="auto" w:sz="4" w:space="0"/>
            </w:tcBorders>
            <w:noWrap/>
            <w:vAlign w:val="center"/>
          </w:tcPr>
          <w:p w14:paraId="4335C51D">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12</w:t>
            </w:r>
          </w:p>
        </w:tc>
        <w:tc>
          <w:tcPr>
            <w:tcW w:w="1808" w:type="pct"/>
            <w:tcBorders>
              <w:top w:val="nil"/>
              <w:left w:val="nil"/>
              <w:bottom w:val="single" w:color="auto" w:sz="4" w:space="0"/>
              <w:right w:val="single" w:color="auto" w:sz="4" w:space="0"/>
            </w:tcBorders>
            <w:noWrap/>
            <w:vAlign w:val="center"/>
          </w:tcPr>
          <w:p w14:paraId="7B3D797A">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(建造成本+管理费用)×((1+利率)^(建设周期÷2)-1)</w:t>
            </w:r>
          </w:p>
        </w:tc>
        <w:tc>
          <w:tcPr>
            <w:tcW w:w="825" w:type="pct"/>
            <w:tcBorders>
              <w:top w:val="nil"/>
              <w:left w:val="nil"/>
              <w:bottom w:val="single" w:color="auto" w:sz="4" w:space="0"/>
              <w:right w:val="single" w:color="auto" w:sz="4" w:space="0"/>
            </w:tcBorders>
            <w:noWrap/>
            <w:vAlign w:val="center"/>
          </w:tcPr>
          <w:p w14:paraId="58859FD9">
            <w:pPr>
              <w:widowControl/>
              <w:adjustRightInd/>
              <w:spacing w:line="240" w:lineRule="auto"/>
              <w:textAlignment w:val="auto"/>
              <w:rPr>
                <w:rFonts w:ascii="Arial" w:hAnsi="Arial" w:cs="Arial"/>
                <w:snapToGrid w:val="0"/>
                <w:sz w:val="16"/>
              </w:rPr>
            </w:pPr>
            <w:r>
              <w:rPr>
                <w:rFonts w:ascii="Arial" w:hAnsi="Arial" w:cs="Arial"/>
                <w:snapToGrid w:val="0"/>
                <w:sz w:val="16"/>
              </w:rPr>
              <w:t>建设周期（年）</w:t>
            </w:r>
          </w:p>
        </w:tc>
        <w:tc>
          <w:tcPr>
            <w:tcW w:w="464" w:type="pct"/>
            <w:tcBorders>
              <w:top w:val="nil"/>
              <w:left w:val="nil"/>
              <w:bottom w:val="single" w:color="auto" w:sz="4" w:space="0"/>
              <w:right w:val="single" w:color="auto" w:sz="8" w:space="0"/>
            </w:tcBorders>
            <w:noWrap/>
            <w:vAlign w:val="center"/>
          </w:tcPr>
          <w:p w14:paraId="31557F9F">
            <w:pPr>
              <w:widowControl/>
              <w:adjustRightInd/>
              <w:spacing w:line="240" w:lineRule="auto"/>
              <w:textAlignment w:val="auto"/>
              <w:rPr>
                <w:rFonts w:ascii="Arial" w:hAnsi="Arial" w:cs="Arial"/>
                <w:snapToGrid w:val="0"/>
                <w:sz w:val="16"/>
              </w:rPr>
            </w:pPr>
            <w:r>
              <w:rPr>
                <w:rFonts w:ascii="Arial" w:hAnsi="Arial" w:cs="Arial"/>
                <w:snapToGrid w:val="0"/>
                <w:sz w:val="16"/>
              </w:rPr>
              <w:t>2</w:t>
            </w:r>
          </w:p>
        </w:tc>
      </w:tr>
      <w:tr w14:paraId="6EEB81CC">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64A798C9">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18" w:type="pct"/>
            <w:tcBorders>
              <w:top w:val="nil"/>
              <w:left w:val="nil"/>
              <w:bottom w:val="single" w:color="auto" w:sz="4" w:space="0"/>
              <w:right w:val="single" w:color="auto" w:sz="4" w:space="0"/>
            </w:tcBorders>
            <w:noWrap/>
            <w:vAlign w:val="center"/>
          </w:tcPr>
          <w:p w14:paraId="28FBB874">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销售费用产生的利息</w:t>
            </w:r>
          </w:p>
        </w:tc>
        <w:tc>
          <w:tcPr>
            <w:tcW w:w="491" w:type="pct"/>
            <w:tcBorders>
              <w:top w:val="nil"/>
              <w:left w:val="nil"/>
              <w:bottom w:val="single" w:color="auto" w:sz="4" w:space="0"/>
              <w:right w:val="single" w:color="auto" w:sz="4" w:space="0"/>
            </w:tcBorders>
            <w:noWrap/>
            <w:vAlign w:val="center"/>
          </w:tcPr>
          <w:p w14:paraId="19F3AB47">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0.001</w:t>
            </w:r>
          </w:p>
        </w:tc>
        <w:tc>
          <w:tcPr>
            <w:tcW w:w="1808" w:type="pct"/>
            <w:tcBorders>
              <w:top w:val="nil"/>
              <w:left w:val="nil"/>
              <w:bottom w:val="single" w:color="auto" w:sz="4" w:space="0"/>
              <w:right w:val="single" w:color="auto" w:sz="4" w:space="0"/>
            </w:tcBorders>
            <w:noWrap/>
            <w:vAlign w:val="center"/>
          </w:tcPr>
          <w:p w14:paraId="06D83BF1">
            <w:pPr>
              <w:widowControl/>
              <w:adjustRightInd/>
              <w:spacing w:line="240" w:lineRule="auto"/>
              <w:textAlignment w:val="auto"/>
              <w:rPr>
                <w:rFonts w:ascii="Arial" w:hAnsi="Arial" w:cs="Arial"/>
                <w:snapToGrid w:val="0"/>
                <w:sz w:val="16"/>
              </w:rPr>
            </w:pPr>
            <w:r>
              <w:rPr>
                <w:rFonts w:ascii="Arial" w:hAnsi="Arial" w:cs="Arial"/>
                <w:snapToGrid w:val="0"/>
                <w:sz w:val="16"/>
              </w:rPr>
              <w:t>销售费用×((1+利率)^(建设周期÷2)-1)</w:t>
            </w:r>
          </w:p>
        </w:tc>
        <w:tc>
          <w:tcPr>
            <w:tcW w:w="825" w:type="pct"/>
            <w:tcBorders>
              <w:top w:val="nil"/>
              <w:left w:val="nil"/>
              <w:bottom w:val="single" w:color="auto" w:sz="4" w:space="0"/>
              <w:right w:val="single" w:color="auto" w:sz="4" w:space="0"/>
            </w:tcBorders>
            <w:noWrap/>
            <w:vAlign w:val="center"/>
          </w:tcPr>
          <w:p w14:paraId="559C8353">
            <w:pPr>
              <w:widowControl/>
              <w:adjustRightInd/>
              <w:spacing w:line="240" w:lineRule="auto"/>
              <w:textAlignment w:val="auto"/>
              <w:rPr>
                <w:rFonts w:ascii="Arial" w:hAnsi="Arial" w:cs="Arial"/>
                <w:snapToGrid w:val="0"/>
                <w:sz w:val="16"/>
              </w:rPr>
            </w:pPr>
            <w:r>
              <w:rPr>
                <w:rFonts w:ascii="Arial" w:hAnsi="Arial" w:cs="Arial"/>
                <w:snapToGrid w:val="0"/>
                <w:sz w:val="16"/>
              </w:rPr>
              <w:t>利息（%）</w:t>
            </w:r>
          </w:p>
        </w:tc>
        <w:tc>
          <w:tcPr>
            <w:tcW w:w="464" w:type="pct"/>
            <w:tcBorders>
              <w:top w:val="nil"/>
              <w:left w:val="nil"/>
              <w:bottom w:val="single" w:color="auto" w:sz="4" w:space="0"/>
              <w:right w:val="single" w:color="auto" w:sz="8" w:space="0"/>
            </w:tcBorders>
            <w:noWrap/>
            <w:vAlign w:val="center"/>
          </w:tcPr>
          <w:p w14:paraId="4C14DF98">
            <w:pPr>
              <w:widowControl/>
              <w:adjustRightInd/>
              <w:spacing w:line="240" w:lineRule="auto"/>
              <w:textAlignment w:val="auto"/>
              <w:rPr>
                <w:rFonts w:ascii="Arial" w:hAnsi="Arial" w:cs="Arial"/>
                <w:snapToGrid w:val="0"/>
                <w:sz w:val="16"/>
              </w:rPr>
            </w:pPr>
            <w:r>
              <w:rPr>
                <w:rFonts w:hint="eastAsia" w:ascii="Arial" w:hAnsi="Arial" w:cs="Arial"/>
                <w:snapToGrid w:val="0"/>
                <w:sz w:val="16"/>
              </w:rPr>
              <w:t>3.19</w:t>
            </w:r>
            <w:r>
              <w:rPr>
                <w:rFonts w:ascii="Arial" w:hAnsi="Arial" w:cs="Arial"/>
                <w:snapToGrid w:val="0"/>
                <w:sz w:val="16"/>
              </w:rPr>
              <w:t>%</w:t>
            </w:r>
          </w:p>
        </w:tc>
      </w:tr>
      <w:tr w14:paraId="3E278719">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07403F86">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18" w:type="pct"/>
            <w:tcBorders>
              <w:top w:val="nil"/>
              <w:left w:val="nil"/>
              <w:bottom w:val="single" w:color="auto" w:sz="4" w:space="0"/>
              <w:right w:val="single" w:color="auto" w:sz="4" w:space="0"/>
            </w:tcBorders>
            <w:noWrap/>
            <w:vAlign w:val="center"/>
          </w:tcPr>
          <w:p w14:paraId="4F8F2631">
            <w:pPr>
              <w:widowControl/>
              <w:adjustRightInd/>
              <w:spacing w:line="240" w:lineRule="auto"/>
              <w:textAlignment w:val="auto"/>
              <w:rPr>
                <w:rFonts w:ascii="Arial" w:hAnsi="Arial" w:cs="Arial"/>
                <w:snapToGrid w:val="0"/>
                <w:sz w:val="16"/>
              </w:rPr>
            </w:pPr>
            <w:r>
              <w:rPr>
                <w:rFonts w:ascii="Arial" w:hAnsi="Arial" w:cs="Arial"/>
                <w:snapToGrid w:val="0"/>
                <w:sz w:val="16"/>
              </w:rPr>
              <w:t>利润</w:t>
            </w:r>
          </w:p>
        </w:tc>
        <w:tc>
          <w:tcPr>
            <w:tcW w:w="491" w:type="pct"/>
            <w:tcBorders>
              <w:top w:val="nil"/>
              <w:left w:val="nil"/>
              <w:bottom w:val="single" w:color="auto" w:sz="4" w:space="0"/>
              <w:right w:val="single" w:color="auto" w:sz="4" w:space="0"/>
            </w:tcBorders>
            <w:noWrap/>
            <w:vAlign w:val="center"/>
          </w:tcPr>
          <w:p w14:paraId="3EE7B9BD">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single" w:color="auto" w:sz="4" w:space="0"/>
              <w:right w:val="nil"/>
            </w:tcBorders>
            <w:noWrap/>
            <w:vAlign w:val="center"/>
          </w:tcPr>
          <w:p w14:paraId="540F981F">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（建造成本+管理费用+销售费用）×利润率</w:t>
            </w:r>
          </w:p>
        </w:tc>
        <w:tc>
          <w:tcPr>
            <w:tcW w:w="825" w:type="pct"/>
            <w:tcBorders>
              <w:top w:val="nil"/>
              <w:left w:val="nil"/>
              <w:bottom w:val="single" w:color="auto" w:sz="4" w:space="0"/>
              <w:right w:val="nil"/>
            </w:tcBorders>
            <w:noWrap/>
            <w:vAlign w:val="center"/>
          </w:tcPr>
          <w:p w14:paraId="03F0958B">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4" w:type="pct"/>
            <w:tcBorders>
              <w:top w:val="nil"/>
              <w:left w:val="nil"/>
              <w:bottom w:val="single" w:color="auto" w:sz="4" w:space="0"/>
              <w:right w:val="single" w:color="auto" w:sz="8" w:space="0"/>
            </w:tcBorders>
            <w:noWrap/>
            <w:vAlign w:val="center"/>
          </w:tcPr>
          <w:p w14:paraId="3B71F392">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63148550">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0FB2D152">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18" w:type="pct"/>
            <w:tcBorders>
              <w:top w:val="nil"/>
              <w:left w:val="nil"/>
              <w:bottom w:val="single" w:color="auto" w:sz="4" w:space="0"/>
              <w:right w:val="single" w:color="auto" w:sz="4" w:space="0"/>
            </w:tcBorders>
            <w:noWrap/>
            <w:vAlign w:val="center"/>
          </w:tcPr>
          <w:p w14:paraId="35F9C455">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（1）及（2）项产生的利润</w:t>
            </w:r>
          </w:p>
        </w:tc>
        <w:tc>
          <w:tcPr>
            <w:tcW w:w="491" w:type="pct"/>
            <w:tcBorders>
              <w:top w:val="nil"/>
              <w:left w:val="nil"/>
              <w:bottom w:val="single" w:color="auto" w:sz="4" w:space="0"/>
              <w:right w:val="single" w:color="auto" w:sz="4" w:space="0"/>
            </w:tcBorders>
            <w:noWrap/>
            <w:vAlign w:val="center"/>
          </w:tcPr>
          <w:p w14:paraId="332AB1C5">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38</w:t>
            </w:r>
          </w:p>
        </w:tc>
        <w:tc>
          <w:tcPr>
            <w:tcW w:w="1808" w:type="pct"/>
            <w:tcBorders>
              <w:top w:val="nil"/>
              <w:left w:val="nil"/>
              <w:bottom w:val="single" w:color="auto" w:sz="4" w:space="0"/>
              <w:right w:val="single" w:color="auto" w:sz="4" w:space="0"/>
            </w:tcBorders>
            <w:vAlign w:val="center"/>
          </w:tcPr>
          <w:p w14:paraId="373B3745">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（建造成本+管理费用）×利润率</w:t>
            </w:r>
          </w:p>
        </w:tc>
        <w:tc>
          <w:tcPr>
            <w:tcW w:w="825" w:type="pct"/>
            <w:tcBorders>
              <w:top w:val="nil"/>
              <w:left w:val="nil"/>
              <w:bottom w:val="nil"/>
              <w:right w:val="single" w:color="auto" w:sz="4" w:space="0"/>
            </w:tcBorders>
            <w:noWrap/>
            <w:vAlign w:val="center"/>
          </w:tcPr>
          <w:p w14:paraId="58BF4199">
            <w:pPr>
              <w:widowControl/>
              <w:adjustRightInd/>
              <w:spacing w:line="240" w:lineRule="auto"/>
              <w:textAlignment w:val="auto"/>
              <w:rPr>
                <w:rFonts w:ascii="Arial" w:hAnsi="Arial" w:cs="Arial"/>
                <w:snapToGrid w:val="0"/>
                <w:sz w:val="16"/>
              </w:rPr>
            </w:pPr>
            <w:r>
              <w:rPr>
                <w:rFonts w:ascii="Arial" w:hAnsi="Arial" w:cs="Arial"/>
                <w:snapToGrid w:val="0"/>
                <w:sz w:val="16"/>
              </w:rPr>
              <w:t>利润率（%）</w:t>
            </w:r>
          </w:p>
        </w:tc>
        <w:tc>
          <w:tcPr>
            <w:tcW w:w="464" w:type="pct"/>
            <w:tcBorders>
              <w:top w:val="nil"/>
              <w:left w:val="nil"/>
              <w:bottom w:val="single" w:color="auto" w:sz="4" w:space="0"/>
              <w:right w:val="single" w:color="auto" w:sz="8" w:space="0"/>
            </w:tcBorders>
            <w:noWrap/>
            <w:vAlign w:val="center"/>
          </w:tcPr>
          <w:p w14:paraId="20BB0CA6">
            <w:pPr>
              <w:widowControl/>
              <w:adjustRightInd/>
              <w:spacing w:line="240" w:lineRule="auto"/>
              <w:textAlignment w:val="auto"/>
              <w:rPr>
                <w:rFonts w:ascii="Arial" w:hAnsi="Arial" w:cs="Arial"/>
                <w:snapToGrid w:val="0"/>
                <w:sz w:val="16"/>
              </w:rPr>
            </w:pPr>
            <w:r>
              <w:rPr>
                <w:rFonts w:ascii="Arial" w:hAnsi="Arial" w:cs="Arial"/>
                <w:snapToGrid w:val="0"/>
                <w:sz w:val="16"/>
              </w:rPr>
              <w:t>10.0%</w:t>
            </w:r>
          </w:p>
        </w:tc>
      </w:tr>
      <w:tr w14:paraId="43F978E1">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7E15C66A">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18" w:type="pct"/>
            <w:tcBorders>
              <w:top w:val="nil"/>
              <w:left w:val="nil"/>
              <w:bottom w:val="single" w:color="auto" w:sz="4" w:space="0"/>
              <w:right w:val="single" w:color="auto" w:sz="4" w:space="0"/>
            </w:tcBorders>
            <w:noWrap/>
            <w:vAlign w:val="center"/>
          </w:tcPr>
          <w:p w14:paraId="469CF5E6">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销售费用产生的利润</w:t>
            </w:r>
          </w:p>
        </w:tc>
        <w:tc>
          <w:tcPr>
            <w:tcW w:w="491" w:type="pct"/>
            <w:tcBorders>
              <w:top w:val="nil"/>
              <w:left w:val="nil"/>
              <w:bottom w:val="single" w:color="auto" w:sz="4" w:space="0"/>
              <w:right w:val="single" w:color="auto" w:sz="4" w:space="0"/>
            </w:tcBorders>
            <w:noWrap/>
            <w:vAlign w:val="center"/>
          </w:tcPr>
          <w:p w14:paraId="2C4EFC9C">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0.003</w:t>
            </w:r>
          </w:p>
        </w:tc>
        <w:tc>
          <w:tcPr>
            <w:tcW w:w="1808" w:type="pct"/>
            <w:tcBorders>
              <w:top w:val="nil"/>
              <w:left w:val="nil"/>
              <w:bottom w:val="single" w:color="auto" w:sz="4" w:space="0"/>
              <w:right w:val="single" w:color="auto" w:sz="4" w:space="0"/>
            </w:tcBorders>
            <w:vAlign w:val="center"/>
          </w:tcPr>
          <w:p w14:paraId="6E857A7F">
            <w:pPr>
              <w:widowControl/>
              <w:adjustRightInd/>
              <w:spacing w:line="240" w:lineRule="auto"/>
              <w:textAlignment w:val="auto"/>
              <w:rPr>
                <w:rFonts w:ascii="Arial" w:hAnsi="Arial" w:cs="Arial"/>
                <w:snapToGrid w:val="0"/>
                <w:sz w:val="16"/>
              </w:rPr>
            </w:pPr>
            <w:r>
              <w:rPr>
                <w:rFonts w:ascii="Arial" w:hAnsi="Arial" w:cs="Arial"/>
                <w:snapToGrid w:val="0"/>
                <w:sz w:val="16"/>
              </w:rPr>
              <w:t>销售费用×利润率</w:t>
            </w:r>
          </w:p>
        </w:tc>
        <w:tc>
          <w:tcPr>
            <w:tcW w:w="825" w:type="pct"/>
            <w:tcBorders>
              <w:top w:val="nil"/>
              <w:left w:val="nil"/>
              <w:bottom w:val="single" w:color="auto" w:sz="4" w:space="0"/>
              <w:right w:val="single" w:color="auto" w:sz="4" w:space="0"/>
            </w:tcBorders>
            <w:noWrap/>
            <w:vAlign w:val="center"/>
          </w:tcPr>
          <w:p w14:paraId="0151B8AD">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4" w:type="pct"/>
            <w:tcBorders>
              <w:top w:val="nil"/>
              <w:left w:val="nil"/>
              <w:bottom w:val="single" w:color="auto" w:sz="4" w:space="0"/>
              <w:right w:val="single" w:color="auto" w:sz="8" w:space="0"/>
            </w:tcBorders>
            <w:noWrap/>
            <w:vAlign w:val="center"/>
          </w:tcPr>
          <w:p w14:paraId="6259FB76">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44993F9F">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756437F3">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18" w:type="pct"/>
            <w:tcBorders>
              <w:top w:val="nil"/>
              <w:left w:val="nil"/>
              <w:bottom w:val="single" w:color="auto" w:sz="4" w:space="0"/>
              <w:right w:val="single" w:color="auto" w:sz="4" w:space="0"/>
            </w:tcBorders>
            <w:noWrap/>
            <w:vAlign w:val="center"/>
          </w:tcPr>
          <w:p w14:paraId="27F90F3A">
            <w:pPr>
              <w:widowControl/>
              <w:adjustRightInd/>
              <w:spacing w:line="240" w:lineRule="auto"/>
              <w:textAlignment w:val="auto"/>
              <w:rPr>
                <w:rFonts w:ascii="Arial" w:hAnsi="Arial" w:cs="Arial"/>
                <w:snapToGrid w:val="0"/>
                <w:sz w:val="16"/>
              </w:rPr>
            </w:pPr>
            <w:r>
              <w:rPr>
                <w:rFonts w:ascii="Arial" w:hAnsi="Arial" w:cs="Arial"/>
                <w:snapToGrid w:val="0"/>
                <w:sz w:val="16"/>
              </w:rPr>
              <w:t>销售税费</w:t>
            </w:r>
          </w:p>
        </w:tc>
        <w:tc>
          <w:tcPr>
            <w:tcW w:w="491" w:type="pct"/>
            <w:tcBorders>
              <w:top w:val="nil"/>
              <w:left w:val="nil"/>
              <w:bottom w:val="single" w:color="auto" w:sz="4" w:space="0"/>
              <w:right w:val="single" w:color="auto" w:sz="4" w:space="0"/>
            </w:tcBorders>
            <w:noWrap/>
            <w:vAlign w:val="center"/>
          </w:tcPr>
          <w:p w14:paraId="7151B298">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0.0524</w:t>
            </w:r>
          </w:p>
        </w:tc>
        <w:tc>
          <w:tcPr>
            <w:tcW w:w="1808" w:type="pct"/>
            <w:tcBorders>
              <w:top w:val="nil"/>
              <w:left w:val="nil"/>
              <w:bottom w:val="single" w:color="auto" w:sz="4" w:space="0"/>
              <w:right w:val="single" w:color="auto" w:sz="4" w:space="0"/>
            </w:tcBorders>
            <w:vAlign w:val="center"/>
          </w:tcPr>
          <w:p w14:paraId="2752FA01">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建筑物重置价格×费率/(1+5%)</w:t>
            </w:r>
          </w:p>
        </w:tc>
        <w:tc>
          <w:tcPr>
            <w:tcW w:w="825" w:type="pct"/>
            <w:tcBorders>
              <w:top w:val="nil"/>
              <w:left w:val="nil"/>
              <w:bottom w:val="single" w:color="auto" w:sz="4" w:space="0"/>
              <w:right w:val="single" w:color="auto" w:sz="4" w:space="0"/>
            </w:tcBorders>
            <w:noWrap/>
            <w:vAlign w:val="center"/>
          </w:tcPr>
          <w:p w14:paraId="550FA7AD">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4" w:type="pct"/>
            <w:tcBorders>
              <w:top w:val="nil"/>
              <w:left w:val="nil"/>
              <w:bottom w:val="single" w:color="auto" w:sz="4" w:space="0"/>
              <w:right w:val="single" w:color="auto" w:sz="8" w:space="0"/>
            </w:tcBorders>
            <w:noWrap/>
            <w:vAlign w:val="center"/>
          </w:tcPr>
          <w:p w14:paraId="2BE267AA">
            <w:pPr>
              <w:widowControl/>
              <w:adjustRightInd/>
              <w:spacing w:line="240" w:lineRule="auto"/>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72A81C7C">
        <w:tblPrEx>
          <w:tblCellMar>
            <w:top w:w="0" w:type="dxa"/>
            <w:left w:w="108" w:type="dxa"/>
            <w:bottom w:w="0" w:type="dxa"/>
            <w:right w:w="108" w:type="dxa"/>
          </w:tblCellMar>
        </w:tblPrEx>
        <w:trPr>
          <w:trHeight w:val="360" w:hRule="atLeast"/>
        </w:trPr>
        <w:tc>
          <w:tcPr>
            <w:tcW w:w="392" w:type="pct"/>
            <w:tcBorders>
              <w:top w:val="nil"/>
              <w:left w:val="single" w:color="auto" w:sz="8" w:space="0"/>
              <w:bottom w:val="double" w:color="auto" w:sz="6" w:space="0"/>
              <w:right w:val="single" w:color="auto" w:sz="4" w:space="0"/>
            </w:tcBorders>
            <w:noWrap/>
            <w:vAlign w:val="center"/>
          </w:tcPr>
          <w:p w14:paraId="60AF79FE">
            <w:pPr>
              <w:widowControl/>
              <w:adjustRightInd/>
              <w:spacing w:line="240" w:lineRule="auto"/>
              <w:textAlignment w:val="auto"/>
              <w:rPr>
                <w:rFonts w:ascii="Arial" w:hAnsi="Arial" w:cs="Arial"/>
                <w:snapToGrid w:val="0"/>
                <w:sz w:val="16"/>
              </w:rPr>
            </w:pPr>
            <w:r>
              <w:rPr>
                <w:rFonts w:ascii="Arial" w:hAnsi="Arial" w:cs="Arial"/>
                <w:snapToGrid w:val="0"/>
                <w:sz w:val="16"/>
              </w:rPr>
              <w:t>（7）</w:t>
            </w:r>
          </w:p>
        </w:tc>
        <w:tc>
          <w:tcPr>
            <w:tcW w:w="1018" w:type="pct"/>
            <w:tcBorders>
              <w:top w:val="nil"/>
              <w:left w:val="nil"/>
              <w:bottom w:val="double" w:color="auto" w:sz="6" w:space="0"/>
              <w:right w:val="single" w:color="auto" w:sz="4" w:space="0"/>
            </w:tcBorders>
            <w:noWrap/>
            <w:vAlign w:val="center"/>
          </w:tcPr>
          <w:p w14:paraId="420C26DD">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建筑物重置价格（P建）</w:t>
            </w:r>
          </w:p>
        </w:tc>
        <w:tc>
          <w:tcPr>
            <w:tcW w:w="491" w:type="pct"/>
            <w:tcBorders>
              <w:top w:val="nil"/>
              <w:left w:val="nil"/>
              <w:bottom w:val="double" w:color="auto" w:sz="6" w:space="0"/>
              <w:right w:val="single" w:color="auto" w:sz="4" w:space="0"/>
            </w:tcBorders>
            <w:noWrap/>
            <w:vAlign w:val="center"/>
          </w:tcPr>
          <w:p w14:paraId="2BDD102D">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465</w:t>
            </w:r>
          </w:p>
        </w:tc>
        <w:tc>
          <w:tcPr>
            <w:tcW w:w="1808" w:type="pct"/>
            <w:tcBorders>
              <w:top w:val="nil"/>
              <w:left w:val="nil"/>
              <w:bottom w:val="double" w:color="auto" w:sz="6" w:space="0"/>
              <w:right w:val="single" w:color="auto" w:sz="4" w:space="0"/>
            </w:tcBorders>
            <w:vAlign w:val="center"/>
          </w:tcPr>
          <w:p w14:paraId="4980C81E">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double" w:color="auto" w:sz="6" w:space="0"/>
              <w:right w:val="single" w:color="auto" w:sz="4" w:space="0"/>
            </w:tcBorders>
            <w:noWrap/>
            <w:vAlign w:val="center"/>
          </w:tcPr>
          <w:p w14:paraId="0603EE9C">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4" w:type="pct"/>
            <w:tcBorders>
              <w:top w:val="nil"/>
              <w:left w:val="nil"/>
              <w:bottom w:val="double" w:color="auto" w:sz="6" w:space="0"/>
              <w:right w:val="single" w:color="auto" w:sz="8" w:space="0"/>
            </w:tcBorders>
            <w:noWrap/>
            <w:vAlign w:val="center"/>
          </w:tcPr>
          <w:p w14:paraId="196CECD0">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12E7102E">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0E5BB112">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18" w:type="pct"/>
            <w:tcBorders>
              <w:top w:val="nil"/>
              <w:left w:val="nil"/>
              <w:bottom w:val="single" w:color="auto" w:sz="4" w:space="0"/>
              <w:right w:val="single" w:color="auto" w:sz="4" w:space="0"/>
            </w:tcBorders>
            <w:noWrap/>
            <w:vAlign w:val="center"/>
          </w:tcPr>
          <w:p w14:paraId="2F8A6407">
            <w:pPr>
              <w:widowControl/>
              <w:adjustRightInd/>
              <w:spacing w:line="240" w:lineRule="auto"/>
              <w:textAlignment w:val="auto"/>
              <w:rPr>
                <w:rFonts w:ascii="Arial" w:hAnsi="Arial" w:cs="Arial"/>
                <w:snapToGrid w:val="0"/>
                <w:sz w:val="16"/>
              </w:rPr>
            </w:pPr>
            <w:r>
              <w:rPr>
                <w:rFonts w:ascii="Arial" w:hAnsi="Arial" w:cs="Arial"/>
                <w:snapToGrid w:val="0"/>
                <w:sz w:val="16"/>
              </w:rPr>
              <w:t>年经营费用</w:t>
            </w:r>
          </w:p>
        </w:tc>
        <w:tc>
          <w:tcPr>
            <w:tcW w:w="491" w:type="pct"/>
            <w:tcBorders>
              <w:top w:val="nil"/>
              <w:left w:val="nil"/>
              <w:bottom w:val="single" w:color="auto" w:sz="4" w:space="0"/>
              <w:right w:val="single" w:color="auto" w:sz="4" w:space="0"/>
            </w:tcBorders>
            <w:noWrap/>
            <w:vAlign w:val="center"/>
          </w:tcPr>
          <w:p w14:paraId="636D76E3">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11</w:t>
            </w:r>
          </w:p>
        </w:tc>
        <w:tc>
          <w:tcPr>
            <w:tcW w:w="1808" w:type="pct"/>
            <w:tcBorders>
              <w:top w:val="nil"/>
              <w:left w:val="nil"/>
              <w:bottom w:val="single" w:color="auto" w:sz="4" w:space="0"/>
              <w:right w:val="nil"/>
            </w:tcBorders>
            <w:noWrap/>
            <w:vAlign w:val="center"/>
          </w:tcPr>
          <w:p w14:paraId="2645C680">
            <w:pPr>
              <w:widowControl/>
              <w:adjustRightInd/>
              <w:spacing w:line="240" w:lineRule="auto"/>
              <w:textAlignment w:val="auto"/>
              <w:rPr>
                <w:rFonts w:ascii="Arial" w:hAnsi="Arial" w:cs="Arial"/>
                <w:snapToGrid w:val="0"/>
                <w:sz w:val="16"/>
              </w:rPr>
            </w:pPr>
            <w:r>
              <w:rPr>
                <w:rFonts w:ascii="Arial" w:hAnsi="Arial" w:cs="Arial"/>
                <w:snapToGrid w:val="0"/>
                <w:sz w:val="16"/>
              </w:rPr>
              <w:t>税费+维修费+保险费+管理费</w:t>
            </w:r>
          </w:p>
        </w:tc>
        <w:tc>
          <w:tcPr>
            <w:tcW w:w="825" w:type="pct"/>
            <w:tcBorders>
              <w:top w:val="nil"/>
              <w:left w:val="nil"/>
              <w:bottom w:val="single" w:color="auto" w:sz="4" w:space="0"/>
              <w:right w:val="nil"/>
            </w:tcBorders>
            <w:noWrap/>
            <w:vAlign w:val="center"/>
          </w:tcPr>
          <w:p w14:paraId="26159B47">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464" w:type="pct"/>
            <w:tcBorders>
              <w:top w:val="nil"/>
              <w:left w:val="nil"/>
              <w:bottom w:val="single" w:color="auto" w:sz="4" w:space="0"/>
              <w:right w:val="single" w:color="auto" w:sz="8" w:space="0"/>
            </w:tcBorders>
            <w:noWrap/>
            <w:vAlign w:val="center"/>
          </w:tcPr>
          <w:p w14:paraId="7EEF2846">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5C796BCF">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3D773B3F">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18" w:type="pct"/>
            <w:tcBorders>
              <w:top w:val="nil"/>
              <w:left w:val="nil"/>
              <w:bottom w:val="single" w:color="auto" w:sz="4" w:space="0"/>
              <w:right w:val="single" w:color="auto" w:sz="4" w:space="0"/>
            </w:tcBorders>
            <w:noWrap/>
            <w:vAlign w:val="center"/>
          </w:tcPr>
          <w:p w14:paraId="5FD2799B">
            <w:pPr>
              <w:widowControl/>
              <w:adjustRightInd/>
              <w:spacing w:line="240" w:lineRule="auto"/>
              <w:textAlignment w:val="auto"/>
              <w:rPr>
                <w:rFonts w:ascii="Arial" w:hAnsi="Arial" w:cs="Arial"/>
                <w:snapToGrid w:val="0"/>
                <w:sz w:val="16"/>
              </w:rPr>
            </w:pPr>
            <w:r>
              <w:rPr>
                <w:rFonts w:ascii="Arial" w:hAnsi="Arial" w:cs="Arial"/>
                <w:snapToGrid w:val="0"/>
                <w:sz w:val="16"/>
              </w:rPr>
              <w:t>税  费</w:t>
            </w:r>
          </w:p>
        </w:tc>
        <w:tc>
          <w:tcPr>
            <w:tcW w:w="491" w:type="pct"/>
            <w:tcBorders>
              <w:top w:val="nil"/>
              <w:left w:val="nil"/>
              <w:bottom w:val="single" w:color="auto" w:sz="4" w:space="0"/>
              <w:right w:val="single" w:color="auto" w:sz="4" w:space="0"/>
            </w:tcBorders>
            <w:noWrap/>
            <w:vAlign w:val="center"/>
          </w:tcPr>
          <w:p w14:paraId="77BFF27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8.38</w:t>
            </w:r>
          </w:p>
        </w:tc>
        <w:tc>
          <w:tcPr>
            <w:tcW w:w="1808" w:type="pct"/>
            <w:tcBorders>
              <w:top w:val="nil"/>
              <w:left w:val="nil"/>
              <w:bottom w:val="single" w:color="auto" w:sz="4" w:space="0"/>
              <w:right w:val="nil"/>
            </w:tcBorders>
            <w:vAlign w:val="center"/>
          </w:tcPr>
          <w:p w14:paraId="67BD1FDF">
            <w:pPr>
              <w:widowControl/>
              <w:adjustRightInd/>
              <w:spacing w:line="240" w:lineRule="auto"/>
              <w:textAlignment w:val="auto"/>
              <w:rPr>
                <w:rFonts w:ascii="Arial" w:hAnsi="Arial" w:cs="Arial"/>
                <w:snapToGrid w:val="0"/>
                <w:sz w:val="16"/>
              </w:rPr>
            </w:pPr>
            <w:r>
              <w:rPr>
                <w:rFonts w:ascii="Arial" w:hAnsi="Arial" w:cs="Arial"/>
                <w:snapToGrid w:val="0"/>
                <w:sz w:val="16"/>
              </w:rPr>
              <w:t>两税一费+房产税+城镇土地使用税</w:t>
            </w:r>
          </w:p>
        </w:tc>
        <w:tc>
          <w:tcPr>
            <w:tcW w:w="825" w:type="pct"/>
            <w:tcBorders>
              <w:top w:val="nil"/>
              <w:left w:val="single" w:color="auto" w:sz="4" w:space="0"/>
              <w:bottom w:val="single" w:color="auto" w:sz="4" w:space="0"/>
              <w:right w:val="single" w:color="auto" w:sz="4" w:space="0"/>
            </w:tcBorders>
            <w:vAlign w:val="center"/>
          </w:tcPr>
          <w:p w14:paraId="6BBC97DB">
            <w:pPr>
              <w:widowControl/>
              <w:adjustRightInd/>
              <w:spacing w:line="240" w:lineRule="auto"/>
              <w:textAlignment w:val="auto"/>
              <w:rPr>
                <w:rFonts w:ascii="Arial" w:hAnsi="Arial" w:cs="Arial"/>
                <w:snapToGrid w:val="0"/>
                <w:sz w:val="16"/>
              </w:rPr>
            </w:pPr>
            <w:r>
              <w:rPr>
                <w:rFonts w:ascii="Arial" w:hAnsi="Arial" w:cs="Arial"/>
                <w:snapToGrid w:val="0"/>
                <w:sz w:val="16"/>
              </w:rPr>
              <w:t>综合税率</w:t>
            </w:r>
          </w:p>
        </w:tc>
        <w:tc>
          <w:tcPr>
            <w:tcW w:w="464" w:type="pct"/>
            <w:tcBorders>
              <w:top w:val="nil"/>
              <w:left w:val="nil"/>
              <w:bottom w:val="single" w:color="auto" w:sz="4" w:space="0"/>
              <w:right w:val="single" w:color="auto" w:sz="8" w:space="0"/>
            </w:tcBorders>
            <w:vAlign w:val="center"/>
          </w:tcPr>
          <w:p w14:paraId="1ACA6986">
            <w:pPr>
              <w:widowControl/>
              <w:adjustRightInd/>
              <w:spacing w:line="240" w:lineRule="auto"/>
              <w:textAlignment w:val="auto"/>
              <w:rPr>
                <w:rFonts w:ascii="Arial" w:hAnsi="Arial" w:cs="Arial"/>
                <w:snapToGrid w:val="0"/>
                <w:sz w:val="16"/>
              </w:rPr>
            </w:pPr>
            <w:r>
              <w:rPr>
                <w:rFonts w:ascii="Arial" w:hAnsi="Arial" w:cs="Arial"/>
                <w:snapToGrid w:val="0"/>
                <w:sz w:val="16"/>
              </w:rPr>
              <w:t>——</w:t>
            </w:r>
          </w:p>
        </w:tc>
      </w:tr>
      <w:tr w14:paraId="4CE4D5BF">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21892616">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18" w:type="pct"/>
            <w:tcBorders>
              <w:top w:val="nil"/>
              <w:left w:val="nil"/>
              <w:bottom w:val="single" w:color="auto" w:sz="4" w:space="0"/>
              <w:right w:val="single" w:color="auto" w:sz="4" w:space="0"/>
            </w:tcBorders>
            <w:noWrap/>
            <w:vAlign w:val="center"/>
          </w:tcPr>
          <w:p w14:paraId="49A58DB1">
            <w:pPr>
              <w:widowControl/>
              <w:adjustRightInd/>
              <w:spacing w:line="240" w:lineRule="auto"/>
              <w:textAlignment w:val="auto"/>
              <w:rPr>
                <w:rFonts w:ascii="Arial" w:hAnsi="Arial" w:cs="Arial"/>
                <w:snapToGrid w:val="0"/>
                <w:sz w:val="16"/>
              </w:rPr>
            </w:pPr>
            <w:r>
              <w:rPr>
                <w:rFonts w:ascii="Arial" w:hAnsi="Arial" w:cs="Arial"/>
                <w:snapToGrid w:val="0"/>
                <w:sz w:val="16"/>
              </w:rPr>
              <w:t>两税两费</w:t>
            </w:r>
          </w:p>
        </w:tc>
        <w:tc>
          <w:tcPr>
            <w:tcW w:w="491" w:type="pct"/>
            <w:tcBorders>
              <w:top w:val="nil"/>
              <w:left w:val="nil"/>
              <w:bottom w:val="single" w:color="auto" w:sz="4" w:space="0"/>
              <w:right w:val="single" w:color="auto" w:sz="4" w:space="0"/>
            </w:tcBorders>
            <w:noWrap/>
            <w:vAlign w:val="center"/>
          </w:tcPr>
          <w:p w14:paraId="1645E903">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2.62</w:t>
            </w:r>
          </w:p>
        </w:tc>
        <w:tc>
          <w:tcPr>
            <w:tcW w:w="1808" w:type="pct"/>
            <w:tcBorders>
              <w:top w:val="nil"/>
              <w:left w:val="nil"/>
              <w:bottom w:val="single" w:color="auto" w:sz="4" w:space="0"/>
              <w:right w:val="single" w:color="auto" w:sz="4" w:space="0"/>
            </w:tcBorders>
            <w:vAlign w:val="center"/>
          </w:tcPr>
          <w:p w14:paraId="6C48B67D">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年总收益×费率/(1+5%)</w:t>
            </w:r>
          </w:p>
        </w:tc>
        <w:tc>
          <w:tcPr>
            <w:tcW w:w="825" w:type="pct"/>
            <w:tcBorders>
              <w:top w:val="nil"/>
              <w:left w:val="nil"/>
              <w:bottom w:val="single" w:color="auto" w:sz="4" w:space="0"/>
              <w:right w:val="single" w:color="auto" w:sz="4" w:space="0"/>
            </w:tcBorders>
            <w:noWrap/>
            <w:vAlign w:val="center"/>
          </w:tcPr>
          <w:p w14:paraId="77BDF74A">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4" w:type="pct"/>
            <w:tcBorders>
              <w:top w:val="nil"/>
              <w:left w:val="nil"/>
              <w:bottom w:val="single" w:color="auto" w:sz="4" w:space="0"/>
              <w:right w:val="single" w:color="auto" w:sz="8" w:space="0"/>
            </w:tcBorders>
            <w:noWrap/>
            <w:vAlign w:val="center"/>
          </w:tcPr>
          <w:p w14:paraId="2CB9944C">
            <w:pPr>
              <w:widowControl/>
              <w:adjustRightInd/>
              <w:spacing w:line="240" w:lineRule="auto"/>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1F255EB9">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3E228719">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18" w:type="pct"/>
            <w:tcBorders>
              <w:top w:val="nil"/>
              <w:left w:val="nil"/>
              <w:bottom w:val="single" w:color="auto" w:sz="4" w:space="0"/>
              <w:right w:val="single" w:color="auto" w:sz="4" w:space="0"/>
            </w:tcBorders>
            <w:noWrap/>
            <w:vAlign w:val="center"/>
          </w:tcPr>
          <w:p w14:paraId="33FB152B">
            <w:pPr>
              <w:widowControl/>
              <w:adjustRightInd/>
              <w:spacing w:line="240" w:lineRule="auto"/>
              <w:textAlignment w:val="auto"/>
              <w:rPr>
                <w:rFonts w:ascii="Arial" w:hAnsi="Arial" w:cs="Arial"/>
                <w:snapToGrid w:val="0"/>
                <w:sz w:val="16"/>
              </w:rPr>
            </w:pPr>
            <w:r>
              <w:rPr>
                <w:rFonts w:ascii="Arial" w:hAnsi="Arial" w:cs="Arial"/>
                <w:snapToGrid w:val="0"/>
                <w:sz w:val="16"/>
              </w:rPr>
              <w:t>房产税</w:t>
            </w:r>
          </w:p>
        </w:tc>
        <w:tc>
          <w:tcPr>
            <w:tcW w:w="491" w:type="pct"/>
            <w:tcBorders>
              <w:top w:val="nil"/>
              <w:left w:val="nil"/>
              <w:bottom w:val="single" w:color="auto" w:sz="4" w:space="0"/>
              <w:right w:val="single" w:color="auto" w:sz="4" w:space="0"/>
            </w:tcBorders>
            <w:noWrap/>
            <w:vAlign w:val="center"/>
          </w:tcPr>
          <w:p w14:paraId="0B06DF25">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5.71</w:t>
            </w:r>
          </w:p>
        </w:tc>
        <w:tc>
          <w:tcPr>
            <w:tcW w:w="1808" w:type="pct"/>
            <w:tcBorders>
              <w:top w:val="nil"/>
              <w:left w:val="nil"/>
              <w:bottom w:val="single" w:color="auto" w:sz="4" w:space="0"/>
              <w:right w:val="single" w:color="auto" w:sz="4" w:space="0"/>
            </w:tcBorders>
            <w:vAlign w:val="center"/>
          </w:tcPr>
          <w:p w14:paraId="1BE27851">
            <w:pPr>
              <w:widowControl/>
              <w:adjustRightInd/>
              <w:spacing w:line="240" w:lineRule="auto"/>
              <w:textAlignment w:val="auto"/>
              <w:rPr>
                <w:rFonts w:ascii="Arial" w:hAnsi="Arial" w:cs="Arial"/>
                <w:snapToGrid w:val="0"/>
                <w:sz w:val="16"/>
              </w:rPr>
            </w:pPr>
            <w:r>
              <w:rPr>
                <w:rFonts w:ascii="Arial" w:hAnsi="Arial" w:cs="Arial"/>
                <w:snapToGrid w:val="0"/>
                <w:sz w:val="16"/>
              </w:rPr>
              <w:t>按租金收入计税</w:t>
            </w:r>
          </w:p>
        </w:tc>
        <w:tc>
          <w:tcPr>
            <w:tcW w:w="825" w:type="pct"/>
            <w:tcBorders>
              <w:top w:val="nil"/>
              <w:left w:val="nil"/>
              <w:bottom w:val="single" w:color="auto" w:sz="4" w:space="0"/>
              <w:right w:val="single" w:color="auto" w:sz="4" w:space="0"/>
            </w:tcBorders>
            <w:noWrap/>
            <w:vAlign w:val="center"/>
          </w:tcPr>
          <w:p w14:paraId="0D163077">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4" w:type="pct"/>
            <w:tcBorders>
              <w:top w:val="nil"/>
              <w:left w:val="nil"/>
              <w:bottom w:val="single" w:color="auto" w:sz="4" w:space="0"/>
              <w:right w:val="single" w:color="auto" w:sz="8" w:space="0"/>
            </w:tcBorders>
            <w:noWrap/>
            <w:vAlign w:val="center"/>
          </w:tcPr>
          <w:p w14:paraId="4BD4558F">
            <w:pPr>
              <w:widowControl/>
              <w:adjustRightInd/>
              <w:spacing w:line="240" w:lineRule="auto"/>
              <w:textAlignment w:val="auto"/>
              <w:rPr>
                <w:rFonts w:ascii="Arial" w:hAnsi="Arial" w:cs="Arial"/>
                <w:snapToGrid w:val="0"/>
                <w:sz w:val="16"/>
              </w:rPr>
            </w:pPr>
            <w:r>
              <w:rPr>
                <w:rFonts w:hint="eastAsia" w:ascii="Arial" w:hAnsi="Arial" w:cs="Arial"/>
                <w:snapToGrid w:val="0"/>
                <w:sz w:val="16"/>
              </w:rPr>
              <w:t>12</w:t>
            </w:r>
            <w:r>
              <w:rPr>
                <w:rFonts w:ascii="Arial" w:hAnsi="Arial" w:cs="Arial"/>
                <w:snapToGrid w:val="0"/>
                <w:sz w:val="16"/>
              </w:rPr>
              <w:t>.0%</w:t>
            </w:r>
          </w:p>
        </w:tc>
      </w:tr>
      <w:tr w14:paraId="456CF83F">
        <w:tblPrEx>
          <w:tblCellMar>
            <w:top w:w="0" w:type="dxa"/>
            <w:left w:w="108" w:type="dxa"/>
            <w:bottom w:w="0" w:type="dxa"/>
            <w:right w:w="108" w:type="dxa"/>
          </w:tblCellMar>
        </w:tblPrEx>
        <w:trPr>
          <w:trHeight w:val="360" w:hRule="atLeast"/>
        </w:trPr>
        <w:tc>
          <w:tcPr>
            <w:tcW w:w="392" w:type="pct"/>
            <w:tcBorders>
              <w:top w:val="nil"/>
              <w:left w:val="single" w:color="auto" w:sz="8" w:space="0"/>
              <w:bottom w:val="nil"/>
              <w:right w:val="single" w:color="auto" w:sz="4" w:space="0"/>
            </w:tcBorders>
            <w:noWrap/>
            <w:vAlign w:val="center"/>
          </w:tcPr>
          <w:p w14:paraId="1FC97A4B">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18" w:type="pct"/>
            <w:tcBorders>
              <w:top w:val="nil"/>
              <w:left w:val="nil"/>
              <w:bottom w:val="nil"/>
              <w:right w:val="single" w:color="auto" w:sz="4" w:space="0"/>
            </w:tcBorders>
            <w:noWrap/>
            <w:vAlign w:val="center"/>
          </w:tcPr>
          <w:p w14:paraId="2C1A8775">
            <w:pPr>
              <w:widowControl/>
              <w:adjustRightInd/>
              <w:spacing w:line="240" w:lineRule="auto"/>
              <w:textAlignment w:val="auto"/>
              <w:rPr>
                <w:rFonts w:ascii="Arial" w:hAnsi="Arial" w:cs="Arial"/>
                <w:snapToGrid w:val="0"/>
                <w:sz w:val="16"/>
              </w:rPr>
            </w:pPr>
            <w:r>
              <w:rPr>
                <w:rFonts w:ascii="Arial" w:hAnsi="Arial" w:cs="Arial"/>
                <w:snapToGrid w:val="0"/>
                <w:sz w:val="16"/>
              </w:rPr>
              <w:t>城镇土地使用税</w:t>
            </w:r>
          </w:p>
        </w:tc>
        <w:tc>
          <w:tcPr>
            <w:tcW w:w="491" w:type="pct"/>
            <w:tcBorders>
              <w:top w:val="nil"/>
              <w:left w:val="nil"/>
              <w:bottom w:val="nil"/>
              <w:right w:val="single" w:color="auto" w:sz="4" w:space="0"/>
            </w:tcBorders>
            <w:noWrap/>
            <w:vAlign w:val="center"/>
          </w:tcPr>
          <w:p w14:paraId="2BA29AF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0.05</w:t>
            </w:r>
          </w:p>
        </w:tc>
        <w:tc>
          <w:tcPr>
            <w:tcW w:w="1808" w:type="pct"/>
            <w:tcBorders>
              <w:top w:val="nil"/>
              <w:left w:val="nil"/>
              <w:bottom w:val="nil"/>
              <w:right w:val="single" w:color="auto" w:sz="4" w:space="0"/>
            </w:tcBorders>
            <w:vAlign w:val="center"/>
          </w:tcPr>
          <w:p w14:paraId="05C8217A">
            <w:pPr>
              <w:widowControl/>
              <w:adjustRightInd/>
              <w:spacing w:line="240" w:lineRule="auto"/>
              <w:textAlignment w:val="auto"/>
              <w:rPr>
                <w:rFonts w:ascii="Arial" w:hAnsi="Arial" w:cs="Arial"/>
                <w:snapToGrid w:val="0"/>
                <w:sz w:val="16"/>
              </w:rPr>
            </w:pPr>
            <w:r>
              <w:rPr>
                <w:rFonts w:ascii="Arial" w:hAnsi="Arial" w:cs="Arial"/>
                <w:snapToGrid w:val="0"/>
                <w:sz w:val="16"/>
              </w:rPr>
              <w:t>土地面积×取费标准</w:t>
            </w:r>
          </w:p>
        </w:tc>
        <w:tc>
          <w:tcPr>
            <w:tcW w:w="825" w:type="pct"/>
            <w:tcBorders>
              <w:top w:val="nil"/>
              <w:left w:val="nil"/>
              <w:bottom w:val="single" w:color="auto" w:sz="4" w:space="0"/>
              <w:right w:val="single" w:color="auto" w:sz="4" w:space="0"/>
            </w:tcBorders>
            <w:noWrap/>
            <w:vAlign w:val="center"/>
          </w:tcPr>
          <w:p w14:paraId="54C249DC">
            <w:pPr>
              <w:widowControl/>
              <w:adjustRightInd/>
              <w:spacing w:line="240" w:lineRule="auto"/>
              <w:textAlignment w:val="auto"/>
              <w:rPr>
                <w:rFonts w:ascii="Arial" w:hAnsi="Arial" w:cs="Arial"/>
                <w:snapToGrid w:val="0"/>
                <w:sz w:val="16"/>
              </w:rPr>
            </w:pPr>
            <w:r>
              <w:rPr>
                <w:rFonts w:ascii="Arial" w:hAnsi="Arial" w:cs="Arial"/>
                <w:snapToGrid w:val="0"/>
                <w:sz w:val="16"/>
              </w:rPr>
              <w:t>纳税标准（元/㎡）</w:t>
            </w:r>
          </w:p>
        </w:tc>
        <w:tc>
          <w:tcPr>
            <w:tcW w:w="464" w:type="pct"/>
            <w:tcBorders>
              <w:top w:val="nil"/>
              <w:left w:val="nil"/>
              <w:bottom w:val="single" w:color="auto" w:sz="4" w:space="0"/>
              <w:right w:val="single" w:color="auto" w:sz="8" w:space="0"/>
            </w:tcBorders>
            <w:noWrap/>
            <w:vAlign w:val="center"/>
          </w:tcPr>
          <w:p w14:paraId="32371EC7">
            <w:pPr>
              <w:widowControl/>
              <w:adjustRightInd/>
              <w:spacing w:line="240" w:lineRule="auto"/>
              <w:textAlignment w:val="auto"/>
              <w:rPr>
                <w:rFonts w:ascii="Arial" w:hAnsi="Arial" w:cs="Arial"/>
                <w:snapToGrid w:val="0"/>
                <w:sz w:val="16"/>
              </w:rPr>
            </w:pPr>
            <w:r>
              <w:rPr>
                <w:rFonts w:ascii="Arial" w:hAnsi="Arial" w:cs="Arial"/>
                <w:snapToGrid w:val="0"/>
                <w:sz w:val="16"/>
              </w:rPr>
              <w:t>1.5</w:t>
            </w:r>
          </w:p>
        </w:tc>
      </w:tr>
      <w:tr w14:paraId="4FDDCDAB">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278DE8CA">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18" w:type="pct"/>
            <w:tcBorders>
              <w:top w:val="nil"/>
              <w:left w:val="nil"/>
              <w:bottom w:val="single" w:color="auto" w:sz="4" w:space="0"/>
              <w:right w:val="single" w:color="auto" w:sz="4" w:space="0"/>
            </w:tcBorders>
            <w:noWrap/>
            <w:vAlign w:val="center"/>
          </w:tcPr>
          <w:p w14:paraId="16125648">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91" w:type="pct"/>
            <w:tcBorders>
              <w:top w:val="nil"/>
              <w:left w:val="nil"/>
              <w:bottom w:val="single" w:color="auto" w:sz="4" w:space="0"/>
              <w:right w:val="single" w:color="auto" w:sz="4" w:space="0"/>
            </w:tcBorders>
            <w:noWrap/>
            <w:vAlign w:val="center"/>
          </w:tcPr>
          <w:p w14:paraId="09B5E380">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single" w:color="auto" w:sz="4" w:space="0"/>
              <w:right w:val="single" w:color="auto" w:sz="4" w:space="0"/>
            </w:tcBorders>
            <w:vAlign w:val="center"/>
          </w:tcPr>
          <w:p w14:paraId="3E5FD188">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single" w:color="auto" w:sz="4" w:space="0"/>
              <w:right w:val="single" w:color="auto" w:sz="4" w:space="0"/>
            </w:tcBorders>
            <w:noWrap/>
            <w:vAlign w:val="center"/>
          </w:tcPr>
          <w:p w14:paraId="14565B03">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p>
        </w:tc>
        <w:tc>
          <w:tcPr>
            <w:tcW w:w="464" w:type="pct"/>
            <w:tcBorders>
              <w:top w:val="nil"/>
              <w:left w:val="nil"/>
              <w:bottom w:val="single" w:color="auto" w:sz="4" w:space="0"/>
              <w:right w:val="single" w:color="auto" w:sz="8" w:space="0"/>
            </w:tcBorders>
            <w:noWrap/>
            <w:vAlign w:val="center"/>
          </w:tcPr>
          <w:p w14:paraId="3FEF2262">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346.13</w:t>
            </w:r>
          </w:p>
        </w:tc>
      </w:tr>
      <w:tr w14:paraId="0F4A91D4">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0578F25A">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18" w:type="pct"/>
            <w:tcBorders>
              <w:top w:val="nil"/>
              <w:left w:val="nil"/>
              <w:bottom w:val="single" w:color="auto" w:sz="4" w:space="0"/>
              <w:right w:val="single" w:color="auto" w:sz="4" w:space="0"/>
            </w:tcBorders>
            <w:noWrap/>
            <w:vAlign w:val="center"/>
          </w:tcPr>
          <w:p w14:paraId="5D7E4B26">
            <w:pPr>
              <w:widowControl/>
              <w:adjustRightInd/>
              <w:spacing w:line="240" w:lineRule="auto"/>
              <w:textAlignment w:val="auto"/>
              <w:rPr>
                <w:rFonts w:ascii="Arial" w:hAnsi="Arial" w:cs="Arial"/>
                <w:snapToGrid w:val="0"/>
                <w:sz w:val="16"/>
              </w:rPr>
            </w:pPr>
            <w:r>
              <w:rPr>
                <w:rFonts w:ascii="Arial" w:hAnsi="Arial" w:cs="Arial"/>
                <w:snapToGrid w:val="0"/>
                <w:sz w:val="16"/>
              </w:rPr>
              <w:t>维修费</w:t>
            </w:r>
          </w:p>
        </w:tc>
        <w:tc>
          <w:tcPr>
            <w:tcW w:w="491" w:type="pct"/>
            <w:tcBorders>
              <w:top w:val="nil"/>
              <w:left w:val="nil"/>
              <w:bottom w:val="single" w:color="auto" w:sz="4" w:space="0"/>
              <w:right w:val="single" w:color="auto" w:sz="4" w:space="0"/>
            </w:tcBorders>
            <w:noWrap/>
            <w:vAlign w:val="center"/>
          </w:tcPr>
          <w:p w14:paraId="13B2B2B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2.33</w:t>
            </w:r>
          </w:p>
        </w:tc>
        <w:tc>
          <w:tcPr>
            <w:tcW w:w="1808" w:type="pct"/>
            <w:tcBorders>
              <w:top w:val="nil"/>
              <w:left w:val="nil"/>
              <w:bottom w:val="single" w:color="auto" w:sz="4" w:space="0"/>
              <w:right w:val="single" w:color="auto" w:sz="4" w:space="0"/>
            </w:tcBorders>
            <w:vAlign w:val="center"/>
          </w:tcPr>
          <w:p w14:paraId="78567933">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建筑物重置价格×维修费率</w:t>
            </w:r>
          </w:p>
        </w:tc>
        <w:tc>
          <w:tcPr>
            <w:tcW w:w="825" w:type="pct"/>
            <w:tcBorders>
              <w:top w:val="nil"/>
              <w:left w:val="nil"/>
              <w:bottom w:val="single" w:color="auto" w:sz="4" w:space="0"/>
              <w:right w:val="single" w:color="auto" w:sz="4" w:space="0"/>
            </w:tcBorders>
            <w:noWrap/>
            <w:vAlign w:val="center"/>
          </w:tcPr>
          <w:p w14:paraId="7E21E675">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4" w:type="pct"/>
            <w:tcBorders>
              <w:top w:val="nil"/>
              <w:left w:val="nil"/>
              <w:bottom w:val="single" w:color="auto" w:sz="4" w:space="0"/>
              <w:right w:val="single" w:color="auto" w:sz="8" w:space="0"/>
            </w:tcBorders>
            <w:noWrap/>
            <w:vAlign w:val="center"/>
          </w:tcPr>
          <w:p w14:paraId="15C48CD8">
            <w:pPr>
              <w:widowControl/>
              <w:adjustRightInd/>
              <w:spacing w:line="240" w:lineRule="auto"/>
              <w:textAlignment w:val="auto"/>
              <w:rPr>
                <w:rFonts w:ascii="Arial" w:hAnsi="Arial" w:cs="Arial"/>
                <w:snapToGrid w:val="0"/>
                <w:sz w:val="16"/>
              </w:rPr>
            </w:pPr>
            <w:r>
              <w:rPr>
                <w:rFonts w:hint="eastAsia" w:ascii="Arial" w:hAnsi="Arial" w:cs="Arial"/>
                <w:snapToGrid w:val="0"/>
                <w:sz w:val="16"/>
              </w:rPr>
              <w:t>0.50</w:t>
            </w:r>
            <w:r>
              <w:rPr>
                <w:rFonts w:ascii="Arial" w:hAnsi="Arial" w:cs="Arial"/>
                <w:snapToGrid w:val="0"/>
                <w:sz w:val="16"/>
              </w:rPr>
              <w:t>%</w:t>
            </w:r>
          </w:p>
        </w:tc>
      </w:tr>
      <w:tr w14:paraId="1A9818DD">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2C3414B7">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18" w:type="pct"/>
            <w:tcBorders>
              <w:top w:val="nil"/>
              <w:left w:val="nil"/>
              <w:bottom w:val="single" w:color="auto" w:sz="4" w:space="0"/>
              <w:right w:val="single" w:color="auto" w:sz="4" w:space="0"/>
            </w:tcBorders>
            <w:noWrap/>
            <w:vAlign w:val="center"/>
          </w:tcPr>
          <w:p w14:paraId="6598965A">
            <w:pPr>
              <w:widowControl/>
              <w:adjustRightInd/>
              <w:spacing w:line="240" w:lineRule="auto"/>
              <w:textAlignment w:val="auto"/>
              <w:rPr>
                <w:rFonts w:ascii="Arial" w:hAnsi="Arial" w:cs="Arial"/>
                <w:snapToGrid w:val="0"/>
                <w:sz w:val="16"/>
              </w:rPr>
            </w:pPr>
            <w:r>
              <w:rPr>
                <w:rFonts w:ascii="Arial" w:hAnsi="Arial" w:cs="Arial"/>
                <w:snapToGrid w:val="0"/>
                <w:sz w:val="16"/>
              </w:rPr>
              <w:t>保险费</w:t>
            </w:r>
          </w:p>
        </w:tc>
        <w:tc>
          <w:tcPr>
            <w:tcW w:w="491" w:type="pct"/>
            <w:tcBorders>
              <w:top w:val="nil"/>
              <w:left w:val="nil"/>
              <w:bottom w:val="single" w:color="auto" w:sz="4" w:space="0"/>
              <w:right w:val="single" w:color="auto" w:sz="4" w:space="0"/>
            </w:tcBorders>
            <w:noWrap/>
            <w:vAlign w:val="center"/>
          </w:tcPr>
          <w:p w14:paraId="5E256481">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0.47</w:t>
            </w:r>
          </w:p>
        </w:tc>
        <w:tc>
          <w:tcPr>
            <w:tcW w:w="1808" w:type="pct"/>
            <w:tcBorders>
              <w:top w:val="nil"/>
              <w:left w:val="nil"/>
              <w:bottom w:val="single" w:color="auto" w:sz="4" w:space="0"/>
              <w:right w:val="single" w:color="auto" w:sz="4" w:space="0"/>
            </w:tcBorders>
            <w:vAlign w:val="center"/>
          </w:tcPr>
          <w:p w14:paraId="5E3DB49B">
            <w:pPr>
              <w:widowControl/>
              <w:adjustRightInd/>
              <w:spacing w:line="240" w:lineRule="auto"/>
              <w:textAlignment w:val="auto"/>
              <w:rPr>
                <w:rFonts w:ascii="Arial" w:hAnsi="Arial" w:cs="Arial"/>
                <w:snapToGrid w:val="0"/>
                <w:sz w:val="16"/>
              </w:rPr>
            </w:pPr>
            <w:r>
              <w:rPr>
                <w:rFonts w:ascii="Arial" w:hAnsi="Arial" w:cs="Arial"/>
                <w:snapToGrid w:val="0"/>
                <w:sz w:val="16"/>
              </w:rPr>
              <w:t>现值×保险费率</w:t>
            </w:r>
          </w:p>
        </w:tc>
        <w:tc>
          <w:tcPr>
            <w:tcW w:w="825" w:type="pct"/>
            <w:tcBorders>
              <w:top w:val="nil"/>
              <w:left w:val="nil"/>
              <w:bottom w:val="single" w:color="auto" w:sz="4" w:space="0"/>
              <w:right w:val="single" w:color="auto" w:sz="4" w:space="0"/>
            </w:tcBorders>
            <w:noWrap/>
            <w:vAlign w:val="center"/>
          </w:tcPr>
          <w:p w14:paraId="4C7C80BA">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4" w:type="pct"/>
            <w:tcBorders>
              <w:top w:val="nil"/>
              <w:left w:val="nil"/>
              <w:bottom w:val="single" w:color="auto" w:sz="4" w:space="0"/>
              <w:right w:val="single" w:color="auto" w:sz="8" w:space="0"/>
            </w:tcBorders>
            <w:noWrap/>
            <w:vAlign w:val="center"/>
          </w:tcPr>
          <w:p w14:paraId="1FBE6A54">
            <w:pPr>
              <w:widowControl/>
              <w:adjustRightInd/>
              <w:spacing w:line="240" w:lineRule="auto"/>
              <w:textAlignment w:val="auto"/>
              <w:rPr>
                <w:rFonts w:ascii="Arial" w:hAnsi="Arial" w:cs="Arial"/>
                <w:snapToGrid w:val="0"/>
                <w:sz w:val="16"/>
              </w:rPr>
            </w:pPr>
            <w:r>
              <w:rPr>
                <w:rFonts w:ascii="Arial" w:hAnsi="Arial" w:cs="Arial"/>
                <w:snapToGrid w:val="0"/>
                <w:sz w:val="16"/>
              </w:rPr>
              <w:t>0.</w:t>
            </w:r>
            <w:r>
              <w:rPr>
                <w:rFonts w:hint="eastAsia" w:ascii="Arial" w:hAnsi="Arial" w:cs="Arial"/>
                <w:snapToGrid w:val="0"/>
                <w:sz w:val="16"/>
              </w:rPr>
              <w:t>100</w:t>
            </w:r>
            <w:r>
              <w:rPr>
                <w:rFonts w:ascii="Arial" w:hAnsi="Arial" w:cs="Arial"/>
                <w:snapToGrid w:val="0"/>
                <w:sz w:val="16"/>
              </w:rPr>
              <w:t>%</w:t>
            </w:r>
          </w:p>
        </w:tc>
      </w:tr>
      <w:tr w14:paraId="5455AB87">
        <w:tblPrEx>
          <w:tblCellMar>
            <w:top w:w="0" w:type="dxa"/>
            <w:left w:w="108" w:type="dxa"/>
            <w:bottom w:w="0" w:type="dxa"/>
            <w:right w:w="108" w:type="dxa"/>
          </w:tblCellMar>
        </w:tblPrEx>
        <w:trPr>
          <w:trHeight w:val="360" w:hRule="atLeast"/>
        </w:trPr>
        <w:tc>
          <w:tcPr>
            <w:tcW w:w="392" w:type="pct"/>
            <w:tcBorders>
              <w:top w:val="nil"/>
              <w:left w:val="single" w:color="auto" w:sz="8" w:space="0"/>
              <w:bottom w:val="double" w:color="auto" w:sz="6" w:space="0"/>
              <w:right w:val="single" w:color="auto" w:sz="4" w:space="0"/>
            </w:tcBorders>
            <w:noWrap/>
            <w:vAlign w:val="center"/>
          </w:tcPr>
          <w:p w14:paraId="4EF9B6FF">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18" w:type="pct"/>
            <w:tcBorders>
              <w:top w:val="nil"/>
              <w:left w:val="nil"/>
              <w:bottom w:val="double" w:color="auto" w:sz="6" w:space="0"/>
              <w:right w:val="single" w:color="auto" w:sz="4" w:space="0"/>
            </w:tcBorders>
            <w:noWrap/>
            <w:vAlign w:val="center"/>
          </w:tcPr>
          <w:p w14:paraId="77C471EC">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491" w:type="pct"/>
            <w:tcBorders>
              <w:top w:val="nil"/>
              <w:left w:val="nil"/>
              <w:bottom w:val="double" w:color="auto" w:sz="6" w:space="0"/>
              <w:right w:val="single" w:color="auto" w:sz="4" w:space="0"/>
            </w:tcBorders>
            <w:noWrap/>
            <w:vAlign w:val="center"/>
          </w:tcPr>
          <w:p w14:paraId="68A7C38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0.25</w:t>
            </w:r>
          </w:p>
        </w:tc>
        <w:tc>
          <w:tcPr>
            <w:tcW w:w="1808" w:type="pct"/>
            <w:tcBorders>
              <w:top w:val="nil"/>
              <w:left w:val="nil"/>
              <w:bottom w:val="double" w:color="auto" w:sz="6" w:space="0"/>
              <w:right w:val="single" w:color="auto" w:sz="4" w:space="0"/>
            </w:tcBorders>
            <w:vAlign w:val="center"/>
          </w:tcPr>
          <w:p w14:paraId="237688F7">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w:t>
            </w:r>
          </w:p>
        </w:tc>
        <w:tc>
          <w:tcPr>
            <w:tcW w:w="825" w:type="pct"/>
            <w:tcBorders>
              <w:top w:val="nil"/>
              <w:left w:val="nil"/>
              <w:bottom w:val="double" w:color="auto" w:sz="6" w:space="0"/>
              <w:right w:val="single" w:color="auto" w:sz="4" w:space="0"/>
            </w:tcBorders>
            <w:noWrap/>
            <w:vAlign w:val="center"/>
          </w:tcPr>
          <w:p w14:paraId="0B8CD72E">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4" w:type="pct"/>
            <w:tcBorders>
              <w:top w:val="nil"/>
              <w:left w:val="nil"/>
              <w:bottom w:val="double" w:color="auto" w:sz="6" w:space="0"/>
              <w:right w:val="single" w:color="auto" w:sz="8" w:space="0"/>
            </w:tcBorders>
            <w:noWrap/>
            <w:vAlign w:val="center"/>
          </w:tcPr>
          <w:p w14:paraId="1B370894">
            <w:pPr>
              <w:widowControl/>
              <w:adjustRightInd/>
              <w:spacing w:line="240" w:lineRule="auto"/>
              <w:textAlignment w:val="auto"/>
              <w:rPr>
                <w:rFonts w:ascii="Arial" w:hAnsi="Arial" w:cs="Arial"/>
                <w:snapToGrid w:val="0"/>
                <w:sz w:val="16"/>
              </w:rPr>
            </w:pPr>
            <w:r>
              <w:rPr>
                <w:rFonts w:hint="eastAsia" w:ascii="Arial" w:hAnsi="Arial" w:cs="Arial"/>
                <w:snapToGrid w:val="0"/>
                <w:sz w:val="16"/>
              </w:rPr>
              <w:t>0.50</w:t>
            </w:r>
            <w:r>
              <w:rPr>
                <w:rFonts w:ascii="Arial" w:hAnsi="Arial" w:cs="Arial"/>
                <w:snapToGrid w:val="0"/>
                <w:sz w:val="16"/>
              </w:rPr>
              <w:t>%</w:t>
            </w:r>
          </w:p>
        </w:tc>
      </w:tr>
      <w:tr w14:paraId="50FC2E60">
        <w:tblPrEx>
          <w:tblCellMar>
            <w:top w:w="0" w:type="dxa"/>
            <w:left w:w="108" w:type="dxa"/>
            <w:bottom w:w="0" w:type="dxa"/>
            <w:right w:w="108" w:type="dxa"/>
          </w:tblCellMar>
        </w:tblPrEx>
        <w:trPr>
          <w:trHeight w:val="492" w:hRule="atLeast"/>
        </w:trPr>
        <w:tc>
          <w:tcPr>
            <w:tcW w:w="392" w:type="pct"/>
            <w:tcBorders>
              <w:top w:val="nil"/>
              <w:left w:val="single" w:color="auto" w:sz="8" w:space="0"/>
              <w:bottom w:val="single" w:color="auto" w:sz="4" w:space="0"/>
              <w:right w:val="single" w:color="auto" w:sz="4" w:space="0"/>
            </w:tcBorders>
            <w:noWrap/>
            <w:vAlign w:val="center"/>
          </w:tcPr>
          <w:p w14:paraId="475D24CA">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18" w:type="pct"/>
            <w:tcBorders>
              <w:top w:val="nil"/>
              <w:left w:val="nil"/>
              <w:bottom w:val="single" w:color="auto" w:sz="4" w:space="0"/>
              <w:right w:val="single" w:color="auto" w:sz="4" w:space="0"/>
            </w:tcBorders>
            <w:vAlign w:val="center"/>
          </w:tcPr>
          <w:p w14:paraId="64EFB15F">
            <w:pPr>
              <w:widowControl/>
              <w:adjustRightInd/>
              <w:spacing w:line="240" w:lineRule="auto"/>
              <w:textAlignment w:val="auto"/>
              <w:rPr>
                <w:rFonts w:ascii="Arial" w:hAnsi="Arial" w:cs="Arial"/>
                <w:snapToGrid w:val="0"/>
                <w:sz w:val="16"/>
              </w:rPr>
            </w:pPr>
            <w:r>
              <w:rPr>
                <w:rFonts w:ascii="Arial" w:hAnsi="Arial" w:cs="Arial"/>
                <w:snapToGrid w:val="0"/>
                <w:sz w:val="16"/>
              </w:rPr>
              <w:t>不动产未来第一年净收益</w:t>
            </w:r>
          </w:p>
        </w:tc>
        <w:tc>
          <w:tcPr>
            <w:tcW w:w="491" w:type="pct"/>
            <w:tcBorders>
              <w:top w:val="nil"/>
              <w:left w:val="nil"/>
              <w:bottom w:val="single" w:color="auto" w:sz="4" w:space="0"/>
              <w:right w:val="single" w:color="auto" w:sz="4" w:space="0"/>
            </w:tcBorders>
            <w:noWrap/>
            <w:vAlign w:val="center"/>
          </w:tcPr>
          <w:p w14:paraId="27A2291D">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39</w:t>
            </w:r>
          </w:p>
        </w:tc>
        <w:tc>
          <w:tcPr>
            <w:tcW w:w="1808" w:type="pct"/>
            <w:tcBorders>
              <w:top w:val="nil"/>
              <w:left w:val="nil"/>
              <w:bottom w:val="single" w:color="auto" w:sz="4" w:space="0"/>
              <w:right w:val="nil"/>
            </w:tcBorders>
            <w:vAlign w:val="center"/>
          </w:tcPr>
          <w:p w14:paraId="490CCC89">
            <w:pPr>
              <w:widowControl/>
              <w:adjustRightInd/>
              <w:spacing w:line="240" w:lineRule="auto"/>
              <w:textAlignment w:val="auto"/>
              <w:rPr>
                <w:rFonts w:ascii="Arial" w:hAnsi="Arial" w:cs="Arial"/>
                <w:snapToGrid w:val="0"/>
                <w:sz w:val="16"/>
              </w:rPr>
            </w:pPr>
            <w:r>
              <w:rPr>
                <w:rFonts w:ascii="Arial" w:hAnsi="Arial" w:cs="Arial"/>
                <w:snapToGrid w:val="0"/>
                <w:sz w:val="16"/>
              </w:rPr>
              <w:t>年总收益-年经营费用</w:t>
            </w:r>
          </w:p>
        </w:tc>
        <w:tc>
          <w:tcPr>
            <w:tcW w:w="825" w:type="pct"/>
            <w:tcBorders>
              <w:top w:val="nil"/>
              <w:left w:val="nil"/>
              <w:bottom w:val="single" w:color="auto" w:sz="4" w:space="0"/>
              <w:right w:val="nil"/>
            </w:tcBorders>
            <w:vAlign w:val="center"/>
          </w:tcPr>
          <w:p w14:paraId="28AC2562">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464" w:type="pct"/>
            <w:tcBorders>
              <w:top w:val="nil"/>
              <w:left w:val="nil"/>
              <w:bottom w:val="single" w:color="auto" w:sz="4" w:space="0"/>
              <w:right w:val="single" w:color="auto" w:sz="8" w:space="0"/>
            </w:tcBorders>
            <w:vAlign w:val="center"/>
          </w:tcPr>
          <w:p w14:paraId="79650DD1">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0AAD6376">
        <w:tblPrEx>
          <w:tblCellMar>
            <w:top w:w="0" w:type="dxa"/>
            <w:left w:w="108" w:type="dxa"/>
            <w:bottom w:w="0" w:type="dxa"/>
            <w:right w:w="108" w:type="dxa"/>
          </w:tblCellMar>
        </w:tblPrEx>
        <w:trPr>
          <w:trHeight w:val="286" w:hRule="atLeast"/>
        </w:trPr>
        <w:tc>
          <w:tcPr>
            <w:tcW w:w="392" w:type="pct"/>
            <w:tcBorders>
              <w:top w:val="nil"/>
              <w:left w:val="single" w:color="auto" w:sz="8" w:space="0"/>
              <w:bottom w:val="nil"/>
              <w:right w:val="single" w:color="auto" w:sz="4" w:space="0"/>
            </w:tcBorders>
            <w:noWrap/>
            <w:vAlign w:val="center"/>
          </w:tcPr>
          <w:p w14:paraId="3901C432">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18" w:type="pct"/>
            <w:tcBorders>
              <w:top w:val="nil"/>
              <w:left w:val="nil"/>
              <w:bottom w:val="nil"/>
              <w:right w:val="single" w:color="auto" w:sz="4" w:space="0"/>
            </w:tcBorders>
            <w:vAlign w:val="center"/>
          </w:tcPr>
          <w:p w14:paraId="6C8E0D7C">
            <w:pPr>
              <w:widowControl/>
              <w:adjustRightInd/>
              <w:spacing w:line="240" w:lineRule="auto"/>
              <w:textAlignment w:val="auto"/>
              <w:rPr>
                <w:rFonts w:ascii="Arial" w:hAnsi="Arial" w:cs="Arial"/>
                <w:snapToGrid w:val="0"/>
                <w:sz w:val="16"/>
              </w:rPr>
            </w:pPr>
            <w:r>
              <w:rPr>
                <w:rFonts w:ascii="Arial" w:hAnsi="Arial" w:cs="Arial"/>
                <w:snapToGrid w:val="0"/>
                <w:sz w:val="16"/>
              </w:rPr>
              <w:t>不动产总价</w:t>
            </w:r>
          </w:p>
        </w:tc>
        <w:tc>
          <w:tcPr>
            <w:tcW w:w="491" w:type="pct"/>
            <w:tcBorders>
              <w:top w:val="nil"/>
              <w:left w:val="nil"/>
              <w:bottom w:val="nil"/>
              <w:right w:val="single" w:color="auto" w:sz="4" w:space="0"/>
            </w:tcBorders>
            <w:noWrap/>
            <w:vAlign w:val="center"/>
          </w:tcPr>
          <w:p w14:paraId="65BBB848">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701</w:t>
            </w:r>
          </w:p>
        </w:tc>
        <w:tc>
          <w:tcPr>
            <w:tcW w:w="1808" w:type="pct"/>
            <w:tcBorders>
              <w:top w:val="nil"/>
              <w:left w:val="nil"/>
              <w:bottom w:val="nil"/>
              <w:right w:val="single" w:color="auto" w:sz="4" w:space="0"/>
            </w:tcBorders>
            <w:vAlign w:val="center"/>
          </w:tcPr>
          <w:p w14:paraId="21882476">
            <w:pPr>
              <w:widowControl/>
              <w:adjustRightInd/>
              <w:spacing w:line="240" w:lineRule="auto"/>
              <w:textAlignment w:val="auto"/>
              <w:rPr>
                <w:rFonts w:ascii="Arial" w:hAnsi="Arial" w:cs="Arial"/>
                <w:snapToGrid w:val="0"/>
                <w:sz w:val="16"/>
              </w:rPr>
            </w:pPr>
            <w:r>
              <w:rPr>
                <w:rFonts w:ascii="Arial" w:hAnsi="Arial" w:cs="Arial"/>
                <w:snapToGrid w:val="0"/>
                <w:sz w:val="16"/>
              </w:rPr>
              <w:t>房地产未来第一年净收益×</w:t>
            </w:r>
          </w:p>
        </w:tc>
        <w:tc>
          <w:tcPr>
            <w:tcW w:w="825" w:type="pct"/>
            <w:tcBorders>
              <w:top w:val="nil"/>
              <w:left w:val="nil"/>
              <w:bottom w:val="single" w:color="auto" w:sz="4" w:space="0"/>
              <w:right w:val="single" w:color="auto" w:sz="4" w:space="0"/>
            </w:tcBorders>
            <w:noWrap/>
            <w:vAlign w:val="center"/>
          </w:tcPr>
          <w:p w14:paraId="6BA8DB79">
            <w:pPr>
              <w:widowControl/>
              <w:adjustRightInd/>
              <w:spacing w:line="240" w:lineRule="auto"/>
              <w:textAlignment w:val="auto"/>
              <w:rPr>
                <w:rFonts w:ascii="Arial" w:hAnsi="Arial" w:cs="Arial"/>
                <w:snapToGrid w:val="0"/>
                <w:sz w:val="16"/>
              </w:rPr>
            </w:pPr>
            <w:r>
              <w:rPr>
                <w:rFonts w:ascii="Arial" w:hAnsi="Arial" w:cs="Arial"/>
                <w:snapToGrid w:val="0"/>
                <w:sz w:val="16"/>
              </w:rPr>
              <w:t>还原率（Y）</w:t>
            </w:r>
          </w:p>
        </w:tc>
        <w:tc>
          <w:tcPr>
            <w:tcW w:w="464" w:type="pct"/>
            <w:tcBorders>
              <w:top w:val="nil"/>
              <w:left w:val="nil"/>
              <w:bottom w:val="single" w:color="auto" w:sz="4" w:space="0"/>
              <w:right w:val="single" w:color="auto" w:sz="8" w:space="0"/>
            </w:tcBorders>
            <w:noWrap/>
            <w:vAlign w:val="center"/>
          </w:tcPr>
          <w:p w14:paraId="22C84361">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6</w:t>
            </w:r>
            <w:r>
              <w:rPr>
                <w:rFonts w:ascii="Arial" w:hAnsi="Arial" w:cs="Arial"/>
                <w:snapToGrid w:val="0"/>
                <w:sz w:val="16"/>
              </w:rPr>
              <w:t>.0%</w:t>
            </w:r>
          </w:p>
        </w:tc>
      </w:tr>
      <w:tr w14:paraId="26FC8D2E">
        <w:tblPrEx>
          <w:tblCellMar>
            <w:top w:w="0" w:type="dxa"/>
            <w:left w:w="108" w:type="dxa"/>
            <w:bottom w:w="0" w:type="dxa"/>
            <w:right w:w="108" w:type="dxa"/>
          </w:tblCellMar>
        </w:tblPrEx>
        <w:trPr>
          <w:trHeight w:val="360" w:hRule="atLeast"/>
        </w:trPr>
        <w:tc>
          <w:tcPr>
            <w:tcW w:w="392" w:type="pct"/>
            <w:tcBorders>
              <w:top w:val="nil"/>
              <w:left w:val="single" w:color="auto" w:sz="8" w:space="0"/>
              <w:bottom w:val="nil"/>
              <w:right w:val="single" w:color="auto" w:sz="4" w:space="0"/>
            </w:tcBorders>
            <w:noWrap/>
            <w:vAlign w:val="center"/>
          </w:tcPr>
          <w:p w14:paraId="1DF5827D">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18" w:type="pct"/>
            <w:tcBorders>
              <w:top w:val="nil"/>
              <w:left w:val="nil"/>
              <w:bottom w:val="nil"/>
              <w:right w:val="single" w:color="auto" w:sz="4" w:space="0"/>
            </w:tcBorders>
            <w:vAlign w:val="center"/>
          </w:tcPr>
          <w:p w14:paraId="123209BB">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91" w:type="pct"/>
            <w:tcBorders>
              <w:top w:val="nil"/>
              <w:left w:val="nil"/>
              <w:bottom w:val="nil"/>
              <w:right w:val="single" w:color="auto" w:sz="4" w:space="0"/>
            </w:tcBorders>
            <w:noWrap/>
            <w:vAlign w:val="center"/>
          </w:tcPr>
          <w:p w14:paraId="63F981EE">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nil"/>
              <w:right w:val="single" w:color="auto" w:sz="4" w:space="0"/>
            </w:tcBorders>
            <w:vAlign w:val="center"/>
          </w:tcPr>
          <w:p w14:paraId="486ADA81">
            <w:pPr>
              <w:widowControl/>
              <w:adjustRightInd/>
              <w:spacing w:line="240" w:lineRule="auto"/>
              <w:textAlignment w:val="auto"/>
              <w:rPr>
                <w:rFonts w:ascii="Arial" w:hAnsi="Arial" w:cs="Arial"/>
                <w:snapToGrid w:val="0"/>
                <w:sz w:val="16"/>
              </w:rPr>
            </w:pPr>
            <w:r>
              <w:rPr>
                <w:rFonts w:ascii="Arial" w:hAnsi="Arial" w:cs="Arial"/>
                <w:snapToGrid w:val="0"/>
                <w:sz w:val="16"/>
              </w:rPr>
              <w:t>[1-（(1+g)/(1+Y)） ^n ]/(Y-g)</w:t>
            </w:r>
          </w:p>
        </w:tc>
        <w:tc>
          <w:tcPr>
            <w:tcW w:w="825" w:type="pct"/>
            <w:tcBorders>
              <w:top w:val="nil"/>
              <w:left w:val="nil"/>
              <w:bottom w:val="single" w:color="auto" w:sz="4" w:space="0"/>
              <w:right w:val="single" w:color="auto" w:sz="4" w:space="0"/>
            </w:tcBorders>
            <w:noWrap/>
            <w:vAlign w:val="center"/>
          </w:tcPr>
          <w:p w14:paraId="74F0CCAA">
            <w:pPr>
              <w:widowControl/>
              <w:adjustRightInd/>
              <w:spacing w:line="240" w:lineRule="auto"/>
              <w:textAlignment w:val="auto"/>
              <w:rPr>
                <w:rFonts w:ascii="Arial" w:hAnsi="Arial" w:cs="Arial"/>
                <w:snapToGrid w:val="0"/>
                <w:sz w:val="16"/>
              </w:rPr>
            </w:pPr>
            <w:r>
              <w:rPr>
                <w:rFonts w:ascii="Arial" w:hAnsi="Arial" w:cs="Arial"/>
                <w:snapToGrid w:val="0"/>
                <w:sz w:val="16"/>
              </w:rPr>
              <w:t>收益年期(n)</w:t>
            </w:r>
          </w:p>
        </w:tc>
        <w:tc>
          <w:tcPr>
            <w:tcW w:w="464" w:type="pct"/>
            <w:tcBorders>
              <w:top w:val="nil"/>
              <w:left w:val="nil"/>
              <w:bottom w:val="single" w:color="auto" w:sz="4" w:space="0"/>
              <w:right w:val="single" w:color="auto" w:sz="8" w:space="0"/>
            </w:tcBorders>
            <w:noWrap/>
            <w:vAlign w:val="center"/>
          </w:tcPr>
          <w:p w14:paraId="0D8BA2F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47.50</w:t>
            </w:r>
          </w:p>
        </w:tc>
      </w:tr>
      <w:tr w14:paraId="52B5FD8E">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4" w:space="0"/>
              <w:right w:val="single" w:color="auto" w:sz="4" w:space="0"/>
            </w:tcBorders>
            <w:noWrap/>
            <w:vAlign w:val="center"/>
          </w:tcPr>
          <w:p w14:paraId="7A1E30AD">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18" w:type="pct"/>
            <w:tcBorders>
              <w:top w:val="nil"/>
              <w:left w:val="nil"/>
              <w:bottom w:val="single" w:color="auto" w:sz="4" w:space="0"/>
              <w:right w:val="single" w:color="auto" w:sz="4" w:space="0"/>
            </w:tcBorders>
            <w:vAlign w:val="center"/>
          </w:tcPr>
          <w:p w14:paraId="032DD0C8">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91" w:type="pct"/>
            <w:tcBorders>
              <w:top w:val="nil"/>
              <w:left w:val="nil"/>
              <w:bottom w:val="single" w:color="auto" w:sz="4" w:space="0"/>
              <w:right w:val="single" w:color="auto" w:sz="4" w:space="0"/>
            </w:tcBorders>
            <w:noWrap/>
            <w:vAlign w:val="center"/>
          </w:tcPr>
          <w:p w14:paraId="61BCB2B3">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single" w:color="auto" w:sz="4" w:space="0"/>
              <w:right w:val="single" w:color="auto" w:sz="4" w:space="0"/>
            </w:tcBorders>
            <w:vAlign w:val="center"/>
          </w:tcPr>
          <w:p w14:paraId="7D90AC8E">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single" w:color="auto" w:sz="4" w:space="0"/>
              <w:right w:val="single" w:color="auto" w:sz="4" w:space="0"/>
            </w:tcBorders>
            <w:noWrap/>
            <w:vAlign w:val="center"/>
          </w:tcPr>
          <w:p w14:paraId="7DBB6855">
            <w:pPr>
              <w:widowControl/>
              <w:adjustRightInd/>
              <w:spacing w:line="240" w:lineRule="auto"/>
              <w:textAlignment w:val="auto"/>
              <w:rPr>
                <w:rFonts w:ascii="Arial" w:hAnsi="Arial" w:cs="Arial"/>
                <w:snapToGrid w:val="0"/>
                <w:sz w:val="16"/>
              </w:rPr>
            </w:pPr>
            <w:r>
              <w:rPr>
                <w:rFonts w:ascii="Arial" w:hAnsi="Arial" w:cs="Arial"/>
                <w:snapToGrid w:val="0"/>
                <w:sz w:val="16"/>
              </w:rPr>
              <w:t>年增长比率(g)</w:t>
            </w:r>
          </w:p>
        </w:tc>
        <w:tc>
          <w:tcPr>
            <w:tcW w:w="464" w:type="pct"/>
            <w:tcBorders>
              <w:top w:val="nil"/>
              <w:left w:val="nil"/>
              <w:bottom w:val="single" w:color="auto" w:sz="4" w:space="0"/>
              <w:right w:val="single" w:color="auto" w:sz="8" w:space="0"/>
            </w:tcBorders>
            <w:noWrap/>
            <w:vAlign w:val="center"/>
          </w:tcPr>
          <w:p w14:paraId="51498FA0">
            <w:pPr>
              <w:widowControl/>
              <w:adjustRightInd/>
              <w:spacing w:line="240" w:lineRule="auto"/>
              <w:jc w:val="center"/>
              <w:textAlignment w:val="auto"/>
              <w:rPr>
                <w:rFonts w:ascii="Arial" w:hAnsi="Arial" w:cs="Arial"/>
                <w:snapToGrid w:val="0"/>
                <w:sz w:val="16"/>
              </w:rPr>
            </w:pPr>
            <w:r>
              <w:rPr>
                <w:rFonts w:ascii="Arial" w:hAnsi="Arial" w:cs="Arial"/>
                <w:snapToGrid w:val="0"/>
                <w:sz w:val="16"/>
              </w:rPr>
              <w:t>1.0%</w:t>
            </w:r>
          </w:p>
        </w:tc>
      </w:tr>
      <w:tr w14:paraId="67845200">
        <w:tblPrEx>
          <w:tblCellMar>
            <w:top w:w="0" w:type="dxa"/>
            <w:left w:w="108" w:type="dxa"/>
            <w:bottom w:w="0" w:type="dxa"/>
            <w:right w:w="108" w:type="dxa"/>
          </w:tblCellMar>
        </w:tblPrEx>
        <w:trPr>
          <w:trHeight w:val="360" w:hRule="atLeast"/>
        </w:trPr>
        <w:tc>
          <w:tcPr>
            <w:tcW w:w="392" w:type="pct"/>
            <w:tcBorders>
              <w:top w:val="nil"/>
              <w:left w:val="single" w:color="auto" w:sz="8" w:space="0"/>
              <w:bottom w:val="single" w:color="auto" w:sz="8" w:space="0"/>
              <w:right w:val="single" w:color="auto" w:sz="4" w:space="0"/>
            </w:tcBorders>
            <w:noWrap/>
            <w:vAlign w:val="center"/>
          </w:tcPr>
          <w:p w14:paraId="413D20A1">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18" w:type="pct"/>
            <w:tcBorders>
              <w:top w:val="nil"/>
              <w:left w:val="nil"/>
              <w:bottom w:val="single" w:color="auto" w:sz="8" w:space="0"/>
              <w:right w:val="single" w:color="auto" w:sz="4" w:space="0"/>
            </w:tcBorders>
            <w:noWrap/>
            <w:vAlign w:val="center"/>
          </w:tcPr>
          <w:p w14:paraId="789D6EFA">
            <w:pPr>
              <w:widowControl/>
              <w:adjustRightInd/>
              <w:spacing w:line="240" w:lineRule="auto"/>
              <w:textAlignment w:val="auto"/>
              <w:rPr>
                <w:rFonts w:ascii="Arial" w:hAnsi="Arial" w:cs="Arial"/>
                <w:snapToGrid w:val="0"/>
                <w:sz w:val="16"/>
              </w:rPr>
            </w:pPr>
            <w:r>
              <w:rPr>
                <w:rFonts w:ascii="Arial" w:hAnsi="Arial" w:cs="Arial"/>
                <w:snapToGrid w:val="0"/>
                <w:sz w:val="16"/>
              </w:rPr>
              <w:t>单价(元/平方米)</w:t>
            </w:r>
          </w:p>
        </w:tc>
        <w:tc>
          <w:tcPr>
            <w:tcW w:w="491" w:type="pct"/>
            <w:tcBorders>
              <w:top w:val="nil"/>
              <w:left w:val="nil"/>
              <w:bottom w:val="single" w:color="auto" w:sz="8" w:space="0"/>
              <w:right w:val="single" w:color="auto" w:sz="4" w:space="0"/>
            </w:tcBorders>
            <w:noWrap/>
            <w:vAlign w:val="center"/>
          </w:tcPr>
          <w:p w14:paraId="17FC269A">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8807</w:t>
            </w:r>
          </w:p>
        </w:tc>
        <w:tc>
          <w:tcPr>
            <w:tcW w:w="1808" w:type="pct"/>
            <w:tcBorders>
              <w:top w:val="nil"/>
              <w:left w:val="nil"/>
              <w:bottom w:val="single" w:color="auto" w:sz="8" w:space="0"/>
              <w:right w:val="single" w:color="auto" w:sz="4" w:space="0"/>
            </w:tcBorders>
            <w:noWrap/>
            <w:vAlign w:val="center"/>
          </w:tcPr>
          <w:p w14:paraId="6F5FA069">
            <w:pPr>
              <w:widowControl/>
              <w:adjustRightInd/>
              <w:spacing w:line="240" w:lineRule="auto"/>
              <w:textAlignment w:val="auto"/>
              <w:rPr>
                <w:rFonts w:ascii="Arial" w:hAnsi="Arial" w:cs="Arial"/>
                <w:snapToGrid w:val="0"/>
                <w:sz w:val="16"/>
              </w:rPr>
            </w:pPr>
            <w:r>
              <w:rPr>
                <w:rFonts w:ascii="Arial" w:hAnsi="Arial" w:cs="Arial"/>
                <w:snapToGrid w:val="0"/>
                <w:sz w:val="16"/>
              </w:rPr>
              <w:t>收益价值÷建筑面积</w:t>
            </w:r>
          </w:p>
        </w:tc>
        <w:tc>
          <w:tcPr>
            <w:tcW w:w="825" w:type="pct"/>
            <w:tcBorders>
              <w:top w:val="nil"/>
              <w:left w:val="nil"/>
              <w:bottom w:val="single" w:color="auto" w:sz="8" w:space="0"/>
              <w:right w:val="single" w:color="auto" w:sz="4" w:space="0"/>
            </w:tcBorders>
            <w:noWrap/>
            <w:vAlign w:val="center"/>
          </w:tcPr>
          <w:p w14:paraId="1742C024">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p>
        </w:tc>
        <w:tc>
          <w:tcPr>
            <w:tcW w:w="464" w:type="pct"/>
            <w:tcBorders>
              <w:top w:val="nil"/>
              <w:left w:val="nil"/>
              <w:bottom w:val="single" w:color="auto" w:sz="8" w:space="0"/>
              <w:right w:val="single" w:color="auto" w:sz="8" w:space="0"/>
            </w:tcBorders>
            <w:noWrap/>
            <w:vAlign w:val="center"/>
          </w:tcPr>
          <w:p w14:paraId="171935EF">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796</w:t>
            </w:r>
          </w:p>
        </w:tc>
      </w:tr>
    </w:tbl>
    <w:p w14:paraId="18D731D8">
      <w:pPr>
        <w:pStyle w:val="29"/>
        <w:ind w:firstLine="560"/>
        <w:jc w:val="both"/>
        <w:rPr>
          <w:rFonts w:ascii="Arial" w:hAnsi="Arial" w:cs="Arial"/>
          <w:sz w:val="28"/>
          <w:szCs w:val="20"/>
        </w:rPr>
      </w:pPr>
    </w:p>
    <w:p w14:paraId="27F9E39D">
      <w:pPr>
        <w:spacing w:line="360" w:lineRule="auto"/>
        <w:ind w:firstLine="560" w:firstLineChars="200"/>
        <w:jc w:val="both"/>
        <w:rPr>
          <w:rFonts w:ascii="Arial" w:hAnsi="Arial" w:cs="Arial"/>
          <w:sz w:val="28"/>
        </w:rPr>
      </w:pPr>
      <w:r>
        <w:rPr>
          <w:rFonts w:ascii="Arial" w:hAnsi="Arial" w:cs="Arial"/>
          <w:sz w:val="28"/>
        </w:rPr>
        <w:t>3）</w:t>
      </w:r>
      <w:r>
        <w:rPr>
          <w:rFonts w:hint="eastAsia" w:ascii="Arial" w:hAnsi="Arial" w:cs="Arial"/>
          <w:sz w:val="28"/>
        </w:rPr>
        <w:t>地下</w:t>
      </w:r>
      <w:r>
        <w:rPr>
          <w:rFonts w:ascii="Arial" w:hAnsi="Arial" w:cs="Arial"/>
          <w:sz w:val="28"/>
        </w:rPr>
        <w:t>车库用房开发完成后不动产总价</w:t>
      </w:r>
    </w:p>
    <w:p w14:paraId="0A238888">
      <w:pPr>
        <w:spacing w:line="360" w:lineRule="auto"/>
        <w:ind w:firstLine="560" w:firstLineChars="200"/>
        <w:jc w:val="both"/>
        <w:rPr>
          <w:rFonts w:ascii="Arial" w:hAnsi="Arial" w:cs="Arial"/>
          <w:sz w:val="28"/>
        </w:rPr>
      </w:pPr>
      <w:r>
        <w:rPr>
          <w:rFonts w:hint="eastAsia" w:ascii="Arial" w:hAnsi="Arial" w:cs="Arial"/>
          <w:sz w:val="28"/>
        </w:rPr>
        <w:t>通过对昌平区马池口镇百泉庄村附近地下车库用房租赁市场的调查，选取近期同一供需圈及邻近地区实际成交的案例进行分析比较，咨询对象周边租金水平约150-300元/个/月，根据委托方提供的《估价委托书》中的规划条件及介绍，最终估算咨询对象租金水平为200元/个/月。</w:t>
      </w:r>
    </w:p>
    <w:tbl>
      <w:tblPr>
        <w:tblStyle w:val="32"/>
        <w:tblW w:w="5089" w:type="pct"/>
        <w:tblInd w:w="-176" w:type="dxa"/>
        <w:tblLayout w:type="fixed"/>
        <w:tblCellMar>
          <w:top w:w="0" w:type="dxa"/>
          <w:left w:w="108" w:type="dxa"/>
          <w:bottom w:w="0" w:type="dxa"/>
          <w:right w:w="108" w:type="dxa"/>
        </w:tblCellMar>
      </w:tblPr>
      <w:tblGrid>
        <w:gridCol w:w="797"/>
        <w:gridCol w:w="1967"/>
        <w:gridCol w:w="988"/>
        <w:gridCol w:w="3519"/>
        <w:gridCol w:w="1513"/>
        <w:gridCol w:w="901"/>
      </w:tblGrid>
      <w:tr w14:paraId="23B579B2">
        <w:tblPrEx>
          <w:tblCellMar>
            <w:top w:w="0" w:type="dxa"/>
            <w:left w:w="108" w:type="dxa"/>
            <w:bottom w:w="0" w:type="dxa"/>
            <w:right w:w="108" w:type="dxa"/>
          </w:tblCellMar>
        </w:tblPrEx>
        <w:trPr>
          <w:trHeight w:val="360" w:hRule="atLeast"/>
        </w:trPr>
        <w:tc>
          <w:tcPr>
            <w:tcW w:w="411" w:type="pct"/>
            <w:tcBorders>
              <w:top w:val="single" w:color="auto" w:sz="8" w:space="0"/>
              <w:left w:val="single" w:color="auto" w:sz="8" w:space="0"/>
              <w:bottom w:val="single" w:color="auto" w:sz="4" w:space="0"/>
              <w:right w:val="single" w:color="auto" w:sz="4" w:space="0"/>
            </w:tcBorders>
            <w:noWrap/>
            <w:vAlign w:val="center"/>
          </w:tcPr>
          <w:p w14:paraId="4C90E480">
            <w:pPr>
              <w:widowControl/>
              <w:adjustRightInd/>
              <w:spacing w:line="240" w:lineRule="auto"/>
              <w:textAlignment w:val="auto"/>
              <w:rPr>
                <w:rFonts w:ascii="Arial" w:hAnsi="Arial" w:cs="Arial"/>
                <w:snapToGrid w:val="0"/>
                <w:sz w:val="16"/>
              </w:rPr>
            </w:pPr>
            <w:r>
              <w:rPr>
                <w:rFonts w:ascii="Arial" w:hAnsi="Arial" w:cs="Arial"/>
                <w:snapToGrid w:val="0"/>
                <w:sz w:val="16"/>
              </w:rPr>
              <w:t>序号</w:t>
            </w:r>
          </w:p>
        </w:tc>
        <w:tc>
          <w:tcPr>
            <w:tcW w:w="1015" w:type="pct"/>
            <w:tcBorders>
              <w:top w:val="single" w:color="auto" w:sz="8" w:space="0"/>
              <w:left w:val="nil"/>
              <w:bottom w:val="single" w:color="auto" w:sz="4" w:space="0"/>
              <w:right w:val="single" w:color="auto" w:sz="4" w:space="0"/>
            </w:tcBorders>
            <w:noWrap/>
            <w:vAlign w:val="center"/>
          </w:tcPr>
          <w:p w14:paraId="7DAE3289">
            <w:pPr>
              <w:widowControl/>
              <w:adjustRightInd/>
              <w:spacing w:line="240" w:lineRule="auto"/>
              <w:textAlignment w:val="auto"/>
              <w:rPr>
                <w:rFonts w:ascii="Arial" w:hAnsi="Arial" w:cs="Arial"/>
                <w:snapToGrid w:val="0"/>
                <w:sz w:val="16"/>
              </w:rPr>
            </w:pPr>
            <w:r>
              <w:rPr>
                <w:rFonts w:ascii="Arial" w:hAnsi="Arial" w:cs="Arial"/>
                <w:snapToGrid w:val="0"/>
                <w:sz w:val="16"/>
              </w:rPr>
              <w:t>项目</w:t>
            </w:r>
          </w:p>
        </w:tc>
        <w:tc>
          <w:tcPr>
            <w:tcW w:w="510" w:type="pct"/>
            <w:tcBorders>
              <w:top w:val="single" w:color="auto" w:sz="8" w:space="0"/>
              <w:left w:val="nil"/>
              <w:bottom w:val="single" w:color="auto" w:sz="4" w:space="0"/>
              <w:right w:val="single" w:color="auto" w:sz="4" w:space="0"/>
            </w:tcBorders>
            <w:noWrap/>
            <w:vAlign w:val="center"/>
          </w:tcPr>
          <w:p w14:paraId="6ED3193F">
            <w:pPr>
              <w:widowControl/>
              <w:adjustRightInd/>
              <w:spacing w:line="240" w:lineRule="auto"/>
              <w:textAlignment w:val="auto"/>
              <w:rPr>
                <w:rFonts w:ascii="Arial" w:hAnsi="Arial" w:cs="Arial"/>
                <w:snapToGrid w:val="0"/>
                <w:sz w:val="16"/>
              </w:rPr>
            </w:pPr>
            <w:r>
              <w:rPr>
                <w:rFonts w:ascii="Arial" w:hAnsi="Arial" w:cs="Arial"/>
                <w:snapToGrid w:val="0"/>
                <w:sz w:val="16"/>
              </w:rPr>
              <w:t>数额</w:t>
            </w:r>
          </w:p>
        </w:tc>
        <w:tc>
          <w:tcPr>
            <w:tcW w:w="1817" w:type="pct"/>
            <w:tcBorders>
              <w:top w:val="single" w:color="auto" w:sz="8" w:space="0"/>
              <w:left w:val="nil"/>
              <w:bottom w:val="single" w:color="auto" w:sz="4" w:space="0"/>
              <w:right w:val="single" w:color="auto" w:sz="4" w:space="0"/>
            </w:tcBorders>
            <w:noWrap/>
            <w:vAlign w:val="center"/>
          </w:tcPr>
          <w:p w14:paraId="1CDDC74E">
            <w:pPr>
              <w:widowControl/>
              <w:adjustRightInd/>
              <w:spacing w:line="240" w:lineRule="auto"/>
              <w:textAlignment w:val="auto"/>
              <w:rPr>
                <w:rFonts w:ascii="Arial" w:hAnsi="Arial" w:cs="Arial"/>
                <w:snapToGrid w:val="0"/>
                <w:sz w:val="16"/>
              </w:rPr>
            </w:pPr>
            <w:r>
              <w:rPr>
                <w:rFonts w:ascii="Arial" w:hAnsi="Arial" w:cs="Arial"/>
                <w:snapToGrid w:val="0"/>
                <w:sz w:val="16"/>
              </w:rPr>
              <w:t>计算公式</w:t>
            </w:r>
          </w:p>
        </w:tc>
        <w:tc>
          <w:tcPr>
            <w:tcW w:w="781" w:type="pct"/>
            <w:tcBorders>
              <w:top w:val="single" w:color="auto" w:sz="8" w:space="0"/>
              <w:left w:val="nil"/>
              <w:bottom w:val="single" w:color="auto" w:sz="4" w:space="0"/>
              <w:right w:val="nil"/>
            </w:tcBorders>
            <w:noWrap/>
            <w:vAlign w:val="center"/>
          </w:tcPr>
          <w:p w14:paraId="1B6DAD84">
            <w:pPr>
              <w:widowControl/>
              <w:adjustRightInd/>
              <w:spacing w:line="240" w:lineRule="auto"/>
              <w:jc w:val="right"/>
              <w:textAlignment w:val="auto"/>
              <w:rPr>
                <w:rFonts w:ascii="Arial" w:hAnsi="Arial" w:cs="Arial"/>
                <w:snapToGrid w:val="0"/>
                <w:sz w:val="16"/>
              </w:rPr>
            </w:pPr>
            <w:r>
              <w:rPr>
                <w:rFonts w:ascii="Arial" w:hAnsi="Arial" w:cs="Arial"/>
                <w:snapToGrid w:val="0"/>
                <w:sz w:val="16"/>
              </w:rPr>
              <w:t>取费标准</w:t>
            </w:r>
          </w:p>
        </w:tc>
        <w:tc>
          <w:tcPr>
            <w:tcW w:w="465" w:type="pct"/>
            <w:tcBorders>
              <w:top w:val="single" w:color="auto" w:sz="8" w:space="0"/>
              <w:left w:val="nil"/>
              <w:bottom w:val="single" w:color="auto" w:sz="4" w:space="0"/>
              <w:right w:val="single" w:color="auto" w:sz="8" w:space="0"/>
            </w:tcBorders>
            <w:noWrap/>
            <w:vAlign w:val="center"/>
          </w:tcPr>
          <w:p w14:paraId="3AD270EE">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10C8AF28">
        <w:tblPrEx>
          <w:tblCellMar>
            <w:top w:w="0" w:type="dxa"/>
            <w:left w:w="108" w:type="dxa"/>
            <w:bottom w:w="0" w:type="dxa"/>
            <w:right w:w="108" w:type="dxa"/>
          </w:tblCellMar>
        </w:tblPrEx>
        <w:trPr>
          <w:trHeight w:val="360" w:hRule="atLeast"/>
        </w:trPr>
        <w:tc>
          <w:tcPr>
            <w:tcW w:w="411" w:type="pct"/>
            <w:tcBorders>
              <w:top w:val="nil"/>
              <w:left w:val="single" w:color="auto" w:sz="8" w:space="0"/>
              <w:bottom w:val="nil"/>
              <w:right w:val="single" w:color="auto" w:sz="4" w:space="0"/>
            </w:tcBorders>
            <w:noWrap/>
            <w:vAlign w:val="center"/>
          </w:tcPr>
          <w:p w14:paraId="031410EA">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15" w:type="pct"/>
            <w:tcBorders>
              <w:top w:val="nil"/>
              <w:left w:val="nil"/>
              <w:bottom w:val="nil"/>
              <w:right w:val="single" w:color="auto" w:sz="4" w:space="0"/>
            </w:tcBorders>
            <w:vAlign w:val="center"/>
          </w:tcPr>
          <w:p w14:paraId="2D327979">
            <w:pPr>
              <w:widowControl/>
              <w:adjustRightInd/>
              <w:spacing w:line="240" w:lineRule="auto"/>
              <w:textAlignment w:val="auto"/>
              <w:rPr>
                <w:rFonts w:ascii="Arial" w:hAnsi="Arial" w:cs="Arial"/>
                <w:snapToGrid w:val="0"/>
                <w:sz w:val="16"/>
              </w:rPr>
            </w:pPr>
            <w:r>
              <w:rPr>
                <w:rFonts w:ascii="Arial" w:hAnsi="Arial" w:cs="Arial"/>
                <w:snapToGrid w:val="0"/>
                <w:sz w:val="16"/>
              </w:rPr>
              <w:t>未来第一年年总收益</w:t>
            </w:r>
          </w:p>
        </w:tc>
        <w:tc>
          <w:tcPr>
            <w:tcW w:w="510" w:type="pct"/>
            <w:tcBorders>
              <w:top w:val="nil"/>
              <w:left w:val="nil"/>
              <w:bottom w:val="nil"/>
              <w:right w:val="single" w:color="auto" w:sz="4" w:space="0"/>
            </w:tcBorders>
            <w:noWrap/>
            <w:vAlign w:val="center"/>
          </w:tcPr>
          <w:p w14:paraId="14E02223">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50</w:t>
            </w:r>
          </w:p>
        </w:tc>
        <w:tc>
          <w:tcPr>
            <w:tcW w:w="3063" w:type="pct"/>
            <w:gridSpan w:val="3"/>
            <w:tcBorders>
              <w:top w:val="single" w:color="auto" w:sz="4" w:space="0"/>
              <w:left w:val="nil"/>
              <w:bottom w:val="single" w:color="auto" w:sz="4" w:space="0"/>
              <w:right w:val="single" w:color="auto" w:sz="4" w:space="0"/>
            </w:tcBorders>
            <w:noWrap/>
            <w:vAlign w:val="center"/>
          </w:tcPr>
          <w:p w14:paraId="3AAFF466">
            <w:pPr>
              <w:widowControl/>
              <w:adjustRightInd/>
              <w:spacing w:line="240" w:lineRule="auto"/>
              <w:textAlignment w:val="auto"/>
              <w:rPr>
                <w:rFonts w:ascii="Arial" w:hAnsi="Arial" w:cs="Arial"/>
                <w:snapToGrid w:val="0"/>
                <w:sz w:val="16"/>
              </w:rPr>
            </w:pPr>
            <w:r>
              <w:rPr>
                <w:rFonts w:ascii="Arial" w:hAnsi="Arial" w:cs="Arial"/>
                <w:snapToGrid w:val="0"/>
                <w:sz w:val="16"/>
              </w:rPr>
              <w:t>年租金收入+押金利息收入</w:t>
            </w:r>
          </w:p>
        </w:tc>
      </w:tr>
      <w:tr w14:paraId="098B0F3C">
        <w:tblPrEx>
          <w:tblCellMar>
            <w:top w:w="0" w:type="dxa"/>
            <w:left w:w="108" w:type="dxa"/>
            <w:bottom w:w="0" w:type="dxa"/>
            <w:right w:w="108" w:type="dxa"/>
          </w:tblCellMar>
        </w:tblPrEx>
        <w:trPr>
          <w:trHeight w:val="360" w:hRule="atLeast"/>
        </w:trPr>
        <w:tc>
          <w:tcPr>
            <w:tcW w:w="411" w:type="pct"/>
            <w:vMerge w:val="restart"/>
            <w:tcBorders>
              <w:top w:val="single" w:color="auto" w:sz="4" w:space="0"/>
              <w:left w:val="single" w:color="auto" w:sz="8" w:space="0"/>
              <w:right w:val="single" w:color="auto" w:sz="4" w:space="0"/>
            </w:tcBorders>
            <w:noWrap/>
            <w:vAlign w:val="center"/>
          </w:tcPr>
          <w:p w14:paraId="755082B1">
            <w:pPr>
              <w:widowControl/>
              <w:adjustRightInd/>
              <w:spacing w:line="240" w:lineRule="auto"/>
              <w:textAlignment w:val="auto"/>
              <w:rPr>
                <w:rFonts w:ascii="Arial" w:hAnsi="Arial" w:cs="Arial"/>
                <w:snapToGrid w:val="0"/>
                <w:sz w:val="16"/>
              </w:rPr>
            </w:pPr>
            <w:r>
              <w:rPr>
                <w:rFonts w:ascii="Arial" w:hAnsi="Arial" w:cs="Arial"/>
                <w:snapToGrid w:val="0"/>
                <w:sz w:val="16"/>
              </w:rPr>
              <w:t>（1）</w:t>
            </w:r>
          </w:p>
          <w:p w14:paraId="708E3BE2">
            <w:pPr>
              <w:spacing w:line="240" w:lineRule="auto"/>
              <w:rPr>
                <w:rFonts w:ascii="Arial" w:hAnsi="Arial" w:cs="Arial"/>
                <w:snapToGrid w:val="0"/>
                <w:sz w:val="16"/>
              </w:rPr>
            </w:pPr>
          </w:p>
        </w:tc>
        <w:tc>
          <w:tcPr>
            <w:tcW w:w="1015" w:type="pct"/>
            <w:vMerge w:val="restart"/>
            <w:tcBorders>
              <w:top w:val="single" w:color="auto" w:sz="4" w:space="0"/>
              <w:left w:val="single" w:color="auto" w:sz="4" w:space="0"/>
              <w:bottom w:val="single" w:color="000000" w:sz="4" w:space="0"/>
              <w:right w:val="single" w:color="auto" w:sz="4" w:space="0"/>
            </w:tcBorders>
          </w:tcPr>
          <w:p w14:paraId="5B33B426">
            <w:pPr>
              <w:widowControl/>
              <w:adjustRightInd/>
              <w:spacing w:line="240" w:lineRule="auto"/>
              <w:textAlignment w:val="auto"/>
              <w:rPr>
                <w:rFonts w:ascii="Arial" w:hAnsi="Arial" w:cs="Arial"/>
                <w:snapToGrid w:val="0"/>
                <w:sz w:val="16"/>
              </w:rPr>
            </w:pPr>
            <w:r>
              <w:rPr>
                <w:rFonts w:ascii="Arial" w:hAnsi="Arial" w:cs="Arial"/>
                <w:snapToGrid w:val="0"/>
                <w:sz w:val="16"/>
              </w:rPr>
              <w:t>年租金收入（年经营收入）</w:t>
            </w:r>
          </w:p>
        </w:tc>
        <w:tc>
          <w:tcPr>
            <w:tcW w:w="510" w:type="pct"/>
            <w:tcBorders>
              <w:top w:val="single" w:color="auto" w:sz="4" w:space="0"/>
              <w:left w:val="nil"/>
              <w:bottom w:val="nil"/>
              <w:right w:val="single" w:color="auto" w:sz="4" w:space="0"/>
            </w:tcBorders>
            <w:noWrap/>
            <w:vAlign w:val="center"/>
          </w:tcPr>
          <w:p w14:paraId="7483F64A">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50</w:t>
            </w:r>
          </w:p>
        </w:tc>
        <w:tc>
          <w:tcPr>
            <w:tcW w:w="1817" w:type="pct"/>
            <w:tcBorders>
              <w:top w:val="single" w:color="auto" w:sz="4" w:space="0"/>
              <w:left w:val="nil"/>
              <w:bottom w:val="nil"/>
              <w:right w:val="single" w:color="auto" w:sz="4" w:space="0"/>
            </w:tcBorders>
            <w:noWrap/>
            <w:vAlign w:val="center"/>
          </w:tcPr>
          <w:p w14:paraId="2CEB9388">
            <w:pPr>
              <w:widowControl/>
              <w:adjustRightInd/>
              <w:spacing w:line="240" w:lineRule="auto"/>
              <w:textAlignment w:val="auto"/>
              <w:rPr>
                <w:rFonts w:ascii="Arial" w:hAnsi="Arial" w:cs="Arial"/>
                <w:snapToGrid w:val="0"/>
                <w:sz w:val="16"/>
              </w:rPr>
            </w:pPr>
            <w:r>
              <w:rPr>
                <w:rFonts w:ascii="Arial" w:hAnsi="Arial" w:cs="Arial"/>
                <w:snapToGrid w:val="0"/>
                <w:sz w:val="16"/>
              </w:rPr>
              <w:t>租金×月数×（1-空置率）</w:t>
            </w:r>
          </w:p>
        </w:tc>
        <w:tc>
          <w:tcPr>
            <w:tcW w:w="781" w:type="pct"/>
            <w:tcBorders>
              <w:top w:val="single" w:color="auto" w:sz="4" w:space="0"/>
              <w:left w:val="nil"/>
              <w:bottom w:val="single" w:color="auto" w:sz="4" w:space="0"/>
              <w:right w:val="single" w:color="auto" w:sz="4" w:space="0"/>
            </w:tcBorders>
            <w:noWrap/>
            <w:vAlign w:val="center"/>
          </w:tcPr>
          <w:p w14:paraId="00EEBEAE">
            <w:pPr>
              <w:spacing w:line="240" w:lineRule="auto"/>
              <w:rPr>
                <w:rFonts w:ascii="Arial" w:hAnsi="Arial" w:cs="Arial"/>
                <w:snapToGrid w:val="0"/>
                <w:sz w:val="16"/>
              </w:rPr>
            </w:pPr>
            <w:r>
              <w:rPr>
                <w:rFonts w:ascii="Arial" w:hAnsi="Arial" w:cs="Arial"/>
                <w:snapToGrid w:val="0"/>
                <w:sz w:val="16"/>
              </w:rPr>
              <w:t>租金（元/</w:t>
            </w:r>
            <w:r>
              <w:rPr>
                <w:rFonts w:hint="eastAsia" w:ascii="Arial" w:hAnsi="Arial" w:cs="Arial"/>
                <w:snapToGrid w:val="0"/>
                <w:sz w:val="16"/>
              </w:rPr>
              <w:t>个</w:t>
            </w:r>
            <w:r>
              <w:rPr>
                <w:rFonts w:ascii="Arial" w:hAnsi="Arial" w:cs="Arial"/>
                <w:snapToGrid w:val="0"/>
                <w:sz w:val="16"/>
              </w:rPr>
              <w:t>/</w:t>
            </w:r>
            <w:r>
              <w:rPr>
                <w:rFonts w:hint="eastAsia" w:ascii="Arial" w:hAnsi="Arial" w:cs="Arial"/>
                <w:snapToGrid w:val="0"/>
                <w:sz w:val="16"/>
              </w:rPr>
              <w:t>月</w:t>
            </w:r>
            <w:r>
              <w:rPr>
                <w:rFonts w:ascii="Arial" w:hAnsi="Arial" w:cs="Arial"/>
                <w:snapToGrid w:val="0"/>
                <w:sz w:val="16"/>
              </w:rPr>
              <w:t>）</w:t>
            </w:r>
          </w:p>
        </w:tc>
        <w:tc>
          <w:tcPr>
            <w:tcW w:w="465" w:type="pct"/>
            <w:tcBorders>
              <w:top w:val="single" w:color="auto" w:sz="4" w:space="0"/>
              <w:left w:val="nil"/>
              <w:bottom w:val="single" w:color="auto" w:sz="4" w:space="0"/>
              <w:right w:val="single" w:color="auto" w:sz="8" w:space="0"/>
            </w:tcBorders>
            <w:noWrap/>
            <w:vAlign w:val="center"/>
          </w:tcPr>
          <w:p w14:paraId="25BBB304">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200</w:t>
            </w:r>
          </w:p>
        </w:tc>
      </w:tr>
      <w:tr w14:paraId="270236CC">
        <w:tblPrEx>
          <w:tblCellMar>
            <w:top w:w="0" w:type="dxa"/>
            <w:left w:w="108" w:type="dxa"/>
            <w:bottom w:w="0" w:type="dxa"/>
            <w:right w:w="108" w:type="dxa"/>
          </w:tblCellMar>
        </w:tblPrEx>
        <w:trPr>
          <w:trHeight w:val="90" w:hRule="atLeast"/>
        </w:trPr>
        <w:tc>
          <w:tcPr>
            <w:tcW w:w="411" w:type="pct"/>
            <w:vMerge w:val="continue"/>
            <w:tcBorders>
              <w:left w:val="single" w:color="auto" w:sz="8" w:space="0"/>
              <w:right w:val="single" w:color="auto" w:sz="4" w:space="0"/>
            </w:tcBorders>
            <w:noWrap/>
            <w:vAlign w:val="center"/>
          </w:tcPr>
          <w:p w14:paraId="6A77D8BB">
            <w:pPr>
              <w:spacing w:line="240" w:lineRule="auto"/>
              <w:rPr>
                <w:rFonts w:ascii="Arial" w:hAnsi="Arial" w:cs="Arial"/>
                <w:snapToGrid w:val="0"/>
                <w:sz w:val="16"/>
              </w:rPr>
            </w:pPr>
          </w:p>
        </w:tc>
        <w:tc>
          <w:tcPr>
            <w:tcW w:w="1015" w:type="pct"/>
            <w:vMerge w:val="continue"/>
            <w:tcBorders>
              <w:top w:val="single" w:color="auto" w:sz="4" w:space="0"/>
              <w:left w:val="single" w:color="auto" w:sz="4" w:space="0"/>
              <w:bottom w:val="single" w:color="000000" w:sz="4" w:space="0"/>
              <w:right w:val="single" w:color="auto" w:sz="4" w:space="0"/>
            </w:tcBorders>
            <w:vAlign w:val="center"/>
          </w:tcPr>
          <w:p w14:paraId="3C6B22A0">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554E8FD3">
            <w:pPr>
              <w:widowControl/>
              <w:adjustRightInd/>
              <w:spacing w:line="240" w:lineRule="auto"/>
              <w:jc w:val="center"/>
              <w:textAlignment w:val="auto"/>
              <w:rPr>
                <w:rFonts w:ascii="Arial" w:hAnsi="Arial" w:cs="Arial"/>
                <w:snapToGrid w:val="0"/>
                <w:sz w:val="16"/>
              </w:rPr>
            </w:pPr>
          </w:p>
        </w:tc>
        <w:tc>
          <w:tcPr>
            <w:tcW w:w="1817" w:type="pct"/>
            <w:tcBorders>
              <w:top w:val="nil"/>
              <w:left w:val="nil"/>
              <w:bottom w:val="nil"/>
              <w:right w:val="single" w:color="auto" w:sz="4" w:space="0"/>
            </w:tcBorders>
            <w:noWrap/>
            <w:vAlign w:val="center"/>
          </w:tcPr>
          <w:p w14:paraId="3B73A867">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1" w:type="pct"/>
            <w:tcBorders>
              <w:top w:val="nil"/>
              <w:left w:val="nil"/>
              <w:bottom w:val="single" w:color="auto" w:sz="4" w:space="0"/>
              <w:right w:val="single" w:color="auto" w:sz="4" w:space="0"/>
            </w:tcBorders>
            <w:noWrap/>
            <w:vAlign w:val="center"/>
          </w:tcPr>
          <w:p w14:paraId="7A9DB084">
            <w:pPr>
              <w:spacing w:line="240" w:lineRule="auto"/>
              <w:rPr>
                <w:rFonts w:ascii="Arial" w:hAnsi="Arial" w:cs="Arial"/>
                <w:snapToGrid w:val="0"/>
                <w:sz w:val="16"/>
              </w:rPr>
            </w:pPr>
            <w:r>
              <w:rPr>
                <w:rFonts w:hint="eastAsia" w:ascii="Arial" w:hAnsi="Arial" w:cs="Arial"/>
                <w:snapToGrid w:val="0"/>
                <w:sz w:val="16"/>
              </w:rPr>
              <w:t>个数</w:t>
            </w:r>
            <w:r>
              <w:rPr>
                <w:rFonts w:ascii="Arial" w:hAnsi="Arial" w:cs="Arial"/>
                <w:snapToGrid w:val="0"/>
                <w:sz w:val="16"/>
              </w:rPr>
              <w:t>（</w:t>
            </w:r>
            <w:r>
              <w:rPr>
                <w:rFonts w:hint="eastAsia" w:ascii="Arial" w:hAnsi="Arial" w:cs="Arial"/>
                <w:snapToGrid w:val="0"/>
                <w:sz w:val="16"/>
              </w:rPr>
              <w:t>个</w:t>
            </w:r>
            <w:r>
              <w:rPr>
                <w:rFonts w:ascii="Arial" w:hAnsi="Arial" w:cs="Arial"/>
                <w:snapToGrid w:val="0"/>
                <w:sz w:val="16"/>
              </w:rPr>
              <w:t>）</w:t>
            </w:r>
          </w:p>
        </w:tc>
        <w:tc>
          <w:tcPr>
            <w:tcW w:w="465" w:type="pct"/>
            <w:tcBorders>
              <w:top w:val="nil"/>
              <w:left w:val="nil"/>
              <w:bottom w:val="single" w:color="auto" w:sz="4" w:space="0"/>
              <w:right w:val="single" w:color="auto" w:sz="8" w:space="0"/>
            </w:tcBorders>
            <w:noWrap/>
            <w:vAlign w:val="center"/>
          </w:tcPr>
          <w:p w14:paraId="18FC5301">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218</w:t>
            </w:r>
          </w:p>
        </w:tc>
      </w:tr>
      <w:tr w14:paraId="24AB7925">
        <w:tblPrEx>
          <w:tblCellMar>
            <w:top w:w="0" w:type="dxa"/>
            <w:left w:w="108" w:type="dxa"/>
            <w:bottom w:w="0" w:type="dxa"/>
            <w:right w:w="108" w:type="dxa"/>
          </w:tblCellMar>
        </w:tblPrEx>
        <w:trPr>
          <w:trHeight w:val="360" w:hRule="atLeast"/>
        </w:trPr>
        <w:tc>
          <w:tcPr>
            <w:tcW w:w="411" w:type="pct"/>
            <w:vMerge w:val="continue"/>
            <w:tcBorders>
              <w:left w:val="single" w:color="auto" w:sz="8" w:space="0"/>
              <w:right w:val="single" w:color="auto" w:sz="4" w:space="0"/>
            </w:tcBorders>
            <w:noWrap/>
            <w:vAlign w:val="center"/>
          </w:tcPr>
          <w:p w14:paraId="60B6E5BF">
            <w:pPr>
              <w:spacing w:line="240" w:lineRule="auto"/>
              <w:rPr>
                <w:rFonts w:ascii="Arial" w:hAnsi="Arial" w:cs="Arial"/>
                <w:snapToGrid w:val="0"/>
                <w:sz w:val="16"/>
              </w:rPr>
            </w:pPr>
          </w:p>
        </w:tc>
        <w:tc>
          <w:tcPr>
            <w:tcW w:w="1015" w:type="pct"/>
            <w:vMerge w:val="continue"/>
            <w:tcBorders>
              <w:top w:val="single" w:color="auto" w:sz="4" w:space="0"/>
              <w:left w:val="single" w:color="auto" w:sz="4" w:space="0"/>
              <w:bottom w:val="single" w:color="000000" w:sz="4" w:space="0"/>
              <w:right w:val="single" w:color="auto" w:sz="4" w:space="0"/>
            </w:tcBorders>
            <w:vAlign w:val="center"/>
          </w:tcPr>
          <w:p w14:paraId="2B52FFA5">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2226EF80">
            <w:pPr>
              <w:widowControl/>
              <w:adjustRightInd/>
              <w:spacing w:line="240" w:lineRule="auto"/>
              <w:jc w:val="center"/>
              <w:textAlignment w:val="auto"/>
              <w:rPr>
                <w:rFonts w:ascii="Arial" w:hAnsi="Arial" w:cs="Arial"/>
                <w:snapToGrid w:val="0"/>
                <w:sz w:val="16"/>
              </w:rPr>
            </w:pPr>
          </w:p>
        </w:tc>
        <w:tc>
          <w:tcPr>
            <w:tcW w:w="1817" w:type="pct"/>
            <w:tcBorders>
              <w:top w:val="nil"/>
              <w:left w:val="nil"/>
              <w:bottom w:val="nil"/>
              <w:right w:val="single" w:color="auto" w:sz="4" w:space="0"/>
            </w:tcBorders>
            <w:noWrap/>
            <w:vAlign w:val="center"/>
          </w:tcPr>
          <w:p w14:paraId="41081816">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1" w:type="pct"/>
            <w:tcBorders>
              <w:top w:val="nil"/>
              <w:left w:val="nil"/>
              <w:bottom w:val="single" w:color="auto" w:sz="4" w:space="0"/>
              <w:right w:val="single" w:color="auto" w:sz="4" w:space="0"/>
            </w:tcBorders>
            <w:noWrap/>
            <w:vAlign w:val="center"/>
          </w:tcPr>
          <w:p w14:paraId="78922BE3">
            <w:pPr>
              <w:spacing w:line="240" w:lineRule="auto"/>
              <w:rPr>
                <w:rFonts w:ascii="Arial" w:hAnsi="Arial" w:cs="Arial"/>
                <w:snapToGrid w:val="0"/>
                <w:sz w:val="16"/>
              </w:rPr>
            </w:pPr>
            <w:r>
              <w:rPr>
                <w:rFonts w:hint="eastAsia" w:ascii="Arial" w:hAnsi="Arial" w:cs="Arial"/>
                <w:snapToGrid w:val="0"/>
                <w:sz w:val="16"/>
              </w:rPr>
              <w:t>月</w:t>
            </w:r>
            <w:r>
              <w:rPr>
                <w:rFonts w:ascii="Arial" w:hAnsi="Arial" w:cs="Arial"/>
                <w:snapToGrid w:val="0"/>
                <w:sz w:val="16"/>
              </w:rPr>
              <w:t>（个）</w:t>
            </w:r>
          </w:p>
        </w:tc>
        <w:tc>
          <w:tcPr>
            <w:tcW w:w="465" w:type="pct"/>
            <w:tcBorders>
              <w:top w:val="nil"/>
              <w:left w:val="nil"/>
              <w:bottom w:val="single" w:color="auto" w:sz="4" w:space="0"/>
              <w:right w:val="single" w:color="auto" w:sz="8" w:space="0"/>
            </w:tcBorders>
            <w:noWrap/>
            <w:vAlign w:val="center"/>
          </w:tcPr>
          <w:p w14:paraId="75D80E5B">
            <w:pPr>
              <w:widowControl/>
              <w:adjustRightInd/>
              <w:spacing w:line="240" w:lineRule="auto"/>
              <w:jc w:val="center"/>
              <w:textAlignment w:val="auto"/>
              <w:rPr>
                <w:rFonts w:ascii="Arial" w:hAnsi="Arial" w:cs="Arial"/>
                <w:snapToGrid w:val="0"/>
                <w:sz w:val="16"/>
              </w:rPr>
            </w:pPr>
            <w:r>
              <w:rPr>
                <w:rFonts w:ascii="Arial" w:hAnsi="Arial" w:cs="Arial"/>
                <w:snapToGrid w:val="0"/>
                <w:sz w:val="16"/>
              </w:rPr>
              <w:t>12</w:t>
            </w:r>
          </w:p>
        </w:tc>
      </w:tr>
      <w:tr w14:paraId="5BF73FB3">
        <w:tblPrEx>
          <w:tblCellMar>
            <w:top w:w="0" w:type="dxa"/>
            <w:left w:w="108" w:type="dxa"/>
            <w:bottom w:w="0" w:type="dxa"/>
            <w:right w:w="108" w:type="dxa"/>
          </w:tblCellMar>
        </w:tblPrEx>
        <w:trPr>
          <w:trHeight w:val="360" w:hRule="atLeast"/>
        </w:trPr>
        <w:tc>
          <w:tcPr>
            <w:tcW w:w="411" w:type="pct"/>
            <w:vMerge w:val="continue"/>
            <w:tcBorders>
              <w:left w:val="single" w:color="auto" w:sz="8" w:space="0"/>
              <w:bottom w:val="nil"/>
              <w:right w:val="single" w:color="auto" w:sz="4" w:space="0"/>
            </w:tcBorders>
            <w:noWrap/>
            <w:vAlign w:val="center"/>
          </w:tcPr>
          <w:p w14:paraId="0F61ECB8">
            <w:pPr>
              <w:widowControl/>
              <w:adjustRightInd/>
              <w:spacing w:line="240" w:lineRule="auto"/>
              <w:textAlignment w:val="auto"/>
              <w:rPr>
                <w:rFonts w:ascii="Arial" w:hAnsi="Arial" w:cs="Arial"/>
                <w:snapToGrid w:val="0"/>
                <w:sz w:val="16"/>
              </w:rPr>
            </w:pPr>
          </w:p>
        </w:tc>
        <w:tc>
          <w:tcPr>
            <w:tcW w:w="1015" w:type="pct"/>
            <w:vMerge w:val="continue"/>
            <w:tcBorders>
              <w:top w:val="single" w:color="auto" w:sz="4" w:space="0"/>
              <w:left w:val="single" w:color="auto" w:sz="4" w:space="0"/>
              <w:bottom w:val="single" w:color="000000" w:sz="4" w:space="0"/>
              <w:right w:val="single" w:color="auto" w:sz="4" w:space="0"/>
            </w:tcBorders>
            <w:vAlign w:val="center"/>
          </w:tcPr>
          <w:p w14:paraId="5417DCDC">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778AF652">
            <w:pPr>
              <w:widowControl/>
              <w:adjustRightInd/>
              <w:spacing w:line="240" w:lineRule="auto"/>
              <w:jc w:val="center"/>
              <w:textAlignment w:val="auto"/>
              <w:rPr>
                <w:rFonts w:ascii="Arial" w:hAnsi="Arial" w:cs="Arial"/>
                <w:snapToGrid w:val="0"/>
                <w:sz w:val="16"/>
              </w:rPr>
            </w:pPr>
          </w:p>
        </w:tc>
        <w:tc>
          <w:tcPr>
            <w:tcW w:w="1817" w:type="pct"/>
            <w:tcBorders>
              <w:top w:val="nil"/>
              <w:left w:val="nil"/>
              <w:bottom w:val="nil"/>
              <w:right w:val="single" w:color="auto" w:sz="4" w:space="0"/>
            </w:tcBorders>
            <w:noWrap/>
            <w:vAlign w:val="center"/>
          </w:tcPr>
          <w:p w14:paraId="42F241E7">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1" w:type="pct"/>
            <w:tcBorders>
              <w:top w:val="nil"/>
              <w:left w:val="nil"/>
              <w:bottom w:val="single" w:color="auto" w:sz="4" w:space="0"/>
              <w:right w:val="single" w:color="auto" w:sz="4" w:space="0"/>
            </w:tcBorders>
            <w:noWrap/>
            <w:vAlign w:val="center"/>
          </w:tcPr>
          <w:p w14:paraId="16486267">
            <w:pPr>
              <w:spacing w:line="240" w:lineRule="auto"/>
              <w:rPr>
                <w:rFonts w:ascii="Arial" w:hAnsi="Arial" w:cs="Arial"/>
                <w:snapToGrid w:val="0"/>
                <w:sz w:val="16"/>
              </w:rPr>
            </w:pPr>
            <w:r>
              <w:rPr>
                <w:rFonts w:ascii="Arial" w:hAnsi="Arial" w:cs="Arial"/>
                <w:snapToGrid w:val="0"/>
                <w:sz w:val="16"/>
              </w:rPr>
              <w:t>空置率（%）</w:t>
            </w:r>
          </w:p>
        </w:tc>
        <w:tc>
          <w:tcPr>
            <w:tcW w:w="465" w:type="pct"/>
            <w:tcBorders>
              <w:top w:val="nil"/>
              <w:left w:val="nil"/>
              <w:bottom w:val="single" w:color="auto" w:sz="4" w:space="0"/>
              <w:right w:val="single" w:color="auto" w:sz="8" w:space="0"/>
            </w:tcBorders>
            <w:noWrap/>
            <w:vAlign w:val="center"/>
          </w:tcPr>
          <w:p w14:paraId="4738BB38">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3468265A">
        <w:tblPrEx>
          <w:tblCellMar>
            <w:top w:w="0" w:type="dxa"/>
            <w:left w:w="108" w:type="dxa"/>
            <w:bottom w:w="0" w:type="dxa"/>
            <w:right w:w="108" w:type="dxa"/>
          </w:tblCellMar>
        </w:tblPrEx>
        <w:trPr>
          <w:trHeight w:val="360" w:hRule="atLeast"/>
        </w:trPr>
        <w:tc>
          <w:tcPr>
            <w:tcW w:w="411" w:type="pct"/>
            <w:tcBorders>
              <w:top w:val="single" w:color="auto" w:sz="4" w:space="0"/>
              <w:left w:val="single" w:color="auto" w:sz="8" w:space="0"/>
              <w:bottom w:val="nil"/>
              <w:right w:val="single" w:color="auto" w:sz="4" w:space="0"/>
            </w:tcBorders>
            <w:noWrap/>
            <w:vAlign w:val="center"/>
          </w:tcPr>
          <w:p w14:paraId="25D50A84">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15" w:type="pct"/>
            <w:tcBorders>
              <w:top w:val="nil"/>
              <w:left w:val="nil"/>
              <w:bottom w:val="nil"/>
              <w:right w:val="single" w:color="auto" w:sz="4" w:space="0"/>
            </w:tcBorders>
            <w:vAlign w:val="center"/>
          </w:tcPr>
          <w:p w14:paraId="428F5A24">
            <w:pPr>
              <w:widowControl/>
              <w:adjustRightInd/>
              <w:spacing w:line="240" w:lineRule="auto"/>
              <w:textAlignment w:val="auto"/>
              <w:rPr>
                <w:rFonts w:ascii="Arial" w:hAnsi="Arial" w:cs="Arial"/>
                <w:snapToGrid w:val="0"/>
                <w:sz w:val="16"/>
              </w:rPr>
            </w:pPr>
            <w:r>
              <w:rPr>
                <w:rFonts w:ascii="Arial" w:hAnsi="Arial" w:cs="Arial"/>
                <w:snapToGrid w:val="0"/>
                <w:sz w:val="16"/>
              </w:rPr>
              <w:t>押金利息收入</w:t>
            </w:r>
          </w:p>
        </w:tc>
        <w:tc>
          <w:tcPr>
            <w:tcW w:w="510" w:type="pct"/>
            <w:tcBorders>
              <w:top w:val="single" w:color="auto" w:sz="4" w:space="0"/>
              <w:left w:val="nil"/>
              <w:bottom w:val="single" w:color="auto" w:sz="4" w:space="0"/>
              <w:right w:val="single" w:color="auto" w:sz="4" w:space="0"/>
            </w:tcBorders>
            <w:noWrap/>
            <w:vAlign w:val="center"/>
          </w:tcPr>
          <w:p w14:paraId="74BF0610">
            <w:pPr>
              <w:widowControl/>
              <w:adjustRightInd/>
              <w:spacing w:line="240" w:lineRule="auto"/>
              <w:jc w:val="center"/>
              <w:textAlignment w:val="auto"/>
              <w:rPr>
                <w:rFonts w:ascii="Arial" w:hAnsi="Arial" w:cs="Arial"/>
                <w:snapToGrid w:val="0"/>
                <w:sz w:val="16"/>
              </w:rPr>
            </w:pPr>
            <w:r>
              <w:rPr>
                <w:rFonts w:ascii="Arial" w:hAnsi="Arial" w:cs="Arial"/>
                <w:snapToGrid w:val="0"/>
                <w:sz w:val="16"/>
              </w:rPr>
              <w:t>0</w:t>
            </w:r>
            <w:r>
              <w:rPr>
                <w:rFonts w:hint="eastAsia" w:ascii="Arial" w:hAnsi="Arial" w:cs="Arial"/>
                <w:snapToGrid w:val="0"/>
                <w:sz w:val="16"/>
              </w:rPr>
              <w:t>.09</w:t>
            </w:r>
          </w:p>
        </w:tc>
        <w:tc>
          <w:tcPr>
            <w:tcW w:w="1817" w:type="pct"/>
            <w:tcBorders>
              <w:top w:val="single" w:color="auto" w:sz="4" w:space="0"/>
              <w:left w:val="nil"/>
              <w:bottom w:val="nil"/>
              <w:right w:val="single" w:color="auto" w:sz="4" w:space="0"/>
            </w:tcBorders>
            <w:noWrap/>
            <w:vAlign w:val="center"/>
          </w:tcPr>
          <w:p w14:paraId="6B09CE98">
            <w:pPr>
              <w:widowControl/>
              <w:adjustRightInd/>
              <w:spacing w:line="240" w:lineRule="auto"/>
              <w:textAlignment w:val="auto"/>
              <w:rPr>
                <w:rFonts w:ascii="Arial" w:hAnsi="Arial" w:cs="Arial"/>
                <w:snapToGrid w:val="0"/>
                <w:sz w:val="16"/>
              </w:rPr>
            </w:pPr>
            <w:r>
              <w:rPr>
                <w:rFonts w:ascii="Arial" w:hAnsi="Arial" w:cs="Arial"/>
                <w:snapToGrid w:val="0"/>
                <w:sz w:val="16"/>
              </w:rPr>
              <w:t>押金*一年期存款利率</w:t>
            </w:r>
          </w:p>
        </w:tc>
        <w:tc>
          <w:tcPr>
            <w:tcW w:w="781" w:type="pct"/>
            <w:tcBorders>
              <w:top w:val="nil"/>
              <w:left w:val="nil"/>
              <w:bottom w:val="nil"/>
              <w:right w:val="single" w:color="auto" w:sz="4" w:space="0"/>
            </w:tcBorders>
            <w:noWrap/>
            <w:vAlign w:val="center"/>
          </w:tcPr>
          <w:p w14:paraId="43FF7CDE">
            <w:pPr>
              <w:widowControl/>
              <w:adjustRightInd/>
              <w:spacing w:line="240" w:lineRule="auto"/>
              <w:textAlignment w:val="auto"/>
              <w:rPr>
                <w:rFonts w:ascii="Arial" w:hAnsi="Arial" w:cs="Arial"/>
                <w:snapToGrid w:val="0"/>
                <w:sz w:val="16"/>
              </w:rPr>
            </w:pPr>
            <w:r>
              <w:rPr>
                <w:rFonts w:ascii="Arial" w:hAnsi="Arial" w:cs="Arial"/>
                <w:snapToGrid w:val="0"/>
                <w:sz w:val="16"/>
              </w:rPr>
              <w:t>押金方式</w:t>
            </w:r>
          </w:p>
        </w:tc>
        <w:tc>
          <w:tcPr>
            <w:tcW w:w="465" w:type="pct"/>
            <w:tcBorders>
              <w:top w:val="nil"/>
              <w:left w:val="nil"/>
              <w:bottom w:val="nil"/>
              <w:right w:val="single" w:color="auto" w:sz="8" w:space="0"/>
            </w:tcBorders>
            <w:noWrap/>
            <w:vAlign w:val="center"/>
          </w:tcPr>
          <w:p w14:paraId="63B5D7F6">
            <w:pPr>
              <w:widowControl/>
              <w:adjustRightInd/>
              <w:spacing w:line="240" w:lineRule="auto"/>
              <w:jc w:val="center"/>
              <w:textAlignment w:val="auto"/>
              <w:rPr>
                <w:rFonts w:ascii="Arial" w:hAnsi="Arial" w:cs="Arial"/>
                <w:snapToGrid w:val="0"/>
                <w:sz w:val="16"/>
              </w:rPr>
            </w:pPr>
            <w:r>
              <w:rPr>
                <w:rFonts w:ascii="Arial" w:hAnsi="Arial" w:cs="Arial"/>
                <w:snapToGrid w:val="0"/>
                <w:sz w:val="16"/>
              </w:rPr>
              <w:t>押一</w:t>
            </w:r>
          </w:p>
        </w:tc>
      </w:tr>
      <w:tr w14:paraId="630F103C">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4227CA52">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15" w:type="pct"/>
            <w:tcBorders>
              <w:top w:val="single" w:color="auto" w:sz="4" w:space="0"/>
              <w:left w:val="nil"/>
              <w:bottom w:val="single" w:color="auto" w:sz="4" w:space="0"/>
              <w:right w:val="single" w:color="auto" w:sz="4" w:space="0"/>
            </w:tcBorders>
            <w:vAlign w:val="center"/>
          </w:tcPr>
          <w:p w14:paraId="17BC0640">
            <w:pPr>
              <w:widowControl/>
              <w:adjustRightInd/>
              <w:spacing w:line="240" w:lineRule="auto"/>
              <w:jc w:val="right"/>
              <w:textAlignment w:val="auto"/>
              <w:rPr>
                <w:rFonts w:ascii="Arial" w:hAnsi="Arial" w:cs="Arial"/>
                <w:snapToGrid w:val="0"/>
                <w:sz w:val="16"/>
              </w:rPr>
            </w:pPr>
            <w:r>
              <w:rPr>
                <w:rFonts w:ascii="Arial" w:hAnsi="Arial" w:cs="Arial"/>
                <w:snapToGrid w:val="0"/>
                <w:sz w:val="16"/>
              </w:rPr>
              <w:t>（自定义押金）单位：元</w:t>
            </w:r>
          </w:p>
        </w:tc>
        <w:tc>
          <w:tcPr>
            <w:tcW w:w="510" w:type="pct"/>
            <w:tcBorders>
              <w:top w:val="nil"/>
              <w:left w:val="nil"/>
              <w:bottom w:val="single" w:color="auto" w:sz="4" w:space="0"/>
              <w:right w:val="single" w:color="auto" w:sz="4" w:space="0"/>
            </w:tcBorders>
            <w:noWrap/>
            <w:vAlign w:val="center"/>
          </w:tcPr>
          <w:p w14:paraId="6BF9469B">
            <w:pPr>
              <w:widowControl/>
              <w:adjustRightInd/>
              <w:spacing w:line="240" w:lineRule="auto"/>
              <w:jc w:val="center"/>
              <w:textAlignment w:val="auto"/>
              <w:rPr>
                <w:rFonts w:ascii="Arial" w:hAnsi="Arial" w:cs="Arial"/>
                <w:snapToGrid w:val="0"/>
                <w:sz w:val="16"/>
              </w:rPr>
            </w:pPr>
          </w:p>
        </w:tc>
        <w:tc>
          <w:tcPr>
            <w:tcW w:w="1817" w:type="pct"/>
            <w:tcBorders>
              <w:top w:val="nil"/>
              <w:left w:val="nil"/>
              <w:bottom w:val="single" w:color="auto" w:sz="4" w:space="0"/>
              <w:right w:val="single" w:color="auto" w:sz="4" w:space="0"/>
            </w:tcBorders>
            <w:noWrap/>
            <w:vAlign w:val="center"/>
          </w:tcPr>
          <w:p w14:paraId="58546908">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1" w:type="pct"/>
            <w:tcBorders>
              <w:top w:val="single" w:color="auto" w:sz="4" w:space="0"/>
              <w:left w:val="nil"/>
              <w:bottom w:val="single" w:color="auto" w:sz="4" w:space="0"/>
              <w:right w:val="single" w:color="auto" w:sz="4" w:space="0"/>
            </w:tcBorders>
            <w:noWrap/>
            <w:vAlign w:val="center"/>
          </w:tcPr>
          <w:p w14:paraId="55057ADA">
            <w:pPr>
              <w:widowControl/>
              <w:adjustRightInd/>
              <w:spacing w:line="240" w:lineRule="auto"/>
              <w:textAlignment w:val="auto"/>
              <w:rPr>
                <w:rFonts w:ascii="Arial" w:hAnsi="Arial" w:cs="Arial"/>
                <w:snapToGrid w:val="0"/>
                <w:sz w:val="16"/>
              </w:rPr>
            </w:pPr>
            <w:r>
              <w:rPr>
                <w:rFonts w:ascii="Arial" w:hAnsi="Arial" w:cs="Arial"/>
                <w:snapToGrid w:val="0"/>
                <w:sz w:val="16"/>
              </w:rPr>
              <w:t>一年期存款利率</w:t>
            </w:r>
          </w:p>
        </w:tc>
        <w:tc>
          <w:tcPr>
            <w:tcW w:w="465" w:type="pct"/>
            <w:tcBorders>
              <w:top w:val="single" w:color="auto" w:sz="4" w:space="0"/>
              <w:left w:val="nil"/>
              <w:bottom w:val="single" w:color="auto" w:sz="4" w:space="0"/>
              <w:right w:val="single" w:color="auto" w:sz="8" w:space="0"/>
            </w:tcBorders>
            <w:noWrap/>
            <w:vAlign w:val="center"/>
          </w:tcPr>
          <w:p w14:paraId="61BE0E4D">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247DC52E">
        <w:tblPrEx>
          <w:tblCellMar>
            <w:top w:w="0" w:type="dxa"/>
            <w:left w:w="108" w:type="dxa"/>
            <w:bottom w:w="0" w:type="dxa"/>
            <w:right w:w="108" w:type="dxa"/>
          </w:tblCellMar>
        </w:tblPrEx>
        <w:trPr>
          <w:trHeight w:val="360" w:hRule="atLeast"/>
        </w:trPr>
        <w:tc>
          <w:tcPr>
            <w:tcW w:w="411" w:type="pct"/>
            <w:tcBorders>
              <w:top w:val="single" w:color="auto" w:sz="4" w:space="0"/>
              <w:left w:val="single" w:color="auto" w:sz="4" w:space="0"/>
              <w:bottom w:val="single" w:color="auto" w:sz="4" w:space="0"/>
              <w:right w:val="single" w:color="auto" w:sz="4" w:space="0"/>
            </w:tcBorders>
            <w:noWrap/>
            <w:vAlign w:val="center"/>
          </w:tcPr>
          <w:p w14:paraId="6E75ABCD">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15" w:type="pct"/>
            <w:tcBorders>
              <w:top w:val="single" w:color="auto" w:sz="4" w:space="0"/>
              <w:left w:val="nil"/>
              <w:bottom w:val="single" w:color="auto" w:sz="4" w:space="0"/>
              <w:right w:val="single" w:color="auto" w:sz="4" w:space="0"/>
            </w:tcBorders>
            <w:noWrap/>
            <w:vAlign w:val="center"/>
          </w:tcPr>
          <w:p w14:paraId="1E728789">
            <w:pPr>
              <w:widowControl/>
              <w:adjustRightInd/>
              <w:spacing w:line="240" w:lineRule="auto"/>
              <w:textAlignment w:val="auto"/>
              <w:rPr>
                <w:rFonts w:ascii="Arial" w:hAnsi="Arial" w:cs="Arial"/>
                <w:snapToGrid w:val="0"/>
                <w:sz w:val="16"/>
              </w:rPr>
            </w:pPr>
            <w:r>
              <w:rPr>
                <w:rFonts w:ascii="Arial" w:hAnsi="Arial" w:cs="Arial"/>
                <w:snapToGrid w:val="0"/>
                <w:sz w:val="16"/>
              </w:rPr>
              <w:t>建筑物现值</w:t>
            </w:r>
          </w:p>
        </w:tc>
        <w:tc>
          <w:tcPr>
            <w:tcW w:w="510" w:type="pct"/>
            <w:tcBorders>
              <w:top w:val="single" w:color="auto" w:sz="4" w:space="0"/>
              <w:left w:val="nil"/>
              <w:bottom w:val="single" w:color="auto" w:sz="4" w:space="0"/>
              <w:right w:val="single" w:color="auto" w:sz="4" w:space="0"/>
            </w:tcBorders>
            <w:noWrap/>
            <w:vAlign w:val="center"/>
          </w:tcPr>
          <w:p w14:paraId="67BBB6D5">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2521</w:t>
            </w:r>
          </w:p>
        </w:tc>
        <w:tc>
          <w:tcPr>
            <w:tcW w:w="1817" w:type="pct"/>
            <w:tcBorders>
              <w:top w:val="single" w:color="auto" w:sz="4" w:space="0"/>
              <w:left w:val="nil"/>
              <w:bottom w:val="single" w:color="auto" w:sz="4" w:space="0"/>
              <w:right w:val="single" w:color="auto" w:sz="4" w:space="0"/>
            </w:tcBorders>
            <w:noWrap/>
            <w:vAlign w:val="center"/>
          </w:tcPr>
          <w:p w14:paraId="4FD54B57">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建筑物重置价格×成新度</w:t>
            </w:r>
          </w:p>
        </w:tc>
        <w:tc>
          <w:tcPr>
            <w:tcW w:w="781" w:type="pct"/>
            <w:tcBorders>
              <w:top w:val="single" w:color="auto" w:sz="4" w:space="0"/>
              <w:left w:val="nil"/>
              <w:bottom w:val="single" w:color="auto" w:sz="4" w:space="0"/>
              <w:right w:val="single" w:color="auto" w:sz="4" w:space="0"/>
            </w:tcBorders>
            <w:noWrap/>
            <w:vAlign w:val="center"/>
          </w:tcPr>
          <w:p w14:paraId="1339899D">
            <w:pPr>
              <w:widowControl/>
              <w:adjustRightInd/>
              <w:spacing w:line="240" w:lineRule="auto"/>
              <w:textAlignment w:val="auto"/>
              <w:rPr>
                <w:rFonts w:ascii="Arial" w:hAnsi="Arial" w:cs="Arial"/>
                <w:snapToGrid w:val="0"/>
                <w:sz w:val="16"/>
              </w:rPr>
            </w:pPr>
            <w:r>
              <w:rPr>
                <w:rFonts w:ascii="Arial" w:hAnsi="Arial" w:cs="Arial"/>
                <w:snapToGrid w:val="0"/>
                <w:sz w:val="16"/>
              </w:rPr>
              <w:t>成新度（%）</w:t>
            </w:r>
          </w:p>
        </w:tc>
        <w:tc>
          <w:tcPr>
            <w:tcW w:w="465" w:type="pct"/>
            <w:tcBorders>
              <w:top w:val="single" w:color="auto" w:sz="4" w:space="0"/>
              <w:left w:val="nil"/>
              <w:bottom w:val="single" w:color="auto" w:sz="4" w:space="0"/>
              <w:right w:val="single" w:color="auto" w:sz="4" w:space="0"/>
            </w:tcBorders>
            <w:noWrap/>
            <w:vAlign w:val="center"/>
          </w:tcPr>
          <w:p w14:paraId="5E58BFEB">
            <w:pPr>
              <w:widowControl/>
              <w:adjustRightInd/>
              <w:spacing w:line="240" w:lineRule="auto"/>
              <w:jc w:val="center"/>
              <w:textAlignment w:val="auto"/>
              <w:rPr>
                <w:rFonts w:ascii="Arial" w:hAnsi="Arial" w:cs="Arial"/>
                <w:snapToGrid w:val="0"/>
                <w:sz w:val="16"/>
              </w:rPr>
            </w:pPr>
            <w:r>
              <w:rPr>
                <w:rFonts w:ascii="Arial" w:hAnsi="Arial" w:cs="Arial"/>
                <w:snapToGrid w:val="0"/>
                <w:sz w:val="16"/>
              </w:rPr>
              <w:t>100.0%</w:t>
            </w:r>
          </w:p>
        </w:tc>
      </w:tr>
      <w:tr w14:paraId="254E68D2">
        <w:tblPrEx>
          <w:tblCellMar>
            <w:top w:w="0" w:type="dxa"/>
            <w:left w:w="108" w:type="dxa"/>
            <w:bottom w:w="0" w:type="dxa"/>
            <w:right w:w="108" w:type="dxa"/>
          </w:tblCellMar>
        </w:tblPrEx>
        <w:trPr>
          <w:trHeight w:val="360" w:hRule="atLeast"/>
        </w:trPr>
        <w:tc>
          <w:tcPr>
            <w:tcW w:w="411" w:type="pct"/>
            <w:tcBorders>
              <w:top w:val="single" w:color="auto" w:sz="4" w:space="0"/>
              <w:left w:val="single" w:color="auto" w:sz="8" w:space="0"/>
              <w:bottom w:val="single" w:color="auto" w:sz="4" w:space="0"/>
              <w:right w:val="single" w:color="auto" w:sz="4" w:space="0"/>
            </w:tcBorders>
            <w:noWrap/>
            <w:vAlign w:val="center"/>
          </w:tcPr>
          <w:p w14:paraId="31F9542C">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15" w:type="pct"/>
            <w:tcBorders>
              <w:top w:val="single" w:color="auto" w:sz="4" w:space="0"/>
              <w:left w:val="nil"/>
              <w:bottom w:val="single" w:color="auto" w:sz="4" w:space="0"/>
              <w:right w:val="single" w:color="auto" w:sz="4" w:space="0"/>
            </w:tcBorders>
            <w:noWrap/>
            <w:vAlign w:val="center"/>
          </w:tcPr>
          <w:p w14:paraId="3918449F">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p>
        </w:tc>
        <w:tc>
          <w:tcPr>
            <w:tcW w:w="510" w:type="pct"/>
            <w:tcBorders>
              <w:top w:val="single" w:color="auto" w:sz="4" w:space="0"/>
              <w:left w:val="nil"/>
              <w:bottom w:val="single" w:color="auto" w:sz="4" w:space="0"/>
              <w:right w:val="nil"/>
            </w:tcBorders>
            <w:noWrap/>
            <w:vAlign w:val="center"/>
          </w:tcPr>
          <w:p w14:paraId="253B60A3">
            <w:pPr>
              <w:spacing w:line="240" w:lineRule="auto"/>
              <w:jc w:val="center"/>
              <w:rPr>
                <w:rFonts w:ascii="Arial" w:hAnsi="Arial" w:cs="Arial"/>
                <w:snapToGrid w:val="0"/>
                <w:sz w:val="16"/>
              </w:rPr>
            </w:pPr>
            <w:commentRangeStart w:id="7"/>
            <w:r>
              <w:rPr>
                <w:rFonts w:hint="eastAsia" w:ascii="Arial" w:hAnsi="Arial" w:cs="Arial"/>
                <w:snapToGrid w:val="0"/>
                <w:sz w:val="16"/>
              </w:rPr>
              <w:t>1846</w:t>
            </w:r>
          </w:p>
          <w:commentRangeEnd w:id="7"/>
        </w:tc>
        <w:tc>
          <w:tcPr>
            <w:tcW w:w="3063" w:type="pct"/>
            <w:gridSpan w:val="3"/>
            <w:tcBorders>
              <w:top w:val="single" w:color="auto" w:sz="4" w:space="0"/>
              <w:left w:val="single" w:color="auto" w:sz="4" w:space="0"/>
              <w:bottom w:val="single" w:color="auto" w:sz="4" w:space="0"/>
              <w:right w:val="single" w:color="auto" w:sz="4" w:space="0"/>
            </w:tcBorders>
            <w:vAlign w:val="center"/>
          </w:tcPr>
          <w:p w14:paraId="28FAC5F5">
            <w:pPr>
              <w:widowControl/>
              <w:adjustRightInd/>
              <w:spacing w:line="240" w:lineRule="auto"/>
              <w:jc w:val="center"/>
              <w:textAlignment w:val="auto"/>
              <w:rPr>
                <w:rFonts w:ascii="Arial" w:hAnsi="Arial" w:cs="Arial"/>
                <w:snapToGrid w:val="0"/>
                <w:sz w:val="16"/>
              </w:rPr>
            </w:pPr>
            <w:r>
              <w:rPr>
                <w:rStyle w:val="38"/>
              </w:rPr>
              <w:commentReference w:id="7"/>
            </w:r>
            <w:r>
              <w:rPr>
                <w:rFonts w:hint="eastAsia" w:ascii="Arial" w:hAnsi="Arial" w:cs="Arial"/>
                <w:snapToGrid w:val="0"/>
                <w:sz w:val="16"/>
                <w:lang w:val="en-US" w:eastAsia="zh-CN"/>
              </w:rPr>
              <w:t>-</w:t>
            </w:r>
          </w:p>
        </w:tc>
      </w:tr>
      <w:tr w14:paraId="021A6872">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4DB30483">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15" w:type="pct"/>
            <w:tcBorders>
              <w:top w:val="nil"/>
              <w:left w:val="nil"/>
              <w:bottom w:val="single" w:color="auto" w:sz="4" w:space="0"/>
              <w:right w:val="single" w:color="auto" w:sz="4" w:space="0"/>
            </w:tcBorders>
            <w:noWrap/>
            <w:vAlign w:val="center"/>
          </w:tcPr>
          <w:p w14:paraId="395651ED">
            <w:pPr>
              <w:widowControl/>
              <w:adjustRightInd/>
              <w:spacing w:line="240" w:lineRule="auto"/>
              <w:textAlignment w:val="auto"/>
              <w:rPr>
                <w:rFonts w:ascii="Arial" w:hAnsi="Arial" w:cs="Arial"/>
                <w:snapToGrid w:val="0"/>
                <w:sz w:val="16"/>
              </w:rPr>
            </w:pPr>
            <w:r>
              <w:rPr>
                <w:rFonts w:ascii="Arial" w:hAnsi="Arial" w:cs="Arial"/>
                <w:snapToGrid w:val="0"/>
                <w:sz w:val="16"/>
              </w:rPr>
              <w:t>勘察设计和前期工程费</w:t>
            </w:r>
          </w:p>
        </w:tc>
        <w:tc>
          <w:tcPr>
            <w:tcW w:w="510" w:type="pct"/>
            <w:tcBorders>
              <w:top w:val="nil"/>
              <w:left w:val="nil"/>
              <w:bottom w:val="single" w:color="auto" w:sz="4" w:space="0"/>
              <w:right w:val="single" w:color="auto" w:sz="4" w:space="0"/>
            </w:tcBorders>
            <w:noWrap/>
            <w:vAlign w:val="center"/>
          </w:tcPr>
          <w:p w14:paraId="41194C1A">
            <w:pPr>
              <w:spacing w:line="240" w:lineRule="auto"/>
              <w:jc w:val="center"/>
              <w:rPr>
                <w:rFonts w:ascii="Arial" w:hAnsi="Arial" w:cs="Arial"/>
                <w:snapToGrid w:val="0"/>
                <w:sz w:val="16"/>
              </w:rPr>
            </w:pPr>
            <w:r>
              <w:rPr>
                <w:rFonts w:hint="eastAsia" w:ascii="Arial" w:hAnsi="Arial" w:cs="Arial"/>
                <w:snapToGrid w:val="0"/>
                <w:sz w:val="16"/>
              </w:rPr>
              <w:t>92</w:t>
            </w:r>
          </w:p>
        </w:tc>
        <w:tc>
          <w:tcPr>
            <w:tcW w:w="1817" w:type="pct"/>
            <w:tcBorders>
              <w:top w:val="nil"/>
              <w:left w:val="nil"/>
              <w:bottom w:val="single" w:color="auto" w:sz="4" w:space="0"/>
              <w:right w:val="single" w:color="auto" w:sz="4" w:space="0"/>
            </w:tcBorders>
            <w:noWrap/>
            <w:vAlign w:val="center"/>
          </w:tcPr>
          <w:p w14:paraId="20F6240E">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781" w:type="pct"/>
            <w:tcBorders>
              <w:top w:val="nil"/>
              <w:left w:val="nil"/>
              <w:bottom w:val="single" w:color="auto" w:sz="4" w:space="0"/>
              <w:right w:val="single" w:color="auto" w:sz="4" w:space="0"/>
            </w:tcBorders>
            <w:noWrap/>
            <w:vAlign w:val="center"/>
          </w:tcPr>
          <w:p w14:paraId="5513404C">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5E7062ED">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63488302">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3B13ABE8">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15" w:type="pct"/>
            <w:tcBorders>
              <w:top w:val="nil"/>
              <w:left w:val="nil"/>
              <w:bottom w:val="single" w:color="auto" w:sz="4" w:space="0"/>
              <w:right w:val="single" w:color="auto" w:sz="4" w:space="0"/>
            </w:tcBorders>
            <w:noWrap/>
            <w:vAlign w:val="center"/>
          </w:tcPr>
          <w:p w14:paraId="649C47A9">
            <w:pPr>
              <w:widowControl/>
              <w:adjustRightInd/>
              <w:spacing w:line="240" w:lineRule="auto"/>
              <w:textAlignment w:val="auto"/>
              <w:rPr>
                <w:rFonts w:ascii="Arial" w:hAnsi="Arial" w:cs="Arial"/>
                <w:snapToGrid w:val="0"/>
                <w:sz w:val="16"/>
              </w:rPr>
            </w:pPr>
            <w:r>
              <w:rPr>
                <w:rFonts w:ascii="Arial" w:hAnsi="Arial" w:cs="Arial"/>
                <w:snapToGrid w:val="0"/>
                <w:sz w:val="16"/>
              </w:rPr>
              <w:t>公共配套设施费用</w:t>
            </w:r>
          </w:p>
        </w:tc>
        <w:tc>
          <w:tcPr>
            <w:tcW w:w="510" w:type="pct"/>
            <w:tcBorders>
              <w:top w:val="nil"/>
              <w:left w:val="nil"/>
              <w:bottom w:val="single" w:color="auto" w:sz="4" w:space="0"/>
              <w:right w:val="single" w:color="auto" w:sz="4" w:space="0"/>
            </w:tcBorders>
            <w:noWrap/>
            <w:vAlign w:val="center"/>
          </w:tcPr>
          <w:p w14:paraId="513CA863">
            <w:pPr>
              <w:spacing w:line="240" w:lineRule="auto"/>
              <w:jc w:val="center"/>
              <w:rPr>
                <w:rFonts w:ascii="Arial" w:hAnsi="Arial" w:cs="Arial"/>
                <w:snapToGrid w:val="0"/>
                <w:sz w:val="16"/>
              </w:rPr>
            </w:pPr>
            <w:r>
              <w:rPr>
                <w:rFonts w:ascii="Arial" w:hAnsi="Arial" w:cs="Arial"/>
                <w:snapToGrid w:val="0"/>
                <w:sz w:val="16"/>
              </w:rPr>
              <w:t>0</w:t>
            </w:r>
          </w:p>
        </w:tc>
        <w:tc>
          <w:tcPr>
            <w:tcW w:w="1817" w:type="pct"/>
            <w:tcBorders>
              <w:top w:val="nil"/>
              <w:left w:val="nil"/>
              <w:bottom w:val="single" w:color="auto" w:sz="4" w:space="0"/>
              <w:right w:val="single" w:color="auto" w:sz="4" w:space="0"/>
            </w:tcBorders>
            <w:noWrap/>
            <w:vAlign w:val="center"/>
          </w:tcPr>
          <w:p w14:paraId="1CE79ED1">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781" w:type="pct"/>
            <w:tcBorders>
              <w:top w:val="nil"/>
              <w:left w:val="nil"/>
              <w:bottom w:val="single" w:color="auto" w:sz="4" w:space="0"/>
              <w:right w:val="single" w:color="auto" w:sz="4" w:space="0"/>
            </w:tcBorders>
            <w:noWrap/>
            <w:vAlign w:val="center"/>
          </w:tcPr>
          <w:p w14:paraId="73F08305">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6ED610F3">
            <w:pPr>
              <w:widowControl/>
              <w:adjustRightInd/>
              <w:spacing w:line="240" w:lineRule="auto"/>
              <w:jc w:val="center"/>
              <w:textAlignment w:val="auto"/>
              <w:rPr>
                <w:rFonts w:ascii="Arial" w:hAnsi="Arial" w:cs="Arial"/>
                <w:snapToGrid w:val="0"/>
                <w:sz w:val="16"/>
              </w:rPr>
            </w:pPr>
            <w:r>
              <w:rPr>
                <w:rFonts w:ascii="Arial" w:hAnsi="Arial" w:cs="Arial"/>
                <w:snapToGrid w:val="0"/>
                <w:sz w:val="16"/>
              </w:rPr>
              <w:t>0.0%</w:t>
            </w:r>
          </w:p>
        </w:tc>
      </w:tr>
      <w:tr w14:paraId="51A77416">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3F1E5720">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15" w:type="pct"/>
            <w:tcBorders>
              <w:top w:val="nil"/>
              <w:left w:val="nil"/>
              <w:bottom w:val="single" w:color="auto" w:sz="4" w:space="0"/>
              <w:right w:val="single" w:color="auto" w:sz="4" w:space="0"/>
            </w:tcBorders>
            <w:noWrap/>
            <w:vAlign w:val="center"/>
          </w:tcPr>
          <w:p w14:paraId="5E665AA4">
            <w:pPr>
              <w:widowControl/>
              <w:adjustRightInd/>
              <w:spacing w:line="240" w:lineRule="auto"/>
              <w:textAlignment w:val="auto"/>
              <w:rPr>
                <w:rFonts w:ascii="Arial" w:hAnsi="Arial" w:cs="Arial"/>
                <w:snapToGrid w:val="0"/>
                <w:sz w:val="16"/>
              </w:rPr>
            </w:pPr>
            <w:r>
              <w:rPr>
                <w:rFonts w:ascii="Arial" w:hAnsi="Arial" w:cs="Arial"/>
                <w:snapToGrid w:val="0"/>
                <w:sz w:val="16"/>
              </w:rPr>
              <w:t>基础设施建设费</w:t>
            </w:r>
          </w:p>
        </w:tc>
        <w:tc>
          <w:tcPr>
            <w:tcW w:w="510" w:type="pct"/>
            <w:tcBorders>
              <w:top w:val="nil"/>
              <w:left w:val="nil"/>
              <w:bottom w:val="single" w:color="auto" w:sz="4" w:space="0"/>
              <w:right w:val="single" w:color="auto" w:sz="4" w:space="0"/>
            </w:tcBorders>
            <w:noWrap/>
            <w:vAlign w:val="center"/>
          </w:tcPr>
          <w:p w14:paraId="3242FBC0">
            <w:pPr>
              <w:spacing w:line="240" w:lineRule="auto"/>
              <w:jc w:val="center"/>
              <w:rPr>
                <w:rFonts w:ascii="Arial" w:hAnsi="Arial" w:cs="Arial"/>
                <w:snapToGrid w:val="0"/>
                <w:sz w:val="16"/>
              </w:rPr>
            </w:pPr>
            <w:r>
              <w:rPr>
                <w:rFonts w:hint="eastAsia" w:ascii="Arial" w:hAnsi="Arial" w:cs="Arial"/>
                <w:snapToGrid w:val="0"/>
                <w:sz w:val="16"/>
              </w:rPr>
              <w:t>115</w:t>
            </w:r>
          </w:p>
        </w:tc>
        <w:tc>
          <w:tcPr>
            <w:tcW w:w="1817" w:type="pct"/>
            <w:tcBorders>
              <w:top w:val="nil"/>
              <w:left w:val="nil"/>
              <w:bottom w:val="single" w:color="auto" w:sz="4" w:space="0"/>
              <w:right w:val="single" w:color="auto" w:sz="4" w:space="0"/>
            </w:tcBorders>
            <w:noWrap/>
            <w:vAlign w:val="center"/>
          </w:tcPr>
          <w:p w14:paraId="565813F6">
            <w:pPr>
              <w:widowControl/>
              <w:adjustRightInd/>
              <w:spacing w:line="240" w:lineRule="auto"/>
              <w:textAlignment w:val="auto"/>
              <w:rPr>
                <w:rFonts w:ascii="Arial" w:hAnsi="Arial" w:cs="Arial"/>
                <w:snapToGrid w:val="0"/>
                <w:sz w:val="16"/>
              </w:rPr>
            </w:pPr>
            <w:r>
              <w:rPr>
                <w:rFonts w:ascii="Arial" w:hAnsi="Arial" w:cs="Arial"/>
                <w:snapToGrid w:val="0"/>
                <w:sz w:val="16"/>
              </w:rPr>
              <w:t>建筑面积×取费标准</w:t>
            </w:r>
          </w:p>
        </w:tc>
        <w:tc>
          <w:tcPr>
            <w:tcW w:w="781" w:type="pct"/>
            <w:tcBorders>
              <w:top w:val="nil"/>
              <w:left w:val="nil"/>
              <w:bottom w:val="single" w:color="auto" w:sz="4" w:space="0"/>
              <w:right w:val="single" w:color="auto" w:sz="4" w:space="0"/>
            </w:tcBorders>
            <w:noWrap/>
            <w:vAlign w:val="center"/>
          </w:tcPr>
          <w:p w14:paraId="43DE43C3">
            <w:pPr>
              <w:widowControl/>
              <w:adjustRightInd/>
              <w:spacing w:line="240" w:lineRule="auto"/>
              <w:textAlignment w:val="auto"/>
              <w:rPr>
                <w:rFonts w:ascii="Arial" w:hAnsi="Arial" w:cs="Arial"/>
                <w:snapToGrid w:val="0"/>
                <w:sz w:val="16"/>
              </w:rPr>
            </w:pPr>
            <w:r>
              <w:rPr>
                <w:rFonts w:ascii="Arial" w:hAnsi="Arial" w:cs="Arial"/>
                <w:snapToGrid w:val="0"/>
                <w:sz w:val="16"/>
              </w:rPr>
              <w:t>市政费用（元/㎡）</w:t>
            </w:r>
          </w:p>
        </w:tc>
        <w:tc>
          <w:tcPr>
            <w:tcW w:w="465" w:type="pct"/>
            <w:tcBorders>
              <w:top w:val="nil"/>
              <w:left w:val="nil"/>
              <w:bottom w:val="single" w:color="auto" w:sz="4" w:space="0"/>
              <w:right w:val="single" w:color="auto" w:sz="8" w:space="0"/>
            </w:tcBorders>
            <w:noWrap/>
            <w:vAlign w:val="center"/>
          </w:tcPr>
          <w:p w14:paraId="19E98102">
            <w:pPr>
              <w:widowControl/>
              <w:adjustRightInd/>
              <w:spacing w:line="240" w:lineRule="auto"/>
              <w:jc w:val="center"/>
              <w:textAlignment w:val="auto"/>
              <w:rPr>
                <w:rFonts w:ascii="Arial" w:hAnsi="Arial" w:cs="Arial"/>
                <w:snapToGrid w:val="0"/>
                <w:sz w:val="16"/>
              </w:rPr>
            </w:pPr>
            <w:r>
              <w:rPr>
                <w:rFonts w:ascii="Arial" w:hAnsi="Arial" w:cs="Arial"/>
                <w:snapToGrid w:val="0"/>
                <w:sz w:val="16"/>
              </w:rPr>
              <w:t>200</w:t>
            </w:r>
          </w:p>
        </w:tc>
      </w:tr>
      <w:tr w14:paraId="2D4083E5">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7302A532">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15" w:type="pct"/>
            <w:tcBorders>
              <w:top w:val="nil"/>
              <w:left w:val="nil"/>
              <w:bottom w:val="single" w:color="auto" w:sz="4" w:space="0"/>
              <w:right w:val="single" w:color="auto" w:sz="4" w:space="0"/>
            </w:tcBorders>
            <w:noWrap/>
            <w:vAlign w:val="center"/>
          </w:tcPr>
          <w:p w14:paraId="19EAC17B">
            <w:pPr>
              <w:widowControl/>
              <w:adjustRightInd/>
              <w:spacing w:line="240" w:lineRule="auto"/>
              <w:textAlignment w:val="auto"/>
              <w:rPr>
                <w:rFonts w:ascii="Arial" w:hAnsi="Arial" w:cs="Arial"/>
                <w:snapToGrid w:val="0"/>
                <w:sz w:val="16"/>
              </w:rPr>
            </w:pPr>
            <w:r>
              <w:rPr>
                <w:rFonts w:ascii="Arial" w:hAnsi="Arial" w:cs="Arial"/>
                <w:snapToGrid w:val="0"/>
                <w:sz w:val="16"/>
              </w:rPr>
              <w:t>相关税费</w:t>
            </w:r>
          </w:p>
        </w:tc>
        <w:tc>
          <w:tcPr>
            <w:tcW w:w="510" w:type="pct"/>
            <w:tcBorders>
              <w:top w:val="nil"/>
              <w:left w:val="nil"/>
              <w:bottom w:val="single" w:color="auto" w:sz="4" w:space="0"/>
              <w:right w:val="single" w:color="auto" w:sz="4" w:space="0"/>
            </w:tcBorders>
            <w:noWrap/>
            <w:vAlign w:val="center"/>
          </w:tcPr>
          <w:p w14:paraId="24B5F948">
            <w:pPr>
              <w:spacing w:line="240" w:lineRule="auto"/>
              <w:jc w:val="center"/>
              <w:rPr>
                <w:rFonts w:ascii="Arial" w:hAnsi="Arial" w:cs="Arial"/>
                <w:snapToGrid w:val="0"/>
                <w:sz w:val="16"/>
              </w:rPr>
            </w:pPr>
            <w:r>
              <w:rPr>
                <w:rFonts w:hint="eastAsia" w:ascii="Arial" w:hAnsi="Arial" w:cs="Arial"/>
                <w:snapToGrid w:val="0"/>
                <w:sz w:val="16"/>
              </w:rPr>
              <w:t>37</w:t>
            </w:r>
          </w:p>
        </w:tc>
        <w:tc>
          <w:tcPr>
            <w:tcW w:w="1817" w:type="pct"/>
            <w:tcBorders>
              <w:top w:val="nil"/>
              <w:left w:val="nil"/>
              <w:bottom w:val="single" w:color="auto" w:sz="4" w:space="0"/>
              <w:right w:val="single" w:color="auto" w:sz="4" w:space="0"/>
            </w:tcBorders>
            <w:noWrap/>
            <w:vAlign w:val="center"/>
          </w:tcPr>
          <w:p w14:paraId="15D84658">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781" w:type="pct"/>
            <w:tcBorders>
              <w:top w:val="nil"/>
              <w:left w:val="nil"/>
              <w:bottom w:val="single" w:color="auto" w:sz="4" w:space="0"/>
              <w:right w:val="single" w:color="auto" w:sz="4" w:space="0"/>
            </w:tcBorders>
            <w:noWrap/>
            <w:vAlign w:val="center"/>
          </w:tcPr>
          <w:p w14:paraId="58BAC9F2">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5FC3ED97">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190CCC6F">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2DAC4693">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15" w:type="pct"/>
            <w:tcBorders>
              <w:top w:val="nil"/>
              <w:left w:val="nil"/>
              <w:bottom w:val="single" w:color="auto" w:sz="4" w:space="0"/>
              <w:right w:val="single" w:color="auto" w:sz="4" w:space="0"/>
            </w:tcBorders>
            <w:noWrap/>
            <w:vAlign w:val="center"/>
          </w:tcPr>
          <w:p w14:paraId="4BAC5FC6">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p>
        </w:tc>
        <w:tc>
          <w:tcPr>
            <w:tcW w:w="510" w:type="pct"/>
            <w:tcBorders>
              <w:top w:val="nil"/>
              <w:left w:val="nil"/>
              <w:bottom w:val="single" w:color="auto" w:sz="4" w:space="0"/>
              <w:right w:val="single" w:color="auto" w:sz="4" w:space="0"/>
            </w:tcBorders>
            <w:noWrap/>
            <w:vAlign w:val="center"/>
          </w:tcPr>
          <w:p w14:paraId="6EE63B41">
            <w:pPr>
              <w:spacing w:line="240" w:lineRule="auto"/>
              <w:jc w:val="center"/>
              <w:rPr>
                <w:rFonts w:ascii="Arial" w:hAnsi="Arial" w:cs="Arial"/>
                <w:snapToGrid w:val="0"/>
                <w:sz w:val="16"/>
              </w:rPr>
            </w:pPr>
            <w:r>
              <w:rPr>
                <w:rFonts w:hint="eastAsia" w:ascii="Arial" w:hAnsi="Arial" w:cs="Arial"/>
                <w:snapToGrid w:val="0"/>
                <w:sz w:val="16"/>
              </w:rPr>
              <w:t>2090</w:t>
            </w:r>
          </w:p>
        </w:tc>
        <w:tc>
          <w:tcPr>
            <w:tcW w:w="2598" w:type="pct"/>
            <w:gridSpan w:val="2"/>
            <w:tcBorders>
              <w:top w:val="single" w:color="auto" w:sz="4" w:space="0"/>
              <w:left w:val="single" w:color="auto" w:sz="4" w:space="0"/>
              <w:bottom w:val="single" w:color="auto" w:sz="4" w:space="0"/>
              <w:right w:val="nil"/>
            </w:tcBorders>
            <w:noWrap/>
            <w:vAlign w:val="center"/>
          </w:tcPr>
          <w:p w14:paraId="4C129078">
            <w:pPr>
              <w:widowControl/>
              <w:adjustRightInd/>
              <w:spacing w:line="240" w:lineRule="auto"/>
              <w:textAlignment w:val="auto"/>
              <w:rPr>
                <w:rFonts w:ascii="Arial" w:hAnsi="Arial" w:cs="Arial"/>
                <w:snapToGrid w:val="0"/>
                <w:sz w:val="16"/>
              </w:rPr>
            </w:pPr>
            <w:r>
              <w:rPr>
                <w:rFonts w:ascii="Arial" w:hAnsi="Arial" w:cs="Arial"/>
                <w:snapToGrid w:val="0"/>
                <w:sz w:val="16"/>
              </w:rPr>
              <w:t>建安费用+公共配套设施费用+基础设施建设费+相关税费</w:t>
            </w:r>
          </w:p>
        </w:tc>
        <w:tc>
          <w:tcPr>
            <w:tcW w:w="465" w:type="pct"/>
            <w:tcBorders>
              <w:top w:val="nil"/>
              <w:left w:val="nil"/>
              <w:bottom w:val="single" w:color="auto" w:sz="4" w:space="0"/>
              <w:right w:val="single" w:color="auto" w:sz="8" w:space="0"/>
            </w:tcBorders>
            <w:noWrap/>
            <w:vAlign w:val="center"/>
          </w:tcPr>
          <w:p w14:paraId="6E0D52AE">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3C4D8566">
        <w:tblPrEx>
          <w:tblCellMar>
            <w:top w:w="0" w:type="dxa"/>
            <w:left w:w="108" w:type="dxa"/>
            <w:bottom w:w="0" w:type="dxa"/>
            <w:right w:w="108" w:type="dxa"/>
          </w:tblCellMar>
        </w:tblPrEx>
        <w:trPr>
          <w:trHeight w:val="403" w:hRule="atLeast"/>
        </w:trPr>
        <w:tc>
          <w:tcPr>
            <w:tcW w:w="411" w:type="pct"/>
            <w:tcBorders>
              <w:top w:val="nil"/>
              <w:left w:val="single" w:color="auto" w:sz="8" w:space="0"/>
              <w:bottom w:val="single" w:color="auto" w:sz="4" w:space="0"/>
              <w:right w:val="single" w:color="auto" w:sz="4" w:space="0"/>
            </w:tcBorders>
            <w:noWrap/>
            <w:vAlign w:val="center"/>
          </w:tcPr>
          <w:p w14:paraId="6EA08B3B">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15" w:type="pct"/>
            <w:tcBorders>
              <w:top w:val="nil"/>
              <w:left w:val="nil"/>
              <w:bottom w:val="single" w:color="auto" w:sz="4" w:space="0"/>
              <w:right w:val="single" w:color="auto" w:sz="4" w:space="0"/>
            </w:tcBorders>
            <w:noWrap/>
            <w:vAlign w:val="center"/>
          </w:tcPr>
          <w:p w14:paraId="45DF7856">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single" w:color="auto" w:sz="4" w:space="0"/>
              <w:right w:val="single" w:color="auto" w:sz="4" w:space="0"/>
            </w:tcBorders>
            <w:noWrap/>
            <w:vAlign w:val="center"/>
          </w:tcPr>
          <w:p w14:paraId="7754BD70">
            <w:pPr>
              <w:spacing w:line="240" w:lineRule="auto"/>
              <w:jc w:val="center"/>
              <w:rPr>
                <w:rFonts w:ascii="Arial" w:hAnsi="Arial" w:cs="Arial"/>
                <w:snapToGrid w:val="0"/>
                <w:sz w:val="16"/>
              </w:rPr>
            </w:pPr>
            <w:r>
              <w:rPr>
                <w:rFonts w:hint="eastAsia" w:ascii="Arial" w:hAnsi="Arial" w:cs="Arial"/>
                <w:snapToGrid w:val="0"/>
                <w:sz w:val="16"/>
              </w:rPr>
              <w:t>42</w:t>
            </w:r>
          </w:p>
        </w:tc>
        <w:tc>
          <w:tcPr>
            <w:tcW w:w="1817" w:type="pct"/>
            <w:tcBorders>
              <w:top w:val="nil"/>
              <w:left w:val="nil"/>
              <w:bottom w:val="single" w:color="auto" w:sz="4" w:space="0"/>
              <w:right w:val="single" w:color="auto" w:sz="4" w:space="0"/>
            </w:tcBorders>
            <w:vAlign w:val="center"/>
          </w:tcPr>
          <w:p w14:paraId="21860F53">
            <w:pPr>
              <w:widowControl/>
              <w:adjustRightInd/>
              <w:spacing w:line="240" w:lineRule="auto"/>
              <w:textAlignment w:val="auto"/>
              <w:rPr>
                <w:rFonts w:ascii="Arial" w:hAnsi="Arial" w:cs="Arial"/>
                <w:snapToGrid w:val="0"/>
                <w:sz w:val="16"/>
              </w:rPr>
            </w:pPr>
            <w:r>
              <w:rPr>
                <w:rFonts w:ascii="Arial" w:hAnsi="Arial" w:cs="Arial"/>
                <w:snapToGrid w:val="0"/>
                <w:sz w:val="16"/>
              </w:rPr>
              <w:t>建造成本×费率</w:t>
            </w:r>
          </w:p>
        </w:tc>
        <w:tc>
          <w:tcPr>
            <w:tcW w:w="781" w:type="pct"/>
            <w:tcBorders>
              <w:top w:val="nil"/>
              <w:left w:val="nil"/>
              <w:bottom w:val="single" w:color="auto" w:sz="4" w:space="0"/>
              <w:right w:val="single" w:color="auto" w:sz="4" w:space="0"/>
            </w:tcBorders>
            <w:noWrap/>
            <w:vAlign w:val="center"/>
          </w:tcPr>
          <w:p w14:paraId="3542992B">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5CB7D67A">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w:t>
            </w:r>
            <w:r>
              <w:rPr>
                <w:rFonts w:ascii="Arial" w:hAnsi="Arial" w:cs="Arial"/>
                <w:snapToGrid w:val="0"/>
                <w:sz w:val="16"/>
              </w:rPr>
              <w:t>.0%</w:t>
            </w:r>
          </w:p>
        </w:tc>
      </w:tr>
      <w:tr w14:paraId="16881673">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19D28A32">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15" w:type="pct"/>
            <w:tcBorders>
              <w:top w:val="nil"/>
              <w:left w:val="nil"/>
              <w:bottom w:val="single" w:color="auto" w:sz="4" w:space="0"/>
              <w:right w:val="single" w:color="auto" w:sz="4" w:space="0"/>
            </w:tcBorders>
            <w:noWrap/>
            <w:vAlign w:val="center"/>
          </w:tcPr>
          <w:p w14:paraId="7274C95C">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p>
        </w:tc>
        <w:tc>
          <w:tcPr>
            <w:tcW w:w="510" w:type="pct"/>
            <w:tcBorders>
              <w:top w:val="nil"/>
              <w:left w:val="nil"/>
              <w:bottom w:val="single" w:color="auto" w:sz="4" w:space="0"/>
              <w:right w:val="single" w:color="auto" w:sz="4" w:space="0"/>
            </w:tcBorders>
            <w:noWrap/>
            <w:vAlign w:val="center"/>
          </w:tcPr>
          <w:p w14:paraId="1EB5BF70">
            <w:pPr>
              <w:spacing w:line="240" w:lineRule="auto"/>
              <w:jc w:val="center"/>
              <w:rPr>
                <w:rFonts w:ascii="Arial" w:hAnsi="Arial" w:cs="Arial"/>
                <w:snapToGrid w:val="0"/>
                <w:sz w:val="16"/>
              </w:rPr>
            </w:pPr>
            <w:r>
              <w:rPr>
                <w:rFonts w:ascii="Arial" w:hAnsi="Arial" w:cs="Arial"/>
                <w:snapToGrid w:val="0"/>
                <w:sz w:val="16"/>
              </w:rPr>
              <w:t>——</w:t>
            </w:r>
          </w:p>
        </w:tc>
        <w:tc>
          <w:tcPr>
            <w:tcW w:w="1817" w:type="pct"/>
            <w:tcBorders>
              <w:top w:val="nil"/>
              <w:left w:val="nil"/>
              <w:bottom w:val="single" w:color="auto" w:sz="4" w:space="0"/>
              <w:right w:val="single" w:color="auto" w:sz="4" w:space="0"/>
            </w:tcBorders>
            <w:vAlign w:val="center"/>
          </w:tcPr>
          <w:p w14:paraId="74A13938">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w:t>
            </w:r>
          </w:p>
        </w:tc>
        <w:tc>
          <w:tcPr>
            <w:tcW w:w="781" w:type="pct"/>
            <w:tcBorders>
              <w:top w:val="nil"/>
              <w:left w:val="nil"/>
              <w:bottom w:val="single" w:color="auto" w:sz="4" w:space="0"/>
              <w:right w:val="single" w:color="auto" w:sz="4" w:space="0"/>
            </w:tcBorders>
            <w:noWrap/>
            <w:vAlign w:val="center"/>
          </w:tcPr>
          <w:p w14:paraId="68F572CD">
            <w:pPr>
              <w:widowControl/>
              <w:adjustRightInd/>
              <w:spacing w:line="240" w:lineRule="auto"/>
              <w:textAlignment w:val="auto"/>
              <w:rPr>
                <w:rFonts w:ascii="Arial" w:hAnsi="Arial" w:cs="Arial"/>
                <w:snapToGrid w:val="0"/>
                <w:sz w:val="16"/>
              </w:rPr>
            </w:pPr>
            <w:r>
              <w:rPr>
                <w:rFonts w:ascii="Arial" w:hAnsi="Arial" w:cs="Arial"/>
                <w:snapToGrid w:val="0"/>
                <w:sz w:val="16"/>
              </w:rPr>
              <w:t>销售费率（%）</w:t>
            </w:r>
          </w:p>
        </w:tc>
        <w:tc>
          <w:tcPr>
            <w:tcW w:w="465" w:type="pct"/>
            <w:tcBorders>
              <w:top w:val="nil"/>
              <w:left w:val="nil"/>
              <w:bottom w:val="single" w:color="auto" w:sz="4" w:space="0"/>
              <w:right w:val="single" w:color="auto" w:sz="8" w:space="0"/>
            </w:tcBorders>
            <w:noWrap/>
            <w:vAlign w:val="center"/>
          </w:tcPr>
          <w:p w14:paraId="7BBB3A80">
            <w:pPr>
              <w:widowControl/>
              <w:adjustRightInd/>
              <w:spacing w:line="240" w:lineRule="auto"/>
              <w:jc w:val="center"/>
              <w:textAlignment w:val="auto"/>
              <w:rPr>
                <w:rFonts w:ascii="Arial" w:hAnsi="Arial" w:cs="Arial"/>
                <w:snapToGrid w:val="0"/>
                <w:sz w:val="16"/>
              </w:rPr>
            </w:pPr>
            <w:r>
              <w:rPr>
                <w:rFonts w:ascii="Arial" w:hAnsi="Arial" w:cs="Arial"/>
                <w:snapToGrid w:val="0"/>
                <w:sz w:val="16"/>
              </w:rPr>
              <w:t>0.0%</w:t>
            </w:r>
          </w:p>
        </w:tc>
      </w:tr>
      <w:tr w14:paraId="6756F877">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33B2EA6B">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15" w:type="pct"/>
            <w:tcBorders>
              <w:top w:val="nil"/>
              <w:left w:val="nil"/>
              <w:bottom w:val="single" w:color="auto" w:sz="4" w:space="0"/>
              <w:right w:val="single" w:color="auto" w:sz="4" w:space="0"/>
            </w:tcBorders>
            <w:noWrap/>
            <w:vAlign w:val="center"/>
          </w:tcPr>
          <w:p w14:paraId="2B547A5C">
            <w:pPr>
              <w:widowControl/>
              <w:adjustRightInd/>
              <w:spacing w:line="240" w:lineRule="auto"/>
              <w:textAlignment w:val="auto"/>
              <w:rPr>
                <w:rFonts w:ascii="Arial" w:hAnsi="Arial" w:cs="Arial"/>
                <w:snapToGrid w:val="0"/>
                <w:sz w:val="16"/>
              </w:rPr>
            </w:pPr>
            <w:r>
              <w:rPr>
                <w:rFonts w:ascii="Arial" w:hAnsi="Arial" w:cs="Arial"/>
                <w:snapToGrid w:val="0"/>
                <w:sz w:val="16"/>
              </w:rPr>
              <w:t>贷款利息</w:t>
            </w:r>
          </w:p>
        </w:tc>
        <w:tc>
          <w:tcPr>
            <w:tcW w:w="510" w:type="pct"/>
            <w:tcBorders>
              <w:top w:val="nil"/>
              <w:left w:val="nil"/>
              <w:bottom w:val="single" w:color="auto" w:sz="4" w:space="0"/>
              <w:right w:val="single" w:color="auto" w:sz="4" w:space="0"/>
            </w:tcBorders>
            <w:noWrap/>
            <w:vAlign w:val="center"/>
          </w:tcPr>
          <w:p w14:paraId="348837C3">
            <w:pPr>
              <w:spacing w:line="240" w:lineRule="auto"/>
              <w:jc w:val="center"/>
              <w:rPr>
                <w:rFonts w:ascii="Arial" w:hAnsi="Arial" w:cs="Arial"/>
                <w:snapToGrid w:val="0"/>
                <w:sz w:val="16"/>
              </w:rPr>
            </w:pPr>
            <w:r>
              <w:rPr>
                <w:rFonts w:ascii="Arial" w:hAnsi="Arial" w:cs="Arial"/>
                <w:snapToGrid w:val="0"/>
                <w:sz w:val="16"/>
              </w:rPr>
              <w:t>　</w:t>
            </w:r>
          </w:p>
        </w:tc>
        <w:tc>
          <w:tcPr>
            <w:tcW w:w="2598" w:type="pct"/>
            <w:gridSpan w:val="2"/>
            <w:tcBorders>
              <w:top w:val="single" w:color="auto" w:sz="4" w:space="0"/>
              <w:left w:val="single" w:color="auto" w:sz="4" w:space="0"/>
              <w:bottom w:val="single" w:color="auto" w:sz="4" w:space="0"/>
              <w:right w:val="nil"/>
            </w:tcBorders>
            <w:noWrap/>
            <w:vAlign w:val="center"/>
          </w:tcPr>
          <w:p w14:paraId="35853B8C">
            <w:pPr>
              <w:widowControl/>
              <w:adjustRightInd/>
              <w:spacing w:line="240" w:lineRule="auto"/>
              <w:textAlignment w:val="auto"/>
              <w:rPr>
                <w:rFonts w:ascii="Arial" w:hAnsi="Arial" w:cs="Arial"/>
                <w:snapToGrid w:val="0"/>
                <w:sz w:val="16"/>
              </w:rPr>
            </w:pPr>
            <w:r>
              <w:rPr>
                <w:rFonts w:ascii="Arial" w:hAnsi="Arial" w:cs="Arial"/>
                <w:snapToGrid w:val="0"/>
                <w:sz w:val="16"/>
              </w:rPr>
              <w:t>复利计息。建造成本、管理费用、销售费用产生的利息。</w:t>
            </w:r>
          </w:p>
        </w:tc>
        <w:tc>
          <w:tcPr>
            <w:tcW w:w="465" w:type="pct"/>
            <w:tcBorders>
              <w:top w:val="nil"/>
              <w:left w:val="nil"/>
              <w:bottom w:val="single" w:color="auto" w:sz="4" w:space="0"/>
              <w:right w:val="single" w:color="auto" w:sz="8" w:space="0"/>
            </w:tcBorders>
            <w:noWrap/>
            <w:vAlign w:val="center"/>
          </w:tcPr>
          <w:p w14:paraId="794D5F1B">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16E152AD">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6A1802E5">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15" w:type="pct"/>
            <w:tcBorders>
              <w:top w:val="nil"/>
              <w:left w:val="nil"/>
              <w:bottom w:val="single" w:color="auto" w:sz="4" w:space="0"/>
              <w:right w:val="single" w:color="auto" w:sz="4" w:space="0"/>
            </w:tcBorders>
            <w:noWrap/>
            <w:vAlign w:val="center"/>
          </w:tcPr>
          <w:p w14:paraId="6E1A4C3F">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（1）及（2）项产生的利息</w:t>
            </w:r>
          </w:p>
        </w:tc>
        <w:tc>
          <w:tcPr>
            <w:tcW w:w="510" w:type="pct"/>
            <w:tcBorders>
              <w:top w:val="nil"/>
              <w:left w:val="nil"/>
              <w:bottom w:val="single" w:color="auto" w:sz="4" w:space="0"/>
              <w:right w:val="single" w:color="auto" w:sz="4" w:space="0"/>
            </w:tcBorders>
            <w:noWrap/>
            <w:vAlign w:val="center"/>
          </w:tcPr>
          <w:p w14:paraId="5F03F0ED">
            <w:pPr>
              <w:spacing w:line="240" w:lineRule="auto"/>
              <w:jc w:val="center"/>
              <w:rPr>
                <w:rFonts w:ascii="Arial" w:hAnsi="Arial" w:cs="Arial"/>
                <w:snapToGrid w:val="0"/>
                <w:sz w:val="16"/>
              </w:rPr>
            </w:pPr>
            <w:r>
              <w:rPr>
                <w:rFonts w:hint="eastAsia" w:ascii="Arial" w:hAnsi="Arial" w:cs="Arial"/>
                <w:snapToGrid w:val="0"/>
                <w:sz w:val="16"/>
              </w:rPr>
              <w:t>68</w:t>
            </w:r>
          </w:p>
        </w:tc>
        <w:tc>
          <w:tcPr>
            <w:tcW w:w="1817" w:type="pct"/>
            <w:tcBorders>
              <w:top w:val="nil"/>
              <w:left w:val="nil"/>
              <w:bottom w:val="single" w:color="auto" w:sz="4" w:space="0"/>
              <w:right w:val="single" w:color="auto" w:sz="4" w:space="0"/>
            </w:tcBorders>
            <w:noWrap/>
            <w:vAlign w:val="center"/>
          </w:tcPr>
          <w:p w14:paraId="093BF10E">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(建造成本+管理费用)×((1+利率)^(建设周期÷2)-1)</w:t>
            </w:r>
          </w:p>
        </w:tc>
        <w:tc>
          <w:tcPr>
            <w:tcW w:w="781" w:type="pct"/>
            <w:tcBorders>
              <w:top w:val="nil"/>
              <w:left w:val="nil"/>
              <w:bottom w:val="single" w:color="auto" w:sz="4" w:space="0"/>
              <w:right w:val="single" w:color="auto" w:sz="4" w:space="0"/>
            </w:tcBorders>
            <w:noWrap/>
            <w:vAlign w:val="center"/>
          </w:tcPr>
          <w:p w14:paraId="15AECC3B">
            <w:pPr>
              <w:widowControl/>
              <w:adjustRightInd/>
              <w:spacing w:line="240" w:lineRule="auto"/>
              <w:textAlignment w:val="auto"/>
              <w:rPr>
                <w:rFonts w:ascii="Arial" w:hAnsi="Arial" w:cs="Arial"/>
                <w:snapToGrid w:val="0"/>
                <w:sz w:val="16"/>
              </w:rPr>
            </w:pPr>
            <w:r>
              <w:rPr>
                <w:rFonts w:ascii="Arial" w:hAnsi="Arial" w:cs="Arial"/>
                <w:snapToGrid w:val="0"/>
                <w:sz w:val="16"/>
              </w:rPr>
              <w:t>建设周期（年）</w:t>
            </w:r>
          </w:p>
        </w:tc>
        <w:tc>
          <w:tcPr>
            <w:tcW w:w="465" w:type="pct"/>
            <w:tcBorders>
              <w:top w:val="nil"/>
              <w:left w:val="nil"/>
              <w:bottom w:val="single" w:color="auto" w:sz="4" w:space="0"/>
              <w:right w:val="single" w:color="auto" w:sz="8" w:space="0"/>
            </w:tcBorders>
            <w:noWrap/>
            <w:vAlign w:val="center"/>
          </w:tcPr>
          <w:p w14:paraId="46246B1D">
            <w:pPr>
              <w:widowControl/>
              <w:adjustRightInd/>
              <w:spacing w:line="240" w:lineRule="auto"/>
              <w:jc w:val="center"/>
              <w:textAlignment w:val="auto"/>
              <w:rPr>
                <w:rFonts w:ascii="Arial" w:hAnsi="Arial" w:cs="Arial"/>
                <w:snapToGrid w:val="0"/>
                <w:sz w:val="16"/>
              </w:rPr>
            </w:pPr>
            <w:r>
              <w:rPr>
                <w:rFonts w:ascii="Arial" w:hAnsi="Arial" w:cs="Arial"/>
                <w:snapToGrid w:val="0"/>
                <w:sz w:val="16"/>
              </w:rPr>
              <w:t>2</w:t>
            </w:r>
          </w:p>
        </w:tc>
      </w:tr>
      <w:tr w14:paraId="06A4B3AC">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42873A0B">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15" w:type="pct"/>
            <w:tcBorders>
              <w:top w:val="nil"/>
              <w:left w:val="nil"/>
              <w:bottom w:val="single" w:color="auto" w:sz="4" w:space="0"/>
              <w:right w:val="single" w:color="auto" w:sz="4" w:space="0"/>
            </w:tcBorders>
            <w:noWrap/>
            <w:vAlign w:val="center"/>
          </w:tcPr>
          <w:p w14:paraId="48675750">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销售费用产生的利息</w:t>
            </w:r>
          </w:p>
        </w:tc>
        <w:tc>
          <w:tcPr>
            <w:tcW w:w="510" w:type="pct"/>
            <w:tcBorders>
              <w:top w:val="nil"/>
              <w:left w:val="nil"/>
              <w:bottom w:val="single" w:color="auto" w:sz="4" w:space="0"/>
              <w:right w:val="single" w:color="auto" w:sz="4" w:space="0"/>
            </w:tcBorders>
            <w:noWrap/>
            <w:vAlign w:val="center"/>
          </w:tcPr>
          <w:p w14:paraId="18911971">
            <w:pPr>
              <w:spacing w:line="240" w:lineRule="auto"/>
              <w:jc w:val="center"/>
              <w:rPr>
                <w:rFonts w:ascii="Arial" w:hAnsi="Arial" w:cs="Arial"/>
                <w:snapToGrid w:val="0"/>
                <w:sz w:val="16"/>
              </w:rPr>
            </w:pPr>
            <w:r>
              <w:rPr>
                <w:rFonts w:ascii="Arial" w:hAnsi="Arial" w:cs="Arial"/>
                <w:snapToGrid w:val="0"/>
                <w:sz w:val="16"/>
              </w:rPr>
              <w:t>0</w:t>
            </w:r>
            <w:r>
              <w:rPr>
                <w:rFonts w:hint="eastAsia" w:ascii="Arial" w:hAnsi="Arial" w:cs="Arial"/>
                <w:snapToGrid w:val="0"/>
                <w:sz w:val="16"/>
              </w:rPr>
              <w:t>.001</w:t>
            </w:r>
          </w:p>
        </w:tc>
        <w:tc>
          <w:tcPr>
            <w:tcW w:w="1817" w:type="pct"/>
            <w:tcBorders>
              <w:top w:val="nil"/>
              <w:left w:val="nil"/>
              <w:bottom w:val="single" w:color="auto" w:sz="4" w:space="0"/>
              <w:right w:val="single" w:color="auto" w:sz="4" w:space="0"/>
            </w:tcBorders>
            <w:noWrap/>
            <w:vAlign w:val="center"/>
          </w:tcPr>
          <w:p w14:paraId="4BC36F21">
            <w:pPr>
              <w:widowControl/>
              <w:adjustRightInd/>
              <w:spacing w:line="240" w:lineRule="auto"/>
              <w:textAlignment w:val="auto"/>
              <w:rPr>
                <w:rFonts w:ascii="Arial" w:hAnsi="Arial" w:cs="Arial"/>
                <w:snapToGrid w:val="0"/>
                <w:sz w:val="16"/>
              </w:rPr>
            </w:pPr>
            <w:r>
              <w:rPr>
                <w:rFonts w:ascii="Arial" w:hAnsi="Arial" w:cs="Arial"/>
                <w:snapToGrid w:val="0"/>
                <w:sz w:val="16"/>
              </w:rPr>
              <w:t>销售费用×((1+利率)^(建设周期÷2)-1)</w:t>
            </w:r>
          </w:p>
        </w:tc>
        <w:tc>
          <w:tcPr>
            <w:tcW w:w="781" w:type="pct"/>
            <w:tcBorders>
              <w:top w:val="nil"/>
              <w:left w:val="nil"/>
              <w:bottom w:val="single" w:color="auto" w:sz="4" w:space="0"/>
              <w:right w:val="single" w:color="auto" w:sz="4" w:space="0"/>
            </w:tcBorders>
            <w:noWrap/>
            <w:vAlign w:val="center"/>
          </w:tcPr>
          <w:p w14:paraId="70EE3596">
            <w:pPr>
              <w:widowControl/>
              <w:adjustRightInd/>
              <w:spacing w:line="240" w:lineRule="auto"/>
              <w:textAlignment w:val="auto"/>
              <w:rPr>
                <w:rFonts w:ascii="Arial" w:hAnsi="Arial" w:cs="Arial"/>
                <w:snapToGrid w:val="0"/>
                <w:sz w:val="16"/>
              </w:rPr>
            </w:pPr>
            <w:r>
              <w:rPr>
                <w:rFonts w:ascii="Arial" w:hAnsi="Arial" w:cs="Arial"/>
                <w:snapToGrid w:val="0"/>
                <w:sz w:val="16"/>
              </w:rPr>
              <w:t>利息（%）</w:t>
            </w:r>
          </w:p>
        </w:tc>
        <w:tc>
          <w:tcPr>
            <w:tcW w:w="465" w:type="pct"/>
            <w:tcBorders>
              <w:top w:val="nil"/>
              <w:left w:val="nil"/>
              <w:bottom w:val="single" w:color="auto" w:sz="4" w:space="0"/>
              <w:right w:val="single" w:color="auto" w:sz="8" w:space="0"/>
            </w:tcBorders>
            <w:noWrap/>
            <w:vAlign w:val="center"/>
          </w:tcPr>
          <w:p w14:paraId="26BCCA77">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3.25</w:t>
            </w:r>
            <w:r>
              <w:rPr>
                <w:rFonts w:ascii="Arial" w:hAnsi="Arial" w:cs="Arial"/>
                <w:snapToGrid w:val="0"/>
                <w:sz w:val="16"/>
              </w:rPr>
              <w:t>%</w:t>
            </w:r>
          </w:p>
        </w:tc>
      </w:tr>
      <w:tr w14:paraId="4243D270">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65C36E09">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15" w:type="pct"/>
            <w:tcBorders>
              <w:top w:val="nil"/>
              <w:left w:val="nil"/>
              <w:bottom w:val="single" w:color="auto" w:sz="4" w:space="0"/>
              <w:right w:val="single" w:color="auto" w:sz="4" w:space="0"/>
            </w:tcBorders>
            <w:noWrap/>
            <w:vAlign w:val="center"/>
          </w:tcPr>
          <w:p w14:paraId="561A2B34">
            <w:pPr>
              <w:widowControl/>
              <w:adjustRightInd/>
              <w:spacing w:line="240" w:lineRule="auto"/>
              <w:textAlignment w:val="auto"/>
              <w:rPr>
                <w:rFonts w:ascii="Arial" w:hAnsi="Arial" w:cs="Arial"/>
                <w:snapToGrid w:val="0"/>
                <w:sz w:val="16"/>
              </w:rPr>
            </w:pPr>
            <w:r>
              <w:rPr>
                <w:rFonts w:ascii="Arial" w:hAnsi="Arial" w:cs="Arial"/>
                <w:snapToGrid w:val="0"/>
                <w:sz w:val="16"/>
              </w:rPr>
              <w:t>利润</w:t>
            </w:r>
          </w:p>
        </w:tc>
        <w:tc>
          <w:tcPr>
            <w:tcW w:w="510" w:type="pct"/>
            <w:tcBorders>
              <w:top w:val="nil"/>
              <w:left w:val="nil"/>
              <w:bottom w:val="single" w:color="auto" w:sz="4" w:space="0"/>
              <w:right w:val="single" w:color="auto" w:sz="4" w:space="0"/>
            </w:tcBorders>
            <w:noWrap/>
            <w:vAlign w:val="center"/>
          </w:tcPr>
          <w:p w14:paraId="34A76F7B">
            <w:pPr>
              <w:spacing w:line="240" w:lineRule="auto"/>
              <w:jc w:val="center"/>
              <w:rPr>
                <w:rFonts w:ascii="Arial" w:hAnsi="Arial" w:cs="Arial"/>
                <w:snapToGrid w:val="0"/>
                <w:sz w:val="16"/>
              </w:rPr>
            </w:pPr>
            <w:r>
              <w:rPr>
                <w:rFonts w:ascii="Arial" w:hAnsi="Arial" w:cs="Arial"/>
                <w:snapToGrid w:val="0"/>
                <w:sz w:val="16"/>
              </w:rPr>
              <w:t>　</w:t>
            </w:r>
          </w:p>
        </w:tc>
        <w:tc>
          <w:tcPr>
            <w:tcW w:w="1817" w:type="pct"/>
            <w:tcBorders>
              <w:top w:val="nil"/>
              <w:left w:val="nil"/>
              <w:bottom w:val="single" w:color="auto" w:sz="4" w:space="0"/>
              <w:right w:val="nil"/>
            </w:tcBorders>
            <w:noWrap/>
            <w:vAlign w:val="center"/>
          </w:tcPr>
          <w:p w14:paraId="4C853944">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（建造成本+管理费用+销售费用）×利润率</w:t>
            </w:r>
          </w:p>
        </w:tc>
        <w:tc>
          <w:tcPr>
            <w:tcW w:w="781" w:type="pct"/>
            <w:tcBorders>
              <w:top w:val="nil"/>
              <w:left w:val="nil"/>
              <w:bottom w:val="single" w:color="auto" w:sz="4" w:space="0"/>
              <w:right w:val="nil"/>
            </w:tcBorders>
            <w:noWrap/>
            <w:vAlign w:val="center"/>
          </w:tcPr>
          <w:p w14:paraId="5AE74D94">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noWrap/>
            <w:vAlign w:val="center"/>
          </w:tcPr>
          <w:p w14:paraId="5CAFDF3D">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10D25BB8">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5F46E06B">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15" w:type="pct"/>
            <w:tcBorders>
              <w:top w:val="nil"/>
              <w:left w:val="nil"/>
              <w:bottom w:val="single" w:color="auto" w:sz="4" w:space="0"/>
              <w:right w:val="single" w:color="auto" w:sz="4" w:space="0"/>
            </w:tcBorders>
            <w:noWrap/>
            <w:vAlign w:val="center"/>
          </w:tcPr>
          <w:p w14:paraId="3640F50E">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（1）及（2）项产生的利润</w:t>
            </w:r>
          </w:p>
        </w:tc>
        <w:tc>
          <w:tcPr>
            <w:tcW w:w="510" w:type="pct"/>
            <w:tcBorders>
              <w:top w:val="nil"/>
              <w:left w:val="nil"/>
              <w:bottom w:val="single" w:color="auto" w:sz="4" w:space="0"/>
              <w:right w:val="single" w:color="auto" w:sz="4" w:space="0"/>
            </w:tcBorders>
            <w:noWrap/>
            <w:vAlign w:val="center"/>
          </w:tcPr>
          <w:p w14:paraId="68B02E73">
            <w:pPr>
              <w:spacing w:line="240" w:lineRule="auto"/>
              <w:jc w:val="center"/>
              <w:rPr>
                <w:rFonts w:ascii="Arial" w:hAnsi="Arial" w:cs="Arial"/>
                <w:snapToGrid w:val="0"/>
                <w:sz w:val="16"/>
              </w:rPr>
            </w:pPr>
            <w:r>
              <w:rPr>
                <w:rFonts w:hint="eastAsia" w:ascii="Arial" w:hAnsi="Arial" w:cs="Arial"/>
                <w:snapToGrid w:val="0"/>
                <w:sz w:val="16"/>
              </w:rPr>
              <w:t>107</w:t>
            </w:r>
          </w:p>
        </w:tc>
        <w:tc>
          <w:tcPr>
            <w:tcW w:w="1817" w:type="pct"/>
            <w:tcBorders>
              <w:top w:val="nil"/>
              <w:left w:val="nil"/>
              <w:bottom w:val="single" w:color="auto" w:sz="4" w:space="0"/>
              <w:right w:val="single" w:color="auto" w:sz="4" w:space="0"/>
            </w:tcBorders>
            <w:vAlign w:val="center"/>
          </w:tcPr>
          <w:p w14:paraId="2044A257">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（建造成本+管理费用）×利润率</w:t>
            </w:r>
          </w:p>
        </w:tc>
        <w:tc>
          <w:tcPr>
            <w:tcW w:w="781" w:type="pct"/>
            <w:tcBorders>
              <w:top w:val="nil"/>
              <w:left w:val="nil"/>
              <w:bottom w:val="nil"/>
              <w:right w:val="single" w:color="auto" w:sz="4" w:space="0"/>
            </w:tcBorders>
            <w:noWrap/>
            <w:vAlign w:val="center"/>
          </w:tcPr>
          <w:p w14:paraId="1ECE9A69">
            <w:pPr>
              <w:widowControl/>
              <w:adjustRightInd/>
              <w:spacing w:line="240" w:lineRule="auto"/>
              <w:textAlignment w:val="auto"/>
              <w:rPr>
                <w:rFonts w:ascii="Arial" w:hAnsi="Arial" w:cs="Arial"/>
                <w:snapToGrid w:val="0"/>
                <w:sz w:val="16"/>
              </w:rPr>
            </w:pPr>
            <w:r>
              <w:rPr>
                <w:rFonts w:ascii="Arial" w:hAnsi="Arial" w:cs="Arial"/>
                <w:snapToGrid w:val="0"/>
                <w:sz w:val="16"/>
              </w:rPr>
              <w:t>利润率（%）</w:t>
            </w:r>
          </w:p>
        </w:tc>
        <w:tc>
          <w:tcPr>
            <w:tcW w:w="465" w:type="pct"/>
            <w:tcBorders>
              <w:top w:val="nil"/>
              <w:left w:val="nil"/>
              <w:bottom w:val="single" w:color="auto" w:sz="4" w:space="0"/>
              <w:right w:val="single" w:color="auto" w:sz="8" w:space="0"/>
            </w:tcBorders>
            <w:noWrap/>
            <w:vAlign w:val="center"/>
          </w:tcPr>
          <w:p w14:paraId="1EC01D50">
            <w:pPr>
              <w:widowControl/>
              <w:adjustRightInd/>
              <w:spacing w:line="240" w:lineRule="auto"/>
              <w:jc w:val="center"/>
              <w:textAlignment w:val="auto"/>
              <w:rPr>
                <w:rFonts w:ascii="Arial" w:hAnsi="Arial" w:cs="Arial"/>
                <w:snapToGrid w:val="0"/>
                <w:sz w:val="16"/>
              </w:rPr>
            </w:pPr>
            <w:r>
              <w:rPr>
                <w:rFonts w:ascii="Arial" w:hAnsi="Arial" w:cs="Arial"/>
                <w:snapToGrid w:val="0"/>
                <w:sz w:val="16"/>
              </w:rPr>
              <w:t>5.0%</w:t>
            </w:r>
          </w:p>
        </w:tc>
      </w:tr>
      <w:tr w14:paraId="0AE3F778">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5721216B">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15" w:type="pct"/>
            <w:tcBorders>
              <w:top w:val="nil"/>
              <w:left w:val="nil"/>
              <w:bottom w:val="single" w:color="auto" w:sz="4" w:space="0"/>
              <w:right w:val="single" w:color="auto" w:sz="4" w:space="0"/>
            </w:tcBorders>
            <w:noWrap/>
            <w:vAlign w:val="center"/>
          </w:tcPr>
          <w:p w14:paraId="20FC2026">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销售费用产生的利润</w:t>
            </w:r>
          </w:p>
        </w:tc>
        <w:tc>
          <w:tcPr>
            <w:tcW w:w="510" w:type="pct"/>
            <w:tcBorders>
              <w:top w:val="nil"/>
              <w:left w:val="nil"/>
              <w:bottom w:val="single" w:color="auto" w:sz="4" w:space="0"/>
              <w:right w:val="single" w:color="auto" w:sz="4" w:space="0"/>
            </w:tcBorders>
            <w:noWrap/>
            <w:vAlign w:val="center"/>
          </w:tcPr>
          <w:p w14:paraId="710E6466">
            <w:pPr>
              <w:spacing w:line="240" w:lineRule="auto"/>
              <w:jc w:val="center"/>
              <w:rPr>
                <w:rFonts w:ascii="Arial" w:hAnsi="Arial" w:cs="Arial"/>
                <w:snapToGrid w:val="0"/>
                <w:sz w:val="16"/>
              </w:rPr>
            </w:pPr>
            <w:r>
              <w:rPr>
                <w:rFonts w:ascii="Arial" w:hAnsi="Arial" w:cs="Arial"/>
                <w:snapToGrid w:val="0"/>
                <w:sz w:val="16"/>
              </w:rPr>
              <w:t>0</w:t>
            </w:r>
            <w:r>
              <w:rPr>
                <w:rFonts w:hint="eastAsia" w:ascii="Arial" w:hAnsi="Arial" w:cs="Arial"/>
                <w:snapToGrid w:val="0"/>
                <w:sz w:val="16"/>
              </w:rPr>
              <w:t>.0015</w:t>
            </w:r>
          </w:p>
        </w:tc>
        <w:tc>
          <w:tcPr>
            <w:tcW w:w="1817" w:type="pct"/>
            <w:tcBorders>
              <w:top w:val="nil"/>
              <w:left w:val="nil"/>
              <w:bottom w:val="single" w:color="auto" w:sz="4" w:space="0"/>
              <w:right w:val="single" w:color="auto" w:sz="4" w:space="0"/>
            </w:tcBorders>
            <w:vAlign w:val="center"/>
          </w:tcPr>
          <w:p w14:paraId="4040D2C7">
            <w:pPr>
              <w:widowControl/>
              <w:adjustRightInd/>
              <w:spacing w:line="240" w:lineRule="auto"/>
              <w:textAlignment w:val="auto"/>
              <w:rPr>
                <w:rFonts w:ascii="Arial" w:hAnsi="Arial" w:cs="Arial"/>
                <w:snapToGrid w:val="0"/>
                <w:sz w:val="16"/>
              </w:rPr>
            </w:pPr>
            <w:r>
              <w:rPr>
                <w:rFonts w:ascii="Arial" w:hAnsi="Arial" w:cs="Arial"/>
                <w:snapToGrid w:val="0"/>
                <w:sz w:val="16"/>
              </w:rPr>
              <w:t>销售费用×利润率</w:t>
            </w:r>
          </w:p>
        </w:tc>
        <w:tc>
          <w:tcPr>
            <w:tcW w:w="781" w:type="pct"/>
            <w:tcBorders>
              <w:top w:val="nil"/>
              <w:left w:val="nil"/>
              <w:bottom w:val="single" w:color="auto" w:sz="4" w:space="0"/>
              <w:right w:val="single" w:color="auto" w:sz="4" w:space="0"/>
            </w:tcBorders>
            <w:noWrap/>
            <w:vAlign w:val="center"/>
          </w:tcPr>
          <w:p w14:paraId="27515CC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noWrap/>
            <w:vAlign w:val="center"/>
          </w:tcPr>
          <w:p w14:paraId="718C2D19">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4469C918">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412989D4">
            <w:pPr>
              <w:widowControl/>
              <w:adjustRightInd/>
              <w:spacing w:line="240" w:lineRule="auto"/>
              <w:textAlignment w:val="auto"/>
              <w:rPr>
                <w:rFonts w:ascii="Arial" w:hAnsi="Arial" w:cs="Arial"/>
                <w:snapToGrid w:val="0"/>
                <w:sz w:val="16"/>
              </w:rPr>
            </w:pPr>
            <w:commentRangeStart w:id="8"/>
            <w:r>
              <w:rPr>
                <w:rFonts w:ascii="Arial" w:hAnsi="Arial" w:cs="Arial"/>
                <w:snapToGrid w:val="0"/>
                <w:sz w:val="16"/>
              </w:rPr>
              <w:t>（6）</w:t>
            </w:r>
            <w:commentRangeEnd w:id="8"/>
            <w:r>
              <w:rPr>
                <w:rStyle w:val="38"/>
              </w:rPr>
              <w:commentReference w:id="8"/>
            </w:r>
          </w:p>
        </w:tc>
        <w:tc>
          <w:tcPr>
            <w:tcW w:w="1015" w:type="pct"/>
            <w:tcBorders>
              <w:top w:val="nil"/>
              <w:left w:val="nil"/>
              <w:bottom w:val="single" w:color="auto" w:sz="4" w:space="0"/>
              <w:right w:val="single" w:color="auto" w:sz="4" w:space="0"/>
            </w:tcBorders>
            <w:noWrap/>
            <w:vAlign w:val="center"/>
          </w:tcPr>
          <w:p w14:paraId="417E28A7">
            <w:pPr>
              <w:widowControl/>
              <w:adjustRightInd/>
              <w:spacing w:line="240" w:lineRule="auto"/>
              <w:textAlignment w:val="auto"/>
              <w:rPr>
                <w:rFonts w:ascii="Arial" w:hAnsi="Arial" w:cs="Arial"/>
                <w:snapToGrid w:val="0"/>
                <w:sz w:val="16"/>
              </w:rPr>
            </w:pPr>
            <w:r>
              <w:rPr>
                <w:rFonts w:ascii="Arial" w:hAnsi="Arial" w:cs="Arial"/>
                <w:snapToGrid w:val="0"/>
                <w:sz w:val="16"/>
              </w:rPr>
              <w:t>销售税费</w:t>
            </w:r>
          </w:p>
        </w:tc>
        <w:tc>
          <w:tcPr>
            <w:tcW w:w="510" w:type="pct"/>
            <w:tcBorders>
              <w:top w:val="nil"/>
              <w:left w:val="nil"/>
              <w:bottom w:val="single" w:color="auto" w:sz="4" w:space="0"/>
              <w:right w:val="single" w:color="auto" w:sz="4" w:space="0"/>
            </w:tcBorders>
            <w:noWrap/>
            <w:vAlign w:val="center"/>
          </w:tcPr>
          <w:p w14:paraId="3F7EF3B0">
            <w:pPr>
              <w:spacing w:line="240" w:lineRule="auto"/>
              <w:jc w:val="center"/>
              <w:rPr>
                <w:rFonts w:ascii="Arial" w:hAnsi="Arial" w:cs="Arial"/>
                <w:snapToGrid w:val="0"/>
                <w:sz w:val="16"/>
              </w:rPr>
            </w:pPr>
            <w:r>
              <w:rPr>
                <w:rFonts w:ascii="Arial" w:hAnsi="Arial" w:cs="Arial"/>
                <w:snapToGrid w:val="0"/>
                <w:sz w:val="16"/>
              </w:rPr>
              <w:t>0.0</w:t>
            </w:r>
            <w:r>
              <w:rPr>
                <w:rFonts w:hint="eastAsia" w:ascii="Arial" w:hAnsi="Arial" w:cs="Arial"/>
                <w:snapToGrid w:val="0"/>
                <w:sz w:val="16"/>
              </w:rPr>
              <w:t>524</w:t>
            </w:r>
          </w:p>
        </w:tc>
        <w:tc>
          <w:tcPr>
            <w:tcW w:w="1817" w:type="pct"/>
            <w:tcBorders>
              <w:top w:val="nil"/>
              <w:left w:val="nil"/>
              <w:bottom w:val="single" w:color="auto" w:sz="4" w:space="0"/>
              <w:right w:val="single" w:color="auto" w:sz="4" w:space="0"/>
            </w:tcBorders>
            <w:vAlign w:val="center"/>
          </w:tcPr>
          <w:p w14:paraId="21E128A1">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建筑物重置价格×费率/(1+5%)</w:t>
            </w:r>
          </w:p>
        </w:tc>
        <w:tc>
          <w:tcPr>
            <w:tcW w:w="781" w:type="pct"/>
            <w:tcBorders>
              <w:top w:val="nil"/>
              <w:left w:val="nil"/>
              <w:bottom w:val="single" w:color="auto" w:sz="4" w:space="0"/>
              <w:right w:val="single" w:color="auto" w:sz="4" w:space="0"/>
            </w:tcBorders>
            <w:noWrap/>
            <w:vAlign w:val="center"/>
          </w:tcPr>
          <w:p w14:paraId="6C366381">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3358DE14">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2D0A20B4">
        <w:tblPrEx>
          <w:tblCellMar>
            <w:top w:w="0" w:type="dxa"/>
            <w:left w:w="108" w:type="dxa"/>
            <w:bottom w:w="0" w:type="dxa"/>
            <w:right w:w="108" w:type="dxa"/>
          </w:tblCellMar>
        </w:tblPrEx>
        <w:trPr>
          <w:trHeight w:val="360" w:hRule="atLeast"/>
        </w:trPr>
        <w:tc>
          <w:tcPr>
            <w:tcW w:w="411" w:type="pct"/>
            <w:tcBorders>
              <w:top w:val="nil"/>
              <w:left w:val="single" w:color="auto" w:sz="8" w:space="0"/>
              <w:bottom w:val="double" w:color="auto" w:sz="6" w:space="0"/>
              <w:right w:val="single" w:color="auto" w:sz="4" w:space="0"/>
            </w:tcBorders>
            <w:noWrap/>
            <w:vAlign w:val="center"/>
          </w:tcPr>
          <w:p w14:paraId="43B52302">
            <w:pPr>
              <w:widowControl/>
              <w:adjustRightInd/>
              <w:spacing w:line="240" w:lineRule="auto"/>
              <w:textAlignment w:val="auto"/>
              <w:rPr>
                <w:rFonts w:ascii="Arial" w:hAnsi="Arial" w:cs="Arial"/>
                <w:snapToGrid w:val="0"/>
                <w:sz w:val="16"/>
              </w:rPr>
            </w:pPr>
            <w:r>
              <w:rPr>
                <w:rFonts w:ascii="Arial" w:hAnsi="Arial" w:cs="Arial"/>
                <w:snapToGrid w:val="0"/>
                <w:sz w:val="16"/>
              </w:rPr>
              <w:t>（7）</w:t>
            </w:r>
          </w:p>
        </w:tc>
        <w:tc>
          <w:tcPr>
            <w:tcW w:w="1015" w:type="pct"/>
            <w:tcBorders>
              <w:top w:val="nil"/>
              <w:left w:val="nil"/>
              <w:bottom w:val="double" w:color="auto" w:sz="6" w:space="0"/>
              <w:right w:val="single" w:color="auto" w:sz="4" w:space="0"/>
            </w:tcBorders>
            <w:noWrap/>
            <w:vAlign w:val="center"/>
          </w:tcPr>
          <w:p w14:paraId="5004C6DC">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建筑物重置价格（P建）</w:t>
            </w:r>
          </w:p>
        </w:tc>
        <w:tc>
          <w:tcPr>
            <w:tcW w:w="510" w:type="pct"/>
            <w:tcBorders>
              <w:top w:val="nil"/>
              <w:left w:val="nil"/>
              <w:bottom w:val="double" w:color="auto" w:sz="6" w:space="0"/>
              <w:right w:val="single" w:color="auto" w:sz="4" w:space="0"/>
            </w:tcBorders>
            <w:noWrap/>
            <w:vAlign w:val="center"/>
          </w:tcPr>
          <w:p w14:paraId="73D84616">
            <w:pPr>
              <w:spacing w:line="240" w:lineRule="auto"/>
              <w:jc w:val="center"/>
              <w:rPr>
                <w:rFonts w:ascii="Arial" w:hAnsi="Arial" w:cs="Arial"/>
                <w:snapToGrid w:val="0"/>
                <w:sz w:val="16"/>
              </w:rPr>
            </w:pPr>
            <w:r>
              <w:rPr>
                <w:rFonts w:hint="eastAsia" w:ascii="Arial" w:hAnsi="Arial" w:cs="Arial"/>
                <w:snapToGrid w:val="0"/>
                <w:sz w:val="16"/>
              </w:rPr>
              <w:t>2521</w:t>
            </w:r>
          </w:p>
        </w:tc>
        <w:tc>
          <w:tcPr>
            <w:tcW w:w="1817" w:type="pct"/>
            <w:tcBorders>
              <w:top w:val="nil"/>
              <w:left w:val="nil"/>
              <w:bottom w:val="double" w:color="auto" w:sz="6" w:space="0"/>
              <w:right w:val="single" w:color="auto" w:sz="4" w:space="0"/>
            </w:tcBorders>
            <w:vAlign w:val="center"/>
          </w:tcPr>
          <w:p w14:paraId="233D779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1" w:type="pct"/>
            <w:tcBorders>
              <w:top w:val="nil"/>
              <w:left w:val="nil"/>
              <w:bottom w:val="double" w:color="auto" w:sz="6" w:space="0"/>
              <w:right w:val="single" w:color="auto" w:sz="4" w:space="0"/>
            </w:tcBorders>
            <w:noWrap/>
            <w:vAlign w:val="center"/>
          </w:tcPr>
          <w:p w14:paraId="4B112D2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double" w:color="auto" w:sz="6" w:space="0"/>
              <w:right w:val="single" w:color="auto" w:sz="8" w:space="0"/>
            </w:tcBorders>
            <w:noWrap/>
            <w:vAlign w:val="center"/>
          </w:tcPr>
          <w:p w14:paraId="0982B44F">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365E326A">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26D2FEBB">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15" w:type="pct"/>
            <w:tcBorders>
              <w:top w:val="nil"/>
              <w:left w:val="nil"/>
              <w:bottom w:val="single" w:color="auto" w:sz="4" w:space="0"/>
              <w:right w:val="single" w:color="auto" w:sz="4" w:space="0"/>
            </w:tcBorders>
            <w:noWrap/>
            <w:vAlign w:val="center"/>
          </w:tcPr>
          <w:p w14:paraId="161E21F2">
            <w:pPr>
              <w:widowControl/>
              <w:adjustRightInd/>
              <w:spacing w:line="240" w:lineRule="auto"/>
              <w:textAlignment w:val="auto"/>
              <w:rPr>
                <w:rFonts w:ascii="Arial" w:hAnsi="Arial" w:cs="Arial"/>
                <w:snapToGrid w:val="0"/>
                <w:sz w:val="16"/>
              </w:rPr>
            </w:pPr>
            <w:r>
              <w:rPr>
                <w:rFonts w:ascii="Arial" w:hAnsi="Arial" w:cs="Arial"/>
                <w:snapToGrid w:val="0"/>
                <w:sz w:val="16"/>
              </w:rPr>
              <w:t>年经营费用</w:t>
            </w:r>
          </w:p>
        </w:tc>
        <w:tc>
          <w:tcPr>
            <w:tcW w:w="510" w:type="pct"/>
            <w:tcBorders>
              <w:top w:val="nil"/>
              <w:left w:val="nil"/>
              <w:bottom w:val="single" w:color="auto" w:sz="4" w:space="0"/>
              <w:right w:val="single" w:color="auto" w:sz="4" w:space="0"/>
            </w:tcBorders>
            <w:noWrap/>
            <w:vAlign w:val="center"/>
          </w:tcPr>
          <w:p w14:paraId="31EC40A8">
            <w:pPr>
              <w:spacing w:line="240" w:lineRule="auto"/>
              <w:jc w:val="center"/>
              <w:rPr>
                <w:rFonts w:ascii="Arial" w:hAnsi="Arial" w:cs="Arial"/>
                <w:snapToGrid w:val="0"/>
                <w:sz w:val="16"/>
              </w:rPr>
            </w:pPr>
            <w:r>
              <w:rPr>
                <w:rFonts w:hint="eastAsia" w:ascii="Arial" w:hAnsi="Arial" w:cs="Arial"/>
                <w:snapToGrid w:val="0"/>
                <w:sz w:val="16"/>
              </w:rPr>
              <w:t>24</w:t>
            </w:r>
          </w:p>
        </w:tc>
        <w:tc>
          <w:tcPr>
            <w:tcW w:w="1817" w:type="pct"/>
            <w:tcBorders>
              <w:top w:val="nil"/>
              <w:left w:val="nil"/>
              <w:bottom w:val="single" w:color="auto" w:sz="4" w:space="0"/>
              <w:right w:val="nil"/>
            </w:tcBorders>
            <w:noWrap/>
            <w:vAlign w:val="center"/>
          </w:tcPr>
          <w:p w14:paraId="5CA6560D">
            <w:pPr>
              <w:widowControl/>
              <w:adjustRightInd/>
              <w:spacing w:line="240" w:lineRule="auto"/>
              <w:textAlignment w:val="auto"/>
              <w:rPr>
                <w:rFonts w:ascii="Arial" w:hAnsi="Arial" w:cs="Arial"/>
                <w:snapToGrid w:val="0"/>
                <w:sz w:val="16"/>
              </w:rPr>
            </w:pPr>
            <w:r>
              <w:rPr>
                <w:rFonts w:ascii="Arial" w:hAnsi="Arial" w:cs="Arial"/>
                <w:snapToGrid w:val="0"/>
                <w:sz w:val="16"/>
              </w:rPr>
              <w:t>税费+维修费+保险费+管理费</w:t>
            </w:r>
          </w:p>
        </w:tc>
        <w:tc>
          <w:tcPr>
            <w:tcW w:w="781" w:type="pct"/>
            <w:tcBorders>
              <w:top w:val="nil"/>
              <w:left w:val="nil"/>
              <w:bottom w:val="single" w:color="auto" w:sz="4" w:space="0"/>
              <w:right w:val="nil"/>
            </w:tcBorders>
            <w:noWrap/>
            <w:vAlign w:val="center"/>
          </w:tcPr>
          <w:p w14:paraId="2E2E72C8">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noWrap/>
            <w:vAlign w:val="center"/>
          </w:tcPr>
          <w:p w14:paraId="76D57C34">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5BAEBD75">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6AF6587F">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15" w:type="pct"/>
            <w:tcBorders>
              <w:top w:val="nil"/>
              <w:left w:val="nil"/>
              <w:bottom w:val="single" w:color="auto" w:sz="4" w:space="0"/>
              <w:right w:val="single" w:color="auto" w:sz="4" w:space="0"/>
            </w:tcBorders>
            <w:noWrap/>
            <w:vAlign w:val="center"/>
          </w:tcPr>
          <w:p w14:paraId="11444337">
            <w:pPr>
              <w:widowControl/>
              <w:adjustRightInd/>
              <w:spacing w:line="240" w:lineRule="auto"/>
              <w:textAlignment w:val="auto"/>
              <w:rPr>
                <w:rFonts w:ascii="Arial" w:hAnsi="Arial" w:cs="Arial"/>
                <w:snapToGrid w:val="0"/>
                <w:sz w:val="16"/>
              </w:rPr>
            </w:pPr>
            <w:r>
              <w:rPr>
                <w:rFonts w:ascii="Arial" w:hAnsi="Arial" w:cs="Arial"/>
                <w:snapToGrid w:val="0"/>
                <w:sz w:val="16"/>
              </w:rPr>
              <w:t>税  费</w:t>
            </w:r>
          </w:p>
        </w:tc>
        <w:tc>
          <w:tcPr>
            <w:tcW w:w="510" w:type="pct"/>
            <w:tcBorders>
              <w:top w:val="nil"/>
              <w:left w:val="nil"/>
              <w:bottom w:val="single" w:color="auto" w:sz="4" w:space="0"/>
              <w:right w:val="single" w:color="auto" w:sz="4" w:space="0"/>
            </w:tcBorders>
            <w:noWrap/>
            <w:vAlign w:val="center"/>
          </w:tcPr>
          <w:p w14:paraId="4B653B53">
            <w:pPr>
              <w:spacing w:line="240" w:lineRule="auto"/>
              <w:jc w:val="center"/>
              <w:rPr>
                <w:rFonts w:ascii="Arial" w:hAnsi="Arial" w:cs="Arial"/>
                <w:snapToGrid w:val="0"/>
                <w:sz w:val="16"/>
              </w:rPr>
            </w:pPr>
            <w:r>
              <w:rPr>
                <w:rFonts w:hint="eastAsia" w:ascii="Arial" w:hAnsi="Arial" w:cs="Arial"/>
                <w:snapToGrid w:val="0"/>
                <w:sz w:val="16"/>
              </w:rPr>
              <w:t>8.69</w:t>
            </w:r>
          </w:p>
        </w:tc>
        <w:tc>
          <w:tcPr>
            <w:tcW w:w="1817" w:type="pct"/>
            <w:tcBorders>
              <w:top w:val="nil"/>
              <w:left w:val="nil"/>
              <w:bottom w:val="single" w:color="auto" w:sz="4" w:space="0"/>
              <w:right w:val="nil"/>
            </w:tcBorders>
            <w:vAlign w:val="center"/>
          </w:tcPr>
          <w:p w14:paraId="02BC43ED">
            <w:pPr>
              <w:widowControl/>
              <w:adjustRightInd/>
              <w:spacing w:line="240" w:lineRule="auto"/>
              <w:textAlignment w:val="auto"/>
              <w:rPr>
                <w:rFonts w:ascii="Arial" w:hAnsi="Arial" w:cs="Arial"/>
                <w:snapToGrid w:val="0"/>
                <w:sz w:val="16"/>
              </w:rPr>
            </w:pPr>
            <w:r>
              <w:rPr>
                <w:rFonts w:ascii="Arial" w:hAnsi="Arial" w:cs="Arial"/>
                <w:snapToGrid w:val="0"/>
                <w:sz w:val="16"/>
              </w:rPr>
              <w:t>两税一费+房产税+城镇土地使用税</w:t>
            </w:r>
          </w:p>
        </w:tc>
        <w:tc>
          <w:tcPr>
            <w:tcW w:w="781" w:type="pct"/>
            <w:tcBorders>
              <w:top w:val="nil"/>
              <w:left w:val="single" w:color="auto" w:sz="4" w:space="0"/>
              <w:bottom w:val="single" w:color="auto" w:sz="4" w:space="0"/>
              <w:right w:val="single" w:color="auto" w:sz="4" w:space="0"/>
            </w:tcBorders>
            <w:vAlign w:val="center"/>
          </w:tcPr>
          <w:p w14:paraId="6D5D7C83">
            <w:pPr>
              <w:widowControl/>
              <w:adjustRightInd/>
              <w:spacing w:line="240" w:lineRule="auto"/>
              <w:textAlignment w:val="auto"/>
              <w:rPr>
                <w:rFonts w:ascii="Arial" w:hAnsi="Arial" w:cs="Arial"/>
                <w:snapToGrid w:val="0"/>
                <w:sz w:val="16"/>
              </w:rPr>
            </w:pPr>
            <w:r>
              <w:rPr>
                <w:rFonts w:ascii="Arial" w:hAnsi="Arial" w:cs="Arial"/>
                <w:snapToGrid w:val="0"/>
                <w:sz w:val="16"/>
              </w:rPr>
              <w:t>综合税率</w:t>
            </w:r>
          </w:p>
        </w:tc>
        <w:tc>
          <w:tcPr>
            <w:tcW w:w="465" w:type="pct"/>
            <w:tcBorders>
              <w:top w:val="nil"/>
              <w:left w:val="nil"/>
              <w:bottom w:val="single" w:color="auto" w:sz="4" w:space="0"/>
              <w:right w:val="single" w:color="auto" w:sz="8" w:space="0"/>
            </w:tcBorders>
            <w:vAlign w:val="center"/>
          </w:tcPr>
          <w:p w14:paraId="407F5E0E">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r>
      <w:tr w14:paraId="68916043">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669860B7">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15" w:type="pct"/>
            <w:tcBorders>
              <w:top w:val="nil"/>
              <w:left w:val="nil"/>
              <w:bottom w:val="single" w:color="auto" w:sz="4" w:space="0"/>
              <w:right w:val="single" w:color="auto" w:sz="4" w:space="0"/>
            </w:tcBorders>
            <w:noWrap/>
            <w:vAlign w:val="center"/>
          </w:tcPr>
          <w:p w14:paraId="0212EFDE">
            <w:pPr>
              <w:widowControl/>
              <w:adjustRightInd/>
              <w:spacing w:line="240" w:lineRule="auto"/>
              <w:textAlignment w:val="auto"/>
              <w:rPr>
                <w:rFonts w:hint="default" w:ascii="Arial" w:hAnsi="Arial" w:eastAsia="宋体" w:cs="Arial"/>
                <w:snapToGrid w:val="0"/>
                <w:sz w:val="16"/>
                <w:lang w:val="en-US" w:eastAsia="zh-CN"/>
              </w:rPr>
            </w:pPr>
            <w:r>
              <w:rPr>
                <w:rFonts w:hint="eastAsia" w:ascii="Arial" w:hAnsi="Arial" w:cs="Arial"/>
                <w:snapToGrid w:val="0"/>
                <w:sz w:val="16"/>
                <w:lang w:val="en-US" w:eastAsia="zh-CN"/>
              </w:rPr>
              <w:t>增值税及附加</w:t>
            </w:r>
            <w:commentRangeStart w:id="9"/>
          </w:p>
        </w:tc>
        <w:tc>
          <w:tcPr>
            <w:tcW w:w="510" w:type="pct"/>
            <w:tcBorders>
              <w:top w:val="nil"/>
              <w:left w:val="nil"/>
              <w:bottom w:val="single" w:color="auto" w:sz="4" w:space="0"/>
              <w:right w:val="single" w:color="auto" w:sz="4" w:space="0"/>
            </w:tcBorders>
            <w:noWrap/>
            <w:vAlign w:val="center"/>
          </w:tcPr>
          <w:p w14:paraId="49CACC68">
            <w:pPr>
              <w:spacing w:line="240" w:lineRule="auto"/>
              <w:jc w:val="center"/>
              <w:rPr>
                <w:rFonts w:ascii="Arial" w:hAnsi="Arial" w:cs="Arial"/>
                <w:snapToGrid w:val="0"/>
                <w:sz w:val="16"/>
              </w:rPr>
            </w:pPr>
            <w:r>
              <w:rPr>
                <w:rFonts w:hint="eastAsia" w:ascii="Arial" w:hAnsi="Arial" w:cs="Arial"/>
                <w:snapToGrid w:val="0"/>
                <w:sz w:val="16"/>
              </w:rPr>
              <w:t>2.62</w:t>
            </w:r>
          </w:p>
        </w:tc>
        <w:tc>
          <w:tcPr>
            <w:tcW w:w="1817" w:type="pct"/>
            <w:tcBorders>
              <w:top w:val="nil"/>
              <w:left w:val="nil"/>
              <w:bottom w:val="single" w:color="auto" w:sz="4" w:space="0"/>
              <w:right w:val="single" w:color="auto" w:sz="4" w:space="0"/>
            </w:tcBorders>
            <w:vAlign w:val="center"/>
          </w:tcPr>
          <w:p w14:paraId="15401CAD">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年总收益×费率/(1+5%)</w:t>
            </w:r>
            <w:commentRangeEnd w:id="9"/>
            <w:r>
              <w:rPr>
                <w:rStyle w:val="38"/>
              </w:rPr>
              <w:commentReference w:id="9"/>
            </w:r>
          </w:p>
        </w:tc>
        <w:tc>
          <w:tcPr>
            <w:tcW w:w="781" w:type="pct"/>
            <w:tcBorders>
              <w:top w:val="nil"/>
              <w:left w:val="nil"/>
              <w:bottom w:val="single" w:color="auto" w:sz="4" w:space="0"/>
              <w:right w:val="single" w:color="auto" w:sz="4" w:space="0"/>
            </w:tcBorders>
            <w:noWrap/>
            <w:vAlign w:val="center"/>
          </w:tcPr>
          <w:p w14:paraId="5C8C6D9C">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78F64C1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6B5CCD6A">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1939BCC6">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15" w:type="pct"/>
            <w:tcBorders>
              <w:top w:val="nil"/>
              <w:left w:val="nil"/>
              <w:bottom w:val="single" w:color="auto" w:sz="4" w:space="0"/>
              <w:right w:val="single" w:color="auto" w:sz="4" w:space="0"/>
            </w:tcBorders>
            <w:noWrap/>
            <w:vAlign w:val="center"/>
          </w:tcPr>
          <w:p w14:paraId="70E09810">
            <w:pPr>
              <w:widowControl/>
              <w:adjustRightInd/>
              <w:spacing w:line="240" w:lineRule="auto"/>
              <w:textAlignment w:val="auto"/>
              <w:rPr>
                <w:rFonts w:ascii="Arial" w:hAnsi="Arial" w:cs="Arial"/>
                <w:snapToGrid w:val="0"/>
                <w:sz w:val="16"/>
              </w:rPr>
            </w:pPr>
            <w:r>
              <w:rPr>
                <w:rFonts w:ascii="Arial" w:hAnsi="Arial" w:cs="Arial"/>
                <w:snapToGrid w:val="0"/>
                <w:sz w:val="16"/>
              </w:rPr>
              <w:t>房产税</w:t>
            </w:r>
          </w:p>
        </w:tc>
        <w:tc>
          <w:tcPr>
            <w:tcW w:w="510" w:type="pct"/>
            <w:tcBorders>
              <w:top w:val="nil"/>
              <w:left w:val="nil"/>
              <w:bottom w:val="single" w:color="auto" w:sz="4" w:space="0"/>
              <w:right w:val="single" w:color="auto" w:sz="4" w:space="0"/>
            </w:tcBorders>
            <w:noWrap/>
            <w:vAlign w:val="center"/>
          </w:tcPr>
          <w:p w14:paraId="1EC69BE4">
            <w:pPr>
              <w:spacing w:line="240" w:lineRule="auto"/>
              <w:jc w:val="center"/>
              <w:rPr>
                <w:rFonts w:ascii="Arial" w:hAnsi="Arial" w:cs="Arial"/>
                <w:snapToGrid w:val="0"/>
                <w:sz w:val="16"/>
              </w:rPr>
            </w:pPr>
            <w:r>
              <w:rPr>
                <w:rFonts w:hint="eastAsia" w:ascii="Arial" w:hAnsi="Arial" w:cs="Arial"/>
                <w:snapToGrid w:val="0"/>
                <w:sz w:val="16"/>
              </w:rPr>
              <w:t>5.71</w:t>
            </w:r>
          </w:p>
        </w:tc>
        <w:tc>
          <w:tcPr>
            <w:tcW w:w="1817" w:type="pct"/>
            <w:tcBorders>
              <w:top w:val="nil"/>
              <w:left w:val="nil"/>
              <w:bottom w:val="single" w:color="auto" w:sz="4" w:space="0"/>
              <w:right w:val="single" w:color="auto" w:sz="4" w:space="0"/>
            </w:tcBorders>
            <w:vAlign w:val="center"/>
          </w:tcPr>
          <w:p w14:paraId="3B15B2E4">
            <w:pPr>
              <w:widowControl/>
              <w:adjustRightInd/>
              <w:spacing w:line="240" w:lineRule="auto"/>
              <w:textAlignment w:val="auto"/>
              <w:rPr>
                <w:rFonts w:ascii="Arial" w:hAnsi="Arial" w:cs="Arial"/>
                <w:snapToGrid w:val="0"/>
                <w:sz w:val="16"/>
              </w:rPr>
            </w:pPr>
            <w:r>
              <w:rPr>
                <w:rFonts w:ascii="Arial" w:hAnsi="Arial" w:cs="Arial"/>
                <w:snapToGrid w:val="0"/>
                <w:sz w:val="16"/>
              </w:rPr>
              <w:t>按租金收入计税</w:t>
            </w:r>
          </w:p>
        </w:tc>
        <w:tc>
          <w:tcPr>
            <w:tcW w:w="781" w:type="pct"/>
            <w:tcBorders>
              <w:top w:val="nil"/>
              <w:left w:val="nil"/>
              <w:bottom w:val="single" w:color="auto" w:sz="4" w:space="0"/>
              <w:right w:val="single" w:color="auto" w:sz="4" w:space="0"/>
            </w:tcBorders>
            <w:noWrap/>
            <w:vAlign w:val="center"/>
          </w:tcPr>
          <w:p w14:paraId="4535E6EA">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7D1041E9">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12</w:t>
            </w:r>
            <w:r>
              <w:rPr>
                <w:rFonts w:ascii="Arial" w:hAnsi="Arial" w:cs="Arial"/>
                <w:snapToGrid w:val="0"/>
                <w:sz w:val="16"/>
              </w:rPr>
              <w:t>.0%</w:t>
            </w:r>
          </w:p>
        </w:tc>
      </w:tr>
      <w:tr w14:paraId="03DDF614">
        <w:tblPrEx>
          <w:tblCellMar>
            <w:top w:w="0" w:type="dxa"/>
            <w:left w:w="108" w:type="dxa"/>
            <w:bottom w:w="0" w:type="dxa"/>
            <w:right w:w="108" w:type="dxa"/>
          </w:tblCellMar>
        </w:tblPrEx>
        <w:trPr>
          <w:trHeight w:val="360" w:hRule="atLeast"/>
        </w:trPr>
        <w:tc>
          <w:tcPr>
            <w:tcW w:w="411" w:type="pct"/>
            <w:tcBorders>
              <w:top w:val="nil"/>
              <w:left w:val="single" w:color="auto" w:sz="8" w:space="0"/>
              <w:bottom w:val="nil"/>
              <w:right w:val="single" w:color="auto" w:sz="4" w:space="0"/>
            </w:tcBorders>
            <w:noWrap/>
            <w:vAlign w:val="center"/>
          </w:tcPr>
          <w:p w14:paraId="3CE4F3C6">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15" w:type="pct"/>
            <w:tcBorders>
              <w:top w:val="nil"/>
              <w:left w:val="nil"/>
              <w:bottom w:val="nil"/>
              <w:right w:val="single" w:color="auto" w:sz="4" w:space="0"/>
            </w:tcBorders>
            <w:noWrap/>
            <w:vAlign w:val="center"/>
          </w:tcPr>
          <w:p w14:paraId="4CC0B7B2">
            <w:pPr>
              <w:widowControl/>
              <w:adjustRightInd/>
              <w:spacing w:line="240" w:lineRule="auto"/>
              <w:textAlignment w:val="auto"/>
              <w:rPr>
                <w:rFonts w:ascii="Arial" w:hAnsi="Arial" w:cs="Arial"/>
                <w:snapToGrid w:val="0"/>
                <w:sz w:val="16"/>
              </w:rPr>
            </w:pPr>
            <w:r>
              <w:rPr>
                <w:rFonts w:ascii="Arial" w:hAnsi="Arial" w:cs="Arial"/>
                <w:snapToGrid w:val="0"/>
                <w:sz w:val="16"/>
              </w:rPr>
              <w:t>城镇土地使用税</w:t>
            </w:r>
          </w:p>
        </w:tc>
        <w:tc>
          <w:tcPr>
            <w:tcW w:w="510" w:type="pct"/>
            <w:tcBorders>
              <w:top w:val="nil"/>
              <w:left w:val="nil"/>
              <w:bottom w:val="nil"/>
              <w:right w:val="single" w:color="auto" w:sz="4" w:space="0"/>
            </w:tcBorders>
            <w:noWrap/>
            <w:vAlign w:val="center"/>
          </w:tcPr>
          <w:p w14:paraId="1C0D7FBC">
            <w:pPr>
              <w:spacing w:line="240" w:lineRule="auto"/>
              <w:jc w:val="center"/>
              <w:rPr>
                <w:rFonts w:ascii="Arial" w:hAnsi="Arial" w:cs="Arial"/>
                <w:snapToGrid w:val="0"/>
                <w:sz w:val="16"/>
              </w:rPr>
            </w:pPr>
            <w:r>
              <w:rPr>
                <w:rFonts w:hint="eastAsia" w:ascii="Arial" w:hAnsi="Arial" w:cs="Arial"/>
                <w:snapToGrid w:val="0"/>
                <w:sz w:val="16"/>
              </w:rPr>
              <w:t>0.36</w:t>
            </w:r>
          </w:p>
        </w:tc>
        <w:tc>
          <w:tcPr>
            <w:tcW w:w="1817" w:type="pct"/>
            <w:tcBorders>
              <w:top w:val="nil"/>
              <w:left w:val="nil"/>
              <w:bottom w:val="nil"/>
              <w:right w:val="single" w:color="auto" w:sz="4" w:space="0"/>
            </w:tcBorders>
            <w:vAlign w:val="center"/>
          </w:tcPr>
          <w:p w14:paraId="78A603FF">
            <w:pPr>
              <w:widowControl/>
              <w:adjustRightInd/>
              <w:spacing w:line="240" w:lineRule="auto"/>
              <w:textAlignment w:val="auto"/>
              <w:rPr>
                <w:rFonts w:ascii="Arial" w:hAnsi="Arial" w:cs="Arial"/>
                <w:snapToGrid w:val="0"/>
                <w:sz w:val="16"/>
              </w:rPr>
            </w:pPr>
            <w:r>
              <w:rPr>
                <w:rFonts w:ascii="Arial" w:hAnsi="Arial" w:cs="Arial"/>
                <w:snapToGrid w:val="0"/>
                <w:sz w:val="16"/>
              </w:rPr>
              <w:t>土地面积×取费标准</w:t>
            </w:r>
          </w:p>
        </w:tc>
        <w:tc>
          <w:tcPr>
            <w:tcW w:w="781" w:type="pct"/>
            <w:tcBorders>
              <w:top w:val="nil"/>
              <w:left w:val="nil"/>
              <w:bottom w:val="single" w:color="auto" w:sz="4" w:space="0"/>
              <w:right w:val="single" w:color="auto" w:sz="4" w:space="0"/>
            </w:tcBorders>
            <w:noWrap/>
            <w:vAlign w:val="center"/>
          </w:tcPr>
          <w:p w14:paraId="35AFABD9">
            <w:pPr>
              <w:widowControl/>
              <w:adjustRightInd/>
              <w:spacing w:line="240" w:lineRule="auto"/>
              <w:textAlignment w:val="auto"/>
              <w:rPr>
                <w:rFonts w:ascii="Arial" w:hAnsi="Arial" w:cs="Arial"/>
                <w:snapToGrid w:val="0"/>
                <w:sz w:val="16"/>
              </w:rPr>
            </w:pPr>
            <w:r>
              <w:rPr>
                <w:rFonts w:ascii="Arial" w:hAnsi="Arial" w:cs="Arial"/>
                <w:snapToGrid w:val="0"/>
                <w:sz w:val="16"/>
              </w:rPr>
              <w:t>纳税标准（元/㎡）</w:t>
            </w:r>
          </w:p>
        </w:tc>
        <w:tc>
          <w:tcPr>
            <w:tcW w:w="465" w:type="pct"/>
            <w:tcBorders>
              <w:top w:val="nil"/>
              <w:left w:val="nil"/>
              <w:bottom w:val="single" w:color="auto" w:sz="4" w:space="0"/>
              <w:right w:val="single" w:color="auto" w:sz="8" w:space="0"/>
            </w:tcBorders>
            <w:noWrap/>
            <w:vAlign w:val="center"/>
          </w:tcPr>
          <w:p w14:paraId="4E5FDA0C">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56377916">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013B5040">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15" w:type="pct"/>
            <w:tcBorders>
              <w:top w:val="nil"/>
              <w:left w:val="nil"/>
              <w:bottom w:val="single" w:color="auto" w:sz="4" w:space="0"/>
              <w:right w:val="single" w:color="auto" w:sz="4" w:space="0"/>
            </w:tcBorders>
            <w:noWrap/>
            <w:vAlign w:val="center"/>
          </w:tcPr>
          <w:p w14:paraId="2905C1E0">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single" w:color="auto" w:sz="4" w:space="0"/>
              <w:right w:val="single" w:color="auto" w:sz="4" w:space="0"/>
            </w:tcBorders>
            <w:noWrap/>
            <w:vAlign w:val="center"/>
          </w:tcPr>
          <w:p w14:paraId="7FDB7511">
            <w:pPr>
              <w:spacing w:line="240" w:lineRule="auto"/>
              <w:jc w:val="center"/>
              <w:rPr>
                <w:rFonts w:ascii="Arial" w:hAnsi="Arial" w:cs="Arial"/>
                <w:snapToGrid w:val="0"/>
                <w:sz w:val="16"/>
              </w:rPr>
            </w:pPr>
            <w:r>
              <w:rPr>
                <w:rFonts w:ascii="Arial" w:hAnsi="Arial" w:cs="Arial"/>
                <w:snapToGrid w:val="0"/>
                <w:sz w:val="16"/>
              </w:rPr>
              <w:t>　</w:t>
            </w:r>
          </w:p>
        </w:tc>
        <w:tc>
          <w:tcPr>
            <w:tcW w:w="1817" w:type="pct"/>
            <w:tcBorders>
              <w:top w:val="nil"/>
              <w:left w:val="nil"/>
              <w:bottom w:val="single" w:color="auto" w:sz="4" w:space="0"/>
              <w:right w:val="single" w:color="auto" w:sz="4" w:space="0"/>
            </w:tcBorders>
            <w:vAlign w:val="center"/>
          </w:tcPr>
          <w:p w14:paraId="11770FBE">
            <w:pPr>
              <w:widowControl/>
              <w:adjustRightInd/>
              <w:spacing w:line="240" w:lineRule="auto"/>
              <w:textAlignment w:val="auto"/>
              <w:rPr>
                <w:rFonts w:ascii="Arial" w:hAnsi="Arial" w:cs="Arial"/>
                <w:snapToGrid w:val="0"/>
                <w:sz w:val="16"/>
              </w:rPr>
            </w:pPr>
            <w:r>
              <w:rPr>
                <w:rFonts w:ascii="Arial" w:hAnsi="Arial" w:cs="Arial"/>
                <w:snapToGrid w:val="0"/>
                <w:sz w:val="16"/>
              </w:rPr>
              <w:t>　</w:t>
            </w:r>
            <w:bookmarkStart w:id="346" w:name="_GoBack"/>
            <w:bookmarkEnd w:id="346"/>
          </w:p>
        </w:tc>
        <w:tc>
          <w:tcPr>
            <w:tcW w:w="781" w:type="pct"/>
            <w:tcBorders>
              <w:top w:val="nil"/>
              <w:left w:val="nil"/>
              <w:bottom w:val="single" w:color="auto" w:sz="4" w:space="0"/>
              <w:right w:val="single" w:color="auto" w:sz="4" w:space="0"/>
            </w:tcBorders>
            <w:noWrap/>
            <w:vAlign w:val="center"/>
          </w:tcPr>
          <w:p w14:paraId="72C68432">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p>
        </w:tc>
        <w:tc>
          <w:tcPr>
            <w:tcW w:w="465" w:type="pct"/>
            <w:tcBorders>
              <w:top w:val="nil"/>
              <w:left w:val="nil"/>
              <w:bottom w:val="single" w:color="auto" w:sz="4" w:space="0"/>
              <w:right w:val="single" w:color="auto" w:sz="8" w:space="0"/>
            </w:tcBorders>
            <w:noWrap/>
            <w:vAlign w:val="center"/>
          </w:tcPr>
          <w:p w14:paraId="18ECE711">
            <w:pPr>
              <w:widowControl/>
              <w:adjustRightInd/>
              <w:spacing w:line="240" w:lineRule="auto"/>
              <w:textAlignment w:val="auto"/>
              <w:rPr>
                <w:rFonts w:ascii="Arial" w:hAnsi="Arial" w:cs="Arial"/>
                <w:snapToGrid w:val="0"/>
                <w:sz w:val="16"/>
              </w:rPr>
            </w:pPr>
            <w:r>
              <w:rPr>
                <w:rFonts w:hint="eastAsia" w:ascii="Arial" w:hAnsi="Arial" w:cs="Arial"/>
                <w:snapToGrid w:val="0"/>
                <w:sz w:val="16"/>
              </w:rPr>
              <w:t>2415.92</w:t>
            </w:r>
          </w:p>
        </w:tc>
      </w:tr>
      <w:tr w14:paraId="16310B58">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5FB58686">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15" w:type="pct"/>
            <w:tcBorders>
              <w:top w:val="nil"/>
              <w:left w:val="nil"/>
              <w:bottom w:val="single" w:color="auto" w:sz="4" w:space="0"/>
              <w:right w:val="single" w:color="auto" w:sz="4" w:space="0"/>
            </w:tcBorders>
            <w:noWrap/>
            <w:vAlign w:val="center"/>
          </w:tcPr>
          <w:p w14:paraId="52187152">
            <w:pPr>
              <w:widowControl/>
              <w:adjustRightInd/>
              <w:spacing w:line="240" w:lineRule="auto"/>
              <w:textAlignment w:val="auto"/>
              <w:rPr>
                <w:rFonts w:ascii="Arial" w:hAnsi="Arial" w:cs="Arial"/>
                <w:snapToGrid w:val="0"/>
                <w:sz w:val="16"/>
              </w:rPr>
            </w:pPr>
            <w:r>
              <w:rPr>
                <w:rFonts w:ascii="Arial" w:hAnsi="Arial" w:cs="Arial"/>
                <w:snapToGrid w:val="0"/>
                <w:sz w:val="16"/>
              </w:rPr>
              <w:t>维修费</w:t>
            </w:r>
          </w:p>
        </w:tc>
        <w:tc>
          <w:tcPr>
            <w:tcW w:w="510" w:type="pct"/>
            <w:tcBorders>
              <w:top w:val="nil"/>
              <w:left w:val="nil"/>
              <w:bottom w:val="single" w:color="auto" w:sz="4" w:space="0"/>
              <w:right w:val="single" w:color="auto" w:sz="4" w:space="0"/>
            </w:tcBorders>
            <w:noWrap/>
            <w:vAlign w:val="center"/>
          </w:tcPr>
          <w:p w14:paraId="2A6C4D32">
            <w:pPr>
              <w:spacing w:line="240" w:lineRule="auto"/>
              <w:jc w:val="center"/>
              <w:rPr>
                <w:rFonts w:ascii="Arial" w:hAnsi="Arial" w:cs="Arial"/>
                <w:snapToGrid w:val="0"/>
                <w:sz w:val="16"/>
              </w:rPr>
            </w:pPr>
            <w:r>
              <w:rPr>
                <w:rFonts w:hint="eastAsia" w:ascii="Arial" w:hAnsi="Arial" w:cs="Arial"/>
                <w:snapToGrid w:val="0"/>
                <w:sz w:val="16"/>
              </w:rPr>
              <w:t>12.61</w:t>
            </w:r>
          </w:p>
        </w:tc>
        <w:tc>
          <w:tcPr>
            <w:tcW w:w="1817" w:type="pct"/>
            <w:tcBorders>
              <w:top w:val="nil"/>
              <w:left w:val="nil"/>
              <w:bottom w:val="single" w:color="auto" w:sz="4" w:space="0"/>
              <w:right w:val="single" w:color="auto" w:sz="4" w:space="0"/>
            </w:tcBorders>
            <w:vAlign w:val="center"/>
          </w:tcPr>
          <w:p w14:paraId="57876685">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建筑物重置价格×维修费率</w:t>
            </w:r>
          </w:p>
        </w:tc>
        <w:tc>
          <w:tcPr>
            <w:tcW w:w="781" w:type="pct"/>
            <w:tcBorders>
              <w:top w:val="nil"/>
              <w:left w:val="nil"/>
              <w:bottom w:val="single" w:color="auto" w:sz="4" w:space="0"/>
              <w:right w:val="single" w:color="auto" w:sz="4" w:space="0"/>
            </w:tcBorders>
            <w:noWrap/>
            <w:vAlign w:val="center"/>
          </w:tcPr>
          <w:p w14:paraId="1EDF1BE1">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6D7FD330">
            <w:pPr>
              <w:widowControl/>
              <w:adjustRightInd/>
              <w:spacing w:line="240" w:lineRule="auto"/>
              <w:textAlignment w:val="auto"/>
              <w:rPr>
                <w:rFonts w:ascii="Arial" w:hAnsi="Arial" w:cs="Arial"/>
                <w:snapToGrid w:val="0"/>
                <w:sz w:val="16"/>
              </w:rPr>
            </w:pPr>
            <w:r>
              <w:rPr>
                <w:rFonts w:hint="eastAsia" w:ascii="Arial" w:hAnsi="Arial" w:cs="Arial"/>
                <w:snapToGrid w:val="0"/>
                <w:sz w:val="16"/>
              </w:rPr>
              <w:t>0.50</w:t>
            </w:r>
            <w:r>
              <w:rPr>
                <w:rFonts w:ascii="Arial" w:hAnsi="Arial" w:cs="Arial"/>
                <w:snapToGrid w:val="0"/>
                <w:sz w:val="16"/>
              </w:rPr>
              <w:t>%</w:t>
            </w:r>
          </w:p>
        </w:tc>
      </w:tr>
      <w:tr w14:paraId="0334D018">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12239385">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15" w:type="pct"/>
            <w:tcBorders>
              <w:top w:val="nil"/>
              <w:left w:val="nil"/>
              <w:bottom w:val="single" w:color="auto" w:sz="4" w:space="0"/>
              <w:right w:val="single" w:color="auto" w:sz="4" w:space="0"/>
            </w:tcBorders>
            <w:noWrap/>
            <w:vAlign w:val="center"/>
          </w:tcPr>
          <w:p w14:paraId="20B118DB">
            <w:pPr>
              <w:widowControl/>
              <w:adjustRightInd/>
              <w:spacing w:line="240" w:lineRule="auto"/>
              <w:textAlignment w:val="auto"/>
              <w:rPr>
                <w:rFonts w:ascii="Arial" w:hAnsi="Arial" w:cs="Arial"/>
                <w:snapToGrid w:val="0"/>
                <w:sz w:val="16"/>
              </w:rPr>
            </w:pPr>
            <w:r>
              <w:rPr>
                <w:rFonts w:ascii="Arial" w:hAnsi="Arial" w:cs="Arial"/>
                <w:snapToGrid w:val="0"/>
                <w:sz w:val="16"/>
              </w:rPr>
              <w:t>保险费</w:t>
            </w:r>
          </w:p>
        </w:tc>
        <w:tc>
          <w:tcPr>
            <w:tcW w:w="510" w:type="pct"/>
            <w:tcBorders>
              <w:top w:val="nil"/>
              <w:left w:val="nil"/>
              <w:bottom w:val="single" w:color="auto" w:sz="4" w:space="0"/>
              <w:right w:val="single" w:color="auto" w:sz="4" w:space="0"/>
            </w:tcBorders>
            <w:noWrap/>
            <w:vAlign w:val="center"/>
          </w:tcPr>
          <w:p w14:paraId="37121F49">
            <w:pPr>
              <w:spacing w:line="240" w:lineRule="auto"/>
              <w:jc w:val="center"/>
              <w:rPr>
                <w:rFonts w:ascii="Arial" w:hAnsi="Arial" w:cs="Arial"/>
                <w:snapToGrid w:val="0"/>
                <w:sz w:val="16"/>
              </w:rPr>
            </w:pPr>
            <w:r>
              <w:rPr>
                <w:rFonts w:hint="eastAsia" w:ascii="Arial" w:hAnsi="Arial" w:cs="Arial"/>
                <w:snapToGrid w:val="0"/>
                <w:sz w:val="16"/>
              </w:rPr>
              <w:t>2.52</w:t>
            </w:r>
          </w:p>
        </w:tc>
        <w:tc>
          <w:tcPr>
            <w:tcW w:w="1817" w:type="pct"/>
            <w:tcBorders>
              <w:top w:val="nil"/>
              <w:left w:val="nil"/>
              <w:bottom w:val="single" w:color="auto" w:sz="4" w:space="0"/>
              <w:right w:val="single" w:color="auto" w:sz="4" w:space="0"/>
            </w:tcBorders>
            <w:vAlign w:val="center"/>
          </w:tcPr>
          <w:p w14:paraId="5FF87852">
            <w:pPr>
              <w:widowControl/>
              <w:adjustRightInd/>
              <w:spacing w:line="240" w:lineRule="auto"/>
              <w:textAlignment w:val="auto"/>
              <w:rPr>
                <w:rFonts w:ascii="Arial" w:hAnsi="Arial" w:cs="Arial"/>
                <w:snapToGrid w:val="0"/>
                <w:sz w:val="16"/>
              </w:rPr>
            </w:pPr>
            <w:r>
              <w:rPr>
                <w:rFonts w:ascii="Arial" w:hAnsi="Arial" w:cs="Arial"/>
                <w:snapToGrid w:val="0"/>
                <w:sz w:val="16"/>
              </w:rPr>
              <w:t>现值×保险费率</w:t>
            </w:r>
          </w:p>
        </w:tc>
        <w:tc>
          <w:tcPr>
            <w:tcW w:w="781" w:type="pct"/>
            <w:tcBorders>
              <w:top w:val="nil"/>
              <w:left w:val="nil"/>
              <w:bottom w:val="single" w:color="auto" w:sz="4" w:space="0"/>
              <w:right w:val="single" w:color="auto" w:sz="4" w:space="0"/>
            </w:tcBorders>
            <w:noWrap/>
            <w:vAlign w:val="center"/>
          </w:tcPr>
          <w:p w14:paraId="053ACD18">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1607561C">
            <w:pPr>
              <w:widowControl/>
              <w:adjustRightInd/>
              <w:spacing w:line="240" w:lineRule="auto"/>
              <w:textAlignment w:val="auto"/>
              <w:rPr>
                <w:rFonts w:ascii="Arial" w:hAnsi="Arial" w:cs="Arial"/>
                <w:snapToGrid w:val="0"/>
                <w:sz w:val="16"/>
              </w:rPr>
            </w:pPr>
            <w:r>
              <w:rPr>
                <w:rFonts w:ascii="Arial" w:hAnsi="Arial" w:cs="Arial"/>
                <w:snapToGrid w:val="0"/>
                <w:sz w:val="16"/>
              </w:rPr>
              <w:t>0.</w:t>
            </w:r>
            <w:r>
              <w:rPr>
                <w:rFonts w:hint="eastAsia" w:ascii="Arial" w:hAnsi="Arial" w:cs="Arial"/>
                <w:snapToGrid w:val="0"/>
                <w:sz w:val="16"/>
              </w:rPr>
              <w:t>100</w:t>
            </w:r>
            <w:r>
              <w:rPr>
                <w:rFonts w:ascii="Arial" w:hAnsi="Arial" w:cs="Arial"/>
                <w:snapToGrid w:val="0"/>
                <w:sz w:val="16"/>
              </w:rPr>
              <w:t>%</w:t>
            </w:r>
          </w:p>
        </w:tc>
      </w:tr>
      <w:tr w14:paraId="65651886">
        <w:tblPrEx>
          <w:tblCellMar>
            <w:top w:w="0" w:type="dxa"/>
            <w:left w:w="108" w:type="dxa"/>
            <w:bottom w:w="0" w:type="dxa"/>
            <w:right w:w="108" w:type="dxa"/>
          </w:tblCellMar>
        </w:tblPrEx>
        <w:trPr>
          <w:trHeight w:val="360" w:hRule="atLeast"/>
        </w:trPr>
        <w:tc>
          <w:tcPr>
            <w:tcW w:w="411" w:type="pct"/>
            <w:tcBorders>
              <w:top w:val="nil"/>
              <w:left w:val="single" w:color="auto" w:sz="8" w:space="0"/>
              <w:bottom w:val="double" w:color="auto" w:sz="6" w:space="0"/>
              <w:right w:val="single" w:color="auto" w:sz="4" w:space="0"/>
            </w:tcBorders>
            <w:noWrap/>
            <w:vAlign w:val="center"/>
          </w:tcPr>
          <w:p w14:paraId="38518917">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15" w:type="pct"/>
            <w:tcBorders>
              <w:top w:val="nil"/>
              <w:left w:val="nil"/>
              <w:bottom w:val="double" w:color="auto" w:sz="6" w:space="0"/>
              <w:right w:val="single" w:color="auto" w:sz="4" w:space="0"/>
            </w:tcBorders>
            <w:noWrap/>
            <w:vAlign w:val="center"/>
          </w:tcPr>
          <w:p w14:paraId="614FE2EC">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double" w:color="auto" w:sz="6" w:space="0"/>
              <w:right w:val="single" w:color="auto" w:sz="4" w:space="0"/>
            </w:tcBorders>
            <w:noWrap/>
            <w:vAlign w:val="center"/>
          </w:tcPr>
          <w:p w14:paraId="4BFF5F4D">
            <w:pPr>
              <w:spacing w:line="240" w:lineRule="auto"/>
              <w:jc w:val="center"/>
              <w:rPr>
                <w:rFonts w:ascii="Arial" w:hAnsi="Arial" w:cs="Arial"/>
                <w:snapToGrid w:val="0"/>
                <w:sz w:val="16"/>
              </w:rPr>
            </w:pPr>
            <w:r>
              <w:rPr>
                <w:rFonts w:hint="eastAsia" w:ascii="Arial" w:hAnsi="Arial" w:cs="Arial"/>
                <w:snapToGrid w:val="0"/>
                <w:sz w:val="16"/>
              </w:rPr>
              <w:t>0.25</w:t>
            </w:r>
          </w:p>
        </w:tc>
        <w:tc>
          <w:tcPr>
            <w:tcW w:w="1817" w:type="pct"/>
            <w:tcBorders>
              <w:top w:val="nil"/>
              <w:left w:val="nil"/>
              <w:bottom w:val="double" w:color="auto" w:sz="6" w:space="0"/>
              <w:right w:val="single" w:color="auto" w:sz="4" w:space="0"/>
            </w:tcBorders>
            <w:vAlign w:val="center"/>
          </w:tcPr>
          <w:p w14:paraId="3125395F">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w:t>
            </w:r>
          </w:p>
        </w:tc>
        <w:tc>
          <w:tcPr>
            <w:tcW w:w="781" w:type="pct"/>
            <w:tcBorders>
              <w:top w:val="nil"/>
              <w:left w:val="nil"/>
              <w:bottom w:val="double" w:color="auto" w:sz="6" w:space="0"/>
              <w:right w:val="single" w:color="auto" w:sz="4" w:space="0"/>
            </w:tcBorders>
            <w:noWrap/>
            <w:vAlign w:val="center"/>
          </w:tcPr>
          <w:p w14:paraId="5AC9362F">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double" w:color="auto" w:sz="6" w:space="0"/>
              <w:right w:val="single" w:color="auto" w:sz="8" w:space="0"/>
            </w:tcBorders>
            <w:noWrap/>
            <w:vAlign w:val="center"/>
          </w:tcPr>
          <w:p w14:paraId="5805FA12">
            <w:pPr>
              <w:widowControl/>
              <w:adjustRightInd/>
              <w:spacing w:line="240" w:lineRule="auto"/>
              <w:textAlignment w:val="auto"/>
              <w:rPr>
                <w:rFonts w:ascii="Arial" w:hAnsi="Arial" w:cs="Arial"/>
                <w:snapToGrid w:val="0"/>
                <w:sz w:val="16"/>
              </w:rPr>
            </w:pPr>
            <w:r>
              <w:rPr>
                <w:rFonts w:hint="eastAsia" w:ascii="Arial" w:hAnsi="Arial" w:cs="Arial"/>
                <w:snapToGrid w:val="0"/>
                <w:sz w:val="16"/>
              </w:rPr>
              <w:t>0.50</w:t>
            </w:r>
            <w:r>
              <w:rPr>
                <w:rFonts w:ascii="Arial" w:hAnsi="Arial" w:cs="Arial"/>
                <w:snapToGrid w:val="0"/>
                <w:sz w:val="16"/>
              </w:rPr>
              <w:t>%</w:t>
            </w:r>
          </w:p>
        </w:tc>
      </w:tr>
      <w:tr w14:paraId="05CB45AE">
        <w:tblPrEx>
          <w:tblCellMar>
            <w:top w:w="0" w:type="dxa"/>
            <w:left w:w="108" w:type="dxa"/>
            <w:bottom w:w="0" w:type="dxa"/>
            <w:right w:w="108" w:type="dxa"/>
          </w:tblCellMar>
        </w:tblPrEx>
        <w:trPr>
          <w:trHeight w:val="492" w:hRule="atLeast"/>
        </w:trPr>
        <w:tc>
          <w:tcPr>
            <w:tcW w:w="411" w:type="pct"/>
            <w:tcBorders>
              <w:top w:val="nil"/>
              <w:left w:val="single" w:color="auto" w:sz="8" w:space="0"/>
              <w:bottom w:val="single" w:color="auto" w:sz="4" w:space="0"/>
              <w:right w:val="single" w:color="auto" w:sz="4" w:space="0"/>
            </w:tcBorders>
            <w:noWrap/>
            <w:vAlign w:val="center"/>
          </w:tcPr>
          <w:p w14:paraId="59FE3B4F">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15" w:type="pct"/>
            <w:tcBorders>
              <w:top w:val="nil"/>
              <w:left w:val="nil"/>
              <w:bottom w:val="single" w:color="auto" w:sz="4" w:space="0"/>
              <w:right w:val="single" w:color="auto" w:sz="4" w:space="0"/>
            </w:tcBorders>
            <w:vAlign w:val="center"/>
          </w:tcPr>
          <w:p w14:paraId="2EB41F1C">
            <w:pPr>
              <w:widowControl/>
              <w:adjustRightInd/>
              <w:spacing w:line="240" w:lineRule="auto"/>
              <w:textAlignment w:val="auto"/>
              <w:rPr>
                <w:rFonts w:ascii="Arial" w:hAnsi="Arial" w:cs="Arial"/>
                <w:snapToGrid w:val="0"/>
                <w:sz w:val="16"/>
              </w:rPr>
            </w:pPr>
            <w:r>
              <w:rPr>
                <w:rFonts w:ascii="Arial" w:hAnsi="Arial" w:cs="Arial"/>
                <w:snapToGrid w:val="0"/>
                <w:sz w:val="16"/>
              </w:rPr>
              <w:t>不动产未来第一年净收益</w:t>
            </w:r>
          </w:p>
        </w:tc>
        <w:tc>
          <w:tcPr>
            <w:tcW w:w="510" w:type="pct"/>
            <w:tcBorders>
              <w:top w:val="nil"/>
              <w:left w:val="nil"/>
              <w:bottom w:val="single" w:color="auto" w:sz="4" w:space="0"/>
              <w:right w:val="single" w:color="auto" w:sz="4" w:space="0"/>
            </w:tcBorders>
            <w:noWrap/>
            <w:vAlign w:val="center"/>
          </w:tcPr>
          <w:p w14:paraId="1F1251B2">
            <w:pPr>
              <w:spacing w:line="240" w:lineRule="auto"/>
              <w:jc w:val="center"/>
              <w:rPr>
                <w:rFonts w:ascii="Arial" w:hAnsi="Arial" w:cs="Arial"/>
                <w:snapToGrid w:val="0"/>
                <w:sz w:val="16"/>
              </w:rPr>
            </w:pPr>
            <w:r>
              <w:rPr>
                <w:rFonts w:hint="eastAsia" w:ascii="Arial" w:hAnsi="Arial" w:cs="Arial"/>
                <w:snapToGrid w:val="0"/>
                <w:sz w:val="16"/>
              </w:rPr>
              <w:t>26</w:t>
            </w:r>
          </w:p>
        </w:tc>
        <w:tc>
          <w:tcPr>
            <w:tcW w:w="1817" w:type="pct"/>
            <w:tcBorders>
              <w:top w:val="nil"/>
              <w:left w:val="nil"/>
              <w:bottom w:val="single" w:color="auto" w:sz="4" w:space="0"/>
              <w:right w:val="nil"/>
            </w:tcBorders>
            <w:vAlign w:val="center"/>
          </w:tcPr>
          <w:p w14:paraId="37B0C647">
            <w:pPr>
              <w:widowControl/>
              <w:adjustRightInd/>
              <w:spacing w:line="240" w:lineRule="auto"/>
              <w:textAlignment w:val="auto"/>
              <w:rPr>
                <w:rFonts w:ascii="Arial" w:hAnsi="Arial" w:cs="Arial"/>
                <w:snapToGrid w:val="0"/>
                <w:sz w:val="16"/>
              </w:rPr>
            </w:pPr>
            <w:r>
              <w:rPr>
                <w:rFonts w:ascii="Arial" w:hAnsi="Arial" w:cs="Arial"/>
                <w:snapToGrid w:val="0"/>
                <w:sz w:val="16"/>
              </w:rPr>
              <w:t>年总收益-年经营费用</w:t>
            </w:r>
          </w:p>
        </w:tc>
        <w:tc>
          <w:tcPr>
            <w:tcW w:w="781" w:type="pct"/>
            <w:tcBorders>
              <w:top w:val="nil"/>
              <w:left w:val="nil"/>
              <w:bottom w:val="single" w:color="auto" w:sz="4" w:space="0"/>
              <w:right w:val="nil"/>
            </w:tcBorders>
            <w:vAlign w:val="center"/>
          </w:tcPr>
          <w:p w14:paraId="52E7FFF9">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vAlign w:val="center"/>
          </w:tcPr>
          <w:p w14:paraId="3F10101D">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1D64D8AF">
        <w:tblPrEx>
          <w:tblCellMar>
            <w:top w:w="0" w:type="dxa"/>
            <w:left w:w="108" w:type="dxa"/>
            <w:bottom w:w="0" w:type="dxa"/>
            <w:right w:w="108" w:type="dxa"/>
          </w:tblCellMar>
        </w:tblPrEx>
        <w:trPr>
          <w:trHeight w:val="360" w:hRule="atLeast"/>
        </w:trPr>
        <w:tc>
          <w:tcPr>
            <w:tcW w:w="411" w:type="pct"/>
            <w:tcBorders>
              <w:top w:val="nil"/>
              <w:left w:val="single" w:color="auto" w:sz="8" w:space="0"/>
              <w:bottom w:val="nil"/>
              <w:right w:val="single" w:color="auto" w:sz="4" w:space="0"/>
            </w:tcBorders>
            <w:noWrap/>
            <w:vAlign w:val="center"/>
          </w:tcPr>
          <w:p w14:paraId="1DAED0E5">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15" w:type="pct"/>
            <w:tcBorders>
              <w:top w:val="nil"/>
              <w:left w:val="nil"/>
              <w:bottom w:val="nil"/>
              <w:right w:val="single" w:color="auto" w:sz="4" w:space="0"/>
            </w:tcBorders>
            <w:vAlign w:val="center"/>
          </w:tcPr>
          <w:p w14:paraId="4AC46CFC">
            <w:pPr>
              <w:widowControl/>
              <w:adjustRightInd/>
              <w:spacing w:line="240" w:lineRule="auto"/>
              <w:textAlignment w:val="auto"/>
              <w:rPr>
                <w:rFonts w:ascii="Arial" w:hAnsi="Arial" w:cs="Arial"/>
                <w:snapToGrid w:val="0"/>
                <w:sz w:val="16"/>
              </w:rPr>
            </w:pPr>
            <w:r>
              <w:rPr>
                <w:rFonts w:ascii="Arial" w:hAnsi="Arial" w:cs="Arial"/>
                <w:snapToGrid w:val="0"/>
                <w:sz w:val="16"/>
              </w:rPr>
              <w:t>不动产总价</w:t>
            </w:r>
          </w:p>
        </w:tc>
        <w:tc>
          <w:tcPr>
            <w:tcW w:w="510" w:type="pct"/>
            <w:tcBorders>
              <w:top w:val="nil"/>
              <w:left w:val="nil"/>
              <w:bottom w:val="nil"/>
              <w:right w:val="single" w:color="auto" w:sz="4" w:space="0"/>
            </w:tcBorders>
            <w:noWrap/>
            <w:vAlign w:val="center"/>
          </w:tcPr>
          <w:p w14:paraId="27BC6E5A">
            <w:pPr>
              <w:spacing w:line="240" w:lineRule="auto"/>
              <w:jc w:val="center"/>
              <w:rPr>
                <w:rFonts w:ascii="Arial" w:hAnsi="Arial" w:cs="Arial"/>
                <w:snapToGrid w:val="0"/>
                <w:sz w:val="16"/>
              </w:rPr>
            </w:pPr>
            <w:r>
              <w:rPr>
                <w:rFonts w:hint="eastAsia" w:ascii="Arial" w:hAnsi="Arial" w:cs="Arial"/>
                <w:snapToGrid w:val="0"/>
                <w:sz w:val="16"/>
              </w:rPr>
              <w:t>506</w:t>
            </w:r>
          </w:p>
        </w:tc>
        <w:tc>
          <w:tcPr>
            <w:tcW w:w="1817" w:type="pct"/>
            <w:tcBorders>
              <w:top w:val="nil"/>
              <w:left w:val="nil"/>
              <w:bottom w:val="nil"/>
              <w:right w:val="single" w:color="auto" w:sz="4" w:space="0"/>
            </w:tcBorders>
            <w:vAlign w:val="center"/>
          </w:tcPr>
          <w:p w14:paraId="1679E525">
            <w:pPr>
              <w:widowControl/>
              <w:adjustRightInd/>
              <w:spacing w:line="240" w:lineRule="auto"/>
              <w:textAlignment w:val="auto"/>
              <w:rPr>
                <w:rFonts w:ascii="Arial" w:hAnsi="Arial" w:cs="Arial"/>
                <w:snapToGrid w:val="0"/>
                <w:sz w:val="16"/>
              </w:rPr>
            </w:pPr>
            <w:r>
              <w:rPr>
                <w:rFonts w:ascii="Arial" w:hAnsi="Arial" w:cs="Arial"/>
                <w:snapToGrid w:val="0"/>
                <w:sz w:val="16"/>
              </w:rPr>
              <w:t>房地产未来第一年净收益×</w:t>
            </w:r>
          </w:p>
        </w:tc>
        <w:tc>
          <w:tcPr>
            <w:tcW w:w="781" w:type="pct"/>
            <w:tcBorders>
              <w:top w:val="nil"/>
              <w:left w:val="nil"/>
              <w:bottom w:val="single" w:color="auto" w:sz="4" w:space="0"/>
              <w:right w:val="single" w:color="auto" w:sz="4" w:space="0"/>
            </w:tcBorders>
            <w:noWrap/>
            <w:vAlign w:val="center"/>
          </w:tcPr>
          <w:p w14:paraId="091BAC94">
            <w:pPr>
              <w:widowControl/>
              <w:adjustRightInd/>
              <w:spacing w:line="240" w:lineRule="auto"/>
              <w:textAlignment w:val="auto"/>
              <w:rPr>
                <w:rFonts w:ascii="Arial" w:hAnsi="Arial" w:cs="Arial"/>
                <w:snapToGrid w:val="0"/>
                <w:sz w:val="16"/>
              </w:rPr>
            </w:pPr>
            <w:r>
              <w:rPr>
                <w:rFonts w:ascii="Arial" w:hAnsi="Arial" w:cs="Arial"/>
                <w:snapToGrid w:val="0"/>
                <w:sz w:val="16"/>
              </w:rPr>
              <w:t>还原率（Y）</w:t>
            </w:r>
          </w:p>
        </w:tc>
        <w:tc>
          <w:tcPr>
            <w:tcW w:w="465" w:type="pct"/>
            <w:tcBorders>
              <w:top w:val="nil"/>
              <w:left w:val="nil"/>
              <w:bottom w:val="single" w:color="auto" w:sz="4" w:space="0"/>
              <w:right w:val="single" w:color="auto" w:sz="8" w:space="0"/>
            </w:tcBorders>
            <w:noWrap/>
            <w:vAlign w:val="center"/>
          </w:tcPr>
          <w:p w14:paraId="42DBF071">
            <w:pPr>
              <w:widowControl/>
              <w:adjustRightInd/>
              <w:spacing w:line="240" w:lineRule="auto"/>
              <w:textAlignment w:val="auto"/>
              <w:rPr>
                <w:rFonts w:ascii="Arial" w:hAnsi="Arial" w:cs="Arial"/>
                <w:snapToGrid w:val="0"/>
                <w:sz w:val="16"/>
              </w:rPr>
            </w:pPr>
            <w:r>
              <w:rPr>
                <w:rFonts w:hint="eastAsia" w:ascii="Arial" w:hAnsi="Arial" w:cs="Arial"/>
                <w:snapToGrid w:val="0"/>
                <w:sz w:val="16"/>
              </w:rPr>
              <w:t>5.0</w:t>
            </w:r>
            <w:r>
              <w:rPr>
                <w:rFonts w:ascii="Arial" w:hAnsi="Arial" w:cs="Arial"/>
                <w:snapToGrid w:val="0"/>
                <w:sz w:val="16"/>
              </w:rPr>
              <w:t>%</w:t>
            </w:r>
          </w:p>
        </w:tc>
      </w:tr>
      <w:tr w14:paraId="46C713BD">
        <w:tblPrEx>
          <w:tblCellMar>
            <w:top w:w="0" w:type="dxa"/>
            <w:left w:w="108" w:type="dxa"/>
            <w:bottom w:w="0" w:type="dxa"/>
            <w:right w:w="108" w:type="dxa"/>
          </w:tblCellMar>
        </w:tblPrEx>
        <w:trPr>
          <w:trHeight w:val="360" w:hRule="atLeast"/>
        </w:trPr>
        <w:tc>
          <w:tcPr>
            <w:tcW w:w="411" w:type="pct"/>
            <w:tcBorders>
              <w:top w:val="nil"/>
              <w:left w:val="single" w:color="auto" w:sz="8" w:space="0"/>
              <w:bottom w:val="nil"/>
              <w:right w:val="single" w:color="auto" w:sz="4" w:space="0"/>
            </w:tcBorders>
            <w:noWrap/>
            <w:vAlign w:val="center"/>
          </w:tcPr>
          <w:p w14:paraId="27A3F7B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15" w:type="pct"/>
            <w:tcBorders>
              <w:top w:val="nil"/>
              <w:left w:val="nil"/>
              <w:bottom w:val="nil"/>
              <w:right w:val="single" w:color="auto" w:sz="4" w:space="0"/>
            </w:tcBorders>
            <w:vAlign w:val="center"/>
          </w:tcPr>
          <w:p w14:paraId="2784C4B3">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nil"/>
              <w:right w:val="single" w:color="auto" w:sz="4" w:space="0"/>
            </w:tcBorders>
            <w:noWrap/>
            <w:vAlign w:val="center"/>
          </w:tcPr>
          <w:p w14:paraId="55D9CF1C">
            <w:pPr>
              <w:spacing w:line="240" w:lineRule="auto"/>
              <w:jc w:val="center"/>
              <w:rPr>
                <w:rFonts w:ascii="Arial" w:hAnsi="Arial" w:cs="Arial"/>
                <w:snapToGrid w:val="0"/>
                <w:sz w:val="16"/>
              </w:rPr>
            </w:pPr>
            <w:r>
              <w:rPr>
                <w:rFonts w:ascii="Arial" w:hAnsi="Arial" w:cs="Arial"/>
                <w:snapToGrid w:val="0"/>
                <w:sz w:val="16"/>
              </w:rPr>
              <w:t>　</w:t>
            </w:r>
          </w:p>
        </w:tc>
        <w:tc>
          <w:tcPr>
            <w:tcW w:w="1817" w:type="pct"/>
            <w:tcBorders>
              <w:top w:val="nil"/>
              <w:left w:val="nil"/>
              <w:bottom w:val="nil"/>
              <w:right w:val="single" w:color="auto" w:sz="4" w:space="0"/>
            </w:tcBorders>
            <w:vAlign w:val="center"/>
          </w:tcPr>
          <w:p w14:paraId="6E8CC250">
            <w:pPr>
              <w:widowControl/>
              <w:adjustRightInd/>
              <w:spacing w:line="240" w:lineRule="auto"/>
              <w:textAlignment w:val="auto"/>
              <w:rPr>
                <w:rFonts w:ascii="Arial" w:hAnsi="Arial" w:cs="Arial"/>
                <w:snapToGrid w:val="0"/>
                <w:sz w:val="16"/>
              </w:rPr>
            </w:pPr>
            <w:r>
              <w:rPr>
                <w:rFonts w:ascii="Arial" w:hAnsi="Arial" w:cs="Arial"/>
                <w:snapToGrid w:val="0"/>
                <w:sz w:val="16"/>
              </w:rPr>
              <w:t>[1-（(1+g)/(1+Y)） ^n ]/(Y-g)</w:t>
            </w:r>
          </w:p>
        </w:tc>
        <w:tc>
          <w:tcPr>
            <w:tcW w:w="781" w:type="pct"/>
            <w:tcBorders>
              <w:top w:val="nil"/>
              <w:left w:val="nil"/>
              <w:bottom w:val="single" w:color="auto" w:sz="4" w:space="0"/>
              <w:right w:val="single" w:color="auto" w:sz="4" w:space="0"/>
            </w:tcBorders>
            <w:noWrap/>
            <w:vAlign w:val="center"/>
          </w:tcPr>
          <w:p w14:paraId="7FC69778">
            <w:pPr>
              <w:widowControl/>
              <w:adjustRightInd/>
              <w:spacing w:line="240" w:lineRule="auto"/>
              <w:textAlignment w:val="auto"/>
              <w:rPr>
                <w:rFonts w:ascii="Arial" w:hAnsi="Arial" w:cs="Arial"/>
                <w:snapToGrid w:val="0"/>
                <w:sz w:val="16"/>
              </w:rPr>
            </w:pPr>
            <w:r>
              <w:rPr>
                <w:rFonts w:ascii="Arial" w:hAnsi="Arial" w:cs="Arial"/>
                <w:snapToGrid w:val="0"/>
                <w:sz w:val="16"/>
              </w:rPr>
              <w:t>收益年期(n)</w:t>
            </w:r>
          </w:p>
        </w:tc>
        <w:tc>
          <w:tcPr>
            <w:tcW w:w="465" w:type="pct"/>
            <w:tcBorders>
              <w:top w:val="nil"/>
              <w:left w:val="nil"/>
              <w:bottom w:val="single" w:color="auto" w:sz="4" w:space="0"/>
              <w:right w:val="single" w:color="auto" w:sz="8" w:space="0"/>
            </w:tcBorders>
            <w:noWrap/>
            <w:vAlign w:val="center"/>
          </w:tcPr>
          <w:p w14:paraId="6C779437">
            <w:pPr>
              <w:widowControl/>
              <w:adjustRightInd/>
              <w:spacing w:line="240" w:lineRule="auto"/>
              <w:textAlignment w:val="auto"/>
              <w:rPr>
                <w:rFonts w:ascii="Arial" w:hAnsi="Arial" w:cs="Arial"/>
                <w:snapToGrid w:val="0"/>
                <w:sz w:val="16"/>
              </w:rPr>
            </w:pPr>
            <w:r>
              <w:rPr>
                <w:rFonts w:hint="eastAsia" w:ascii="Arial" w:hAnsi="Arial" w:cs="Arial"/>
                <w:snapToGrid w:val="0"/>
                <w:sz w:val="16"/>
              </w:rPr>
              <w:t>47.5</w:t>
            </w:r>
            <w:r>
              <w:rPr>
                <w:rFonts w:ascii="Arial" w:hAnsi="Arial" w:cs="Arial"/>
                <w:snapToGrid w:val="0"/>
                <w:sz w:val="16"/>
              </w:rPr>
              <w:t xml:space="preserve"> </w:t>
            </w:r>
          </w:p>
        </w:tc>
      </w:tr>
      <w:tr w14:paraId="76D8F30A">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4" w:space="0"/>
              <w:right w:val="single" w:color="auto" w:sz="4" w:space="0"/>
            </w:tcBorders>
            <w:noWrap/>
            <w:vAlign w:val="center"/>
          </w:tcPr>
          <w:p w14:paraId="52A95C4F">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15" w:type="pct"/>
            <w:tcBorders>
              <w:top w:val="nil"/>
              <w:left w:val="nil"/>
              <w:bottom w:val="single" w:color="auto" w:sz="4" w:space="0"/>
              <w:right w:val="single" w:color="auto" w:sz="4" w:space="0"/>
            </w:tcBorders>
            <w:vAlign w:val="center"/>
          </w:tcPr>
          <w:p w14:paraId="643ECA4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single" w:color="auto" w:sz="4" w:space="0"/>
              <w:right w:val="single" w:color="auto" w:sz="4" w:space="0"/>
            </w:tcBorders>
            <w:noWrap/>
            <w:vAlign w:val="center"/>
          </w:tcPr>
          <w:p w14:paraId="37E51AEE">
            <w:pPr>
              <w:spacing w:line="240" w:lineRule="auto"/>
              <w:jc w:val="center"/>
              <w:rPr>
                <w:rFonts w:ascii="Arial" w:hAnsi="Arial" w:cs="Arial"/>
                <w:snapToGrid w:val="0"/>
                <w:sz w:val="16"/>
              </w:rPr>
            </w:pPr>
            <w:r>
              <w:rPr>
                <w:rFonts w:ascii="Arial" w:hAnsi="Arial" w:cs="Arial"/>
                <w:snapToGrid w:val="0"/>
                <w:sz w:val="16"/>
              </w:rPr>
              <w:t>　</w:t>
            </w:r>
          </w:p>
        </w:tc>
        <w:tc>
          <w:tcPr>
            <w:tcW w:w="1817" w:type="pct"/>
            <w:tcBorders>
              <w:top w:val="nil"/>
              <w:left w:val="nil"/>
              <w:bottom w:val="single" w:color="auto" w:sz="4" w:space="0"/>
              <w:right w:val="single" w:color="auto" w:sz="4" w:space="0"/>
            </w:tcBorders>
            <w:vAlign w:val="center"/>
          </w:tcPr>
          <w:p w14:paraId="6432A194">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1" w:type="pct"/>
            <w:tcBorders>
              <w:top w:val="nil"/>
              <w:left w:val="nil"/>
              <w:bottom w:val="single" w:color="auto" w:sz="4" w:space="0"/>
              <w:right w:val="single" w:color="auto" w:sz="4" w:space="0"/>
            </w:tcBorders>
            <w:noWrap/>
            <w:vAlign w:val="center"/>
          </w:tcPr>
          <w:p w14:paraId="1FD11EDE">
            <w:pPr>
              <w:widowControl/>
              <w:adjustRightInd/>
              <w:spacing w:line="240" w:lineRule="auto"/>
              <w:textAlignment w:val="auto"/>
              <w:rPr>
                <w:rFonts w:ascii="Arial" w:hAnsi="Arial" w:cs="Arial"/>
                <w:snapToGrid w:val="0"/>
                <w:sz w:val="16"/>
              </w:rPr>
            </w:pPr>
            <w:r>
              <w:rPr>
                <w:rFonts w:ascii="Arial" w:hAnsi="Arial" w:cs="Arial"/>
                <w:snapToGrid w:val="0"/>
                <w:sz w:val="16"/>
              </w:rPr>
              <w:t>年增长比率(g)</w:t>
            </w:r>
          </w:p>
        </w:tc>
        <w:tc>
          <w:tcPr>
            <w:tcW w:w="465" w:type="pct"/>
            <w:tcBorders>
              <w:top w:val="nil"/>
              <w:left w:val="nil"/>
              <w:bottom w:val="single" w:color="auto" w:sz="4" w:space="0"/>
              <w:right w:val="single" w:color="auto" w:sz="8" w:space="0"/>
            </w:tcBorders>
            <w:noWrap/>
            <w:vAlign w:val="center"/>
          </w:tcPr>
          <w:p w14:paraId="26E69A87">
            <w:pPr>
              <w:widowControl/>
              <w:adjustRightInd/>
              <w:spacing w:line="240" w:lineRule="auto"/>
              <w:textAlignment w:val="auto"/>
              <w:rPr>
                <w:rFonts w:ascii="Arial" w:hAnsi="Arial" w:cs="Arial"/>
                <w:snapToGrid w:val="0"/>
                <w:sz w:val="16"/>
              </w:rPr>
            </w:pPr>
            <w:r>
              <w:rPr>
                <w:rFonts w:ascii="Arial" w:hAnsi="Arial" w:cs="Arial"/>
                <w:snapToGrid w:val="0"/>
                <w:sz w:val="16"/>
              </w:rPr>
              <w:t>1.0%</w:t>
            </w:r>
          </w:p>
        </w:tc>
      </w:tr>
      <w:tr w14:paraId="2CFFD710">
        <w:tblPrEx>
          <w:tblCellMar>
            <w:top w:w="0" w:type="dxa"/>
            <w:left w:w="108" w:type="dxa"/>
            <w:bottom w:w="0" w:type="dxa"/>
            <w:right w:w="108" w:type="dxa"/>
          </w:tblCellMar>
        </w:tblPrEx>
        <w:trPr>
          <w:trHeight w:val="360" w:hRule="atLeast"/>
        </w:trPr>
        <w:tc>
          <w:tcPr>
            <w:tcW w:w="411" w:type="pct"/>
            <w:tcBorders>
              <w:top w:val="nil"/>
              <w:left w:val="single" w:color="auto" w:sz="8" w:space="0"/>
              <w:bottom w:val="single" w:color="auto" w:sz="8" w:space="0"/>
              <w:right w:val="single" w:color="auto" w:sz="4" w:space="0"/>
            </w:tcBorders>
            <w:noWrap/>
            <w:vAlign w:val="center"/>
          </w:tcPr>
          <w:p w14:paraId="3A48924F">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15" w:type="pct"/>
            <w:tcBorders>
              <w:top w:val="nil"/>
              <w:left w:val="nil"/>
              <w:bottom w:val="single" w:color="auto" w:sz="8" w:space="0"/>
              <w:right w:val="single" w:color="auto" w:sz="4" w:space="0"/>
            </w:tcBorders>
            <w:noWrap/>
            <w:vAlign w:val="center"/>
          </w:tcPr>
          <w:p w14:paraId="25C4D73D">
            <w:pPr>
              <w:widowControl/>
              <w:adjustRightInd/>
              <w:spacing w:line="240" w:lineRule="auto"/>
              <w:textAlignment w:val="auto"/>
              <w:rPr>
                <w:rFonts w:ascii="Arial" w:hAnsi="Arial" w:cs="Arial"/>
                <w:snapToGrid w:val="0"/>
                <w:sz w:val="16"/>
              </w:rPr>
            </w:pPr>
            <w:r>
              <w:rPr>
                <w:rFonts w:ascii="Arial" w:hAnsi="Arial" w:cs="Arial"/>
                <w:snapToGrid w:val="0"/>
                <w:sz w:val="16"/>
              </w:rPr>
              <w:t>单价(元/平方米)</w:t>
            </w:r>
          </w:p>
        </w:tc>
        <w:tc>
          <w:tcPr>
            <w:tcW w:w="510" w:type="pct"/>
            <w:tcBorders>
              <w:top w:val="nil"/>
              <w:left w:val="nil"/>
              <w:bottom w:val="single" w:color="auto" w:sz="8" w:space="0"/>
              <w:right w:val="single" w:color="auto" w:sz="4" w:space="0"/>
            </w:tcBorders>
            <w:noWrap/>
            <w:vAlign w:val="center"/>
          </w:tcPr>
          <w:p w14:paraId="51BB5B79">
            <w:pPr>
              <w:spacing w:line="240" w:lineRule="auto"/>
              <w:jc w:val="center"/>
              <w:rPr>
                <w:rFonts w:ascii="Arial" w:hAnsi="Arial" w:cs="Arial"/>
                <w:snapToGrid w:val="0"/>
                <w:sz w:val="16"/>
              </w:rPr>
            </w:pPr>
            <w:r>
              <w:rPr>
                <w:rFonts w:hint="eastAsia" w:ascii="Arial" w:hAnsi="Arial" w:cs="Arial"/>
                <w:snapToGrid w:val="0"/>
                <w:sz w:val="16"/>
              </w:rPr>
              <w:t>911</w:t>
            </w:r>
          </w:p>
        </w:tc>
        <w:tc>
          <w:tcPr>
            <w:tcW w:w="1817" w:type="pct"/>
            <w:tcBorders>
              <w:top w:val="nil"/>
              <w:left w:val="nil"/>
              <w:bottom w:val="single" w:color="auto" w:sz="8" w:space="0"/>
              <w:right w:val="single" w:color="auto" w:sz="4" w:space="0"/>
            </w:tcBorders>
            <w:noWrap/>
            <w:vAlign w:val="center"/>
          </w:tcPr>
          <w:p w14:paraId="5A0716AC">
            <w:pPr>
              <w:widowControl/>
              <w:adjustRightInd/>
              <w:spacing w:line="240" w:lineRule="auto"/>
              <w:textAlignment w:val="auto"/>
              <w:rPr>
                <w:rFonts w:ascii="Arial" w:hAnsi="Arial" w:cs="Arial"/>
                <w:snapToGrid w:val="0"/>
                <w:sz w:val="16"/>
              </w:rPr>
            </w:pPr>
            <w:r>
              <w:rPr>
                <w:rFonts w:ascii="Arial" w:hAnsi="Arial" w:cs="Arial"/>
                <w:snapToGrid w:val="0"/>
                <w:sz w:val="16"/>
              </w:rPr>
              <w:t>收益价值÷建筑面积</w:t>
            </w:r>
          </w:p>
        </w:tc>
        <w:tc>
          <w:tcPr>
            <w:tcW w:w="781" w:type="pct"/>
            <w:tcBorders>
              <w:top w:val="nil"/>
              <w:left w:val="nil"/>
              <w:bottom w:val="single" w:color="auto" w:sz="8" w:space="0"/>
              <w:right w:val="single" w:color="auto" w:sz="4" w:space="0"/>
            </w:tcBorders>
            <w:noWrap/>
            <w:vAlign w:val="center"/>
          </w:tcPr>
          <w:p w14:paraId="6C0018E0">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p>
        </w:tc>
        <w:tc>
          <w:tcPr>
            <w:tcW w:w="465" w:type="pct"/>
            <w:tcBorders>
              <w:top w:val="nil"/>
              <w:left w:val="nil"/>
              <w:bottom w:val="single" w:color="auto" w:sz="8" w:space="0"/>
              <w:right w:val="single" w:color="auto" w:sz="8" w:space="0"/>
            </w:tcBorders>
            <w:noWrap/>
            <w:vAlign w:val="center"/>
          </w:tcPr>
          <w:p w14:paraId="1505E614">
            <w:pPr>
              <w:widowControl/>
              <w:adjustRightInd/>
              <w:spacing w:line="240" w:lineRule="auto"/>
              <w:textAlignment w:val="auto"/>
              <w:rPr>
                <w:rFonts w:ascii="Arial" w:hAnsi="Arial" w:cs="Arial"/>
                <w:snapToGrid w:val="0"/>
                <w:sz w:val="16"/>
              </w:rPr>
            </w:pPr>
            <w:r>
              <w:rPr>
                <w:rFonts w:hint="eastAsia" w:ascii="Arial" w:hAnsi="Arial" w:cs="Arial"/>
                <w:snapToGrid w:val="0"/>
                <w:sz w:val="16"/>
              </w:rPr>
              <w:t>5556</w:t>
            </w:r>
          </w:p>
        </w:tc>
      </w:tr>
    </w:tbl>
    <w:p w14:paraId="63F6F978">
      <w:pPr>
        <w:pStyle w:val="29"/>
        <w:ind w:firstLine="560"/>
        <w:jc w:val="both"/>
        <w:rPr>
          <w:rFonts w:ascii="Arial" w:hAnsi="Arial" w:cs="Arial"/>
          <w:sz w:val="28"/>
          <w:szCs w:val="20"/>
        </w:rPr>
      </w:pPr>
    </w:p>
    <w:p w14:paraId="53F20B71">
      <w:pPr>
        <w:spacing w:line="360" w:lineRule="auto"/>
        <w:ind w:firstLine="560" w:firstLineChars="200"/>
        <w:jc w:val="both"/>
        <w:rPr>
          <w:rFonts w:ascii="Arial" w:hAnsi="Arial" w:cs="Arial"/>
          <w:bCs/>
          <w:sz w:val="28"/>
        </w:rPr>
      </w:pPr>
      <w:r>
        <w:rPr>
          <w:rFonts w:ascii="Arial" w:hAnsi="Arial" w:cs="Arial"/>
          <w:sz w:val="28"/>
        </w:rPr>
        <w:t>4）开发完成后不动产总价</w:t>
      </w:r>
    </w:p>
    <w:p w14:paraId="479FDF75">
      <w:pPr>
        <w:spacing w:line="360" w:lineRule="auto"/>
        <w:ind w:firstLine="560" w:firstLineChars="200"/>
        <w:jc w:val="both"/>
        <w:rPr>
          <w:rFonts w:ascii="Arial" w:hAnsi="Arial" w:cs="Arial"/>
          <w:sz w:val="28"/>
        </w:rPr>
      </w:pPr>
      <w:r>
        <w:rPr>
          <w:rFonts w:hint="eastAsia" w:ascii="Arial" w:hAnsi="Arial" w:cs="Arial"/>
          <w:sz w:val="28"/>
        </w:rPr>
        <w:t>咨询</w:t>
      </w:r>
      <w:r>
        <w:rPr>
          <w:rFonts w:ascii="Arial" w:hAnsi="Arial" w:cs="Arial"/>
          <w:sz w:val="28"/>
        </w:rPr>
        <w:t>对象开发完成后不动产总价为前述各用途用房开发完成后的不动产总价之和。则有：</w:t>
      </w:r>
    </w:p>
    <w:p w14:paraId="05380214">
      <w:pPr>
        <w:spacing w:line="360" w:lineRule="auto"/>
        <w:ind w:firstLine="560" w:firstLineChars="200"/>
        <w:jc w:val="both"/>
        <w:rPr>
          <w:rFonts w:ascii="Arial" w:hAnsi="Arial" w:cs="Arial"/>
          <w:sz w:val="28"/>
        </w:rPr>
      </w:pPr>
      <w:r>
        <w:rPr>
          <w:rFonts w:ascii="Arial" w:hAnsi="Arial" w:cs="Arial"/>
          <w:sz w:val="28"/>
        </w:rPr>
        <w:t>开发完成后不动产总价＝</w:t>
      </w:r>
      <w:r>
        <w:rPr>
          <w:rFonts w:hint="eastAsia" w:ascii="Arial" w:hAnsi="Arial" w:cs="Arial"/>
          <w:sz w:val="28"/>
        </w:rPr>
        <w:t>22522</w:t>
      </w:r>
      <w:r>
        <w:rPr>
          <w:rFonts w:ascii="Arial" w:hAnsi="Arial" w:cs="Arial"/>
          <w:sz w:val="28"/>
        </w:rPr>
        <w:t>+</w:t>
      </w:r>
      <w:r>
        <w:rPr>
          <w:rFonts w:hint="eastAsia" w:ascii="Arial" w:hAnsi="Arial" w:cs="Arial"/>
          <w:sz w:val="28"/>
        </w:rPr>
        <w:t>701</w:t>
      </w:r>
      <w:r>
        <w:rPr>
          <w:rFonts w:ascii="Arial" w:hAnsi="Arial" w:cs="Arial"/>
          <w:sz w:val="28"/>
        </w:rPr>
        <w:t>+</w:t>
      </w:r>
      <w:r>
        <w:rPr>
          <w:rFonts w:hint="eastAsia" w:ascii="Arial" w:hAnsi="Arial" w:cs="Arial"/>
          <w:sz w:val="28"/>
        </w:rPr>
        <w:t>506</w:t>
      </w:r>
      <w:r>
        <w:rPr>
          <w:rFonts w:ascii="Arial" w:hAnsi="Arial" w:cs="Arial"/>
          <w:sz w:val="28"/>
        </w:rPr>
        <w:t>＝</w:t>
      </w:r>
      <w:r>
        <w:rPr>
          <w:rFonts w:hint="eastAsia" w:ascii="Arial" w:hAnsi="Arial" w:cs="Arial"/>
          <w:sz w:val="28"/>
        </w:rPr>
        <w:t>23729</w:t>
      </w:r>
      <w:r>
        <w:rPr>
          <w:rFonts w:ascii="Arial" w:hAnsi="Arial" w:cs="Arial"/>
          <w:sz w:val="28"/>
        </w:rPr>
        <w:t>(万元)</w:t>
      </w:r>
    </w:p>
    <w:p w14:paraId="31533704">
      <w:pPr>
        <w:spacing w:line="360" w:lineRule="auto"/>
        <w:ind w:firstLine="560" w:firstLineChars="200"/>
        <w:jc w:val="both"/>
        <w:rPr>
          <w:rFonts w:ascii="Arial" w:hAnsi="Arial" w:cs="Arial"/>
          <w:sz w:val="28"/>
        </w:rPr>
      </w:pPr>
      <w:r>
        <w:rPr>
          <w:rFonts w:ascii="Arial" w:hAnsi="Arial" w:cs="Arial"/>
          <w:sz w:val="28"/>
        </w:rPr>
        <w:t>（3）求取土地使用权价格</w:t>
      </w:r>
    </w:p>
    <w:tbl>
      <w:tblPr>
        <w:tblStyle w:val="32"/>
        <w:tblW w:w="5000" w:type="pct"/>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autofit"/>
        <w:tblCellMar>
          <w:top w:w="57" w:type="dxa"/>
          <w:left w:w="28" w:type="dxa"/>
          <w:bottom w:w="57" w:type="dxa"/>
          <w:right w:w="28" w:type="dxa"/>
        </w:tblCellMar>
      </w:tblPr>
      <w:tblGrid>
        <w:gridCol w:w="544"/>
        <w:gridCol w:w="3017"/>
        <w:gridCol w:w="1318"/>
        <w:gridCol w:w="1101"/>
        <w:gridCol w:w="815"/>
        <w:gridCol w:w="2560"/>
      </w:tblGrid>
      <w:tr w14:paraId="79D10FD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6651CA73">
            <w:pPr>
              <w:widowControl/>
              <w:adjustRightInd/>
              <w:spacing w:line="240" w:lineRule="auto"/>
              <w:rPr>
                <w:rFonts w:ascii="Arial" w:hAnsi="Arial" w:cs="Arial"/>
                <w:bCs/>
                <w:sz w:val="18"/>
                <w:szCs w:val="18"/>
              </w:rPr>
            </w:pPr>
            <w:r>
              <w:rPr>
                <w:rFonts w:ascii="Arial" w:hAnsi="Arial" w:cs="Arial"/>
                <w:bCs/>
                <w:sz w:val="18"/>
                <w:szCs w:val="18"/>
              </w:rPr>
              <w:t>序号</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635BC43E">
            <w:pPr>
              <w:widowControl/>
              <w:adjustRightInd/>
              <w:spacing w:line="240" w:lineRule="auto"/>
              <w:rPr>
                <w:rFonts w:ascii="Arial" w:hAnsi="Arial" w:cs="Arial"/>
                <w:bCs/>
                <w:sz w:val="18"/>
                <w:szCs w:val="18"/>
              </w:rPr>
            </w:pPr>
            <w:r>
              <w:rPr>
                <w:rFonts w:ascii="Arial" w:hAnsi="Arial" w:cs="Arial"/>
                <w:bCs/>
                <w:sz w:val="18"/>
                <w:szCs w:val="18"/>
              </w:rPr>
              <w:t>项目名称</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502D1882">
            <w:pPr>
              <w:widowControl/>
              <w:adjustRightInd/>
              <w:spacing w:line="240" w:lineRule="auto"/>
              <w:rPr>
                <w:rFonts w:ascii="Arial" w:hAnsi="Arial" w:cs="Arial"/>
                <w:bCs/>
                <w:sz w:val="18"/>
                <w:szCs w:val="18"/>
              </w:rPr>
            </w:pPr>
            <w:r>
              <w:rPr>
                <w:rFonts w:ascii="Arial" w:hAnsi="Arial" w:cs="Arial"/>
                <w:bCs/>
                <w:sz w:val="18"/>
                <w:szCs w:val="18"/>
              </w:rPr>
              <w:t>总额</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5C7C20A7">
            <w:pPr>
              <w:widowControl/>
              <w:adjustRightInd/>
              <w:spacing w:line="240" w:lineRule="auto"/>
              <w:rPr>
                <w:rFonts w:ascii="Arial" w:hAnsi="Arial" w:cs="Arial"/>
                <w:bCs/>
                <w:sz w:val="18"/>
                <w:szCs w:val="18"/>
              </w:rPr>
            </w:pPr>
            <w:r>
              <w:rPr>
                <w:rFonts w:ascii="Arial" w:hAnsi="Arial" w:cs="Arial"/>
                <w:bCs/>
                <w:sz w:val="18"/>
                <w:szCs w:val="18"/>
              </w:rPr>
              <w:t>面积</w:t>
            </w: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7B3686CA">
            <w:pPr>
              <w:widowControl/>
              <w:adjustRightInd/>
              <w:spacing w:line="240" w:lineRule="auto"/>
              <w:rPr>
                <w:rFonts w:ascii="Arial" w:hAnsi="Arial" w:cs="Arial"/>
                <w:bCs/>
                <w:sz w:val="18"/>
                <w:szCs w:val="18"/>
              </w:rPr>
            </w:pPr>
            <w:r>
              <w:rPr>
                <w:rFonts w:ascii="Arial" w:hAnsi="Arial" w:cs="Arial"/>
                <w:bCs/>
                <w:sz w:val="18"/>
                <w:szCs w:val="18"/>
              </w:rPr>
              <w:t>相关系数</w:t>
            </w:r>
          </w:p>
        </w:tc>
        <w:tc>
          <w:tcPr>
            <w:tcW w:w="1401" w:type="pct"/>
            <w:tcBorders>
              <w:top w:val="single" w:color="404040" w:sz="2" w:space="0"/>
              <w:left w:val="single" w:color="404040" w:sz="2" w:space="0"/>
              <w:bottom w:val="single" w:color="404040" w:sz="2" w:space="0"/>
              <w:right w:val="single" w:color="404040" w:sz="2" w:space="0"/>
            </w:tcBorders>
          </w:tcPr>
          <w:p w14:paraId="6C513E02">
            <w:pPr>
              <w:widowControl/>
              <w:adjustRightInd/>
              <w:spacing w:line="240" w:lineRule="auto"/>
              <w:rPr>
                <w:rFonts w:ascii="Arial" w:hAnsi="Arial" w:cs="Arial"/>
                <w:bCs/>
                <w:sz w:val="18"/>
                <w:szCs w:val="18"/>
              </w:rPr>
            </w:pPr>
            <w:r>
              <w:rPr>
                <w:rFonts w:ascii="Arial" w:hAnsi="Arial" w:cs="Arial"/>
                <w:bCs/>
                <w:sz w:val="18"/>
                <w:szCs w:val="18"/>
              </w:rPr>
              <w:t>备注</w:t>
            </w:r>
          </w:p>
        </w:tc>
      </w:tr>
      <w:tr w14:paraId="6ABE2CE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1E59720C">
            <w:pPr>
              <w:widowControl/>
              <w:adjustRightInd/>
              <w:spacing w:line="240" w:lineRule="auto"/>
              <w:rPr>
                <w:rFonts w:ascii="Arial" w:hAnsi="Arial" w:cs="Arial"/>
                <w:bCs/>
                <w:sz w:val="18"/>
                <w:szCs w:val="18"/>
              </w:rPr>
            </w:pPr>
            <w:r>
              <w:rPr>
                <w:rFonts w:ascii="Arial" w:hAnsi="Arial" w:cs="Arial"/>
                <w:bCs/>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6964341F">
            <w:pPr>
              <w:widowControl/>
              <w:adjustRightInd/>
              <w:spacing w:line="240" w:lineRule="auto"/>
              <w:rPr>
                <w:rFonts w:ascii="Arial" w:hAnsi="Arial" w:cs="Arial"/>
                <w:bCs/>
                <w:sz w:val="18"/>
                <w:szCs w:val="18"/>
              </w:rPr>
            </w:pPr>
            <w:r>
              <w:rPr>
                <w:rFonts w:ascii="Arial" w:hAnsi="Arial" w:cs="Arial"/>
                <w:bCs/>
                <w:sz w:val="18"/>
                <w:szCs w:val="18"/>
              </w:rPr>
              <w:t>开发完成后不动产总价</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4029BBEA">
            <w:pPr>
              <w:widowControl/>
              <w:adjustRightInd/>
              <w:spacing w:line="240" w:lineRule="auto"/>
              <w:rPr>
                <w:rFonts w:ascii="Arial" w:hAnsi="Arial" w:cs="Arial"/>
                <w:bCs/>
                <w:sz w:val="18"/>
                <w:szCs w:val="18"/>
              </w:rPr>
            </w:pPr>
            <w:r>
              <w:rPr>
                <w:rFonts w:hint="eastAsia" w:ascii="Arial" w:hAnsi="Arial" w:cs="Arial"/>
                <w:bCs/>
                <w:sz w:val="18"/>
                <w:szCs w:val="18"/>
              </w:rPr>
              <w:t>23729</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5FE903E6">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6F8E176C">
            <w:pPr>
              <w:widowControl/>
              <w:adjustRightInd/>
              <w:spacing w:line="240" w:lineRule="auto"/>
              <w:rPr>
                <w:rFonts w:ascii="Arial" w:hAnsi="Arial" w:cs="Arial"/>
                <w:bCs/>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348482C4">
            <w:pPr>
              <w:widowControl/>
              <w:adjustRightInd/>
              <w:spacing w:line="240" w:lineRule="auto"/>
              <w:rPr>
                <w:rFonts w:ascii="Arial" w:hAnsi="Arial" w:cs="Arial"/>
                <w:bCs/>
                <w:sz w:val="18"/>
                <w:szCs w:val="18"/>
              </w:rPr>
            </w:pPr>
          </w:p>
        </w:tc>
      </w:tr>
      <w:tr w14:paraId="6EB8999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PrEx>
        <w:trPr>
          <w:cantSplit/>
          <w:jc w:val="center"/>
        </w:trPr>
        <w:tc>
          <w:tcPr>
            <w:tcW w:w="324" w:type="pct"/>
            <w:tcBorders>
              <w:top w:val="single" w:color="404040" w:sz="2" w:space="0"/>
              <w:left w:val="single" w:color="404040" w:sz="2" w:space="0"/>
              <w:bottom w:val="single" w:color="404040" w:sz="2" w:space="0"/>
              <w:right w:val="single" w:color="404040" w:sz="2" w:space="0"/>
            </w:tcBorders>
            <w:vAlign w:val="center"/>
          </w:tcPr>
          <w:p w14:paraId="5969F1EC">
            <w:pPr>
              <w:widowControl/>
              <w:adjustRightInd/>
              <w:spacing w:line="240" w:lineRule="auto"/>
              <w:rPr>
                <w:rFonts w:ascii="Arial" w:hAnsi="Arial" w:cs="Arial"/>
                <w:bCs/>
                <w:sz w:val="18"/>
                <w:szCs w:val="18"/>
              </w:rPr>
            </w:pPr>
            <w:r>
              <w:rPr>
                <w:rFonts w:ascii="Arial" w:hAnsi="Arial" w:cs="Arial"/>
                <w:bCs/>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50880C4A">
            <w:pPr>
              <w:widowControl/>
              <w:adjustRightInd/>
              <w:spacing w:line="240" w:lineRule="auto"/>
              <w:rPr>
                <w:rFonts w:ascii="Arial" w:hAnsi="Arial" w:cs="Arial"/>
                <w:bCs/>
                <w:sz w:val="18"/>
                <w:szCs w:val="18"/>
              </w:rPr>
            </w:pPr>
            <w:r>
              <w:rPr>
                <w:rFonts w:ascii="Arial" w:hAnsi="Arial" w:cs="Arial"/>
                <w:bCs/>
                <w:sz w:val="18"/>
                <w:szCs w:val="18"/>
              </w:rPr>
              <w:t>开发成本</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2F863ED4">
            <w:pPr>
              <w:widowControl/>
              <w:adjustRightInd/>
              <w:spacing w:line="240" w:lineRule="auto"/>
              <w:rPr>
                <w:rFonts w:ascii="Arial" w:hAnsi="Arial" w:cs="Arial"/>
                <w:bCs/>
                <w:sz w:val="18"/>
                <w:szCs w:val="18"/>
              </w:rPr>
            </w:pPr>
            <w:r>
              <w:rPr>
                <w:rFonts w:hint="eastAsia" w:ascii="Arial" w:hAnsi="Arial" w:cs="Arial"/>
                <w:bCs/>
                <w:sz w:val="18"/>
                <w:szCs w:val="18"/>
              </w:rPr>
              <w:t>21118</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4A883AF0">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65933FD5">
            <w:pPr>
              <w:widowControl/>
              <w:adjustRightInd/>
              <w:spacing w:line="240" w:lineRule="auto"/>
              <w:rPr>
                <w:rFonts w:ascii="Arial" w:hAnsi="Arial" w:cs="Arial"/>
                <w:bCs/>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43E02D00">
            <w:pPr>
              <w:widowControl/>
              <w:adjustRightInd/>
              <w:spacing w:line="240" w:lineRule="auto"/>
              <w:rPr>
                <w:rFonts w:ascii="Arial" w:hAnsi="Arial" w:cs="Arial"/>
                <w:bCs/>
                <w:sz w:val="18"/>
                <w:szCs w:val="18"/>
              </w:rPr>
            </w:pPr>
            <w:r>
              <w:rPr>
                <w:rFonts w:ascii="Arial" w:hAnsi="Arial" w:cs="Arial"/>
                <w:bCs/>
                <w:sz w:val="18"/>
                <w:szCs w:val="18"/>
              </w:rPr>
              <w:t>（1）-（8）之和</w:t>
            </w:r>
          </w:p>
        </w:tc>
      </w:tr>
      <w:tr w14:paraId="7EA0D43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6AC2290A">
            <w:pPr>
              <w:widowControl/>
              <w:adjustRightInd/>
              <w:spacing w:line="240" w:lineRule="auto"/>
              <w:rPr>
                <w:rFonts w:ascii="Arial" w:hAnsi="Arial" w:cs="Arial"/>
                <w:bCs/>
                <w:sz w:val="18"/>
                <w:szCs w:val="18"/>
              </w:rPr>
            </w:pPr>
            <w:r>
              <w:rPr>
                <w:rFonts w:ascii="Arial" w:hAnsi="Arial" w:cs="Arial"/>
                <w:bCs/>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535E8648">
            <w:pPr>
              <w:widowControl/>
              <w:adjustRightInd/>
              <w:spacing w:line="240" w:lineRule="auto"/>
              <w:rPr>
                <w:rFonts w:ascii="Arial" w:hAnsi="Arial" w:cs="Arial"/>
                <w:bCs/>
                <w:sz w:val="18"/>
                <w:szCs w:val="18"/>
              </w:rPr>
            </w:pPr>
            <w:r>
              <w:rPr>
                <w:rFonts w:ascii="Arial" w:hAnsi="Arial" w:cs="Arial"/>
                <w:bCs/>
                <w:sz w:val="18"/>
                <w:szCs w:val="18"/>
              </w:rPr>
              <w:t>房屋建造成本</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1C5797A7">
            <w:pPr>
              <w:widowControl/>
              <w:adjustRightInd/>
              <w:spacing w:line="240" w:lineRule="auto"/>
              <w:rPr>
                <w:rFonts w:ascii="Arial" w:hAnsi="Arial" w:cs="Arial"/>
                <w:bCs/>
                <w:sz w:val="18"/>
                <w:szCs w:val="18"/>
              </w:rPr>
            </w:pPr>
            <w:r>
              <w:rPr>
                <w:rFonts w:hint="eastAsia" w:ascii="Arial" w:hAnsi="Arial" w:cs="Arial"/>
                <w:bCs/>
                <w:sz w:val="18"/>
                <w:szCs w:val="18"/>
              </w:rPr>
              <w:t>17501</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47C5BD10">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7B3E7DAD">
            <w:pPr>
              <w:widowControl/>
              <w:adjustRightInd/>
              <w:spacing w:line="240" w:lineRule="auto"/>
              <w:rPr>
                <w:rFonts w:ascii="Arial" w:hAnsi="Arial" w:cs="Arial"/>
                <w:bCs/>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11B9D60A">
            <w:pPr>
              <w:widowControl/>
              <w:adjustRightInd/>
              <w:spacing w:line="240" w:lineRule="auto"/>
              <w:rPr>
                <w:rFonts w:ascii="Arial" w:hAnsi="Arial" w:cs="Arial"/>
                <w:sz w:val="18"/>
                <w:szCs w:val="18"/>
              </w:rPr>
            </w:pPr>
            <w:r>
              <w:rPr>
                <w:rFonts w:ascii="Arial" w:hAnsi="Arial" w:cs="Arial"/>
                <w:sz w:val="18"/>
                <w:szCs w:val="18"/>
              </w:rPr>
              <w:t>下述5项之和</w:t>
            </w:r>
          </w:p>
        </w:tc>
      </w:tr>
      <w:tr w14:paraId="286CC20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3526760F">
            <w:pPr>
              <w:widowControl/>
              <w:adjustRightInd/>
              <w:spacing w:line="240" w:lineRule="auto"/>
              <w:jc w:val="right"/>
              <w:rPr>
                <w:rFonts w:ascii="Arial" w:hAnsi="Arial" w:cs="Arial"/>
                <w:sz w:val="18"/>
                <w:szCs w:val="18"/>
              </w:rPr>
            </w:pPr>
            <w:r>
              <w:rPr>
                <w:rFonts w:ascii="Arial" w:hAnsi="Arial" w:cs="Arial"/>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05F67845">
            <w:pPr>
              <w:widowControl/>
              <w:adjustRightInd/>
              <w:spacing w:line="240" w:lineRule="auto"/>
              <w:rPr>
                <w:rFonts w:ascii="Arial" w:hAnsi="Arial" w:cs="Arial"/>
                <w:sz w:val="18"/>
                <w:szCs w:val="18"/>
              </w:rPr>
            </w:pPr>
            <w:r>
              <w:rPr>
                <w:rFonts w:ascii="Arial" w:hAnsi="Arial" w:cs="Arial"/>
                <w:sz w:val="18"/>
                <w:szCs w:val="18"/>
              </w:rPr>
              <w:t>建安费用</w:t>
            </w:r>
          </w:p>
        </w:tc>
        <w:tc>
          <w:tcPr>
            <w:tcW w:w="540" w:type="pct"/>
            <w:tcBorders>
              <w:top w:val="single" w:color="404040" w:sz="2" w:space="0"/>
              <w:left w:val="single" w:color="404040" w:sz="2" w:space="0"/>
              <w:bottom w:val="single" w:color="404040" w:sz="2" w:space="0"/>
              <w:right w:val="single" w:color="404040" w:sz="2" w:space="0"/>
            </w:tcBorders>
            <w:noWrap/>
          </w:tcPr>
          <w:p w14:paraId="2C0281EF">
            <w:pPr>
              <w:spacing w:line="240" w:lineRule="auto"/>
              <w:rPr>
                <w:rFonts w:ascii="Arial" w:hAnsi="Arial" w:cs="Arial"/>
                <w:bCs/>
                <w:sz w:val="18"/>
                <w:szCs w:val="18"/>
              </w:rPr>
            </w:pPr>
            <w:commentRangeStart w:id="10"/>
            <w:commentRangeStart w:id="11"/>
            <w:r>
              <w:rPr>
                <w:rFonts w:hint="eastAsia" w:ascii="Arial" w:hAnsi="Arial" w:cs="Arial"/>
                <w:bCs/>
                <w:sz w:val="18"/>
                <w:szCs w:val="18"/>
              </w:rPr>
              <w:t>15018</w:t>
            </w:r>
            <w:commentRangeEnd w:id="10"/>
            <w:r>
              <w:rPr>
                <w:rStyle w:val="38"/>
              </w:rPr>
              <w:commentReference w:id="10"/>
            </w:r>
            <w:commentRangeEnd w:id="11"/>
            <w:r>
              <w:commentReference w:id="11"/>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076802EE">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0ED77BF6">
            <w:pPr>
              <w:widowControl/>
              <w:adjustRightInd/>
              <w:spacing w:line="240" w:lineRule="auto"/>
              <w:rPr>
                <w:rFonts w:ascii="Arial" w:hAnsi="Arial" w:cs="Arial"/>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503E5C06">
            <w:pPr>
              <w:widowControl/>
              <w:adjustRightInd/>
              <w:spacing w:line="240" w:lineRule="auto"/>
              <w:rPr>
                <w:rFonts w:ascii="Arial" w:hAnsi="Arial" w:cs="Arial"/>
                <w:bCs/>
                <w:sz w:val="18"/>
                <w:szCs w:val="18"/>
              </w:rPr>
            </w:pPr>
          </w:p>
        </w:tc>
      </w:tr>
      <w:tr w14:paraId="6C47C47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780DA8DE">
            <w:pPr>
              <w:widowControl/>
              <w:adjustRightInd/>
              <w:spacing w:line="240" w:lineRule="auto"/>
              <w:jc w:val="right"/>
              <w:rPr>
                <w:rFonts w:ascii="Arial" w:hAnsi="Arial" w:cs="Arial"/>
                <w:sz w:val="18"/>
                <w:szCs w:val="18"/>
              </w:rPr>
            </w:pPr>
            <w:r>
              <w:rPr>
                <w:rFonts w:ascii="Arial" w:hAnsi="Arial" w:cs="Arial"/>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7EC9EA4B">
            <w:pPr>
              <w:widowControl/>
              <w:adjustRightInd/>
              <w:spacing w:line="240" w:lineRule="auto"/>
              <w:rPr>
                <w:rFonts w:ascii="Arial" w:hAnsi="Arial" w:cs="Arial"/>
                <w:sz w:val="18"/>
                <w:szCs w:val="18"/>
              </w:rPr>
            </w:pPr>
            <w:r>
              <w:rPr>
                <w:rFonts w:ascii="Arial" w:hAnsi="Arial" w:cs="Arial"/>
                <w:sz w:val="18"/>
                <w:szCs w:val="18"/>
              </w:rPr>
              <w:t>勘察设计和前期工程费</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641692EA">
            <w:pPr>
              <w:spacing w:line="240" w:lineRule="auto"/>
              <w:rPr>
                <w:rFonts w:ascii="Arial" w:hAnsi="Arial" w:cs="Arial"/>
                <w:bCs/>
                <w:sz w:val="18"/>
                <w:szCs w:val="18"/>
              </w:rPr>
            </w:pPr>
            <w:r>
              <w:rPr>
                <w:rFonts w:hint="eastAsia" w:ascii="Arial" w:hAnsi="Arial" w:cs="Arial"/>
                <w:bCs/>
                <w:sz w:val="18"/>
                <w:szCs w:val="18"/>
              </w:rPr>
              <w:t>751</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53498AA9">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275FC9AF">
            <w:pPr>
              <w:widowControl/>
              <w:adjustRightInd/>
              <w:spacing w:line="240" w:lineRule="auto"/>
              <w:rPr>
                <w:rFonts w:ascii="Arial" w:hAnsi="Arial" w:cs="Arial"/>
                <w:sz w:val="18"/>
                <w:szCs w:val="18"/>
              </w:rPr>
            </w:pPr>
            <w:r>
              <w:rPr>
                <w:rFonts w:hint="eastAsia" w:ascii="Arial" w:hAnsi="Arial" w:cs="Arial"/>
                <w:sz w:val="18"/>
                <w:szCs w:val="18"/>
              </w:rPr>
              <w:t>5</w:t>
            </w:r>
            <w:r>
              <w:rPr>
                <w:rFonts w:ascii="Arial" w:hAnsi="Arial" w:cs="Arial"/>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58CC04E9">
            <w:pPr>
              <w:widowControl/>
              <w:adjustRightInd/>
              <w:spacing w:line="240" w:lineRule="auto"/>
              <w:rPr>
                <w:rFonts w:ascii="Arial" w:hAnsi="Arial" w:cs="Arial"/>
                <w:bCs/>
                <w:sz w:val="18"/>
                <w:szCs w:val="18"/>
              </w:rPr>
            </w:pPr>
            <w:r>
              <w:rPr>
                <w:rFonts w:ascii="Arial" w:hAnsi="Arial" w:cs="Arial"/>
                <w:bCs/>
                <w:sz w:val="18"/>
                <w:szCs w:val="18"/>
              </w:rPr>
              <w:t>以建安费用为基数计取</w:t>
            </w:r>
          </w:p>
        </w:tc>
      </w:tr>
      <w:tr w14:paraId="5DA6BB1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4EF2F02D">
            <w:pPr>
              <w:widowControl/>
              <w:adjustRightInd/>
              <w:spacing w:line="240" w:lineRule="auto"/>
              <w:jc w:val="right"/>
              <w:rPr>
                <w:rFonts w:ascii="Arial" w:hAnsi="Arial" w:cs="Arial"/>
                <w:sz w:val="18"/>
                <w:szCs w:val="18"/>
              </w:rPr>
            </w:pPr>
            <w:r>
              <w:rPr>
                <w:rFonts w:ascii="Arial" w:hAnsi="Arial" w:cs="Arial"/>
                <w:sz w:val="18"/>
                <w:szCs w:val="18"/>
              </w:rPr>
              <w:t>3）</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3B337816">
            <w:pPr>
              <w:widowControl/>
              <w:adjustRightInd/>
              <w:spacing w:line="240" w:lineRule="auto"/>
              <w:rPr>
                <w:rFonts w:ascii="Arial" w:hAnsi="Arial" w:cs="Arial"/>
                <w:sz w:val="18"/>
                <w:szCs w:val="18"/>
              </w:rPr>
            </w:pPr>
            <w:r>
              <w:rPr>
                <w:rFonts w:ascii="Arial" w:hAnsi="Arial" w:cs="Arial"/>
                <w:sz w:val="18"/>
                <w:szCs w:val="18"/>
              </w:rPr>
              <w:t>公共配套设施费用</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12CD7048">
            <w:pPr>
              <w:spacing w:line="240" w:lineRule="auto"/>
              <w:rPr>
                <w:rFonts w:ascii="Arial" w:hAnsi="Arial" w:cs="Arial"/>
                <w:bCs/>
                <w:sz w:val="18"/>
                <w:szCs w:val="18"/>
              </w:rPr>
            </w:pPr>
            <w:r>
              <w:rPr>
                <w:rFonts w:hint="eastAsia" w:ascii="Arial" w:hAnsi="Arial" w:cs="Arial"/>
                <w:bCs/>
                <w:sz w:val="18"/>
                <w:szCs w:val="18"/>
              </w:rPr>
              <w:t>623</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353FD2D4">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71B8FDA6">
            <w:pPr>
              <w:widowControl/>
              <w:adjustRightInd/>
              <w:spacing w:line="240" w:lineRule="auto"/>
              <w:rPr>
                <w:rFonts w:ascii="Arial" w:hAnsi="Arial" w:cs="Arial"/>
                <w:sz w:val="18"/>
                <w:szCs w:val="18"/>
              </w:rPr>
            </w:pPr>
            <w:r>
              <w:rPr>
                <w:rFonts w:hint="eastAsia" w:ascii="Arial" w:hAnsi="Arial" w:cs="Arial"/>
                <w:sz w:val="18"/>
                <w:szCs w:val="18"/>
              </w:rPr>
              <w:t>5</w:t>
            </w:r>
            <w:r>
              <w:rPr>
                <w:rFonts w:ascii="Arial" w:hAnsi="Arial" w:cs="Arial"/>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5CAAAFDD">
            <w:pPr>
              <w:widowControl/>
              <w:adjustRightInd/>
              <w:spacing w:line="240" w:lineRule="auto"/>
              <w:rPr>
                <w:rFonts w:ascii="Arial" w:hAnsi="Arial" w:cs="Arial"/>
                <w:bCs/>
                <w:sz w:val="18"/>
                <w:szCs w:val="18"/>
              </w:rPr>
            </w:pPr>
            <w:r>
              <w:rPr>
                <w:rFonts w:ascii="Arial" w:hAnsi="Arial" w:cs="Arial"/>
                <w:bCs/>
                <w:sz w:val="18"/>
                <w:szCs w:val="18"/>
              </w:rPr>
              <w:t>以住宅用房建安费用为基数计取</w:t>
            </w:r>
          </w:p>
        </w:tc>
      </w:tr>
      <w:tr w14:paraId="7ECE9F5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5416D68C">
            <w:pPr>
              <w:widowControl/>
              <w:adjustRightInd/>
              <w:spacing w:line="240" w:lineRule="auto"/>
              <w:jc w:val="right"/>
              <w:rPr>
                <w:rFonts w:ascii="Arial" w:hAnsi="Arial" w:cs="Arial"/>
                <w:sz w:val="18"/>
                <w:szCs w:val="18"/>
              </w:rPr>
            </w:pPr>
            <w:r>
              <w:rPr>
                <w:rFonts w:ascii="Arial" w:hAnsi="Arial" w:cs="Arial"/>
                <w:sz w:val="18"/>
                <w:szCs w:val="18"/>
              </w:rPr>
              <w:t>4）</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3EDEBB33">
            <w:pPr>
              <w:widowControl/>
              <w:adjustRightInd/>
              <w:spacing w:line="240" w:lineRule="auto"/>
              <w:rPr>
                <w:rFonts w:ascii="Arial" w:hAnsi="Arial" w:cs="Arial"/>
                <w:sz w:val="18"/>
                <w:szCs w:val="18"/>
              </w:rPr>
            </w:pPr>
            <w:r>
              <w:rPr>
                <w:rFonts w:ascii="Arial" w:hAnsi="Arial" w:cs="Arial"/>
                <w:sz w:val="18"/>
                <w:szCs w:val="18"/>
              </w:rPr>
              <w:t>红线内市政费用</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67819FA7">
            <w:pPr>
              <w:spacing w:line="240" w:lineRule="auto"/>
              <w:rPr>
                <w:rFonts w:ascii="Arial" w:hAnsi="Arial" w:cs="Arial"/>
                <w:bCs/>
                <w:sz w:val="18"/>
                <w:szCs w:val="18"/>
              </w:rPr>
            </w:pPr>
            <w:r>
              <w:rPr>
                <w:rFonts w:hint="eastAsia" w:ascii="Arial" w:hAnsi="Arial" w:cs="Arial"/>
                <w:bCs/>
                <w:sz w:val="18"/>
                <w:szCs w:val="18"/>
              </w:rPr>
              <w:t>809</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2818E350">
            <w:pPr>
              <w:widowControl/>
              <w:adjustRightInd/>
              <w:spacing w:line="240" w:lineRule="auto"/>
              <w:rPr>
                <w:rFonts w:ascii="Arial" w:hAnsi="Arial" w:cs="Arial"/>
                <w:sz w:val="18"/>
                <w:szCs w:val="18"/>
              </w:rPr>
            </w:pPr>
            <w:r>
              <w:rPr>
                <w:rFonts w:hint="eastAsia" w:ascii="Arial" w:hAnsi="Arial" w:cs="Arial"/>
                <w:bCs/>
                <w:sz w:val="18"/>
                <w:szCs w:val="18"/>
              </w:rPr>
              <w:t>40463</w:t>
            </w: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2EB7F71F">
            <w:pPr>
              <w:widowControl/>
              <w:adjustRightInd/>
              <w:spacing w:line="240" w:lineRule="auto"/>
              <w:rPr>
                <w:rFonts w:ascii="Arial" w:hAnsi="Arial" w:cs="Arial"/>
                <w:sz w:val="18"/>
                <w:szCs w:val="18"/>
              </w:rPr>
            </w:pPr>
            <w:r>
              <w:rPr>
                <w:rFonts w:ascii="Arial" w:hAnsi="Arial" w:cs="Arial"/>
                <w:sz w:val="18"/>
                <w:szCs w:val="18"/>
              </w:rPr>
              <w:t>200</w:t>
            </w:r>
          </w:p>
        </w:tc>
        <w:tc>
          <w:tcPr>
            <w:tcW w:w="1401" w:type="pct"/>
            <w:tcBorders>
              <w:top w:val="single" w:color="404040" w:sz="2" w:space="0"/>
              <w:left w:val="single" w:color="404040" w:sz="2" w:space="0"/>
              <w:bottom w:val="single" w:color="404040" w:sz="2" w:space="0"/>
              <w:right w:val="single" w:color="404040" w:sz="2" w:space="0"/>
            </w:tcBorders>
          </w:tcPr>
          <w:p w14:paraId="605C65F7">
            <w:pPr>
              <w:widowControl/>
              <w:adjustRightInd/>
              <w:spacing w:line="240" w:lineRule="auto"/>
              <w:rPr>
                <w:rFonts w:ascii="Arial" w:hAnsi="Arial" w:cs="Arial"/>
                <w:bCs/>
                <w:sz w:val="18"/>
                <w:szCs w:val="18"/>
              </w:rPr>
            </w:pPr>
          </w:p>
        </w:tc>
      </w:tr>
      <w:tr w14:paraId="4AF081D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60A6679E">
            <w:pPr>
              <w:widowControl/>
              <w:adjustRightInd/>
              <w:spacing w:line="240" w:lineRule="auto"/>
              <w:jc w:val="right"/>
              <w:rPr>
                <w:rFonts w:ascii="Arial" w:hAnsi="Arial" w:cs="Arial"/>
                <w:sz w:val="18"/>
                <w:szCs w:val="18"/>
              </w:rPr>
            </w:pPr>
            <w:r>
              <w:rPr>
                <w:rFonts w:ascii="Arial" w:hAnsi="Arial" w:cs="Arial"/>
                <w:sz w:val="18"/>
                <w:szCs w:val="18"/>
              </w:rPr>
              <w:t>5）</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212BF558">
            <w:pPr>
              <w:widowControl/>
              <w:adjustRightInd/>
              <w:spacing w:line="240" w:lineRule="auto"/>
              <w:rPr>
                <w:rFonts w:ascii="Arial" w:hAnsi="Arial" w:cs="Arial"/>
                <w:sz w:val="18"/>
                <w:szCs w:val="18"/>
              </w:rPr>
            </w:pPr>
            <w:r>
              <w:rPr>
                <w:rFonts w:ascii="Arial" w:hAnsi="Arial" w:cs="Arial"/>
                <w:sz w:val="18"/>
                <w:szCs w:val="18"/>
              </w:rPr>
              <w:t>相关税费</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1AAFB815">
            <w:pPr>
              <w:spacing w:line="240" w:lineRule="auto"/>
              <w:rPr>
                <w:rFonts w:ascii="Arial" w:hAnsi="Arial" w:cs="Arial"/>
                <w:bCs/>
                <w:sz w:val="18"/>
                <w:szCs w:val="18"/>
              </w:rPr>
            </w:pPr>
            <w:r>
              <w:rPr>
                <w:rFonts w:hint="eastAsia" w:ascii="Arial" w:hAnsi="Arial" w:cs="Arial"/>
                <w:bCs/>
                <w:sz w:val="18"/>
                <w:szCs w:val="18"/>
              </w:rPr>
              <w:t>300</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397877FD">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37FFF2A1">
            <w:pPr>
              <w:widowControl/>
              <w:adjustRightInd/>
              <w:spacing w:line="240" w:lineRule="auto"/>
              <w:rPr>
                <w:rFonts w:ascii="Arial" w:hAnsi="Arial" w:cs="Arial"/>
                <w:sz w:val="18"/>
                <w:szCs w:val="18"/>
              </w:rPr>
            </w:pPr>
            <w:r>
              <w:rPr>
                <w:rFonts w:ascii="Arial" w:hAnsi="Arial" w:cs="Arial"/>
                <w:sz w:val="18"/>
                <w:szCs w:val="18"/>
              </w:rPr>
              <w:t>1.5%</w:t>
            </w:r>
          </w:p>
        </w:tc>
        <w:tc>
          <w:tcPr>
            <w:tcW w:w="1401" w:type="pct"/>
            <w:tcBorders>
              <w:top w:val="single" w:color="404040" w:sz="2" w:space="0"/>
              <w:left w:val="single" w:color="404040" w:sz="2" w:space="0"/>
              <w:bottom w:val="single" w:color="404040" w:sz="2" w:space="0"/>
              <w:right w:val="single" w:color="404040" w:sz="2" w:space="0"/>
            </w:tcBorders>
            <w:vAlign w:val="center"/>
          </w:tcPr>
          <w:p w14:paraId="6A5B2D75">
            <w:pPr>
              <w:widowControl/>
              <w:adjustRightInd/>
              <w:spacing w:line="240" w:lineRule="auto"/>
              <w:rPr>
                <w:rFonts w:ascii="Arial" w:hAnsi="Arial" w:cs="Arial"/>
                <w:sz w:val="18"/>
                <w:szCs w:val="18"/>
              </w:rPr>
            </w:pPr>
            <w:r>
              <w:rPr>
                <w:rFonts w:ascii="Arial" w:hAnsi="Arial" w:cs="Arial"/>
                <w:sz w:val="18"/>
                <w:szCs w:val="18"/>
              </w:rPr>
              <w:t>以建安费用为基数计取</w:t>
            </w:r>
          </w:p>
        </w:tc>
      </w:tr>
      <w:tr w14:paraId="3BDE65C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2A661659">
            <w:pPr>
              <w:widowControl/>
              <w:adjustRightInd/>
              <w:spacing w:line="240" w:lineRule="auto"/>
              <w:rPr>
                <w:rFonts w:ascii="Arial" w:hAnsi="Arial" w:cs="Arial"/>
                <w:bCs/>
                <w:sz w:val="18"/>
                <w:szCs w:val="18"/>
              </w:rPr>
            </w:pPr>
            <w:r>
              <w:rPr>
                <w:rFonts w:ascii="Arial" w:hAnsi="Arial" w:cs="Arial"/>
                <w:bCs/>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7D404ED2">
            <w:pPr>
              <w:widowControl/>
              <w:adjustRightInd/>
              <w:spacing w:line="240" w:lineRule="auto"/>
              <w:rPr>
                <w:rFonts w:ascii="Arial" w:hAnsi="Arial" w:cs="Arial"/>
                <w:bCs/>
                <w:sz w:val="18"/>
                <w:szCs w:val="18"/>
              </w:rPr>
            </w:pPr>
            <w:r>
              <w:rPr>
                <w:rFonts w:ascii="Arial" w:hAnsi="Arial" w:cs="Arial"/>
                <w:bCs/>
                <w:sz w:val="18"/>
                <w:szCs w:val="18"/>
              </w:rPr>
              <w:t>红线外市政费用（土地开发费用）</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181C7F31">
            <w:pPr>
              <w:widowControl/>
              <w:adjustRightInd/>
              <w:spacing w:line="240" w:lineRule="auto"/>
              <w:rPr>
                <w:rFonts w:ascii="Arial" w:hAnsi="Arial" w:cs="Arial"/>
                <w:bCs/>
                <w:sz w:val="18"/>
                <w:szCs w:val="18"/>
              </w:rPr>
            </w:pPr>
            <w:r>
              <w:rPr>
                <w:rFonts w:ascii="Arial" w:hAnsi="Arial" w:cs="Arial"/>
                <w:bCs/>
                <w:sz w:val="18"/>
                <w:szCs w:val="18"/>
              </w:rPr>
              <w:t>——</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6AF330BC">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66514555">
            <w:pPr>
              <w:widowControl/>
              <w:adjustRightInd/>
              <w:spacing w:line="240" w:lineRule="auto"/>
              <w:rPr>
                <w:rFonts w:ascii="Arial" w:hAnsi="Arial" w:cs="Arial"/>
                <w:bCs/>
                <w:sz w:val="18"/>
                <w:szCs w:val="18"/>
              </w:rPr>
            </w:pPr>
            <w:r>
              <w:rPr>
                <w:rFonts w:ascii="Arial" w:hAnsi="Arial" w:cs="Arial"/>
                <w:bCs/>
                <w:sz w:val="18"/>
                <w:szCs w:val="18"/>
              </w:rPr>
              <w:t>不计取</w:t>
            </w:r>
          </w:p>
        </w:tc>
        <w:tc>
          <w:tcPr>
            <w:tcW w:w="1401" w:type="pct"/>
            <w:tcBorders>
              <w:top w:val="single" w:color="404040" w:sz="2" w:space="0"/>
              <w:left w:val="single" w:color="404040" w:sz="2" w:space="0"/>
              <w:bottom w:val="single" w:color="404040" w:sz="2" w:space="0"/>
              <w:right w:val="single" w:color="404040" w:sz="2" w:space="0"/>
            </w:tcBorders>
          </w:tcPr>
          <w:p w14:paraId="3C394785">
            <w:pPr>
              <w:widowControl/>
              <w:adjustRightInd/>
              <w:spacing w:line="240" w:lineRule="auto"/>
              <w:rPr>
                <w:rFonts w:ascii="Arial" w:hAnsi="Arial" w:cs="Arial"/>
                <w:bCs/>
                <w:sz w:val="18"/>
                <w:szCs w:val="18"/>
              </w:rPr>
            </w:pPr>
          </w:p>
        </w:tc>
      </w:tr>
      <w:tr w14:paraId="2ED2AF5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5B918432">
            <w:pPr>
              <w:widowControl/>
              <w:adjustRightInd/>
              <w:spacing w:line="240" w:lineRule="auto"/>
              <w:rPr>
                <w:rFonts w:ascii="Arial" w:hAnsi="Arial" w:cs="Arial"/>
                <w:bCs/>
                <w:sz w:val="18"/>
                <w:szCs w:val="18"/>
              </w:rPr>
            </w:pPr>
            <w:r>
              <w:rPr>
                <w:rFonts w:ascii="Arial" w:hAnsi="Arial" w:cs="Arial"/>
                <w:bCs/>
                <w:sz w:val="18"/>
                <w:szCs w:val="18"/>
              </w:rPr>
              <w:t>（3）</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17FEE534">
            <w:pPr>
              <w:widowControl/>
              <w:adjustRightInd/>
              <w:spacing w:line="240" w:lineRule="auto"/>
              <w:rPr>
                <w:rFonts w:ascii="Arial" w:hAnsi="Arial" w:cs="Arial"/>
                <w:bCs/>
                <w:sz w:val="18"/>
                <w:szCs w:val="18"/>
              </w:rPr>
            </w:pPr>
            <w:r>
              <w:rPr>
                <w:rFonts w:ascii="Arial" w:hAnsi="Arial" w:cs="Arial"/>
                <w:bCs/>
                <w:sz w:val="18"/>
                <w:szCs w:val="18"/>
              </w:rPr>
              <w:t>城市基础设施建设费（行政收费）</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0C11BEC1">
            <w:pPr>
              <w:widowControl/>
              <w:adjustRightInd/>
              <w:spacing w:line="240" w:lineRule="auto"/>
              <w:rPr>
                <w:rFonts w:ascii="Arial" w:hAnsi="Arial" w:cs="Arial"/>
                <w:bCs/>
                <w:sz w:val="18"/>
                <w:szCs w:val="18"/>
              </w:rPr>
            </w:pPr>
            <w:r>
              <w:rPr>
                <w:rFonts w:hint="eastAsia" w:ascii="Arial" w:hAnsi="Arial" w:cs="Arial"/>
                <w:bCs/>
                <w:sz w:val="18"/>
                <w:szCs w:val="18"/>
              </w:rPr>
              <w:t>684</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1F7EFFAF">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5947DBE9">
            <w:pPr>
              <w:widowControl/>
              <w:adjustRightInd/>
              <w:spacing w:line="240" w:lineRule="auto"/>
              <w:rPr>
                <w:rFonts w:ascii="Arial" w:hAnsi="Arial" w:cs="Arial"/>
                <w:bCs/>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1C029556">
            <w:pPr>
              <w:widowControl/>
              <w:adjustRightInd/>
              <w:spacing w:line="240" w:lineRule="auto"/>
              <w:rPr>
                <w:rFonts w:ascii="Arial" w:hAnsi="Arial" w:cs="Arial"/>
                <w:bCs/>
                <w:sz w:val="18"/>
                <w:szCs w:val="18"/>
              </w:rPr>
            </w:pPr>
          </w:p>
        </w:tc>
      </w:tr>
      <w:tr w14:paraId="0ADD2C1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5B87C309">
            <w:pPr>
              <w:widowControl/>
              <w:adjustRightInd/>
              <w:spacing w:line="240" w:lineRule="auto"/>
              <w:jc w:val="right"/>
              <w:rPr>
                <w:rFonts w:ascii="Arial" w:hAnsi="Arial" w:cs="Arial"/>
                <w:sz w:val="18"/>
                <w:szCs w:val="18"/>
              </w:rPr>
            </w:pPr>
            <w:r>
              <w:rPr>
                <w:rFonts w:ascii="Arial" w:hAnsi="Arial" w:cs="Arial"/>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4D1694BC">
            <w:pPr>
              <w:widowControl/>
              <w:adjustRightInd/>
              <w:spacing w:line="240" w:lineRule="auto"/>
              <w:rPr>
                <w:rFonts w:ascii="Arial" w:hAnsi="Arial" w:cs="Arial"/>
                <w:sz w:val="18"/>
                <w:szCs w:val="18"/>
              </w:rPr>
            </w:pPr>
            <w:r>
              <w:rPr>
                <w:rFonts w:ascii="Arial" w:hAnsi="Arial" w:cs="Arial"/>
                <w:sz w:val="18"/>
                <w:szCs w:val="18"/>
              </w:rPr>
              <w:t>住宅</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40E06507">
            <w:pPr>
              <w:widowControl/>
              <w:adjustRightInd/>
              <w:spacing w:line="240" w:lineRule="auto"/>
              <w:rPr>
                <w:rFonts w:ascii="Arial" w:hAnsi="Arial" w:cs="Arial"/>
                <w:sz w:val="18"/>
                <w:szCs w:val="18"/>
              </w:rPr>
            </w:pPr>
            <w:r>
              <w:rPr>
                <w:rFonts w:hint="eastAsia" w:ascii="Arial" w:hAnsi="Arial" w:cs="Arial"/>
                <w:sz w:val="18"/>
                <w:szCs w:val="18"/>
              </w:rPr>
              <w:t>498</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7093A1E0">
            <w:pPr>
              <w:widowControl/>
              <w:adjustRightInd/>
              <w:spacing w:line="240" w:lineRule="auto"/>
              <w:rPr>
                <w:rFonts w:ascii="Arial" w:hAnsi="Arial" w:cs="Arial"/>
                <w:sz w:val="18"/>
                <w:szCs w:val="18"/>
              </w:rPr>
            </w:pPr>
            <w:r>
              <w:rPr>
                <w:rFonts w:hint="eastAsia" w:ascii="Arial" w:hAnsi="Arial" w:cs="Arial"/>
                <w:sz w:val="18"/>
                <w:szCs w:val="18"/>
              </w:rPr>
              <w:t>31152</w:t>
            </w: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559DAA62">
            <w:pPr>
              <w:widowControl/>
              <w:adjustRightInd/>
              <w:spacing w:line="240" w:lineRule="auto"/>
              <w:rPr>
                <w:rFonts w:ascii="Arial" w:hAnsi="Arial" w:cs="Arial"/>
                <w:sz w:val="18"/>
                <w:szCs w:val="18"/>
              </w:rPr>
            </w:pPr>
            <w:r>
              <w:rPr>
                <w:rFonts w:hint="eastAsia" w:ascii="Arial" w:hAnsi="Arial" w:cs="Arial"/>
                <w:sz w:val="18"/>
                <w:szCs w:val="18"/>
              </w:rPr>
              <w:t>160</w:t>
            </w:r>
          </w:p>
        </w:tc>
        <w:tc>
          <w:tcPr>
            <w:tcW w:w="1401" w:type="pct"/>
            <w:tcBorders>
              <w:top w:val="single" w:color="404040" w:sz="2" w:space="0"/>
              <w:left w:val="single" w:color="404040" w:sz="2" w:space="0"/>
              <w:bottom w:val="single" w:color="404040" w:sz="2" w:space="0"/>
              <w:right w:val="single" w:color="404040" w:sz="2" w:space="0"/>
            </w:tcBorders>
          </w:tcPr>
          <w:p w14:paraId="2F021A48">
            <w:pPr>
              <w:widowControl/>
              <w:adjustRightInd/>
              <w:spacing w:line="240" w:lineRule="auto"/>
              <w:rPr>
                <w:rFonts w:ascii="Arial" w:hAnsi="Arial" w:cs="Arial"/>
                <w:sz w:val="18"/>
                <w:szCs w:val="18"/>
              </w:rPr>
            </w:pPr>
          </w:p>
        </w:tc>
      </w:tr>
      <w:tr w14:paraId="6446521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05E1B6DB">
            <w:pPr>
              <w:widowControl/>
              <w:adjustRightInd/>
              <w:spacing w:line="240" w:lineRule="auto"/>
              <w:jc w:val="right"/>
              <w:rPr>
                <w:rFonts w:ascii="Arial" w:hAnsi="Arial" w:cs="Arial"/>
                <w:sz w:val="18"/>
                <w:szCs w:val="18"/>
              </w:rPr>
            </w:pPr>
            <w:r>
              <w:rPr>
                <w:rFonts w:ascii="Arial" w:hAnsi="Arial" w:cs="Arial"/>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3891B94E">
            <w:pPr>
              <w:widowControl/>
              <w:adjustRightInd/>
              <w:spacing w:line="240" w:lineRule="auto"/>
              <w:rPr>
                <w:rFonts w:ascii="Arial" w:hAnsi="Arial" w:cs="Arial"/>
                <w:sz w:val="18"/>
                <w:szCs w:val="18"/>
              </w:rPr>
            </w:pPr>
            <w:r>
              <w:rPr>
                <w:rFonts w:ascii="Arial" w:hAnsi="Arial" w:cs="Arial"/>
                <w:sz w:val="18"/>
                <w:szCs w:val="18"/>
              </w:rPr>
              <w:t>非住宅</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073AF6FB">
            <w:pPr>
              <w:widowControl/>
              <w:adjustRightInd/>
              <w:spacing w:line="240" w:lineRule="auto"/>
              <w:rPr>
                <w:rFonts w:ascii="Arial" w:hAnsi="Arial" w:cs="Arial"/>
                <w:sz w:val="18"/>
                <w:szCs w:val="18"/>
              </w:rPr>
            </w:pPr>
            <w:r>
              <w:rPr>
                <w:rFonts w:hint="eastAsia" w:ascii="Arial" w:hAnsi="Arial" w:cs="Arial"/>
                <w:bCs/>
                <w:sz w:val="18"/>
                <w:szCs w:val="18"/>
              </w:rPr>
              <w:t>186</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69782972">
            <w:pPr>
              <w:widowControl/>
              <w:adjustRightInd/>
              <w:spacing w:line="240" w:lineRule="auto"/>
              <w:rPr>
                <w:rFonts w:ascii="Arial" w:hAnsi="Arial" w:cs="Arial"/>
                <w:sz w:val="18"/>
                <w:szCs w:val="18"/>
              </w:rPr>
            </w:pPr>
            <w:r>
              <w:rPr>
                <w:rFonts w:hint="eastAsia" w:ascii="Arial" w:hAnsi="Arial" w:cs="Arial"/>
                <w:sz w:val="18"/>
                <w:szCs w:val="18"/>
              </w:rPr>
              <w:t>9311</w:t>
            </w: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12B5F4B1">
            <w:pPr>
              <w:widowControl/>
              <w:adjustRightInd/>
              <w:spacing w:line="240" w:lineRule="auto"/>
              <w:rPr>
                <w:rFonts w:ascii="Arial" w:hAnsi="Arial" w:cs="Arial"/>
                <w:sz w:val="18"/>
                <w:szCs w:val="18"/>
              </w:rPr>
            </w:pPr>
            <w:r>
              <w:rPr>
                <w:rFonts w:ascii="Arial" w:hAnsi="Arial" w:cs="Arial"/>
                <w:sz w:val="18"/>
                <w:szCs w:val="18"/>
              </w:rPr>
              <w:t>200</w:t>
            </w:r>
          </w:p>
        </w:tc>
        <w:tc>
          <w:tcPr>
            <w:tcW w:w="1401" w:type="pct"/>
            <w:tcBorders>
              <w:top w:val="single" w:color="404040" w:sz="2" w:space="0"/>
              <w:left w:val="single" w:color="404040" w:sz="2" w:space="0"/>
              <w:bottom w:val="single" w:color="404040" w:sz="2" w:space="0"/>
              <w:right w:val="single" w:color="404040" w:sz="2" w:space="0"/>
            </w:tcBorders>
          </w:tcPr>
          <w:p w14:paraId="1CB5BF1B">
            <w:pPr>
              <w:widowControl/>
              <w:adjustRightInd/>
              <w:spacing w:line="240" w:lineRule="auto"/>
              <w:rPr>
                <w:rFonts w:ascii="Arial" w:hAnsi="Arial" w:cs="Arial"/>
                <w:sz w:val="18"/>
                <w:szCs w:val="18"/>
              </w:rPr>
            </w:pPr>
          </w:p>
        </w:tc>
      </w:tr>
      <w:tr w14:paraId="063B520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07636823">
            <w:pPr>
              <w:widowControl/>
              <w:adjustRightInd/>
              <w:spacing w:line="240" w:lineRule="auto"/>
              <w:rPr>
                <w:rFonts w:ascii="Arial" w:hAnsi="Arial" w:cs="Arial"/>
                <w:bCs/>
                <w:sz w:val="18"/>
                <w:szCs w:val="18"/>
              </w:rPr>
            </w:pPr>
            <w:r>
              <w:rPr>
                <w:rFonts w:ascii="Arial" w:hAnsi="Arial" w:cs="Arial"/>
                <w:bCs/>
                <w:sz w:val="18"/>
                <w:szCs w:val="18"/>
              </w:rPr>
              <w:t>（4）</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5F35679A">
            <w:pPr>
              <w:widowControl/>
              <w:adjustRightInd/>
              <w:spacing w:line="240" w:lineRule="auto"/>
              <w:rPr>
                <w:rFonts w:ascii="Arial" w:hAnsi="Arial" w:cs="Arial"/>
                <w:bCs/>
                <w:sz w:val="18"/>
                <w:szCs w:val="18"/>
              </w:rPr>
            </w:pPr>
            <w:r>
              <w:rPr>
                <w:rFonts w:ascii="Arial" w:hAnsi="Arial" w:cs="Arial"/>
                <w:bCs/>
                <w:sz w:val="18"/>
                <w:szCs w:val="18"/>
              </w:rPr>
              <w:t>管理费用</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59FB0843">
            <w:pPr>
              <w:widowControl/>
              <w:adjustRightInd/>
              <w:spacing w:line="240" w:lineRule="auto"/>
              <w:rPr>
                <w:rFonts w:ascii="Arial" w:hAnsi="Arial" w:cs="Arial"/>
                <w:bCs/>
                <w:sz w:val="18"/>
                <w:szCs w:val="18"/>
              </w:rPr>
            </w:pPr>
            <w:r>
              <w:rPr>
                <w:rFonts w:hint="eastAsia" w:ascii="Arial" w:hAnsi="Arial" w:cs="Arial"/>
                <w:bCs/>
                <w:sz w:val="18"/>
                <w:szCs w:val="18"/>
              </w:rPr>
              <w:t>364</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2886F751">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7454CD32">
            <w:pPr>
              <w:widowControl/>
              <w:adjustRightInd/>
              <w:spacing w:line="240" w:lineRule="auto"/>
              <w:rPr>
                <w:rFonts w:ascii="Arial" w:hAnsi="Arial" w:cs="Arial"/>
                <w:bCs/>
                <w:sz w:val="18"/>
                <w:szCs w:val="18"/>
              </w:rPr>
            </w:pPr>
            <w:r>
              <w:rPr>
                <w:rFonts w:hint="eastAsia" w:ascii="Arial" w:hAnsi="Arial" w:cs="Arial"/>
                <w:bCs/>
                <w:sz w:val="18"/>
                <w:szCs w:val="18"/>
              </w:rPr>
              <w:t>2</w:t>
            </w:r>
            <w:r>
              <w:rPr>
                <w:rFonts w:ascii="Arial" w:hAnsi="Arial" w:cs="Arial"/>
                <w:bCs/>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351925CC">
            <w:pPr>
              <w:widowControl/>
              <w:adjustRightInd/>
              <w:spacing w:line="240" w:lineRule="auto"/>
              <w:rPr>
                <w:rFonts w:ascii="Arial" w:hAnsi="Arial" w:cs="Arial"/>
                <w:bCs/>
                <w:sz w:val="18"/>
                <w:szCs w:val="18"/>
              </w:rPr>
            </w:pPr>
            <w:r>
              <w:rPr>
                <w:rFonts w:ascii="Arial" w:hAnsi="Arial" w:cs="Arial"/>
                <w:bCs/>
                <w:sz w:val="18"/>
                <w:szCs w:val="18"/>
              </w:rPr>
              <w:t>以“（1）-（3）”为基数计算</w:t>
            </w:r>
          </w:p>
        </w:tc>
      </w:tr>
      <w:tr w14:paraId="5FA9131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71365DFD">
            <w:pPr>
              <w:widowControl/>
              <w:adjustRightInd/>
              <w:spacing w:line="240" w:lineRule="auto"/>
              <w:rPr>
                <w:rFonts w:ascii="Arial" w:hAnsi="Arial" w:cs="Arial"/>
                <w:bCs/>
                <w:sz w:val="18"/>
                <w:szCs w:val="18"/>
              </w:rPr>
            </w:pPr>
            <w:r>
              <w:rPr>
                <w:rFonts w:ascii="Arial" w:hAnsi="Arial" w:cs="Arial"/>
                <w:bCs/>
                <w:sz w:val="18"/>
                <w:szCs w:val="18"/>
              </w:rPr>
              <w:t>（5）</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3DF96D7A">
            <w:pPr>
              <w:widowControl/>
              <w:adjustRightInd/>
              <w:spacing w:line="240" w:lineRule="auto"/>
              <w:rPr>
                <w:rFonts w:ascii="Arial" w:hAnsi="Arial" w:cs="Arial"/>
                <w:bCs/>
                <w:sz w:val="18"/>
                <w:szCs w:val="18"/>
              </w:rPr>
            </w:pPr>
            <w:r>
              <w:rPr>
                <w:rFonts w:ascii="Arial" w:hAnsi="Arial" w:cs="Arial"/>
                <w:bCs/>
                <w:sz w:val="18"/>
                <w:szCs w:val="18"/>
              </w:rPr>
              <w:t>销售费用</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643046B7">
            <w:pPr>
              <w:widowControl/>
              <w:adjustRightInd/>
              <w:spacing w:line="240" w:lineRule="auto"/>
              <w:rPr>
                <w:rFonts w:ascii="Arial" w:hAnsi="Arial" w:cs="Arial"/>
                <w:bCs/>
                <w:sz w:val="18"/>
                <w:szCs w:val="18"/>
              </w:rPr>
            </w:pPr>
            <w:r>
              <w:rPr>
                <w:rFonts w:hint="eastAsia" w:ascii="Arial" w:hAnsi="Arial" w:cs="Arial"/>
                <w:bCs/>
                <w:sz w:val="18"/>
                <w:szCs w:val="18"/>
              </w:rPr>
              <w:t>712</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0B403786">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5301474F">
            <w:pPr>
              <w:widowControl/>
              <w:adjustRightInd/>
              <w:spacing w:line="240" w:lineRule="auto"/>
              <w:rPr>
                <w:rFonts w:ascii="Arial" w:hAnsi="Arial" w:cs="Arial"/>
                <w:bCs/>
                <w:sz w:val="18"/>
                <w:szCs w:val="18"/>
              </w:rPr>
            </w:pPr>
            <w:r>
              <w:rPr>
                <w:rFonts w:hint="eastAsia" w:ascii="Arial" w:hAnsi="Arial" w:cs="Arial"/>
                <w:bCs/>
                <w:sz w:val="18"/>
                <w:szCs w:val="18"/>
              </w:rPr>
              <w:t>3</w:t>
            </w:r>
            <w:r>
              <w:rPr>
                <w:rFonts w:ascii="Arial" w:hAnsi="Arial" w:cs="Arial"/>
                <w:bCs/>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13D205C7">
            <w:pPr>
              <w:widowControl/>
              <w:adjustRightInd/>
              <w:spacing w:line="240" w:lineRule="auto"/>
              <w:rPr>
                <w:rFonts w:ascii="Arial" w:hAnsi="Arial" w:cs="Arial"/>
                <w:sz w:val="18"/>
                <w:szCs w:val="18"/>
              </w:rPr>
            </w:pPr>
            <w:r>
              <w:rPr>
                <w:rFonts w:ascii="Arial" w:hAnsi="Arial" w:cs="Arial"/>
                <w:sz w:val="18"/>
                <w:szCs w:val="18"/>
              </w:rPr>
              <w:t>以1为基数计取</w:t>
            </w:r>
          </w:p>
        </w:tc>
      </w:tr>
      <w:tr w14:paraId="078A3BD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76B1AB26">
            <w:pPr>
              <w:widowControl/>
              <w:adjustRightInd/>
              <w:spacing w:line="240" w:lineRule="auto"/>
              <w:rPr>
                <w:rFonts w:ascii="Arial" w:hAnsi="Arial" w:cs="Arial"/>
                <w:bCs/>
                <w:sz w:val="18"/>
                <w:szCs w:val="18"/>
              </w:rPr>
            </w:pPr>
            <w:r>
              <w:rPr>
                <w:rFonts w:ascii="Arial" w:hAnsi="Arial" w:cs="Arial"/>
                <w:bCs/>
                <w:sz w:val="18"/>
                <w:szCs w:val="18"/>
              </w:rPr>
              <w:t>（6）</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6F17F487">
            <w:pPr>
              <w:widowControl/>
              <w:adjustRightInd/>
              <w:spacing w:line="240" w:lineRule="auto"/>
              <w:rPr>
                <w:rFonts w:ascii="Arial" w:hAnsi="Arial" w:cs="Arial"/>
                <w:bCs/>
                <w:sz w:val="18"/>
                <w:szCs w:val="18"/>
              </w:rPr>
            </w:pPr>
            <w:r>
              <w:rPr>
                <w:rFonts w:ascii="Arial" w:hAnsi="Arial" w:cs="Arial"/>
                <w:bCs/>
                <w:sz w:val="18"/>
                <w:szCs w:val="18"/>
              </w:rPr>
              <w:t>购地税费</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67786BB9">
            <w:pPr>
              <w:widowControl/>
              <w:adjustRightInd/>
              <w:spacing w:line="240" w:lineRule="auto"/>
              <w:rPr>
                <w:rFonts w:ascii="Arial" w:hAnsi="Arial" w:cs="Arial"/>
                <w:bCs/>
                <w:sz w:val="18"/>
                <w:szCs w:val="18"/>
              </w:rPr>
            </w:pPr>
            <w:r>
              <w:rPr>
                <w:rFonts w:hint="eastAsia" w:ascii="Arial" w:hAnsi="Arial" w:cs="Arial"/>
                <w:bCs/>
                <w:sz w:val="18"/>
                <w:szCs w:val="18"/>
              </w:rPr>
              <w:t>0.029</w:t>
            </w:r>
            <w:r>
              <w:rPr>
                <w:rFonts w:ascii="Arial" w:hAnsi="Arial" w:cs="Arial"/>
                <w:bCs/>
                <w:sz w:val="18"/>
                <w:szCs w:val="18"/>
              </w:rPr>
              <w:t>% P</w:t>
            </w:r>
            <w:r>
              <w:rPr>
                <w:rFonts w:ascii="Arial" w:hAnsi="Arial" w:cs="Arial"/>
                <w:bCs/>
                <w:sz w:val="18"/>
                <w:szCs w:val="18"/>
                <w:vertAlign w:val="subscript"/>
              </w:rPr>
              <w:t>土</w:t>
            </w:r>
          </w:p>
        </w:tc>
        <w:tc>
          <w:tcPr>
            <w:tcW w:w="654" w:type="pct"/>
            <w:tcBorders>
              <w:top w:val="single" w:color="404040" w:sz="2" w:space="0"/>
              <w:left w:val="single" w:color="404040" w:sz="2" w:space="0"/>
              <w:bottom w:val="single" w:color="404040" w:sz="2" w:space="0"/>
              <w:right w:val="single" w:color="404040" w:sz="2" w:space="0"/>
            </w:tcBorders>
            <w:noWrap/>
            <w:vAlign w:val="bottom"/>
          </w:tcPr>
          <w:p w14:paraId="45C797E5">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55E4AB92">
            <w:pPr>
              <w:widowControl/>
              <w:adjustRightInd/>
              <w:spacing w:line="240" w:lineRule="auto"/>
              <w:rPr>
                <w:rFonts w:ascii="Arial" w:hAnsi="Arial" w:cs="Arial"/>
                <w:bCs/>
                <w:sz w:val="18"/>
                <w:szCs w:val="18"/>
              </w:rPr>
            </w:pPr>
            <w:r>
              <w:rPr>
                <w:rFonts w:ascii="Arial" w:hAnsi="Arial" w:cs="Arial"/>
                <w:bCs/>
                <w:sz w:val="18"/>
                <w:szCs w:val="18"/>
              </w:rPr>
              <w:t>3.05%</w:t>
            </w:r>
          </w:p>
        </w:tc>
        <w:tc>
          <w:tcPr>
            <w:tcW w:w="1401" w:type="pct"/>
            <w:tcBorders>
              <w:top w:val="single" w:color="404040" w:sz="2" w:space="0"/>
              <w:left w:val="single" w:color="404040" w:sz="2" w:space="0"/>
              <w:bottom w:val="single" w:color="404040" w:sz="2" w:space="0"/>
              <w:right w:val="single" w:color="404040" w:sz="2" w:space="0"/>
            </w:tcBorders>
          </w:tcPr>
          <w:p w14:paraId="2295D6B6">
            <w:pPr>
              <w:widowControl/>
              <w:adjustRightInd/>
              <w:spacing w:line="240" w:lineRule="auto"/>
              <w:rPr>
                <w:rFonts w:ascii="Arial" w:hAnsi="Arial" w:cs="Arial"/>
                <w:bCs/>
                <w:sz w:val="18"/>
                <w:szCs w:val="18"/>
              </w:rPr>
            </w:pPr>
            <w:r>
              <w:rPr>
                <w:rFonts w:ascii="Arial" w:hAnsi="Arial" w:cs="Arial"/>
                <w:bCs/>
                <w:sz w:val="18"/>
                <w:szCs w:val="18"/>
              </w:rPr>
              <w:t>以</w:t>
            </w:r>
            <w:r>
              <w:rPr>
                <w:rFonts w:hint="eastAsia" w:ascii="Arial" w:hAnsi="Arial" w:cs="Arial"/>
                <w:bCs/>
                <w:sz w:val="18"/>
                <w:szCs w:val="18"/>
              </w:rPr>
              <w:t>咨询</w:t>
            </w:r>
            <w:r>
              <w:rPr>
                <w:rFonts w:ascii="Arial" w:hAnsi="Arial" w:cs="Arial"/>
                <w:bCs/>
                <w:sz w:val="18"/>
                <w:szCs w:val="18"/>
              </w:rPr>
              <w:t>对象土地价格/(1+5%)为基数记取</w:t>
            </w:r>
          </w:p>
        </w:tc>
      </w:tr>
      <w:tr w14:paraId="7A51BFC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674A1460">
            <w:pPr>
              <w:widowControl/>
              <w:adjustRightInd/>
              <w:spacing w:line="240" w:lineRule="auto"/>
              <w:rPr>
                <w:rFonts w:ascii="Arial" w:hAnsi="Arial" w:cs="Arial"/>
                <w:bCs/>
                <w:sz w:val="18"/>
                <w:szCs w:val="18"/>
              </w:rPr>
            </w:pPr>
            <w:r>
              <w:rPr>
                <w:rFonts w:ascii="Arial" w:hAnsi="Arial" w:cs="Arial"/>
                <w:bCs/>
                <w:sz w:val="18"/>
                <w:szCs w:val="18"/>
              </w:rPr>
              <w:t>（7）</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0ED1F122">
            <w:pPr>
              <w:widowControl/>
              <w:adjustRightInd/>
              <w:spacing w:line="240" w:lineRule="auto"/>
              <w:rPr>
                <w:rFonts w:ascii="Arial" w:hAnsi="Arial" w:cs="Arial"/>
                <w:bCs/>
                <w:sz w:val="18"/>
                <w:szCs w:val="18"/>
              </w:rPr>
            </w:pPr>
            <w:r>
              <w:rPr>
                <w:rFonts w:ascii="Arial" w:hAnsi="Arial" w:cs="Arial"/>
                <w:bCs/>
                <w:sz w:val="18"/>
                <w:szCs w:val="18"/>
              </w:rPr>
              <w:t>投资利息</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2F51B9FA">
            <w:pPr>
              <w:widowControl/>
              <w:adjustRightInd/>
              <w:spacing w:line="240" w:lineRule="auto"/>
              <w:rPr>
                <w:rFonts w:ascii="Arial" w:hAnsi="Arial" w:cs="Arial"/>
                <w:bCs/>
                <w:sz w:val="18"/>
                <w:szCs w:val="18"/>
              </w:rPr>
            </w:pPr>
            <w:r>
              <w:rPr>
                <w:rFonts w:hint="eastAsia" w:ascii="Arial" w:hAnsi="Arial" w:cs="Arial"/>
                <w:bCs/>
                <w:sz w:val="18"/>
                <w:szCs w:val="18"/>
              </w:rPr>
              <w:t>614+</w:t>
            </w:r>
            <w:r>
              <w:rPr>
                <w:rFonts w:ascii="Arial" w:hAnsi="Arial" w:cs="Arial"/>
                <w:bCs/>
                <w:sz w:val="18"/>
                <w:szCs w:val="18"/>
              </w:rPr>
              <w:t>0.</w:t>
            </w:r>
            <w:r>
              <w:rPr>
                <w:rFonts w:hint="eastAsia" w:ascii="Arial" w:hAnsi="Arial" w:cs="Arial"/>
                <w:bCs/>
                <w:sz w:val="18"/>
                <w:szCs w:val="18"/>
              </w:rPr>
              <w:t>0667</w:t>
            </w:r>
            <w:r>
              <w:rPr>
                <w:rFonts w:ascii="Arial" w:hAnsi="Arial" w:cs="Arial"/>
                <w:bCs/>
                <w:sz w:val="18"/>
                <w:szCs w:val="18"/>
              </w:rPr>
              <w:t xml:space="preserve"> P</w:t>
            </w:r>
            <w:r>
              <w:rPr>
                <w:rFonts w:ascii="Arial" w:hAnsi="Arial" w:cs="Arial"/>
                <w:bCs/>
                <w:sz w:val="18"/>
                <w:szCs w:val="18"/>
                <w:vertAlign w:val="subscript"/>
              </w:rPr>
              <w:t>土</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36F60F00">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637887EB">
            <w:pPr>
              <w:widowControl/>
              <w:adjustRightInd/>
              <w:spacing w:line="240" w:lineRule="auto"/>
              <w:rPr>
                <w:rFonts w:ascii="Arial" w:hAnsi="Arial" w:cs="Arial"/>
                <w:bCs/>
                <w:sz w:val="18"/>
                <w:szCs w:val="18"/>
              </w:rPr>
            </w:pPr>
            <w:r>
              <w:rPr>
                <w:rFonts w:hint="eastAsia" w:ascii="Arial" w:hAnsi="Arial" w:cs="Arial"/>
                <w:bCs/>
                <w:sz w:val="18"/>
                <w:szCs w:val="18"/>
              </w:rPr>
              <w:t>3.19</w:t>
            </w:r>
            <w:r>
              <w:rPr>
                <w:rFonts w:ascii="Arial" w:hAnsi="Arial" w:cs="Arial"/>
                <w:bCs/>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64EB3877">
            <w:pPr>
              <w:widowControl/>
              <w:adjustRightInd/>
              <w:spacing w:line="240" w:lineRule="auto"/>
              <w:rPr>
                <w:rFonts w:ascii="Arial" w:hAnsi="Arial" w:cs="Arial"/>
                <w:sz w:val="18"/>
                <w:szCs w:val="18"/>
              </w:rPr>
            </w:pPr>
            <w:r>
              <w:rPr>
                <w:rFonts w:ascii="Arial" w:hAnsi="Arial" w:cs="Arial"/>
                <w:sz w:val="18"/>
                <w:szCs w:val="18"/>
              </w:rPr>
              <w:t>复利计息。后续开发成本、管理费用及销售费用产生的利息</w:t>
            </w:r>
          </w:p>
        </w:tc>
      </w:tr>
      <w:tr w14:paraId="24DFA12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4FB6CB94">
            <w:pPr>
              <w:widowControl/>
              <w:adjustRightInd/>
              <w:spacing w:line="240" w:lineRule="auto"/>
              <w:jc w:val="right"/>
              <w:rPr>
                <w:rFonts w:ascii="Arial" w:hAnsi="Arial" w:cs="Arial"/>
                <w:sz w:val="18"/>
                <w:szCs w:val="18"/>
              </w:rPr>
            </w:pPr>
            <w:r>
              <w:rPr>
                <w:rFonts w:ascii="Arial" w:hAnsi="Arial" w:cs="Arial"/>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7AD4CFDC">
            <w:pPr>
              <w:widowControl/>
              <w:adjustRightInd/>
              <w:spacing w:line="240" w:lineRule="auto"/>
              <w:rPr>
                <w:rFonts w:ascii="Arial" w:hAnsi="Arial" w:cs="Arial"/>
                <w:sz w:val="18"/>
                <w:szCs w:val="18"/>
              </w:rPr>
            </w:pPr>
            <w:r>
              <w:rPr>
                <w:rFonts w:ascii="Arial" w:hAnsi="Arial" w:cs="Arial"/>
                <w:sz w:val="18"/>
                <w:szCs w:val="18"/>
              </w:rPr>
              <w:t>土地购买价格及购地税费产生的利息</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416EE77C">
            <w:pPr>
              <w:widowControl/>
              <w:adjustRightInd/>
              <w:spacing w:line="240" w:lineRule="auto"/>
              <w:rPr>
                <w:rFonts w:ascii="Arial" w:hAnsi="Arial" w:cs="Arial"/>
                <w:sz w:val="18"/>
                <w:szCs w:val="18"/>
              </w:rPr>
            </w:pPr>
            <w:r>
              <w:rPr>
                <w:rFonts w:hint="eastAsia" w:ascii="Arial" w:hAnsi="Arial" w:cs="Arial"/>
                <w:bCs/>
                <w:sz w:val="18"/>
                <w:szCs w:val="18"/>
              </w:rPr>
              <w:t>0.0667</w:t>
            </w:r>
            <w:r>
              <w:rPr>
                <w:rFonts w:ascii="Arial" w:hAnsi="Arial" w:cs="Arial"/>
                <w:bCs/>
                <w:sz w:val="18"/>
                <w:szCs w:val="18"/>
              </w:rPr>
              <w:t xml:space="preserve"> P</w:t>
            </w:r>
            <w:r>
              <w:rPr>
                <w:rFonts w:ascii="Arial" w:hAnsi="Arial" w:cs="Arial"/>
                <w:bCs/>
                <w:sz w:val="18"/>
                <w:szCs w:val="18"/>
                <w:vertAlign w:val="subscript"/>
              </w:rPr>
              <w:t>土</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1C5C489E">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1512CCF3">
            <w:pPr>
              <w:widowControl/>
              <w:adjustRightInd/>
              <w:spacing w:line="240" w:lineRule="auto"/>
              <w:rPr>
                <w:rFonts w:ascii="Arial" w:hAnsi="Arial" w:cs="Arial"/>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38034653">
            <w:pPr>
              <w:widowControl/>
              <w:adjustRightInd/>
              <w:spacing w:line="240" w:lineRule="auto"/>
              <w:rPr>
                <w:rFonts w:ascii="Arial" w:hAnsi="Arial" w:cs="Arial"/>
                <w:sz w:val="18"/>
                <w:szCs w:val="18"/>
              </w:rPr>
            </w:pPr>
            <w:r>
              <w:rPr>
                <w:rFonts w:ascii="Arial" w:hAnsi="Arial" w:cs="Arial"/>
                <w:sz w:val="18"/>
                <w:szCs w:val="18"/>
              </w:rPr>
              <w:t>（1+取得税费率/(1+5%)）×年利率×建设期</w:t>
            </w:r>
          </w:p>
        </w:tc>
      </w:tr>
      <w:tr w14:paraId="42F8AE1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2724D341">
            <w:pPr>
              <w:widowControl/>
              <w:adjustRightInd/>
              <w:spacing w:line="240" w:lineRule="auto"/>
              <w:jc w:val="right"/>
              <w:rPr>
                <w:rFonts w:ascii="Arial" w:hAnsi="Arial" w:cs="Arial"/>
                <w:sz w:val="18"/>
                <w:szCs w:val="18"/>
              </w:rPr>
            </w:pPr>
            <w:r>
              <w:rPr>
                <w:rFonts w:ascii="Arial" w:hAnsi="Arial" w:cs="Arial"/>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5C0AC694">
            <w:pPr>
              <w:widowControl/>
              <w:adjustRightInd/>
              <w:spacing w:line="240" w:lineRule="auto"/>
              <w:rPr>
                <w:rFonts w:ascii="Arial" w:hAnsi="Arial" w:cs="Arial"/>
                <w:sz w:val="18"/>
                <w:szCs w:val="18"/>
              </w:rPr>
            </w:pPr>
            <w:r>
              <w:rPr>
                <w:rFonts w:ascii="Arial" w:hAnsi="Arial" w:cs="Arial"/>
                <w:sz w:val="18"/>
                <w:szCs w:val="18"/>
              </w:rPr>
              <w:t>（1）-（5）项产生的利息</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700D0DF8">
            <w:pPr>
              <w:widowControl/>
              <w:adjustRightInd/>
              <w:spacing w:line="240" w:lineRule="auto"/>
              <w:rPr>
                <w:rFonts w:ascii="Arial" w:hAnsi="Arial" w:cs="Arial"/>
                <w:sz w:val="18"/>
                <w:szCs w:val="18"/>
              </w:rPr>
            </w:pPr>
            <w:r>
              <w:rPr>
                <w:rFonts w:hint="eastAsia" w:ascii="Arial" w:hAnsi="Arial" w:cs="Arial"/>
                <w:sz w:val="18"/>
                <w:szCs w:val="18"/>
              </w:rPr>
              <w:t>614</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6182D053">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2B41AD74">
            <w:pPr>
              <w:widowControl/>
              <w:adjustRightInd/>
              <w:spacing w:line="240" w:lineRule="auto"/>
              <w:rPr>
                <w:rFonts w:ascii="Arial" w:hAnsi="Arial" w:cs="Arial"/>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1E7E3A62">
            <w:pPr>
              <w:widowControl/>
              <w:adjustRightInd/>
              <w:spacing w:line="240" w:lineRule="auto"/>
              <w:rPr>
                <w:rFonts w:ascii="Arial" w:hAnsi="Arial" w:cs="Arial"/>
                <w:sz w:val="18"/>
                <w:szCs w:val="18"/>
              </w:rPr>
            </w:pPr>
            <w:r>
              <w:rPr>
                <w:rFonts w:ascii="Arial" w:hAnsi="Arial" w:cs="Arial"/>
                <w:sz w:val="18"/>
                <w:szCs w:val="18"/>
              </w:rPr>
              <w:t>（1）-（4）项×年利率×建设期÷2</w:t>
            </w:r>
          </w:p>
        </w:tc>
      </w:tr>
      <w:tr w14:paraId="1F6C153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18B986A1">
            <w:pPr>
              <w:widowControl/>
              <w:adjustRightInd/>
              <w:spacing w:line="240" w:lineRule="auto"/>
              <w:rPr>
                <w:rFonts w:ascii="Arial" w:hAnsi="Arial" w:cs="Arial"/>
                <w:bCs/>
                <w:sz w:val="18"/>
                <w:szCs w:val="18"/>
              </w:rPr>
            </w:pPr>
            <w:r>
              <w:rPr>
                <w:rFonts w:ascii="Arial" w:hAnsi="Arial" w:cs="Arial"/>
                <w:bCs/>
                <w:sz w:val="18"/>
                <w:szCs w:val="18"/>
              </w:rPr>
              <w:t>（8）</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0D2D01F3">
            <w:pPr>
              <w:widowControl/>
              <w:adjustRightInd/>
              <w:spacing w:line="240" w:lineRule="auto"/>
              <w:rPr>
                <w:rFonts w:ascii="Arial" w:hAnsi="Arial" w:cs="Arial"/>
                <w:bCs/>
                <w:sz w:val="18"/>
                <w:szCs w:val="18"/>
              </w:rPr>
            </w:pPr>
            <w:r>
              <w:rPr>
                <w:rFonts w:ascii="Arial" w:hAnsi="Arial" w:cs="Arial"/>
                <w:bCs/>
                <w:sz w:val="18"/>
                <w:szCs w:val="18"/>
              </w:rPr>
              <w:t>销售税费</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0D6229C9">
            <w:pPr>
              <w:widowControl/>
              <w:adjustRightInd/>
              <w:spacing w:line="240" w:lineRule="auto"/>
              <w:rPr>
                <w:rFonts w:ascii="Arial" w:hAnsi="Arial" w:cs="Arial"/>
                <w:bCs/>
                <w:sz w:val="18"/>
                <w:szCs w:val="18"/>
              </w:rPr>
            </w:pPr>
            <w:r>
              <w:rPr>
                <w:rFonts w:hint="eastAsia" w:ascii="Arial" w:hAnsi="Arial" w:cs="Arial"/>
                <w:bCs/>
                <w:sz w:val="18"/>
                <w:szCs w:val="18"/>
              </w:rPr>
              <w:t>1243</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6EED66D3">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4F8AEF57">
            <w:pPr>
              <w:widowControl/>
              <w:adjustRightInd/>
              <w:spacing w:line="240" w:lineRule="auto"/>
              <w:rPr>
                <w:rFonts w:ascii="Arial" w:hAnsi="Arial" w:cs="Arial"/>
                <w:bCs/>
                <w:sz w:val="18"/>
                <w:szCs w:val="18"/>
              </w:rPr>
            </w:pPr>
            <w:r>
              <w:rPr>
                <w:rFonts w:hint="eastAsia" w:ascii="Arial" w:hAnsi="Arial" w:cs="Arial"/>
                <w:bCs/>
                <w:sz w:val="18"/>
                <w:szCs w:val="18"/>
              </w:rPr>
              <w:t>5.5</w:t>
            </w:r>
            <w:r>
              <w:rPr>
                <w:rFonts w:ascii="Arial" w:hAnsi="Arial" w:cs="Arial"/>
                <w:bCs/>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2E8607B0">
            <w:pPr>
              <w:widowControl/>
              <w:adjustRightInd/>
              <w:spacing w:line="240" w:lineRule="auto"/>
              <w:rPr>
                <w:rFonts w:ascii="Arial" w:hAnsi="Arial" w:cs="Arial"/>
                <w:sz w:val="18"/>
                <w:szCs w:val="18"/>
              </w:rPr>
            </w:pPr>
            <w:r>
              <w:rPr>
                <w:rFonts w:ascii="Arial" w:hAnsi="Arial" w:cs="Arial"/>
                <w:sz w:val="18"/>
                <w:szCs w:val="18"/>
              </w:rPr>
              <w:t>以“开发完成后不动产总价/（1+5%）”为基数计取</w:t>
            </w:r>
          </w:p>
        </w:tc>
      </w:tr>
      <w:tr w14:paraId="1835AB7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vAlign w:val="center"/>
          </w:tcPr>
          <w:p w14:paraId="37F7CB84">
            <w:pPr>
              <w:widowControl/>
              <w:adjustRightInd/>
              <w:spacing w:line="240" w:lineRule="auto"/>
              <w:rPr>
                <w:rFonts w:ascii="Arial" w:hAnsi="Arial" w:cs="Arial"/>
                <w:bCs/>
                <w:sz w:val="18"/>
                <w:szCs w:val="18"/>
              </w:rPr>
            </w:pPr>
            <w:r>
              <w:rPr>
                <w:rFonts w:ascii="Arial" w:hAnsi="Arial" w:cs="Arial"/>
                <w:bCs/>
                <w:sz w:val="18"/>
                <w:szCs w:val="18"/>
              </w:rPr>
              <w:t>3</w:t>
            </w:r>
          </w:p>
        </w:tc>
        <w:tc>
          <w:tcPr>
            <w:tcW w:w="1613" w:type="pct"/>
            <w:tcBorders>
              <w:top w:val="single" w:color="404040" w:sz="2" w:space="0"/>
              <w:left w:val="single" w:color="404040" w:sz="2" w:space="0"/>
              <w:bottom w:val="single" w:color="404040" w:sz="2" w:space="0"/>
              <w:right w:val="single" w:color="404040" w:sz="2" w:space="0"/>
            </w:tcBorders>
            <w:vAlign w:val="center"/>
          </w:tcPr>
          <w:p w14:paraId="24D50A44">
            <w:pPr>
              <w:widowControl/>
              <w:adjustRightInd/>
              <w:spacing w:line="240" w:lineRule="auto"/>
              <w:rPr>
                <w:rFonts w:ascii="Arial" w:hAnsi="Arial" w:cs="Arial"/>
                <w:bCs/>
                <w:sz w:val="18"/>
                <w:szCs w:val="18"/>
              </w:rPr>
            </w:pPr>
            <w:r>
              <w:rPr>
                <w:rFonts w:ascii="Arial" w:hAnsi="Arial" w:cs="Arial"/>
                <w:bCs/>
                <w:sz w:val="18"/>
                <w:szCs w:val="18"/>
              </w:rPr>
              <w:t>投资利润</w:t>
            </w:r>
          </w:p>
        </w:tc>
        <w:tc>
          <w:tcPr>
            <w:tcW w:w="540" w:type="pct"/>
            <w:tcBorders>
              <w:top w:val="single" w:color="404040" w:sz="2" w:space="0"/>
              <w:left w:val="single" w:color="404040" w:sz="2" w:space="0"/>
              <w:bottom w:val="single" w:color="404040" w:sz="2" w:space="0"/>
              <w:right w:val="single" w:color="404040" w:sz="2" w:space="0"/>
            </w:tcBorders>
            <w:vAlign w:val="center"/>
          </w:tcPr>
          <w:p w14:paraId="511575B7">
            <w:pPr>
              <w:widowControl/>
              <w:adjustRightInd/>
              <w:spacing w:line="240" w:lineRule="auto"/>
              <w:rPr>
                <w:rFonts w:ascii="Arial" w:hAnsi="Arial" w:cs="Arial"/>
                <w:bCs/>
                <w:sz w:val="18"/>
                <w:szCs w:val="18"/>
              </w:rPr>
            </w:pPr>
            <w:r>
              <w:rPr>
                <w:rFonts w:hint="eastAsia" w:ascii="Arial" w:hAnsi="Arial" w:cs="Arial"/>
                <w:bCs/>
                <w:sz w:val="18"/>
                <w:szCs w:val="18"/>
              </w:rPr>
              <w:t>578+</w:t>
            </w:r>
            <w:r>
              <w:rPr>
                <w:rFonts w:ascii="Arial" w:hAnsi="Arial" w:cs="Arial"/>
                <w:bCs/>
                <w:sz w:val="18"/>
                <w:szCs w:val="18"/>
              </w:rPr>
              <w:t>0.0</w:t>
            </w:r>
            <w:r>
              <w:rPr>
                <w:rFonts w:hint="eastAsia" w:ascii="Arial" w:hAnsi="Arial" w:cs="Arial"/>
                <w:bCs/>
                <w:sz w:val="18"/>
                <w:szCs w:val="18"/>
              </w:rPr>
              <w:t>309</w:t>
            </w:r>
            <w:r>
              <w:rPr>
                <w:rFonts w:ascii="Arial" w:hAnsi="Arial" w:cs="Arial"/>
                <w:bCs/>
                <w:sz w:val="18"/>
                <w:szCs w:val="18"/>
              </w:rPr>
              <w:t xml:space="preserve"> P</w:t>
            </w:r>
            <w:r>
              <w:rPr>
                <w:rFonts w:ascii="Arial" w:hAnsi="Arial" w:cs="Arial"/>
                <w:bCs/>
                <w:sz w:val="18"/>
                <w:szCs w:val="18"/>
                <w:vertAlign w:val="subscript"/>
              </w:rPr>
              <w:t>土</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17B404CE">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vAlign w:val="center"/>
          </w:tcPr>
          <w:p w14:paraId="5A81FA99">
            <w:pPr>
              <w:widowControl/>
              <w:adjustRightInd/>
              <w:spacing w:line="240" w:lineRule="auto"/>
              <w:rPr>
                <w:rFonts w:ascii="Arial" w:hAnsi="Arial" w:cs="Arial"/>
                <w:bCs/>
                <w:sz w:val="18"/>
                <w:szCs w:val="18"/>
              </w:rPr>
            </w:pPr>
            <w:r>
              <w:rPr>
                <w:rFonts w:hint="eastAsia" w:ascii="Arial" w:hAnsi="Arial" w:cs="Arial"/>
                <w:bCs/>
                <w:sz w:val="18"/>
                <w:szCs w:val="18"/>
              </w:rPr>
              <w:t>3</w:t>
            </w:r>
            <w:r>
              <w:rPr>
                <w:rFonts w:ascii="Arial" w:hAnsi="Arial" w:cs="Arial"/>
                <w:bCs/>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47C9578D">
            <w:pPr>
              <w:widowControl/>
              <w:adjustRightInd/>
              <w:spacing w:line="240" w:lineRule="auto"/>
              <w:rPr>
                <w:rFonts w:ascii="Arial" w:hAnsi="Arial" w:cs="Arial"/>
                <w:sz w:val="18"/>
                <w:szCs w:val="18"/>
              </w:rPr>
            </w:pPr>
          </w:p>
        </w:tc>
      </w:tr>
      <w:tr w14:paraId="037782F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vAlign w:val="center"/>
          </w:tcPr>
          <w:p w14:paraId="3D5BC144">
            <w:pPr>
              <w:widowControl/>
              <w:adjustRightInd/>
              <w:spacing w:line="240" w:lineRule="auto"/>
              <w:jc w:val="right"/>
              <w:rPr>
                <w:rFonts w:ascii="Arial" w:hAnsi="Arial" w:cs="Arial"/>
                <w:sz w:val="18"/>
                <w:szCs w:val="18"/>
              </w:rPr>
            </w:pPr>
            <w:r>
              <w:rPr>
                <w:rFonts w:ascii="Arial" w:hAnsi="Arial" w:cs="Arial"/>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65291856">
            <w:pPr>
              <w:widowControl/>
              <w:adjustRightInd/>
              <w:spacing w:line="240" w:lineRule="auto"/>
              <w:rPr>
                <w:rFonts w:ascii="Arial" w:hAnsi="Arial" w:cs="Arial"/>
                <w:sz w:val="18"/>
                <w:szCs w:val="18"/>
              </w:rPr>
            </w:pPr>
            <w:r>
              <w:rPr>
                <w:rFonts w:ascii="Arial" w:hAnsi="Arial" w:cs="Arial"/>
                <w:sz w:val="18"/>
                <w:szCs w:val="18"/>
              </w:rPr>
              <w:t>土地购买价格及购地税费应计的利润</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0A438133">
            <w:pPr>
              <w:widowControl/>
              <w:adjustRightInd/>
              <w:spacing w:line="240" w:lineRule="auto"/>
              <w:rPr>
                <w:rFonts w:ascii="Arial" w:hAnsi="Arial" w:cs="Arial"/>
                <w:sz w:val="18"/>
                <w:szCs w:val="18"/>
              </w:rPr>
            </w:pPr>
            <w:r>
              <w:rPr>
                <w:rFonts w:ascii="Arial" w:hAnsi="Arial" w:cs="Arial"/>
                <w:sz w:val="18"/>
                <w:szCs w:val="18"/>
              </w:rPr>
              <w:t>0.0</w:t>
            </w:r>
            <w:r>
              <w:rPr>
                <w:rFonts w:hint="eastAsia" w:ascii="Arial" w:hAnsi="Arial" w:cs="Arial"/>
                <w:sz w:val="18"/>
                <w:szCs w:val="18"/>
              </w:rPr>
              <w:t>309</w:t>
            </w:r>
            <w:r>
              <w:rPr>
                <w:rFonts w:ascii="Arial" w:hAnsi="Arial" w:cs="Arial"/>
                <w:bCs/>
                <w:sz w:val="18"/>
                <w:szCs w:val="18"/>
              </w:rPr>
              <w:t>P</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1A374EC7">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vAlign w:val="center"/>
          </w:tcPr>
          <w:p w14:paraId="30CE0116">
            <w:pPr>
              <w:widowControl/>
              <w:adjustRightInd/>
              <w:spacing w:line="240" w:lineRule="auto"/>
              <w:rPr>
                <w:rFonts w:ascii="Arial" w:hAnsi="Arial" w:cs="Arial"/>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494BB5D6">
            <w:pPr>
              <w:widowControl/>
              <w:adjustRightInd/>
              <w:spacing w:line="240" w:lineRule="auto"/>
              <w:rPr>
                <w:rFonts w:ascii="Arial" w:hAnsi="Arial" w:cs="Arial"/>
                <w:sz w:val="18"/>
                <w:szCs w:val="18"/>
              </w:rPr>
            </w:pPr>
            <w:r>
              <w:rPr>
                <w:rFonts w:ascii="Arial" w:hAnsi="Arial" w:cs="Arial"/>
                <w:sz w:val="18"/>
                <w:szCs w:val="18"/>
              </w:rPr>
              <w:t>（P+P*取得税费/(1+5%)）*利润率</w:t>
            </w:r>
          </w:p>
        </w:tc>
      </w:tr>
      <w:tr w14:paraId="244F3D1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vAlign w:val="center"/>
          </w:tcPr>
          <w:p w14:paraId="5FEAFFAD">
            <w:pPr>
              <w:widowControl/>
              <w:adjustRightInd/>
              <w:spacing w:line="240" w:lineRule="auto"/>
              <w:jc w:val="right"/>
              <w:rPr>
                <w:rFonts w:ascii="Arial" w:hAnsi="Arial" w:cs="Arial"/>
                <w:sz w:val="18"/>
                <w:szCs w:val="18"/>
              </w:rPr>
            </w:pPr>
            <w:r>
              <w:rPr>
                <w:rFonts w:ascii="Arial" w:hAnsi="Arial" w:cs="Arial"/>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56A394F8">
            <w:pPr>
              <w:widowControl/>
              <w:adjustRightInd/>
              <w:spacing w:line="240" w:lineRule="auto"/>
              <w:rPr>
                <w:rFonts w:ascii="Arial" w:hAnsi="Arial" w:cs="Arial"/>
                <w:sz w:val="18"/>
                <w:szCs w:val="18"/>
              </w:rPr>
            </w:pPr>
            <w:r>
              <w:rPr>
                <w:rFonts w:ascii="Arial" w:hAnsi="Arial" w:cs="Arial"/>
                <w:sz w:val="18"/>
                <w:szCs w:val="18"/>
              </w:rPr>
              <w:t>（1）-（5）项及销售费用产生的利息</w:t>
            </w:r>
          </w:p>
        </w:tc>
        <w:tc>
          <w:tcPr>
            <w:tcW w:w="540" w:type="pct"/>
            <w:tcBorders>
              <w:top w:val="single" w:color="404040" w:sz="2" w:space="0"/>
              <w:left w:val="single" w:color="404040" w:sz="2" w:space="0"/>
              <w:bottom w:val="single" w:color="404040" w:sz="2" w:space="0"/>
              <w:right w:val="single" w:color="404040" w:sz="2" w:space="0"/>
            </w:tcBorders>
            <w:vAlign w:val="center"/>
          </w:tcPr>
          <w:p w14:paraId="762742E3">
            <w:pPr>
              <w:widowControl/>
              <w:adjustRightInd/>
              <w:spacing w:line="240" w:lineRule="auto"/>
              <w:rPr>
                <w:rFonts w:ascii="Arial" w:hAnsi="Arial" w:cs="Arial"/>
                <w:sz w:val="18"/>
                <w:szCs w:val="18"/>
              </w:rPr>
            </w:pPr>
            <w:r>
              <w:rPr>
                <w:rFonts w:hint="eastAsia" w:ascii="Arial" w:hAnsi="Arial" w:cs="Arial"/>
                <w:sz w:val="18"/>
                <w:szCs w:val="18"/>
              </w:rPr>
              <w:t>578</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6255EC97">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vAlign w:val="center"/>
          </w:tcPr>
          <w:p w14:paraId="670503E5">
            <w:pPr>
              <w:widowControl/>
              <w:adjustRightInd/>
              <w:spacing w:line="240" w:lineRule="auto"/>
              <w:rPr>
                <w:rFonts w:ascii="Arial" w:hAnsi="Arial" w:cs="Arial"/>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058FD07F">
            <w:pPr>
              <w:widowControl/>
              <w:adjustRightInd/>
              <w:spacing w:line="240" w:lineRule="auto"/>
              <w:rPr>
                <w:rFonts w:ascii="Arial" w:hAnsi="Arial" w:cs="Arial"/>
                <w:sz w:val="18"/>
                <w:szCs w:val="18"/>
              </w:rPr>
            </w:pPr>
          </w:p>
        </w:tc>
      </w:tr>
      <w:tr w14:paraId="2FA2D0A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937" w:type="pct"/>
            <w:gridSpan w:val="2"/>
            <w:tcBorders>
              <w:top w:val="single" w:color="404040" w:sz="2" w:space="0"/>
              <w:left w:val="single" w:color="404040" w:sz="2" w:space="0"/>
              <w:bottom w:val="single" w:color="404040" w:sz="2" w:space="0"/>
              <w:right w:val="single" w:color="404040" w:sz="2" w:space="0"/>
            </w:tcBorders>
            <w:noWrap/>
            <w:vAlign w:val="center"/>
          </w:tcPr>
          <w:p w14:paraId="69980454">
            <w:pPr>
              <w:widowControl/>
              <w:adjustRightInd/>
              <w:spacing w:line="240" w:lineRule="auto"/>
              <w:rPr>
                <w:rFonts w:ascii="Arial" w:hAnsi="Arial" w:cs="Arial"/>
                <w:bCs/>
                <w:sz w:val="18"/>
                <w:szCs w:val="18"/>
              </w:rPr>
            </w:pPr>
            <w:r>
              <w:rPr>
                <w:rFonts w:ascii="Arial" w:hAnsi="Arial" w:cs="Arial"/>
                <w:bCs/>
                <w:sz w:val="18"/>
                <w:szCs w:val="18"/>
              </w:rPr>
              <w:t>4 .土地价格</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7A127210">
            <w:pPr>
              <w:widowControl/>
              <w:adjustRightInd/>
              <w:spacing w:line="240" w:lineRule="auto"/>
              <w:rPr>
                <w:rFonts w:ascii="Arial" w:hAnsi="Arial" w:cs="Arial"/>
                <w:bCs/>
                <w:sz w:val="18"/>
                <w:szCs w:val="18"/>
              </w:rPr>
            </w:pPr>
            <w:r>
              <w:rPr>
                <w:rFonts w:hint="eastAsia" w:ascii="Arial" w:hAnsi="Arial" w:cs="Arial"/>
                <w:bCs/>
                <w:sz w:val="18"/>
                <w:szCs w:val="18"/>
              </w:rPr>
              <w:t>1805</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2F035FA5">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49EF97B6">
            <w:pPr>
              <w:widowControl/>
              <w:adjustRightInd/>
              <w:spacing w:line="240" w:lineRule="auto"/>
              <w:rPr>
                <w:rFonts w:ascii="Arial" w:hAnsi="Arial" w:cs="Arial"/>
                <w:bCs/>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26F23817">
            <w:pPr>
              <w:widowControl/>
              <w:adjustRightInd/>
              <w:spacing w:line="240" w:lineRule="auto"/>
              <w:rPr>
                <w:rFonts w:ascii="Arial" w:hAnsi="Arial" w:cs="Arial"/>
                <w:bCs/>
                <w:sz w:val="18"/>
                <w:szCs w:val="18"/>
              </w:rPr>
            </w:pPr>
            <w:r>
              <w:rPr>
                <w:rFonts w:ascii="Arial" w:hAnsi="Arial" w:cs="Arial"/>
                <w:bCs/>
                <w:sz w:val="18"/>
                <w:szCs w:val="18"/>
              </w:rPr>
              <w:t>1-2-3</w:t>
            </w:r>
          </w:p>
        </w:tc>
      </w:tr>
    </w:tbl>
    <w:p w14:paraId="491365BC">
      <w:pPr>
        <w:spacing w:before="50" w:after="50" w:line="360" w:lineRule="auto"/>
        <w:rPr>
          <w:rFonts w:ascii="Arial" w:hAnsi="Arial" w:cs="Arial"/>
          <w:sz w:val="20"/>
        </w:rPr>
      </w:pPr>
      <w:r>
        <w:rPr>
          <w:rFonts w:ascii="Arial" w:hAnsi="Arial" w:cs="Arial"/>
          <w:sz w:val="20"/>
        </w:rPr>
        <w:t>单位：万元、平方米、元/平方米</w:t>
      </w:r>
      <w:bookmarkStart w:id="314" w:name="_Toc97732889"/>
      <w:bookmarkStart w:id="315" w:name="_Toc469066171"/>
      <w:bookmarkStart w:id="316" w:name="_Toc416783702"/>
      <w:bookmarkStart w:id="317" w:name="_Toc97732771"/>
      <w:bookmarkStart w:id="318" w:name="_Toc416783606"/>
    </w:p>
    <w:p w14:paraId="1DEE9D19">
      <w:pPr>
        <w:spacing w:before="50" w:after="50" w:line="360" w:lineRule="auto"/>
        <w:rPr>
          <w:rFonts w:ascii="Arial" w:hAnsi="Arial" w:cs="Arial"/>
          <w:sz w:val="20"/>
        </w:rPr>
      </w:pPr>
      <w:r>
        <w:rPr>
          <w:rFonts w:hint="eastAsia" w:ascii="Arial" w:hAnsi="Arial" w:cs="Arial"/>
          <w:sz w:val="20"/>
        </w:rPr>
        <w:t>注：上表中建安费用=（公寓建筑面积31152平方米+商业建筑面积796平方米）×建安单价4000元/平方米+（地下车库建筑面积5556平方米+设备及其他建筑面积1440平方米）×建安单价3200元/平方米=15018万元</w:t>
      </w:r>
    </w:p>
    <w:p w14:paraId="014235AA">
      <w:pPr>
        <w:spacing w:before="50" w:after="50" w:line="360" w:lineRule="auto"/>
        <w:rPr>
          <w:rFonts w:ascii="Arial" w:hAnsi="Arial" w:cs="Arial"/>
          <w:sz w:val="21"/>
          <w:szCs w:val="21"/>
        </w:rPr>
      </w:pPr>
    </w:p>
    <w:p w14:paraId="3D259025">
      <w:pPr>
        <w:spacing w:before="50" w:after="50" w:line="360" w:lineRule="auto"/>
        <w:rPr>
          <w:rFonts w:ascii="Arial" w:hAnsi="Arial" w:cs="Arial"/>
          <w:sz w:val="21"/>
          <w:szCs w:val="21"/>
        </w:rPr>
        <w:sectPr>
          <w:headerReference r:id="rId34" w:type="default"/>
          <w:footerReference r:id="rId35" w:type="default"/>
          <w:pgSz w:w="11907" w:h="16840"/>
          <w:pgMar w:top="1843" w:right="1304" w:bottom="1134" w:left="1304" w:header="1134" w:footer="907" w:gutter="0"/>
          <w:cols w:space="720" w:num="1"/>
          <w:docGrid w:linePitch="326" w:charSpace="0"/>
        </w:sectPr>
      </w:pPr>
    </w:p>
    <w:p w14:paraId="01FF72D6">
      <w:pPr>
        <w:spacing w:line="360" w:lineRule="auto"/>
        <w:jc w:val="both"/>
        <w:outlineLvl w:val="1"/>
        <w:rPr>
          <w:rFonts w:ascii="Arial" w:hAnsi="Arial" w:cs="Arial"/>
          <w:b/>
          <w:bCs/>
          <w:sz w:val="28"/>
        </w:rPr>
      </w:pPr>
      <w:bookmarkStart w:id="319" w:name="_Toc29336"/>
      <w:bookmarkStart w:id="320" w:name="_Toc19105"/>
      <w:bookmarkStart w:id="321" w:name="_Toc18708"/>
      <w:r>
        <w:rPr>
          <w:rFonts w:ascii="Arial" w:hAnsi="Arial" w:cs="Arial"/>
          <w:b/>
          <w:bCs/>
          <w:sz w:val="28"/>
        </w:rPr>
        <w:t>三、咨询结果的确定</w:t>
      </w:r>
      <w:bookmarkEnd w:id="314"/>
      <w:bookmarkEnd w:id="315"/>
      <w:bookmarkEnd w:id="316"/>
      <w:bookmarkEnd w:id="317"/>
      <w:bookmarkEnd w:id="318"/>
      <w:bookmarkEnd w:id="319"/>
      <w:bookmarkEnd w:id="320"/>
      <w:bookmarkEnd w:id="321"/>
    </w:p>
    <w:p w14:paraId="59896E60">
      <w:pPr>
        <w:spacing w:line="360" w:lineRule="auto"/>
        <w:ind w:firstLine="560" w:firstLineChars="200"/>
        <w:jc w:val="both"/>
        <w:rPr>
          <w:rFonts w:ascii="Arial" w:hAnsi="Arial" w:cs="Arial"/>
          <w:kern w:val="2"/>
          <w:sz w:val="28"/>
        </w:rPr>
      </w:pPr>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咨询对象于咨询期日的集体建设用地使用权评估价格为（币种：人民币）：</w:t>
      </w:r>
    </w:p>
    <w:p w14:paraId="25FFE108">
      <w:pPr>
        <w:spacing w:line="360" w:lineRule="auto"/>
        <w:ind w:firstLine="560" w:firstLineChars="200"/>
        <w:jc w:val="both"/>
        <w:rPr>
          <w:rFonts w:ascii="Arial" w:hAnsi="Arial" w:cs="Arial"/>
          <w:sz w:val="28"/>
        </w:rPr>
      </w:pPr>
      <w:r>
        <w:rPr>
          <w:rFonts w:ascii="Arial" w:hAnsi="Arial" w:cs="Arial"/>
          <w:sz w:val="28"/>
        </w:rPr>
        <w:t>集体建设用地使用权价格：</w:t>
      </w:r>
      <w:r>
        <w:rPr>
          <w:rFonts w:hint="eastAsia" w:ascii="Arial" w:hAnsi="Arial" w:cs="Arial"/>
          <w:sz w:val="28"/>
        </w:rPr>
        <w:t>1804.54</w:t>
      </w:r>
      <w:r>
        <w:rPr>
          <w:rFonts w:ascii="Arial" w:hAnsi="Arial" w:cs="Arial"/>
          <w:sz w:val="28"/>
        </w:rPr>
        <w:t>万元</w:t>
      </w:r>
    </w:p>
    <w:p w14:paraId="109482CF">
      <w:pPr>
        <w:spacing w:line="360" w:lineRule="auto"/>
        <w:ind w:firstLine="570"/>
        <w:jc w:val="both"/>
        <w:rPr>
          <w:rFonts w:ascii="Arial" w:hAnsi="Arial" w:cs="Arial"/>
          <w:sz w:val="28"/>
        </w:rPr>
      </w:pPr>
      <w:r>
        <w:rPr>
          <w:rFonts w:ascii="Arial" w:hAnsi="Arial" w:cs="Arial"/>
          <w:sz w:val="28"/>
        </w:rPr>
        <w:t>大写金额：人民币</w:t>
      </w:r>
      <w:r>
        <w:rPr>
          <w:rFonts w:hint="eastAsia" w:ascii="Arial" w:hAnsi="Arial" w:cs="Arial"/>
          <w:sz w:val="28"/>
        </w:rPr>
        <w:t>壹仟捌佰零肆万伍仟肆佰</w:t>
      </w:r>
      <w:r>
        <w:rPr>
          <w:rFonts w:ascii="Arial" w:hAnsi="Arial" w:cs="Arial"/>
          <w:sz w:val="28"/>
        </w:rPr>
        <w:t>元整</w:t>
      </w:r>
    </w:p>
    <w:p w14:paraId="42BF2C83">
      <w:pPr>
        <w:spacing w:line="360" w:lineRule="auto"/>
        <w:ind w:firstLine="570"/>
        <w:jc w:val="both"/>
        <w:rPr>
          <w:rFonts w:ascii="Arial" w:hAnsi="Arial" w:cs="Arial"/>
          <w:sz w:val="28"/>
        </w:rPr>
      </w:pPr>
      <w:r>
        <w:rPr>
          <w:rFonts w:ascii="Arial" w:hAnsi="Arial" w:cs="Arial"/>
          <w:sz w:val="28"/>
        </w:rPr>
        <w:t>单位面积地价：</w:t>
      </w:r>
      <w:r>
        <w:rPr>
          <w:rFonts w:hint="eastAsia" w:ascii="Arial" w:hAnsi="Arial" w:cs="Arial"/>
          <w:sz w:val="28"/>
        </w:rPr>
        <w:t>1065</w:t>
      </w:r>
      <w:r>
        <w:rPr>
          <w:rFonts w:ascii="Arial" w:hAnsi="Arial" w:cs="Arial"/>
          <w:sz w:val="28"/>
        </w:rPr>
        <w:t>元/平方米</w:t>
      </w:r>
    </w:p>
    <w:p w14:paraId="618C3B71">
      <w:pPr>
        <w:spacing w:line="360" w:lineRule="auto"/>
        <w:ind w:firstLine="570"/>
        <w:jc w:val="both"/>
        <w:rPr>
          <w:rFonts w:ascii="Arial" w:hAnsi="Arial" w:cs="Arial"/>
          <w:sz w:val="28"/>
        </w:rPr>
      </w:pPr>
      <w:r>
        <w:rPr>
          <w:rFonts w:ascii="Arial" w:hAnsi="Arial" w:cs="Arial"/>
          <w:sz w:val="28"/>
        </w:rPr>
        <w:t>楼面地价：</w:t>
      </w:r>
      <w:r>
        <w:rPr>
          <w:rFonts w:hint="eastAsia" w:ascii="Arial" w:hAnsi="Arial" w:cs="Arial"/>
          <w:sz w:val="28"/>
        </w:rPr>
        <w:t>446</w:t>
      </w:r>
      <w:r>
        <w:rPr>
          <w:rFonts w:ascii="Arial" w:hAnsi="Arial" w:cs="Arial"/>
          <w:sz w:val="28"/>
        </w:rPr>
        <w:t>元/平方米</w:t>
      </w:r>
    </w:p>
    <w:p w14:paraId="1E512489">
      <w:pPr>
        <w:spacing w:line="360" w:lineRule="auto"/>
        <w:ind w:firstLine="560" w:firstLineChars="200"/>
        <w:jc w:val="both"/>
        <w:rPr>
          <w:rFonts w:ascii="Arial" w:hAnsi="Arial" w:cs="Arial"/>
          <w:sz w:val="28"/>
        </w:rPr>
      </w:pPr>
      <w:r>
        <w:rPr>
          <w:rFonts w:ascii="Arial" w:hAnsi="Arial" w:cs="Arial"/>
          <w:sz w:val="28"/>
        </w:rPr>
        <w:t xml:space="preserve">  备注：</w:t>
      </w:r>
    </w:p>
    <w:p w14:paraId="391ABC33">
      <w:pPr>
        <w:spacing w:line="360" w:lineRule="auto"/>
        <w:ind w:firstLine="560" w:firstLineChars="200"/>
        <w:jc w:val="both"/>
        <w:rPr>
          <w:rFonts w:ascii="Arial" w:hAnsi="Arial" w:cs="Arial"/>
          <w:sz w:val="28"/>
        </w:rPr>
      </w:pPr>
      <w:r>
        <w:rPr>
          <w:rFonts w:ascii="Arial" w:hAnsi="Arial" w:cs="Arial"/>
          <w:sz w:val="28"/>
        </w:rPr>
        <w:t>1. 在本次评估过程中，目前该开发项目尚未正式进行开发施工，评估专业人员尚未取得《 “多规合一”协同平台初审意见的函》、《北京市发展和改革委员会关于</w:t>
      </w:r>
      <w:r>
        <w:rPr>
          <w:rFonts w:hint="eastAsia" w:ascii="Arial" w:hAnsi="Arial" w:cs="Arial"/>
          <w:sz w:val="28"/>
        </w:rPr>
        <w:t>昌平区马池口镇百泉庄村</w:t>
      </w:r>
      <w:r>
        <w:rPr>
          <w:rFonts w:ascii="Arial" w:hAnsi="Arial" w:cs="Arial"/>
          <w:sz w:val="28"/>
        </w:rPr>
        <w:t>经济</w:t>
      </w:r>
      <w:r>
        <w:rPr>
          <w:rFonts w:hint="eastAsia" w:ascii="Arial" w:hAnsi="Arial" w:cs="Arial"/>
          <w:sz w:val="28"/>
        </w:rPr>
        <w:t>组织</w:t>
      </w:r>
      <w:r>
        <w:rPr>
          <w:rFonts w:ascii="Arial" w:hAnsi="Arial" w:cs="Arial"/>
          <w:sz w:val="28"/>
        </w:rPr>
        <w:t>集体土地租赁住房项目核准的批复》等相关项目资料，本次评估过程中涉及的相关测算参数主要是依据委托方提供的</w:t>
      </w:r>
      <w:r>
        <w:rPr>
          <w:rFonts w:hint="eastAsia" w:ascii="Arial" w:hAnsi="Arial" w:cs="Arial"/>
          <w:sz w:val="28"/>
        </w:rPr>
        <w:t>相关资料</w:t>
      </w:r>
      <w:r>
        <w:rPr>
          <w:rFonts w:ascii="Arial" w:hAnsi="Arial" w:cs="Arial"/>
          <w:sz w:val="28"/>
        </w:rPr>
        <w:t>及介绍的情况</w:t>
      </w:r>
      <w:r>
        <w:rPr>
          <w:rFonts w:hint="eastAsia" w:ascii="Arial" w:hAnsi="Arial" w:cs="Arial"/>
          <w:sz w:val="28"/>
        </w:rPr>
        <w:t>进行</w:t>
      </w:r>
      <w:r>
        <w:rPr>
          <w:rFonts w:ascii="Arial" w:hAnsi="Arial" w:cs="Arial"/>
          <w:sz w:val="28"/>
        </w:rPr>
        <w:t>测算，如上述数据发生变化，可能会对目前的</w:t>
      </w:r>
      <w:r>
        <w:rPr>
          <w:rFonts w:hint="eastAsia" w:ascii="Arial" w:hAnsi="Arial" w:cs="Arial"/>
          <w:sz w:val="28"/>
        </w:rPr>
        <w:t>咨询</w:t>
      </w:r>
      <w:r>
        <w:rPr>
          <w:rFonts w:ascii="Arial" w:hAnsi="Arial" w:cs="Arial"/>
          <w:sz w:val="28"/>
        </w:rPr>
        <w:t>结论产生影响。</w:t>
      </w:r>
    </w:p>
    <w:p w14:paraId="7B0B46F9">
      <w:pPr>
        <w:spacing w:line="360" w:lineRule="auto"/>
        <w:ind w:firstLine="560" w:firstLineChars="200"/>
        <w:jc w:val="both"/>
        <w:rPr>
          <w:rFonts w:ascii="Arial" w:hAnsi="Arial" w:cs="Arial"/>
          <w:sz w:val="28"/>
        </w:rPr>
      </w:pPr>
      <w:r>
        <w:rPr>
          <w:rFonts w:ascii="Arial" w:hAnsi="Arial" w:cs="Arial"/>
          <w:sz w:val="28"/>
        </w:rPr>
        <w:t>2．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14:paraId="235E1E65">
      <w:pPr>
        <w:spacing w:line="360" w:lineRule="auto"/>
        <w:ind w:firstLine="560" w:firstLineChars="200"/>
        <w:jc w:val="both"/>
        <w:rPr>
          <w:rFonts w:ascii="Arial" w:hAnsi="Arial" w:cs="Arial"/>
          <w:sz w:val="28"/>
        </w:rPr>
      </w:pPr>
      <w:r>
        <w:rPr>
          <w:rFonts w:ascii="Arial" w:hAnsi="Arial" w:cs="Arial"/>
          <w:sz w:val="28"/>
        </w:rPr>
        <w:t>3．本次剩余法测算过程中，项目运营收入、成本、费用等为开发项目过程中以及建成后出租经济行为产生的相关收入和成本、费用，未包含开发项目建成后运营期与物业管理相关的收入、成本、费用；</w:t>
      </w:r>
    </w:p>
    <w:p w14:paraId="3E488F9D">
      <w:pPr>
        <w:spacing w:line="360" w:lineRule="auto"/>
        <w:ind w:firstLine="560" w:firstLineChars="200"/>
        <w:jc w:val="both"/>
        <w:rPr>
          <w:rFonts w:ascii="Arial" w:hAnsi="Arial" w:cs="Arial"/>
          <w:b/>
          <w:sz w:val="32"/>
        </w:rPr>
        <w:sectPr>
          <w:pgSz w:w="11907" w:h="16840"/>
          <w:pgMar w:top="1843" w:right="1304" w:bottom="1134" w:left="1304" w:header="1134" w:footer="907" w:gutter="0"/>
          <w:cols w:space="720" w:num="1"/>
          <w:docGrid w:linePitch="326" w:charSpace="0"/>
        </w:sectPr>
      </w:pPr>
      <w:r>
        <w:rPr>
          <w:rFonts w:ascii="Arial" w:hAnsi="Arial" w:cs="Arial"/>
          <w:sz w:val="28"/>
        </w:rPr>
        <w:t>4．集体建设用地使用权没有使用年限限制。根据北京市政府发布的《关于我市利用集体土地建设租赁住房相关政策的补充意见》[京规自发[2018]64号]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根据相关规定，该开发项目只能采取出租的形式获得项目收入，</w:t>
      </w:r>
      <w:r>
        <w:rPr>
          <w:rFonts w:hint="eastAsia" w:ascii="Arial" w:hAnsi="Arial" w:cs="Arial"/>
          <w:sz w:val="28"/>
        </w:rPr>
        <w:t>鉴于</w:t>
      </w:r>
      <w:r>
        <w:rPr>
          <w:rFonts w:ascii="Arial" w:hAnsi="Arial" w:cs="Arial"/>
          <w:sz w:val="28"/>
        </w:rPr>
        <w:t>收益期过长，本次评估考虑折现；合作期限50年结束后的后续处理模式，由于目前针对退出时相关政策行文件尚未正式出台，故届时将按照有关规定执行。综上所述，本次评估</w:t>
      </w:r>
      <w:r>
        <w:rPr>
          <w:rFonts w:hint="eastAsia" w:ascii="Arial" w:hAnsi="Arial" w:cs="Arial"/>
          <w:sz w:val="28"/>
        </w:rPr>
        <w:t>设定土地开发期及建筑物建设期为2.5年，</w:t>
      </w:r>
      <w:r>
        <w:rPr>
          <w:rFonts w:ascii="Arial" w:hAnsi="Arial" w:cs="Arial"/>
          <w:sz w:val="28"/>
        </w:rPr>
        <w:t>只考虑</w:t>
      </w:r>
      <w:r>
        <w:rPr>
          <w:rFonts w:hint="eastAsia" w:ascii="Arial" w:hAnsi="Arial" w:cs="Arial"/>
          <w:sz w:val="28"/>
        </w:rPr>
        <w:t>47.5</w:t>
      </w:r>
      <w:r>
        <w:rPr>
          <w:rFonts w:ascii="Arial" w:hAnsi="Arial" w:cs="Arial"/>
          <w:sz w:val="28"/>
        </w:rPr>
        <w:t>年合作期限内的收益。</w:t>
      </w:r>
    </w:p>
    <w:p w14:paraId="2FE292EA">
      <w:pPr>
        <w:spacing w:line="360" w:lineRule="auto"/>
        <w:jc w:val="center"/>
        <w:outlineLvl w:val="0"/>
        <w:rPr>
          <w:rFonts w:ascii="Arial" w:hAnsi="Arial" w:cs="Arial"/>
          <w:b/>
          <w:sz w:val="32"/>
        </w:rPr>
      </w:pPr>
      <w:bookmarkStart w:id="322" w:name="_Toc3228"/>
      <w:bookmarkStart w:id="323" w:name="_Toc469066172"/>
      <w:bookmarkStart w:id="324" w:name="_Toc20569"/>
      <w:bookmarkStart w:id="325" w:name="_Toc97732890"/>
      <w:bookmarkStart w:id="326" w:name="_Toc97732772"/>
      <w:bookmarkStart w:id="327" w:name="_Toc3207"/>
      <w:bookmarkStart w:id="328" w:name="_Toc416783610"/>
      <w:bookmarkStart w:id="329" w:name="_Toc416783706"/>
      <w:r>
        <w:rPr>
          <w:rFonts w:ascii="Arial" w:hAnsi="Arial" w:cs="Arial"/>
          <w:b/>
          <w:sz w:val="32"/>
        </w:rPr>
        <w:t>第四部分  附  件</w:t>
      </w:r>
      <w:bookmarkEnd w:id="322"/>
      <w:bookmarkEnd w:id="323"/>
      <w:bookmarkEnd w:id="324"/>
      <w:bookmarkEnd w:id="325"/>
      <w:bookmarkEnd w:id="326"/>
      <w:bookmarkEnd w:id="327"/>
      <w:bookmarkEnd w:id="328"/>
      <w:bookmarkEnd w:id="329"/>
    </w:p>
    <w:p w14:paraId="5A4ABFF4">
      <w:pPr>
        <w:spacing w:line="360" w:lineRule="auto"/>
        <w:jc w:val="center"/>
        <w:rPr>
          <w:rFonts w:ascii="Arial" w:hAnsi="Arial" w:cs="Arial"/>
          <w:b/>
          <w:sz w:val="32"/>
        </w:rPr>
      </w:pPr>
    </w:p>
    <w:p w14:paraId="79242D15">
      <w:pPr>
        <w:spacing w:line="360" w:lineRule="auto"/>
        <w:ind w:firstLine="560" w:firstLineChars="200"/>
        <w:jc w:val="both"/>
        <w:rPr>
          <w:rFonts w:ascii="Arial" w:hAnsi="Arial" w:cs="Arial"/>
          <w:sz w:val="28"/>
        </w:rPr>
      </w:pPr>
      <w:r>
        <w:rPr>
          <w:rFonts w:hint="eastAsia" w:ascii="Arial" w:hAnsi="Arial" w:cs="Arial"/>
          <w:sz w:val="28"/>
        </w:rPr>
        <w:t>1</w:t>
      </w:r>
      <w:r>
        <w:rPr>
          <w:rFonts w:ascii="Arial" w:hAnsi="Arial" w:cs="Arial"/>
          <w:sz w:val="28"/>
        </w:rPr>
        <w:t>.咨询对象所在位置示意图</w:t>
      </w:r>
    </w:p>
    <w:p w14:paraId="6D664CAF">
      <w:pPr>
        <w:spacing w:line="360" w:lineRule="auto"/>
        <w:ind w:firstLine="560" w:firstLineChars="200"/>
        <w:jc w:val="both"/>
        <w:rPr>
          <w:rFonts w:ascii="Arial" w:hAnsi="Arial" w:cs="Arial"/>
          <w:sz w:val="28"/>
        </w:rPr>
      </w:pPr>
      <w:r>
        <w:rPr>
          <w:rFonts w:hint="eastAsia" w:ascii="Arial" w:hAnsi="Arial" w:cs="Arial"/>
          <w:sz w:val="28"/>
        </w:rPr>
        <w:t>2</w:t>
      </w:r>
      <w:r>
        <w:rPr>
          <w:rFonts w:ascii="Arial" w:hAnsi="Arial" w:cs="Arial"/>
          <w:sz w:val="28"/>
        </w:rPr>
        <w:t>.</w:t>
      </w:r>
      <w:r>
        <w:rPr>
          <w:rFonts w:ascii="Arial" w:hAnsi="Arial" w:cs="Arial"/>
          <w:sz w:val="28"/>
          <w:szCs w:val="28"/>
        </w:rPr>
        <w:t>咨询对象实地勘察相关照片</w:t>
      </w:r>
    </w:p>
    <w:p w14:paraId="432F114B">
      <w:pPr>
        <w:spacing w:line="360" w:lineRule="auto"/>
        <w:ind w:firstLine="560" w:firstLineChars="200"/>
        <w:jc w:val="both"/>
        <w:rPr>
          <w:rFonts w:ascii="Arial" w:hAnsi="Arial" w:cs="Arial"/>
          <w:sz w:val="28"/>
        </w:rPr>
      </w:pPr>
      <w:r>
        <w:rPr>
          <w:rFonts w:hint="eastAsia" w:ascii="Arial" w:hAnsi="Arial" w:cs="Arial"/>
          <w:sz w:val="28"/>
        </w:rPr>
        <w:t>3</w:t>
      </w:r>
      <w:r>
        <w:rPr>
          <w:rFonts w:ascii="Arial" w:hAnsi="Arial" w:cs="Arial"/>
          <w:sz w:val="28"/>
        </w:rPr>
        <w:t>.委托方《营业执照（副本）》复印件</w:t>
      </w:r>
    </w:p>
    <w:p w14:paraId="3E079BE9">
      <w:pPr>
        <w:spacing w:line="360" w:lineRule="auto"/>
        <w:ind w:firstLine="560" w:firstLineChars="200"/>
        <w:jc w:val="both"/>
        <w:rPr>
          <w:rFonts w:ascii="Arial" w:hAnsi="Arial" w:cs="Arial"/>
          <w:sz w:val="28"/>
        </w:rPr>
      </w:pPr>
      <w:r>
        <w:rPr>
          <w:rFonts w:hint="eastAsia" w:ascii="Arial" w:hAnsi="Arial" w:cs="Arial"/>
          <w:sz w:val="28"/>
        </w:rPr>
        <w:t>4</w:t>
      </w:r>
      <w:r>
        <w:rPr>
          <w:rFonts w:ascii="Arial" w:hAnsi="Arial" w:cs="Arial"/>
          <w:sz w:val="28"/>
        </w:rPr>
        <w:t>.估价机构《营业执照（副本）》复印件</w:t>
      </w:r>
    </w:p>
    <w:p w14:paraId="13D8DBB5">
      <w:pPr>
        <w:spacing w:line="360" w:lineRule="auto"/>
        <w:ind w:firstLine="560" w:firstLineChars="200"/>
        <w:jc w:val="both"/>
        <w:rPr>
          <w:rFonts w:ascii="Arial" w:hAnsi="Arial" w:cs="Arial"/>
          <w:sz w:val="28"/>
        </w:rPr>
      </w:pPr>
      <w:r>
        <w:rPr>
          <w:rFonts w:hint="eastAsia" w:ascii="Arial" w:hAnsi="Arial" w:cs="Arial"/>
          <w:sz w:val="28"/>
        </w:rPr>
        <w:t>5</w:t>
      </w:r>
      <w:r>
        <w:rPr>
          <w:rFonts w:ascii="Arial" w:hAnsi="Arial" w:cs="Arial"/>
          <w:sz w:val="28"/>
        </w:rPr>
        <w:t>.估价机构估价资格证书复印件</w:t>
      </w:r>
    </w:p>
    <w:p w14:paraId="4E017BE6">
      <w:pPr>
        <w:spacing w:line="360" w:lineRule="auto"/>
        <w:ind w:left="720" w:hanging="720" w:hangingChars="300"/>
        <w:jc w:val="both"/>
        <w:rPr>
          <w:rFonts w:ascii="Arial" w:hAnsi="Arial" w:cs="Arial"/>
        </w:rPr>
      </w:pPr>
    </w:p>
    <w:sectPr>
      <w:headerReference r:id="rId36" w:type="first"/>
      <w:footerReference r:id="rId37" w:type="first"/>
      <w:pgSz w:w="11907" w:h="16840"/>
      <w:pgMar w:top="1843" w:right="1304" w:bottom="1134" w:left="1304" w:header="1134" w:footer="907" w:gutter="0"/>
      <w:cols w:space="720"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p" w:date="2025-10-17T15:11:00Z" w:initials="h">
    <w:p w14:paraId="11DEA7BF">
      <w:pPr>
        <w:pStyle w:val="8"/>
      </w:pPr>
      <w:r>
        <w:t>宗地红线内</w:t>
      </w:r>
    </w:p>
  </w:comment>
  <w:comment w:id="1" w:author="hp" w:date="2025-10-17T15:14:00Z" w:initials="h">
    <w:p w14:paraId="1CD4B80C">
      <w:pPr>
        <w:pStyle w:val="8"/>
      </w:pPr>
      <w:r>
        <w:t>单位</w:t>
      </w:r>
    </w:p>
  </w:comment>
  <w:comment w:id="2" w:author="hp" w:date="2025-10-17T16:46:00Z" w:initials="h">
    <w:p w14:paraId="7D1765CC">
      <w:pPr>
        <w:pStyle w:val="8"/>
      </w:pPr>
      <w:r>
        <w:annotationRef/>
      </w:r>
    </w:p>
  </w:comment>
  <w:comment w:id="3" w:author="诗霖" w:date="2025-10-22T10:14:00Z" w:initials="">
    <w:p w14:paraId="0A609C9F">
      <w:pPr>
        <w:pStyle w:val="8"/>
      </w:pPr>
      <w:r>
        <w:rPr>
          <w:rFonts w:hint="eastAsia"/>
        </w:rPr>
        <w:t>单位在左侧一列</w:t>
      </w:r>
    </w:p>
  </w:comment>
  <w:comment w:id="5" w:author="hp" w:date="2025-10-17T16:46:00Z" w:initials="h">
    <w:p w14:paraId="1B5A375B">
      <w:pPr>
        <w:pStyle w:val="8"/>
      </w:pPr>
      <w:r>
        <w:annotationRef/>
      </w:r>
    </w:p>
  </w:comment>
  <w:comment w:id="4" w:author="win10B" w:date="2025-10-22T14:24:00Z" w:initials="w">
    <w:p w14:paraId="41892185">
      <w:pPr>
        <w:pStyle w:val="8"/>
      </w:pPr>
      <w:r>
        <w:t>宗地红线内</w:t>
      </w:r>
    </w:p>
  </w:comment>
  <w:comment w:id="6" w:author="hp" w:date="2025-10-17T16:49:00Z" w:initials="h">
    <w:p w14:paraId="7320F5CC">
      <w:pPr>
        <w:pStyle w:val="8"/>
      </w:pPr>
      <w:r>
        <w:t>和</w:t>
      </w:r>
      <w:r>
        <w:rPr>
          <w:rFonts w:hint="eastAsia"/>
        </w:rPr>
        <w:t>2.5年对应？</w:t>
      </w:r>
    </w:p>
  </w:comment>
  <w:comment w:id="7" w:author="win10B" w:date="2025-10-22T14:31:00Z" w:initials="w">
    <w:p w14:paraId="15F07699">
      <w:pPr>
        <w:pStyle w:val="8"/>
      </w:pPr>
      <w:r>
        <w:t>核查一下，我算不是这个数</w:t>
      </w:r>
    </w:p>
  </w:comment>
  <w:comment w:id="8" w:author="win10B" w:date="2025-10-22T14:28:00Z" w:initials="w">
    <w:p w14:paraId="13092D02">
      <w:pPr>
        <w:pStyle w:val="8"/>
      </w:pPr>
      <w:r>
        <w:t>这种排版</w:t>
      </w:r>
    </w:p>
  </w:comment>
  <w:comment w:id="9" w:author="win10B" w:date="2025-10-22T14:27:00Z" w:initials="w">
    <w:p w14:paraId="745A0D86">
      <w:pPr>
        <w:pStyle w:val="8"/>
      </w:pPr>
      <w:r>
        <w:t>到底什么税，什么费</w:t>
      </w:r>
    </w:p>
  </w:comment>
  <w:comment w:id="10" w:author="hp" w:date="2025-10-17T16:58:00Z" w:initials="h">
    <w:p w14:paraId="5BF874B9">
      <w:pPr>
        <w:pStyle w:val="8"/>
      </w:pPr>
      <w:r>
        <w:t>怎么来的</w:t>
      </w:r>
    </w:p>
  </w:comment>
  <w:comment w:id="11" w:author="诗霖" w:date="2025-10-17T17:37:00Z" w:initials="">
    <w:p w14:paraId="48591817">
      <w:pPr>
        <w:pStyle w:val="8"/>
      </w:pPr>
      <w:r>
        <w:rPr>
          <w:rFonts w:hint="eastAsia"/>
        </w:rPr>
        <w:t>备注</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1DEA7BF" w15:done="0"/>
  <w15:commentEx w15:paraId="1CD4B80C" w15:done="0"/>
  <w15:commentEx w15:paraId="7D1765CC" w15:done="0"/>
  <w15:commentEx w15:paraId="0A609C9F" w15:done="0"/>
  <w15:commentEx w15:paraId="1B5A375B" w15:done="0"/>
  <w15:commentEx w15:paraId="41892185" w15:done="0"/>
  <w15:commentEx w15:paraId="7320F5CC" w15:done="0"/>
  <w15:commentEx w15:paraId="15F07699" w15:done="0"/>
  <w15:commentEx w15:paraId="13092D02" w15:done="0"/>
  <w15:commentEx w15:paraId="745A0D86" w15:done="0"/>
  <w15:commentEx w15:paraId="5BF874B9" w15:done="0"/>
  <w15:commentEx w15:paraId="4859181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Arial Narrow">
    <w:panose1 w:val="020B0606020202030204"/>
    <w:charset w:val="00"/>
    <w:family w:val="swiss"/>
    <w:pitch w:val="default"/>
    <w:sig w:usb0="00000287" w:usb1="00000800" w:usb2="00000000" w:usb3="00000000" w:csb0="2000009F" w:csb1="DFD70000"/>
  </w:font>
  <w:font w:name="长城粗隶书">
    <w:altName w:val="宋体"/>
    <w:panose1 w:val="00000000000000000000"/>
    <w:charset w:val="86"/>
    <w:family w:val="modern"/>
    <w:pitch w:val="default"/>
    <w:sig w:usb0="00000000" w:usb1="00000000" w:usb2="00000010" w:usb3="00000000" w:csb0="00040000" w:csb1="00000000"/>
  </w:font>
  <w:font w:name="华文细黑碙..">
    <w:altName w:val="仿宋"/>
    <w:panose1 w:val="00000000000000000000"/>
    <w:charset w:val="86"/>
    <w:family w:val="swiss"/>
    <w:pitch w:val="default"/>
    <w:sig w:usb0="00000000" w:usb1="00000000" w:usb2="00000010" w:usb3="00000000" w:csb0="00040000" w:csb1="00000000"/>
  </w:font>
  <w:font w:name="黑体萄">
    <w:altName w:val="方正舒体"/>
    <w:panose1 w:val="00000000000000000000"/>
    <w:charset w:val="86"/>
    <w:family w:val="swiss"/>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0000000000000000000"/>
    <w:charset w:val="86"/>
    <w:family w:val="auto"/>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仿宋_GB2312;仿宋">
    <w:altName w:val="宋体"/>
    <w:panose1 w:val="00000000000000000000"/>
    <w:charset w:val="86"/>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华文细黑">
    <w:panose1 w:val="02010600040101010101"/>
    <w:charset w:val="86"/>
    <w:family w:val="swiss"/>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6AB17">
    <w:pPr>
      <w:pStyle w:val="19"/>
      <w:framePr w:wrap="around" w:vAnchor="text" w:hAnchor="margin" w:xAlign="center" w:y="1"/>
      <w:rPr>
        <w:rStyle w:val="36"/>
        <w:sz w:val="21"/>
      </w:rPr>
    </w:pPr>
  </w:p>
  <w:p w14:paraId="79D7197C">
    <w:pPr>
      <w:pStyle w:val="19"/>
      <w:tabs>
        <w:tab w:val="left" w:pos="4890"/>
        <w:tab w:val="clear" w:pos="4153"/>
        <w:tab w:val="clear" w:pos="8306"/>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77726">
    <w:pPr>
      <w:pStyle w:val="1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A84EB">
    <w:pPr>
      <w:pStyle w:val="19"/>
      <w:pBdr>
        <w:top w:val="single" w:color="404040" w:sz="4" w:space="1"/>
      </w:pBdr>
      <w:jc w:val="center"/>
      <w:rPr>
        <w:szCs w:val="18"/>
      </w:rPr>
    </w:pPr>
    <w:r>
      <w:rPr>
        <w:szCs w:val="18"/>
      </w:rPr>
      <w:fldChar w:fldCharType="begin"/>
    </w:r>
    <w:r>
      <w:rPr>
        <w:szCs w:val="18"/>
      </w:rPr>
      <w:instrText xml:space="preserve">PAGE   \* MERGEFORMAT</w:instrText>
    </w:r>
    <w:r>
      <w:rPr>
        <w:szCs w:val="18"/>
      </w:rPr>
      <w:fldChar w:fldCharType="separate"/>
    </w:r>
    <w:r>
      <w:rPr>
        <w:rFonts w:ascii="Arial" w:hAnsi="Arial"/>
        <w:szCs w:val="18"/>
        <w:lang w:val="zh-CN"/>
      </w:rPr>
      <w:t>8</w:t>
    </w:r>
    <w:r>
      <w:rPr>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C489F">
    <w:pPr>
      <w:pStyle w:val="19"/>
      <w:framePr w:wrap="around" w:vAnchor="text" w:hAnchor="margin" w:xAlign="center" w:y="1"/>
      <w:rPr>
        <w:rStyle w:val="36"/>
      </w:rPr>
    </w:pPr>
    <w:r>
      <w:rPr>
        <w:rStyle w:val="36"/>
      </w:rPr>
      <w:fldChar w:fldCharType="begin"/>
    </w:r>
    <w:r>
      <w:rPr>
        <w:rStyle w:val="36"/>
      </w:rPr>
      <w:instrText xml:space="preserve">PAGE  </w:instrText>
    </w:r>
    <w:r>
      <w:rPr>
        <w:rStyle w:val="36"/>
      </w:rPr>
      <w:fldChar w:fldCharType="end"/>
    </w:r>
  </w:p>
  <w:p w14:paraId="0AC8BFE3">
    <w:pPr>
      <w:pStyle w:val="19"/>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B676A">
    <w:pPr>
      <w:pStyle w:val="19"/>
      <w:pBdr>
        <w:top w:val="single" w:color="auto" w:sz="4" w:space="1"/>
      </w:pBdr>
      <w:jc w:val="center"/>
    </w:pPr>
    <w:r>
      <w:fldChar w:fldCharType="begin"/>
    </w:r>
    <w:r>
      <w:instrText xml:space="preserve">PAGE   \* MERGEFORMAT</w:instrText>
    </w:r>
    <w:r>
      <w:fldChar w:fldCharType="separate"/>
    </w:r>
    <w:r>
      <w:rPr>
        <w:rFonts w:ascii="Arial" w:hAnsi="Arial"/>
        <w:lang w:val="zh-CN"/>
      </w:rPr>
      <w:t>52</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54AE5">
    <w:pPr>
      <w:pStyle w:val="19"/>
      <w:pBdr>
        <w:top w:val="single" w:color="auto" w:sz="4" w:space="1"/>
      </w:pBdr>
    </w:pPr>
  </w:p>
  <w:p w14:paraId="5274897E">
    <w:pPr>
      <w:pStyle w:val="19"/>
      <w:framePr w:wrap="around" w:vAnchor="text" w:hAnchor="margin" w:xAlign="center" w:y="136"/>
      <w:rPr>
        <w:rStyle w:val="36"/>
        <w:sz w:val="21"/>
      </w:rPr>
    </w:pPr>
    <w:r>
      <w:rPr>
        <w:rStyle w:val="36"/>
        <w:sz w:val="21"/>
        <w:szCs w:val="21"/>
      </w:rPr>
      <w:t xml:space="preserve">- </w:t>
    </w:r>
    <w:r>
      <w:rPr>
        <w:rStyle w:val="36"/>
        <w:sz w:val="21"/>
        <w:szCs w:val="21"/>
      </w:rPr>
      <w:fldChar w:fldCharType="begin"/>
    </w:r>
    <w:r>
      <w:rPr>
        <w:rStyle w:val="36"/>
        <w:sz w:val="21"/>
        <w:szCs w:val="21"/>
      </w:rPr>
      <w:instrText xml:space="preserve"> PAGE </w:instrText>
    </w:r>
    <w:r>
      <w:rPr>
        <w:rStyle w:val="36"/>
        <w:sz w:val="21"/>
        <w:szCs w:val="21"/>
      </w:rPr>
      <w:fldChar w:fldCharType="separate"/>
    </w:r>
    <w:r>
      <w:rPr>
        <w:rStyle w:val="36"/>
        <w:rFonts w:ascii="Arial" w:hAnsi="Arial"/>
        <w:sz w:val="21"/>
        <w:szCs w:val="21"/>
      </w:rPr>
      <w:t>37</w:t>
    </w:r>
    <w:r>
      <w:rPr>
        <w:rStyle w:val="36"/>
        <w:sz w:val="21"/>
        <w:szCs w:val="21"/>
      </w:rPr>
      <w:fldChar w:fldCharType="end"/>
    </w:r>
    <w:r>
      <w:rPr>
        <w:rStyle w:val="36"/>
        <w:sz w:val="21"/>
        <w:szCs w:val="21"/>
      </w:rPr>
      <w:t xml:space="preserve"> -</w:t>
    </w:r>
  </w:p>
  <w:p w14:paraId="7E60549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880D9">
    <w:pPr>
      <w:pStyle w:val="19"/>
      <w:framePr w:wrap="around" w:vAnchor="text" w:hAnchor="margin" w:xAlign="center" w:y="1"/>
      <w:rPr>
        <w:rStyle w:val="36"/>
      </w:rPr>
    </w:pPr>
    <w:r>
      <w:rPr>
        <w:rStyle w:val="36"/>
      </w:rPr>
      <w:fldChar w:fldCharType="begin"/>
    </w:r>
    <w:r>
      <w:rPr>
        <w:rStyle w:val="36"/>
      </w:rPr>
      <w:instrText xml:space="preserve">PAGE  </w:instrText>
    </w:r>
    <w:r>
      <w:rPr>
        <w:rStyle w:val="36"/>
      </w:rPr>
      <w:fldChar w:fldCharType="end"/>
    </w:r>
  </w:p>
  <w:p w14:paraId="35D818C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45F30">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2FB95">
    <w:pPr>
      <w:pStyle w:val="19"/>
      <w:pBdr>
        <w:top w:val="single" w:color="auto" w:sz="4" w:space="1"/>
      </w:pBdr>
      <w:jc w:val="center"/>
      <w:rPr>
        <w:rStyle w:val="36"/>
      </w:rPr>
    </w:pPr>
    <w:r>
      <w:fldChar w:fldCharType="begin"/>
    </w:r>
    <w:r>
      <w:instrText xml:space="preserve">PAGE   \* MERGEFORMAT</w:instrText>
    </w:r>
    <w:r>
      <w:fldChar w:fldCharType="separate"/>
    </w:r>
    <w:r>
      <w:rPr>
        <w:rFonts w:ascii="Arial" w:hAnsi="Arial"/>
        <w:lang w:val="zh-CN"/>
      </w:rPr>
      <w:t>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7AB59">
    <w:pPr>
      <w:pStyle w:val="19"/>
      <w:framePr w:wrap="around" w:vAnchor="text" w:hAnchor="margin" w:xAlign="center" w:y="1"/>
      <w:rPr>
        <w:rStyle w:val="36"/>
      </w:rPr>
    </w:pPr>
    <w:r>
      <w:rPr>
        <w:rStyle w:val="36"/>
      </w:rPr>
      <w:fldChar w:fldCharType="begin"/>
    </w:r>
    <w:r>
      <w:rPr>
        <w:rStyle w:val="36"/>
      </w:rPr>
      <w:instrText xml:space="preserve">PAGE  </w:instrText>
    </w:r>
    <w:r>
      <w:rPr>
        <w:rStyle w:val="36"/>
      </w:rPr>
      <w:fldChar w:fldCharType="end"/>
    </w:r>
  </w:p>
  <w:p w14:paraId="6D6A01BE">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FD05F">
    <w:pPr>
      <w:pStyle w:val="19"/>
      <w:pBdr>
        <w:top w:val="single" w:color="auto" w:sz="8" w:space="15"/>
      </w:pBdr>
      <w:jc w:val="center"/>
    </w:pPr>
    <w:r>
      <w:t xml:space="preserve">- </w:t>
    </w:r>
    <w:r>
      <w:fldChar w:fldCharType="begin"/>
    </w:r>
    <w:r>
      <w:instrText xml:space="preserve"> PAGE </w:instrText>
    </w:r>
    <w:r>
      <w:fldChar w:fldCharType="separate"/>
    </w:r>
    <w:r>
      <w:rPr>
        <w:rFonts w:ascii="Arial" w:hAnsi="Arial"/>
      </w:rP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EEEE5">
    <w:pPr>
      <w:pStyle w:val="19"/>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1</w:t>
    </w:r>
    <w:r>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3048E">
    <w:pPr>
      <w:pStyle w:val="19"/>
      <w:framePr w:w="13887" w:wrap="around" w:vAnchor="text" w:hAnchor="page" w:x="1560" w:y="341"/>
      <w:jc w:val="center"/>
      <w:rPr>
        <w:rStyle w:val="36"/>
        <w:sz w:val="21"/>
      </w:rPr>
    </w:pPr>
    <w:r>
      <w:rPr>
        <w:rStyle w:val="36"/>
        <w:sz w:val="21"/>
        <w:szCs w:val="21"/>
      </w:rPr>
      <w:t xml:space="preserve">- </w:t>
    </w:r>
    <w:r>
      <w:rPr>
        <w:rStyle w:val="36"/>
        <w:sz w:val="21"/>
        <w:szCs w:val="21"/>
      </w:rPr>
      <w:fldChar w:fldCharType="begin"/>
    </w:r>
    <w:r>
      <w:rPr>
        <w:rStyle w:val="36"/>
        <w:sz w:val="21"/>
        <w:szCs w:val="21"/>
      </w:rPr>
      <w:instrText xml:space="preserve"> PAGE </w:instrText>
    </w:r>
    <w:r>
      <w:rPr>
        <w:rStyle w:val="36"/>
        <w:sz w:val="21"/>
        <w:szCs w:val="21"/>
      </w:rPr>
      <w:fldChar w:fldCharType="separate"/>
    </w:r>
    <w:r>
      <w:rPr>
        <w:rStyle w:val="36"/>
        <w:rFonts w:ascii="Arial" w:hAnsi="Arial"/>
        <w:sz w:val="21"/>
        <w:szCs w:val="21"/>
      </w:rPr>
      <w:t>8</w:t>
    </w:r>
    <w:r>
      <w:rPr>
        <w:rStyle w:val="36"/>
        <w:sz w:val="21"/>
        <w:szCs w:val="21"/>
      </w:rPr>
      <w:fldChar w:fldCharType="end"/>
    </w:r>
    <w:r>
      <w:rPr>
        <w:rStyle w:val="36"/>
        <w:sz w:val="21"/>
        <w:szCs w:val="21"/>
      </w:rPr>
      <w:t xml:space="preserve"> -</w:t>
    </w:r>
  </w:p>
  <w:p w14:paraId="30615F5B">
    <w:pPr>
      <w:pStyle w:val="19"/>
      <w:pBdr>
        <w:top w:val="single" w:color="auto" w:sz="8" w:space="15"/>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C494E">
    <w:pPr>
      <w:pStyle w:val="19"/>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13</w:t>
    </w:r>
    <w:r>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59121">
    <w:pPr>
      <w:pStyle w:val="20"/>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12CAB">
    <w:pPr>
      <w:pStyle w:val="20"/>
      <w:pBdr>
        <w:bottom w:val="none" w:color="auto" w:sz="0" w:space="0"/>
      </w:pBdr>
      <w:jc w:val="both"/>
    </w:pPr>
    <w:r>
      <w:drawing>
        <wp:inline distT="0" distB="0" distL="0" distR="0">
          <wp:extent cx="5904230" cy="280035"/>
          <wp:effectExtent l="0" t="0" r="0" b="0"/>
          <wp:docPr id="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003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67E88">
    <w:pPr>
      <w:pStyle w:val="20"/>
      <w:pBdr>
        <w:bottom w:val="none" w:color="auto" w:sz="0" w:space="0"/>
      </w:pBdr>
      <w:jc w:val="both"/>
    </w:pPr>
    <w:r>
      <w:drawing>
        <wp:inline distT="0" distB="0" distL="0" distR="0">
          <wp:extent cx="5904230" cy="285115"/>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p w14:paraId="7197892A">
    <w:pPr>
      <w:pStyle w:val="20"/>
      <w:pBdr>
        <w:bottom w:val="none" w:color="auto" w:sz="0" w:space="0"/>
      </w:pBdr>
      <w:jc w:val="both"/>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8D154">
    <w:pPr>
      <w:pStyle w:val="20"/>
      <w:pBdr>
        <w:bottom w:val="none" w:color="auto" w:sz="0" w:space="0"/>
      </w:pBdr>
      <w:jc w:val="both"/>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E0172">
    <w:pPr>
      <w:pStyle w:val="20"/>
      <w:pBdr>
        <w:bottom w:val="none" w:color="auto" w:sz="0" w:space="0"/>
      </w:pBdr>
      <w:jc w:val="both"/>
    </w:pPr>
    <w:r>
      <w:drawing>
        <wp:inline distT="0" distB="0" distL="0" distR="0">
          <wp:extent cx="5904230" cy="285115"/>
          <wp:effectExtent l="0" t="0" r="0" b="0"/>
          <wp:docPr id="25"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5"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7336D">
    <w:pPr>
      <w:pStyle w:val="20"/>
      <w:pBdr>
        <w:bottom w:val="none" w:color="auto" w:sz="0" w:space="0"/>
      </w:pBdr>
    </w:pPr>
    <w:r>
      <w:drawing>
        <wp:inline distT="0" distB="0" distL="0" distR="0">
          <wp:extent cx="5904230" cy="285115"/>
          <wp:effectExtent l="0" t="0" r="0" b="0"/>
          <wp:docPr id="2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938CD">
    <w:pPr>
      <w:pStyle w:val="20"/>
      <w:pBdr>
        <w:bottom w:val="none" w:color="auto" w:sz="0" w:space="0"/>
      </w:pBdr>
    </w:pPr>
    <w:r>
      <w:drawing>
        <wp:inline distT="0" distB="0" distL="0" distR="0">
          <wp:extent cx="5904230" cy="285115"/>
          <wp:effectExtent l="0" t="0" r="0" b="0"/>
          <wp:docPr id="27"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51E90">
    <w:pPr>
      <w:pStyle w:val="20"/>
      <w:pBdr>
        <w:bottom w:val="none" w:color="auto" w:sz="0" w:space="0"/>
      </w:pBdr>
    </w:pPr>
    <w:r>
      <w:drawing>
        <wp:inline distT="0" distB="0" distL="0" distR="0">
          <wp:extent cx="5904230" cy="285115"/>
          <wp:effectExtent l="0" t="0" r="0" b="0"/>
          <wp:docPr id="4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2D01B">
    <w:pPr>
      <w:pStyle w:val="20"/>
      <w:pBdr>
        <w:bottom w:val="none" w:color="auto" w:sz="0" w:space="0"/>
      </w:pBdr>
      <w:jc w:val="both"/>
    </w:pPr>
    <w:r>
      <w:drawing>
        <wp:inline distT="0" distB="0" distL="0" distR="0">
          <wp:extent cx="5497195" cy="285115"/>
          <wp:effectExtent l="0" t="0" r="0" b="0"/>
          <wp:docPr id="4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497195" cy="285115"/>
                  </a:xfrm>
                  <a:prstGeom prst="rect">
                    <a:avLst/>
                  </a:prstGeom>
                  <a:noFill/>
                  <a:ln>
                    <a:noFill/>
                  </a:ln>
                </pic:spPr>
              </pic:pic>
            </a:graphicData>
          </a:graphic>
        </wp:inline>
      </w:drawing>
    </w:r>
  </w:p>
  <w:p w14:paraId="07EA9363">
    <w:pPr>
      <w:pStyle w:val="20"/>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AA738">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608C4">
    <w:pPr>
      <w:pStyle w:val="20"/>
      <w:pBdr>
        <w:bottom w:val="none" w:color="auto" w:sz="0" w:space="0"/>
      </w:pBdr>
    </w:pPr>
    <w:r>
      <w:drawing>
        <wp:inline distT="0" distB="0" distL="0" distR="0">
          <wp:extent cx="5904230" cy="285115"/>
          <wp:effectExtent l="0" t="0" r="0" b="0"/>
          <wp:docPr id="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D6F03">
    <w:pPr>
      <w:pStyle w:val="20"/>
      <w:pBdr>
        <w:bottom w:val="none" w:color="auto" w:sz="0" w:space="0"/>
      </w:pBdr>
      <w:jc w:val="both"/>
    </w:pPr>
    <w:r>
      <w:drawing>
        <wp:inline distT="0" distB="0" distL="0" distR="0">
          <wp:extent cx="5904230" cy="285115"/>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0A9DE">
    <w:pPr>
      <w:pStyle w:val="20"/>
      <w:pBdr>
        <w:bottom w:val="none" w:color="auto" w:sz="0" w:space="0"/>
      </w:pBdr>
    </w:pPr>
    <w:r>
      <w:drawing>
        <wp:inline distT="0" distB="0" distL="0" distR="0">
          <wp:extent cx="5904230" cy="285115"/>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525DD">
    <w:pPr>
      <w:pStyle w:val="20"/>
      <w:pBdr>
        <w:bottom w:val="none" w:color="auto" w:sz="0" w:space="0"/>
      </w:pBdr>
      <w:jc w:val="both"/>
      <w:rPr>
        <w:rFonts w:ascii="Arial" w:hAnsi="Arial" w:eastAsia="华文行楷"/>
      </w:rPr>
    </w:pPr>
    <w:r>
      <w:rPr>
        <w:rFonts w:hint="eastAsia" w:ascii="楷体_GB2312" w:eastAsia="楷体_GB2312"/>
        <w:spacing w:val="-20"/>
        <w:sz w:val="24"/>
      </w:rPr>
      <w:drawing>
        <wp:inline distT="0" distB="0" distL="0" distR="0">
          <wp:extent cx="8863965" cy="391160"/>
          <wp:effectExtent l="0" t="0" r="0" b="0"/>
          <wp:docPr id="45" name="图片 36"/>
          <wp:cNvGraphicFramePr/>
          <a:graphic xmlns:a="http://schemas.openxmlformats.org/drawingml/2006/main">
            <a:graphicData uri="http://schemas.openxmlformats.org/drawingml/2006/picture">
              <pic:pic xmlns:pic="http://schemas.openxmlformats.org/drawingml/2006/picture">
                <pic:nvPicPr>
                  <pic:cNvPr id="45" name="图片 36"/>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863965" cy="3911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66A99">
    <w:pPr>
      <w:pStyle w:val="20"/>
      <w:pBdr>
        <w:bottom w:val="none" w:color="auto" w:sz="0" w:space="0"/>
      </w:pBdr>
      <w:rPr>
        <w:rFonts w:ascii="楷体_GB2312" w:eastAsia="楷体_GB2312"/>
        <w:spacing w:val="-20"/>
        <w:sz w:val="24"/>
      </w:rPr>
    </w:pPr>
    <w:r>
      <w:drawing>
        <wp:inline distT="0" distB="0" distL="0" distR="0">
          <wp:extent cx="5904230" cy="285115"/>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C482F">
    <w:pPr>
      <w:pStyle w:val="20"/>
      <w:pBdr>
        <w:bottom w:val="none" w:color="auto" w:sz="0" w:space="0"/>
      </w:pBdr>
      <w:rPr>
        <w:rFonts w:ascii="楷体_GB2312" w:eastAsia="楷体_GB2312"/>
        <w:spacing w:val="-20"/>
        <w:sz w:val="24"/>
      </w:rPr>
    </w:pPr>
    <w:r>
      <w:drawing>
        <wp:inline distT="0" distB="0" distL="0" distR="0">
          <wp:extent cx="5904230" cy="285115"/>
          <wp:effectExtent l="0" t="0" r="0" b="0"/>
          <wp:docPr id="5" name="图片 0" descr="评估报告内页页眉.jpg"/>
          <wp:cNvGraphicFramePr/>
          <a:graphic xmlns:a="http://schemas.openxmlformats.org/drawingml/2006/main">
            <a:graphicData uri="http://schemas.openxmlformats.org/drawingml/2006/picture">
              <pic:pic xmlns:pic="http://schemas.openxmlformats.org/drawingml/2006/picture">
                <pic:nvPicPr>
                  <pic:cNvPr id="5"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74564">
    <w:pPr>
      <w:pStyle w:val="20"/>
      <w:pBdr>
        <w:bottom w:val="none" w:color="auto" w:sz="0" w:space="0"/>
      </w:pBdr>
      <w:jc w:val="both"/>
    </w:pPr>
    <w:r>
      <w:drawing>
        <wp:inline distT="0" distB="0" distL="0" distR="0">
          <wp:extent cx="5904230" cy="285115"/>
          <wp:effectExtent l="0" t="0" r="0" b="0"/>
          <wp:docPr id="7" name="图片 0" descr="评估报告内页页眉.jpg"/>
          <wp:cNvGraphicFramePr/>
          <a:graphic xmlns:a="http://schemas.openxmlformats.org/drawingml/2006/main">
            <a:graphicData uri="http://schemas.openxmlformats.org/drawingml/2006/picture">
              <pic:pic xmlns:pic="http://schemas.openxmlformats.org/drawingml/2006/picture">
                <pic:nvPicPr>
                  <pic:cNvPr id="7"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1">
    <w:nsid w:val="42711A3B"/>
    <w:multiLevelType w:val="multilevel"/>
    <w:tmpl w:val="42711A3B"/>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4">
    <w:nsid w:val="6E3F4F67"/>
    <w:multiLevelType w:val="singleLevel"/>
    <w:tmpl w:val="6E3F4F67"/>
    <w:lvl w:ilvl="0" w:tentative="0">
      <w:start w:val="8"/>
      <w:numFmt w:val="chineseCounting"/>
      <w:suff w:val="nothing"/>
      <w:lvlText w:val="%1、"/>
      <w:lvlJc w:val="left"/>
      <w:rPr>
        <w:rFonts w:hint="eastAsia"/>
      </w:rPr>
    </w:lvl>
  </w:abstractNum>
  <w:abstractNum w:abstractNumId="5">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7906362E"/>
    <w:multiLevelType w:val="multilevel"/>
    <w:tmpl w:val="7906362E"/>
    <w:lvl w:ilvl="0" w:tentative="0">
      <w:start w:val="1"/>
      <w:numFmt w:val="upperLetter"/>
      <w:pStyle w:val="2"/>
      <w:lvlText w:val="%1．"/>
      <w:lvlJc w:val="left"/>
      <w:pPr>
        <w:tabs>
          <w:tab w:val="left" w:pos="720"/>
        </w:tabs>
        <w:ind w:left="720" w:hanging="720"/>
      </w:pPr>
      <w:rPr>
        <w:rFonts w:hint="eastAsia"/>
      </w:rPr>
    </w:lvl>
    <w:lvl w:ilvl="1" w:tentative="0">
      <w:start w:val="1"/>
      <w:numFmt w:val="japaneseCounting"/>
      <w:lvlText w:val="（%2）"/>
      <w:lvlJc w:val="left"/>
      <w:pPr>
        <w:tabs>
          <w:tab w:val="left" w:pos="1275"/>
        </w:tabs>
        <w:ind w:left="1275" w:hanging="85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7DFCDDBF"/>
    <w:multiLevelType w:val="singleLevel"/>
    <w:tmpl w:val="7DFCDDBF"/>
    <w:lvl w:ilvl="0" w:tentative="0">
      <w:start w:val="3"/>
      <w:numFmt w:val="chineseCounting"/>
      <w:suff w:val="nothing"/>
      <w:lvlText w:val="（%1）"/>
      <w:lvlJc w:val="left"/>
      <w:rPr>
        <w:rFonts w:hint="eastAsia"/>
      </w:rPr>
    </w:lvl>
  </w:abstractNum>
  <w:num w:numId="1">
    <w:abstractNumId w:val="6"/>
  </w:num>
  <w:num w:numId="2">
    <w:abstractNumId w:val="5"/>
  </w:num>
  <w:num w:numId="3">
    <w:abstractNumId w:val="0"/>
  </w:num>
  <w:num w:numId="4">
    <w:abstractNumId w:val="3"/>
  </w:num>
  <w:num w:numId="5">
    <w:abstractNumId w:val="2"/>
  </w:num>
  <w:num w:numId="6">
    <w:abstractNumId w:val="7"/>
  </w:num>
  <w:num w:numId="7">
    <w:abstractNumId w:val="4"/>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p">
    <w15:presenceInfo w15:providerId="None" w15:userId="hp"/>
  </w15:person>
  <w15:person w15:author="诗霖">
    <w15:presenceInfo w15:providerId="WPS Office" w15:userId="2424977201"/>
  </w15:person>
  <w15:person w15:author="win10B">
    <w15:presenceInfo w15:providerId="None" w15:userId="win1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1B0"/>
    <w:rsid w:val="000001B0"/>
    <w:rsid w:val="000029BA"/>
    <w:rsid w:val="00002D13"/>
    <w:rsid w:val="00010109"/>
    <w:rsid w:val="00020655"/>
    <w:rsid w:val="00022A81"/>
    <w:rsid w:val="00022AEF"/>
    <w:rsid w:val="00022D26"/>
    <w:rsid w:val="00022E09"/>
    <w:rsid w:val="00023A9D"/>
    <w:rsid w:val="0002583D"/>
    <w:rsid w:val="000335C0"/>
    <w:rsid w:val="00035D39"/>
    <w:rsid w:val="00041BED"/>
    <w:rsid w:val="00050B46"/>
    <w:rsid w:val="00051792"/>
    <w:rsid w:val="00052093"/>
    <w:rsid w:val="00052FC0"/>
    <w:rsid w:val="0005412C"/>
    <w:rsid w:val="00054E3F"/>
    <w:rsid w:val="00055D46"/>
    <w:rsid w:val="00060139"/>
    <w:rsid w:val="000634D6"/>
    <w:rsid w:val="00072B8B"/>
    <w:rsid w:val="00074664"/>
    <w:rsid w:val="0007570B"/>
    <w:rsid w:val="00075C27"/>
    <w:rsid w:val="00081ECD"/>
    <w:rsid w:val="0008235C"/>
    <w:rsid w:val="0008487F"/>
    <w:rsid w:val="000874F1"/>
    <w:rsid w:val="00090F6E"/>
    <w:rsid w:val="0009241E"/>
    <w:rsid w:val="0009253E"/>
    <w:rsid w:val="00092DE8"/>
    <w:rsid w:val="00094171"/>
    <w:rsid w:val="000A02EB"/>
    <w:rsid w:val="000A174F"/>
    <w:rsid w:val="000A6EFF"/>
    <w:rsid w:val="000B67BE"/>
    <w:rsid w:val="000C07B6"/>
    <w:rsid w:val="000C4251"/>
    <w:rsid w:val="000C6F13"/>
    <w:rsid w:val="000D0C1F"/>
    <w:rsid w:val="000D7FD2"/>
    <w:rsid w:val="000E38E9"/>
    <w:rsid w:val="000F4961"/>
    <w:rsid w:val="000F4D50"/>
    <w:rsid w:val="000F5B7A"/>
    <w:rsid w:val="000F7BF6"/>
    <w:rsid w:val="00111886"/>
    <w:rsid w:val="001119D8"/>
    <w:rsid w:val="00117659"/>
    <w:rsid w:val="00120689"/>
    <w:rsid w:val="00120A72"/>
    <w:rsid w:val="00120C20"/>
    <w:rsid w:val="001248ED"/>
    <w:rsid w:val="00134B7C"/>
    <w:rsid w:val="0013780B"/>
    <w:rsid w:val="00137E12"/>
    <w:rsid w:val="00140155"/>
    <w:rsid w:val="001421D2"/>
    <w:rsid w:val="0014421E"/>
    <w:rsid w:val="00144DAD"/>
    <w:rsid w:val="00145624"/>
    <w:rsid w:val="0015240C"/>
    <w:rsid w:val="00152BCA"/>
    <w:rsid w:val="00152BE0"/>
    <w:rsid w:val="00154465"/>
    <w:rsid w:val="00156953"/>
    <w:rsid w:val="00156F88"/>
    <w:rsid w:val="001632D8"/>
    <w:rsid w:val="00163358"/>
    <w:rsid w:val="00170A33"/>
    <w:rsid w:val="001731EA"/>
    <w:rsid w:val="0017469E"/>
    <w:rsid w:val="001769D7"/>
    <w:rsid w:val="00177F4C"/>
    <w:rsid w:val="001838C3"/>
    <w:rsid w:val="0018515C"/>
    <w:rsid w:val="0018781B"/>
    <w:rsid w:val="0019089B"/>
    <w:rsid w:val="00191A67"/>
    <w:rsid w:val="00192533"/>
    <w:rsid w:val="001942A4"/>
    <w:rsid w:val="00194C21"/>
    <w:rsid w:val="00196F58"/>
    <w:rsid w:val="00197A5E"/>
    <w:rsid w:val="001A0B0D"/>
    <w:rsid w:val="001B2396"/>
    <w:rsid w:val="001B3D44"/>
    <w:rsid w:val="001B44EE"/>
    <w:rsid w:val="001B47B8"/>
    <w:rsid w:val="001C076D"/>
    <w:rsid w:val="001C3012"/>
    <w:rsid w:val="001D515B"/>
    <w:rsid w:val="001D79DD"/>
    <w:rsid w:val="001E4531"/>
    <w:rsid w:val="001E6A68"/>
    <w:rsid w:val="001F1D45"/>
    <w:rsid w:val="001F2814"/>
    <w:rsid w:val="001F5529"/>
    <w:rsid w:val="001F780D"/>
    <w:rsid w:val="00202C3A"/>
    <w:rsid w:val="00202EC5"/>
    <w:rsid w:val="00204944"/>
    <w:rsid w:val="0020629B"/>
    <w:rsid w:val="002131D5"/>
    <w:rsid w:val="002160EB"/>
    <w:rsid w:val="0021724D"/>
    <w:rsid w:val="00221B39"/>
    <w:rsid w:val="0022376C"/>
    <w:rsid w:val="0022512A"/>
    <w:rsid w:val="002254C5"/>
    <w:rsid w:val="002316DB"/>
    <w:rsid w:val="00232D19"/>
    <w:rsid w:val="0023355D"/>
    <w:rsid w:val="00235889"/>
    <w:rsid w:val="00236537"/>
    <w:rsid w:val="00256420"/>
    <w:rsid w:val="00257C17"/>
    <w:rsid w:val="00257DCE"/>
    <w:rsid w:val="00261064"/>
    <w:rsid w:val="00261AA1"/>
    <w:rsid w:val="0026407E"/>
    <w:rsid w:val="00264EB2"/>
    <w:rsid w:val="0027775C"/>
    <w:rsid w:val="00280229"/>
    <w:rsid w:val="002812F5"/>
    <w:rsid w:val="00282105"/>
    <w:rsid w:val="0028380A"/>
    <w:rsid w:val="00284E77"/>
    <w:rsid w:val="002876D1"/>
    <w:rsid w:val="002908E0"/>
    <w:rsid w:val="00292192"/>
    <w:rsid w:val="00293DE5"/>
    <w:rsid w:val="002977A8"/>
    <w:rsid w:val="002A0F54"/>
    <w:rsid w:val="002A10A5"/>
    <w:rsid w:val="002A148B"/>
    <w:rsid w:val="002A5CC8"/>
    <w:rsid w:val="002A6AA9"/>
    <w:rsid w:val="002A749A"/>
    <w:rsid w:val="002B105C"/>
    <w:rsid w:val="002B3FEF"/>
    <w:rsid w:val="002B47CF"/>
    <w:rsid w:val="002B51E0"/>
    <w:rsid w:val="002B67C8"/>
    <w:rsid w:val="002C1F9C"/>
    <w:rsid w:val="002C3C92"/>
    <w:rsid w:val="002C560C"/>
    <w:rsid w:val="002D6449"/>
    <w:rsid w:val="002E0834"/>
    <w:rsid w:val="002E3112"/>
    <w:rsid w:val="002E54A6"/>
    <w:rsid w:val="002F1264"/>
    <w:rsid w:val="002F1863"/>
    <w:rsid w:val="002F4573"/>
    <w:rsid w:val="002F4903"/>
    <w:rsid w:val="002F49F8"/>
    <w:rsid w:val="002F709D"/>
    <w:rsid w:val="002F7371"/>
    <w:rsid w:val="00301791"/>
    <w:rsid w:val="00304DF3"/>
    <w:rsid w:val="003067EC"/>
    <w:rsid w:val="00311723"/>
    <w:rsid w:val="00315B54"/>
    <w:rsid w:val="003160E1"/>
    <w:rsid w:val="00317EA7"/>
    <w:rsid w:val="003246D6"/>
    <w:rsid w:val="00326C81"/>
    <w:rsid w:val="00327283"/>
    <w:rsid w:val="00332CBE"/>
    <w:rsid w:val="003375E2"/>
    <w:rsid w:val="00340A4E"/>
    <w:rsid w:val="00343F11"/>
    <w:rsid w:val="00345EFE"/>
    <w:rsid w:val="00350F79"/>
    <w:rsid w:val="00352B7B"/>
    <w:rsid w:val="0035403B"/>
    <w:rsid w:val="00354770"/>
    <w:rsid w:val="00354E7A"/>
    <w:rsid w:val="00356C67"/>
    <w:rsid w:val="00361861"/>
    <w:rsid w:val="00361D48"/>
    <w:rsid w:val="003671A9"/>
    <w:rsid w:val="00367C4A"/>
    <w:rsid w:val="003820DF"/>
    <w:rsid w:val="00383822"/>
    <w:rsid w:val="00383D1A"/>
    <w:rsid w:val="00383F44"/>
    <w:rsid w:val="00391CCD"/>
    <w:rsid w:val="003A0AF4"/>
    <w:rsid w:val="003B14B1"/>
    <w:rsid w:val="003B1634"/>
    <w:rsid w:val="003B56CD"/>
    <w:rsid w:val="003C0C11"/>
    <w:rsid w:val="003C1524"/>
    <w:rsid w:val="003C26C6"/>
    <w:rsid w:val="003C3095"/>
    <w:rsid w:val="003D1C97"/>
    <w:rsid w:val="003E00D3"/>
    <w:rsid w:val="003E4FE2"/>
    <w:rsid w:val="003E7A2D"/>
    <w:rsid w:val="003F1157"/>
    <w:rsid w:val="003F5E55"/>
    <w:rsid w:val="003F7C33"/>
    <w:rsid w:val="004003E3"/>
    <w:rsid w:val="00400D0C"/>
    <w:rsid w:val="00405685"/>
    <w:rsid w:val="00411DE0"/>
    <w:rsid w:val="004210FA"/>
    <w:rsid w:val="0042679D"/>
    <w:rsid w:val="0043174D"/>
    <w:rsid w:val="00436024"/>
    <w:rsid w:val="00436B1B"/>
    <w:rsid w:val="00440587"/>
    <w:rsid w:val="00440C06"/>
    <w:rsid w:val="00443AAE"/>
    <w:rsid w:val="00445EAD"/>
    <w:rsid w:val="004521BC"/>
    <w:rsid w:val="0045386B"/>
    <w:rsid w:val="00454CF9"/>
    <w:rsid w:val="00460138"/>
    <w:rsid w:val="0046160C"/>
    <w:rsid w:val="00462DFD"/>
    <w:rsid w:val="00471492"/>
    <w:rsid w:val="00475970"/>
    <w:rsid w:val="0048029B"/>
    <w:rsid w:val="0048234D"/>
    <w:rsid w:val="00491C66"/>
    <w:rsid w:val="004935A9"/>
    <w:rsid w:val="00494CCE"/>
    <w:rsid w:val="0049773E"/>
    <w:rsid w:val="004B09BA"/>
    <w:rsid w:val="004B3AA0"/>
    <w:rsid w:val="004B42A9"/>
    <w:rsid w:val="004B50EE"/>
    <w:rsid w:val="004B6CCC"/>
    <w:rsid w:val="004B79BA"/>
    <w:rsid w:val="004B7BB5"/>
    <w:rsid w:val="004C0429"/>
    <w:rsid w:val="004C1361"/>
    <w:rsid w:val="004C136E"/>
    <w:rsid w:val="004C68B9"/>
    <w:rsid w:val="004D0BCA"/>
    <w:rsid w:val="004D31CD"/>
    <w:rsid w:val="004D6719"/>
    <w:rsid w:val="004D74F4"/>
    <w:rsid w:val="004E01B4"/>
    <w:rsid w:val="004E3416"/>
    <w:rsid w:val="004E7E58"/>
    <w:rsid w:val="004F216F"/>
    <w:rsid w:val="004F6F92"/>
    <w:rsid w:val="00504671"/>
    <w:rsid w:val="00511544"/>
    <w:rsid w:val="00512A86"/>
    <w:rsid w:val="005136C1"/>
    <w:rsid w:val="00517ACD"/>
    <w:rsid w:val="00521F40"/>
    <w:rsid w:val="00522129"/>
    <w:rsid w:val="005224A8"/>
    <w:rsid w:val="0052677F"/>
    <w:rsid w:val="00532E27"/>
    <w:rsid w:val="005345F8"/>
    <w:rsid w:val="00534F8B"/>
    <w:rsid w:val="005356FB"/>
    <w:rsid w:val="005357F7"/>
    <w:rsid w:val="00540133"/>
    <w:rsid w:val="00543B14"/>
    <w:rsid w:val="00544019"/>
    <w:rsid w:val="00554049"/>
    <w:rsid w:val="00557C18"/>
    <w:rsid w:val="00561BE3"/>
    <w:rsid w:val="00561C9D"/>
    <w:rsid w:val="00565014"/>
    <w:rsid w:val="00567003"/>
    <w:rsid w:val="005719DE"/>
    <w:rsid w:val="00573D43"/>
    <w:rsid w:val="00582273"/>
    <w:rsid w:val="0058261F"/>
    <w:rsid w:val="00582D43"/>
    <w:rsid w:val="00595A93"/>
    <w:rsid w:val="005961B7"/>
    <w:rsid w:val="00596857"/>
    <w:rsid w:val="005A0AE9"/>
    <w:rsid w:val="005A20C8"/>
    <w:rsid w:val="005A68D5"/>
    <w:rsid w:val="005A6B63"/>
    <w:rsid w:val="005C0F2D"/>
    <w:rsid w:val="005C1CF5"/>
    <w:rsid w:val="005C1F9C"/>
    <w:rsid w:val="005C77B6"/>
    <w:rsid w:val="005D49D2"/>
    <w:rsid w:val="005E1D49"/>
    <w:rsid w:val="005E2DCA"/>
    <w:rsid w:val="005E48AF"/>
    <w:rsid w:val="005E575C"/>
    <w:rsid w:val="005E5CF8"/>
    <w:rsid w:val="005E6F31"/>
    <w:rsid w:val="005E7C27"/>
    <w:rsid w:val="005F0B10"/>
    <w:rsid w:val="00600697"/>
    <w:rsid w:val="00601E54"/>
    <w:rsid w:val="006029F9"/>
    <w:rsid w:val="00603B3C"/>
    <w:rsid w:val="006054D5"/>
    <w:rsid w:val="0062473A"/>
    <w:rsid w:val="00630AF9"/>
    <w:rsid w:val="00631BBA"/>
    <w:rsid w:val="0063236C"/>
    <w:rsid w:val="0063507E"/>
    <w:rsid w:val="006352C1"/>
    <w:rsid w:val="00637654"/>
    <w:rsid w:val="00640CB1"/>
    <w:rsid w:val="00643A5E"/>
    <w:rsid w:val="0065126F"/>
    <w:rsid w:val="006643A0"/>
    <w:rsid w:val="00672C2B"/>
    <w:rsid w:val="00675AC6"/>
    <w:rsid w:val="00676094"/>
    <w:rsid w:val="00681897"/>
    <w:rsid w:val="00682ECC"/>
    <w:rsid w:val="00683546"/>
    <w:rsid w:val="00683D9D"/>
    <w:rsid w:val="0068411A"/>
    <w:rsid w:val="00692E68"/>
    <w:rsid w:val="0069312D"/>
    <w:rsid w:val="00694196"/>
    <w:rsid w:val="00696AF0"/>
    <w:rsid w:val="006972C7"/>
    <w:rsid w:val="006A27B1"/>
    <w:rsid w:val="006A4978"/>
    <w:rsid w:val="006B052F"/>
    <w:rsid w:val="006B0CFC"/>
    <w:rsid w:val="006B0DBC"/>
    <w:rsid w:val="006B16A1"/>
    <w:rsid w:val="006B175B"/>
    <w:rsid w:val="006B1FA5"/>
    <w:rsid w:val="006B26A0"/>
    <w:rsid w:val="006B3DEE"/>
    <w:rsid w:val="006B7005"/>
    <w:rsid w:val="006B79CC"/>
    <w:rsid w:val="006B7B6B"/>
    <w:rsid w:val="006C2355"/>
    <w:rsid w:val="006C4741"/>
    <w:rsid w:val="006D27AD"/>
    <w:rsid w:val="006D3C3B"/>
    <w:rsid w:val="006D6232"/>
    <w:rsid w:val="006D6FA9"/>
    <w:rsid w:val="006D7085"/>
    <w:rsid w:val="006E1DD9"/>
    <w:rsid w:val="006E401B"/>
    <w:rsid w:val="006F7F27"/>
    <w:rsid w:val="00700628"/>
    <w:rsid w:val="00702B03"/>
    <w:rsid w:val="007057C1"/>
    <w:rsid w:val="0070699A"/>
    <w:rsid w:val="00716811"/>
    <w:rsid w:val="007204E4"/>
    <w:rsid w:val="00722749"/>
    <w:rsid w:val="007250C3"/>
    <w:rsid w:val="00725C57"/>
    <w:rsid w:val="00730BF1"/>
    <w:rsid w:val="00735669"/>
    <w:rsid w:val="007377D7"/>
    <w:rsid w:val="00737E0F"/>
    <w:rsid w:val="00741811"/>
    <w:rsid w:val="00743FE4"/>
    <w:rsid w:val="007516F3"/>
    <w:rsid w:val="00756886"/>
    <w:rsid w:val="00763ADF"/>
    <w:rsid w:val="007640D0"/>
    <w:rsid w:val="00765615"/>
    <w:rsid w:val="00770175"/>
    <w:rsid w:val="007726FA"/>
    <w:rsid w:val="00772CE9"/>
    <w:rsid w:val="007741C3"/>
    <w:rsid w:val="00775B32"/>
    <w:rsid w:val="00776D0B"/>
    <w:rsid w:val="007807FC"/>
    <w:rsid w:val="007836F7"/>
    <w:rsid w:val="007872B6"/>
    <w:rsid w:val="007878B6"/>
    <w:rsid w:val="007A5876"/>
    <w:rsid w:val="007A643E"/>
    <w:rsid w:val="007B0FE3"/>
    <w:rsid w:val="007B6D9D"/>
    <w:rsid w:val="007C30B8"/>
    <w:rsid w:val="007C313C"/>
    <w:rsid w:val="007C5B10"/>
    <w:rsid w:val="007C6D37"/>
    <w:rsid w:val="007C71E8"/>
    <w:rsid w:val="007D2E09"/>
    <w:rsid w:val="007E05B8"/>
    <w:rsid w:val="007E1EDF"/>
    <w:rsid w:val="007E2F0A"/>
    <w:rsid w:val="007E5B45"/>
    <w:rsid w:val="007F4900"/>
    <w:rsid w:val="007F4C69"/>
    <w:rsid w:val="007F642F"/>
    <w:rsid w:val="007F6D62"/>
    <w:rsid w:val="00803C59"/>
    <w:rsid w:val="00806D61"/>
    <w:rsid w:val="00807FB4"/>
    <w:rsid w:val="00810DCC"/>
    <w:rsid w:val="00812EA4"/>
    <w:rsid w:val="008159BB"/>
    <w:rsid w:val="008163DA"/>
    <w:rsid w:val="00820AF9"/>
    <w:rsid w:val="00821AFA"/>
    <w:rsid w:val="008232D2"/>
    <w:rsid w:val="00825B7D"/>
    <w:rsid w:val="008261F3"/>
    <w:rsid w:val="00827530"/>
    <w:rsid w:val="008321CA"/>
    <w:rsid w:val="008326E2"/>
    <w:rsid w:val="00836D17"/>
    <w:rsid w:val="008405E6"/>
    <w:rsid w:val="00840CDE"/>
    <w:rsid w:val="00846677"/>
    <w:rsid w:val="00850352"/>
    <w:rsid w:val="00850642"/>
    <w:rsid w:val="0085115B"/>
    <w:rsid w:val="00853FDD"/>
    <w:rsid w:val="0085505B"/>
    <w:rsid w:val="00856B66"/>
    <w:rsid w:val="00857C84"/>
    <w:rsid w:val="008614E4"/>
    <w:rsid w:val="00861D6A"/>
    <w:rsid w:val="00864072"/>
    <w:rsid w:val="00865B2D"/>
    <w:rsid w:val="008710F3"/>
    <w:rsid w:val="008711C4"/>
    <w:rsid w:val="00875564"/>
    <w:rsid w:val="00876574"/>
    <w:rsid w:val="00877B1E"/>
    <w:rsid w:val="00880E25"/>
    <w:rsid w:val="00883D26"/>
    <w:rsid w:val="0088613D"/>
    <w:rsid w:val="00886B6C"/>
    <w:rsid w:val="0088769F"/>
    <w:rsid w:val="00887867"/>
    <w:rsid w:val="00893E72"/>
    <w:rsid w:val="00894CAD"/>
    <w:rsid w:val="008960C3"/>
    <w:rsid w:val="00897794"/>
    <w:rsid w:val="008A088E"/>
    <w:rsid w:val="008A154D"/>
    <w:rsid w:val="008A57A3"/>
    <w:rsid w:val="008A7869"/>
    <w:rsid w:val="008B0492"/>
    <w:rsid w:val="008B2E01"/>
    <w:rsid w:val="008B45E4"/>
    <w:rsid w:val="008B4F9E"/>
    <w:rsid w:val="008B59F8"/>
    <w:rsid w:val="008C19D1"/>
    <w:rsid w:val="008C2A10"/>
    <w:rsid w:val="008C2AD6"/>
    <w:rsid w:val="008C30ED"/>
    <w:rsid w:val="008C55D0"/>
    <w:rsid w:val="008D1160"/>
    <w:rsid w:val="008D19BC"/>
    <w:rsid w:val="008D6298"/>
    <w:rsid w:val="008D6D22"/>
    <w:rsid w:val="008D7FC6"/>
    <w:rsid w:val="008E111F"/>
    <w:rsid w:val="008E1A68"/>
    <w:rsid w:val="008E1EFA"/>
    <w:rsid w:val="008E2F85"/>
    <w:rsid w:val="008E6990"/>
    <w:rsid w:val="008F0466"/>
    <w:rsid w:val="008F1A5C"/>
    <w:rsid w:val="008F4BBD"/>
    <w:rsid w:val="008F4C62"/>
    <w:rsid w:val="008F5414"/>
    <w:rsid w:val="008F6051"/>
    <w:rsid w:val="00902146"/>
    <w:rsid w:val="009045B5"/>
    <w:rsid w:val="0090609D"/>
    <w:rsid w:val="0090670E"/>
    <w:rsid w:val="009162B2"/>
    <w:rsid w:val="009200EB"/>
    <w:rsid w:val="00923F5E"/>
    <w:rsid w:val="009241E4"/>
    <w:rsid w:val="009278BB"/>
    <w:rsid w:val="009311C6"/>
    <w:rsid w:val="00933E47"/>
    <w:rsid w:val="00936F86"/>
    <w:rsid w:val="00937DCE"/>
    <w:rsid w:val="00941918"/>
    <w:rsid w:val="00945BBE"/>
    <w:rsid w:val="00947166"/>
    <w:rsid w:val="00947DFF"/>
    <w:rsid w:val="00952A0A"/>
    <w:rsid w:val="00953F08"/>
    <w:rsid w:val="009546BE"/>
    <w:rsid w:val="00956BDC"/>
    <w:rsid w:val="0095752C"/>
    <w:rsid w:val="00960B1C"/>
    <w:rsid w:val="00960B76"/>
    <w:rsid w:val="009644D0"/>
    <w:rsid w:val="0096493C"/>
    <w:rsid w:val="00966CB2"/>
    <w:rsid w:val="009677F9"/>
    <w:rsid w:val="00970D62"/>
    <w:rsid w:val="009722A9"/>
    <w:rsid w:val="00974283"/>
    <w:rsid w:val="00984CBA"/>
    <w:rsid w:val="0098667A"/>
    <w:rsid w:val="00986B09"/>
    <w:rsid w:val="00990B6E"/>
    <w:rsid w:val="00992A24"/>
    <w:rsid w:val="00992D73"/>
    <w:rsid w:val="00993022"/>
    <w:rsid w:val="00993366"/>
    <w:rsid w:val="00994FB5"/>
    <w:rsid w:val="00997FAF"/>
    <w:rsid w:val="009A5898"/>
    <w:rsid w:val="009B129D"/>
    <w:rsid w:val="009B35FD"/>
    <w:rsid w:val="009B5DB2"/>
    <w:rsid w:val="009B6138"/>
    <w:rsid w:val="009B7D1E"/>
    <w:rsid w:val="009C2524"/>
    <w:rsid w:val="009D2E6C"/>
    <w:rsid w:val="009D5DEB"/>
    <w:rsid w:val="009D6783"/>
    <w:rsid w:val="009E17CC"/>
    <w:rsid w:val="009E4A70"/>
    <w:rsid w:val="009E762E"/>
    <w:rsid w:val="009F7FD5"/>
    <w:rsid w:val="00A01C75"/>
    <w:rsid w:val="00A0230D"/>
    <w:rsid w:val="00A04BD2"/>
    <w:rsid w:val="00A06733"/>
    <w:rsid w:val="00A07409"/>
    <w:rsid w:val="00A103B1"/>
    <w:rsid w:val="00A105C6"/>
    <w:rsid w:val="00A11629"/>
    <w:rsid w:val="00A12C6B"/>
    <w:rsid w:val="00A14647"/>
    <w:rsid w:val="00A16FC7"/>
    <w:rsid w:val="00A17DB4"/>
    <w:rsid w:val="00A262C8"/>
    <w:rsid w:val="00A307AD"/>
    <w:rsid w:val="00A31407"/>
    <w:rsid w:val="00A45C6C"/>
    <w:rsid w:val="00A460F2"/>
    <w:rsid w:val="00A47077"/>
    <w:rsid w:val="00A50A4A"/>
    <w:rsid w:val="00A523B7"/>
    <w:rsid w:val="00A52406"/>
    <w:rsid w:val="00A5390E"/>
    <w:rsid w:val="00A570FF"/>
    <w:rsid w:val="00A62043"/>
    <w:rsid w:val="00A63F7D"/>
    <w:rsid w:val="00A641EB"/>
    <w:rsid w:val="00A656DC"/>
    <w:rsid w:val="00A701AB"/>
    <w:rsid w:val="00A70306"/>
    <w:rsid w:val="00A70C28"/>
    <w:rsid w:val="00A70CBD"/>
    <w:rsid w:val="00A74041"/>
    <w:rsid w:val="00A74F6B"/>
    <w:rsid w:val="00A75069"/>
    <w:rsid w:val="00A76C3D"/>
    <w:rsid w:val="00A7755E"/>
    <w:rsid w:val="00A84D0F"/>
    <w:rsid w:val="00A86EAC"/>
    <w:rsid w:val="00A95488"/>
    <w:rsid w:val="00AA0373"/>
    <w:rsid w:val="00AA2BFB"/>
    <w:rsid w:val="00AA3919"/>
    <w:rsid w:val="00AA5493"/>
    <w:rsid w:val="00AA6869"/>
    <w:rsid w:val="00AB18F1"/>
    <w:rsid w:val="00AB38CA"/>
    <w:rsid w:val="00AB4E18"/>
    <w:rsid w:val="00AC0612"/>
    <w:rsid w:val="00AC297F"/>
    <w:rsid w:val="00AC4A70"/>
    <w:rsid w:val="00AC5AEA"/>
    <w:rsid w:val="00AD08A3"/>
    <w:rsid w:val="00AD2B6E"/>
    <w:rsid w:val="00AE0378"/>
    <w:rsid w:val="00AE1A4A"/>
    <w:rsid w:val="00AE1FAA"/>
    <w:rsid w:val="00AE3CB6"/>
    <w:rsid w:val="00AE4C53"/>
    <w:rsid w:val="00AE555E"/>
    <w:rsid w:val="00AF032B"/>
    <w:rsid w:val="00AF3C1B"/>
    <w:rsid w:val="00AF3E17"/>
    <w:rsid w:val="00AF4481"/>
    <w:rsid w:val="00AF4C94"/>
    <w:rsid w:val="00AF5DC5"/>
    <w:rsid w:val="00AF6B6F"/>
    <w:rsid w:val="00AF76CE"/>
    <w:rsid w:val="00B065C2"/>
    <w:rsid w:val="00B0741E"/>
    <w:rsid w:val="00B14065"/>
    <w:rsid w:val="00B14AA2"/>
    <w:rsid w:val="00B22AF8"/>
    <w:rsid w:val="00B247E9"/>
    <w:rsid w:val="00B256CC"/>
    <w:rsid w:val="00B25AE2"/>
    <w:rsid w:val="00B262B6"/>
    <w:rsid w:val="00B2748D"/>
    <w:rsid w:val="00B3169F"/>
    <w:rsid w:val="00B32F96"/>
    <w:rsid w:val="00B40B4C"/>
    <w:rsid w:val="00B548D3"/>
    <w:rsid w:val="00B56F57"/>
    <w:rsid w:val="00B72A10"/>
    <w:rsid w:val="00B77407"/>
    <w:rsid w:val="00B7756E"/>
    <w:rsid w:val="00B80456"/>
    <w:rsid w:val="00B824DB"/>
    <w:rsid w:val="00B93CEA"/>
    <w:rsid w:val="00B94637"/>
    <w:rsid w:val="00B96690"/>
    <w:rsid w:val="00BA1CD3"/>
    <w:rsid w:val="00BA3347"/>
    <w:rsid w:val="00BA3DD4"/>
    <w:rsid w:val="00BA42CB"/>
    <w:rsid w:val="00BB3021"/>
    <w:rsid w:val="00BB3CFE"/>
    <w:rsid w:val="00BC033E"/>
    <w:rsid w:val="00BC0D70"/>
    <w:rsid w:val="00BC125D"/>
    <w:rsid w:val="00BC6048"/>
    <w:rsid w:val="00BD0C4A"/>
    <w:rsid w:val="00BD61F0"/>
    <w:rsid w:val="00BD64DD"/>
    <w:rsid w:val="00BE468A"/>
    <w:rsid w:val="00BE6D46"/>
    <w:rsid w:val="00BF563C"/>
    <w:rsid w:val="00BF5C35"/>
    <w:rsid w:val="00BF5EF6"/>
    <w:rsid w:val="00C011D0"/>
    <w:rsid w:val="00C038B6"/>
    <w:rsid w:val="00C07484"/>
    <w:rsid w:val="00C1223D"/>
    <w:rsid w:val="00C1471B"/>
    <w:rsid w:val="00C16986"/>
    <w:rsid w:val="00C16DAC"/>
    <w:rsid w:val="00C267C2"/>
    <w:rsid w:val="00C30981"/>
    <w:rsid w:val="00C343FE"/>
    <w:rsid w:val="00C3474F"/>
    <w:rsid w:val="00C34A96"/>
    <w:rsid w:val="00C40B4B"/>
    <w:rsid w:val="00C46BB1"/>
    <w:rsid w:val="00C54049"/>
    <w:rsid w:val="00C556FA"/>
    <w:rsid w:val="00C56F23"/>
    <w:rsid w:val="00C60253"/>
    <w:rsid w:val="00C60AFF"/>
    <w:rsid w:val="00C62E99"/>
    <w:rsid w:val="00C655B6"/>
    <w:rsid w:val="00C65787"/>
    <w:rsid w:val="00C6786B"/>
    <w:rsid w:val="00C7286E"/>
    <w:rsid w:val="00C739B7"/>
    <w:rsid w:val="00C75768"/>
    <w:rsid w:val="00C75E6A"/>
    <w:rsid w:val="00C770CC"/>
    <w:rsid w:val="00C778B7"/>
    <w:rsid w:val="00C77AD8"/>
    <w:rsid w:val="00C81F0A"/>
    <w:rsid w:val="00C84FA1"/>
    <w:rsid w:val="00C90375"/>
    <w:rsid w:val="00C91871"/>
    <w:rsid w:val="00C9198C"/>
    <w:rsid w:val="00C91C98"/>
    <w:rsid w:val="00C968BD"/>
    <w:rsid w:val="00CA2409"/>
    <w:rsid w:val="00CA265D"/>
    <w:rsid w:val="00CB4411"/>
    <w:rsid w:val="00CB563C"/>
    <w:rsid w:val="00CC7996"/>
    <w:rsid w:val="00CD3EF4"/>
    <w:rsid w:val="00CD7A42"/>
    <w:rsid w:val="00CE1FD9"/>
    <w:rsid w:val="00CE2D8B"/>
    <w:rsid w:val="00CE3A54"/>
    <w:rsid w:val="00CE4026"/>
    <w:rsid w:val="00CE7FE4"/>
    <w:rsid w:val="00CF189D"/>
    <w:rsid w:val="00D05E42"/>
    <w:rsid w:val="00D06736"/>
    <w:rsid w:val="00D07EF5"/>
    <w:rsid w:val="00D10538"/>
    <w:rsid w:val="00D12D5A"/>
    <w:rsid w:val="00D130F1"/>
    <w:rsid w:val="00D13C63"/>
    <w:rsid w:val="00D179F8"/>
    <w:rsid w:val="00D17C58"/>
    <w:rsid w:val="00D24B0D"/>
    <w:rsid w:val="00D24D7B"/>
    <w:rsid w:val="00D262E1"/>
    <w:rsid w:val="00D26427"/>
    <w:rsid w:val="00D30B93"/>
    <w:rsid w:val="00D320A9"/>
    <w:rsid w:val="00D3310A"/>
    <w:rsid w:val="00D35264"/>
    <w:rsid w:val="00D360CD"/>
    <w:rsid w:val="00D46A4A"/>
    <w:rsid w:val="00D5282D"/>
    <w:rsid w:val="00D53885"/>
    <w:rsid w:val="00D53C71"/>
    <w:rsid w:val="00D561E8"/>
    <w:rsid w:val="00D62E0C"/>
    <w:rsid w:val="00D63381"/>
    <w:rsid w:val="00D8099E"/>
    <w:rsid w:val="00D81E60"/>
    <w:rsid w:val="00D83993"/>
    <w:rsid w:val="00D83F77"/>
    <w:rsid w:val="00D854D6"/>
    <w:rsid w:val="00D9012B"/>
    <w:rsid w:val="00D90AA0"/>
    <w:rsid w:val="00D9270D"/>
    <w:rsid w:val="00DA17F0"/>
    <w:rsid w:val="00DA3890"/>
    <w:rsid w:val="00DA4084"/>
    <w:rsid w:val="00DA710C"/>
    <w:rsid w:val="00DB2472"/>
    <w:rsid w:val="00DB762D"/>
    <w:rsid w:val="00DC1A04"/>
    <w:rsid w:val="00DC225D"/>
    <w:rsid w:val="00DC2EB9"/>
    <w:rsid w:val="00DC4EB6"/>
    <w:rsid w:val="00DC5292"/>
    <w:rsid w:val="00DC5CD6"/>
    <w:rsid w:val="00DD1F6E"/>
    <w:rsid w:val="00DD2117"/>
    <w:rsid w:val="00DD7847"/>
    <w:rsid w:val="00DE06D5"/>
    <w:rsid w:val="00DE42FE"/>
    <w:rsid w:val="00DE5EBC"/>
    <w:rsid w:val="00DE7C05"/>
    <w:rsid w:val="00DE7CD8"/>
    <w:rsid w:val="00DF2723"/>
    <w:rsid w:val="00DF2C68"/>
    <w:rsid w:val="00E026BD"/>
    <w:rsid w:val="00E10007"/>
    <w:rsid w:val="00E17BFA"/>
    <w:rsid w:val="00E22D04"/>
    <w:rsid w:val="00E24311"/>
    <w:rsid w:val="00E25BD1"/>
    <w:rsid w:val="00E335C8"/>
    <w:rsid w:val="00E33D28"/>
    <w:rsid w:val="00E34589"/>
    <w:rsid w:val="00E35652"/>
    <w:rsid w:val="00E3649E"/>
    <w:rsid w:val="00E40AA6"/>
    <w:rsid w:val="00E42515"/>
    <w:rsid w:val="00E4532D"/>
    <w:rsid w:val="00E4552F"/>
    <w:rsid w:val="00E475A2"/>
    <w:rsid w:val="00E55E09"/>
    <w:rsid w:val="00E560ED"/>
    <w:rsid w:val="00E60575"/>
    <w:rsid w:val="00E645F2"/>
    <w:rsid w:val="00E65ECF"/>
    <w:rsid w:val="00E66ACB"/>
    <w:rsid w:val="00E67BC0"/>
    <w:rsid w:val="00E67DCE"/>
    <w:rsid w:val="00E77909"/>
    <w:rsid w:val="00E80629"/>
    <w:rsid w:val="00E84DAA"/>
    <w:rsid w:val="00E93133"/>
    <w:rsid w:val="00E93C80"/>
    <w:rsid w:val="00EA0A25"/>
    <w:rsid w:val="00EA0DAE"/>
    <w:rsid w:val="00EA1938"/>
    <w:rsid w:val="00EA5D1B"/>
    <w:rsid w:val="00EA7DD7"/>
    <w:rsid w:val="00EB19A1"/>
    <w:rsid w:val="00EB5050"/>
    <w:rsid w:val="00EB7426"/>
    <w:rsid w:val="00EC03AB"/>
    <w:rsid w:val="00EC308A"/>
    <w:rsid w:val="00EC7E42"/>
    <w:rsid w:val="00ED5380"/>
    <w:rsid w:val="00ED5EDD"/>
    <w:rsid w:val="00ED67E4"/>
    <w:rsid w:val="00EE0141"/>
    <w:rsid w:val="00EE05B1"/>
    <w:rsid w:val="00EF32BF"/>
    <w:rsid w:val="00EF3DDF"/>
    <w:rsid w:val="00EF6388"/>
    <w:rsid w:val="00F00902"/>
    <w:rsid w:val="00F009F9"/>
    <w:rsid w:val="00F00E7A"/>
    <w:rsid w:val="00F015BD"/>
    <w:rsid w:val="00F01AD4"/>
    <w:rsid w:val="00F03C4F"/>
    <w:rsid w:val="00F0631A"/>
    <w:rsid w:val="00F06E0A"/>
    <w:rsid w:val="00F07FAD"/>
    <w:rsid w:val="00F10F9D"/>
    <w:rsid w:val="00F11346"/>
    <w:rsid w:val="00F140DB"/>
    <w:rsid w:val="00F15C4E"/>
    <w:rsid w:val="00F16B9B"/>
    <w:rsid w:val="00F21451"/>
    <w:rsid w:val="00F24872"/>
    <w:rsid w:val="00F25BF2"/>
    <w:rsid w:val="00F32103"/>
    <w:rsid w:val="00F32DD8"/>
    <w:rsid w:val="00F36DBE"/>
    <w:rsid w:val="00F36E99"/>
    <w:rsid w:val="00F43CD5"/>
    <w:rsid w:val="00F44AB7"/>
    <w:rsid w:val="00F515CB"/>
    <w:rsid w:val="00F521C0"/>
    <w:rsid w:val="00F54F56"/>
    <w:rsid w:val="00F56320"/>
    <w:rsid w:val="00F56D71"/>
    <w:rsid w:val="00F61C9B"/>
    <w:rsid w:val="00F64CEB"/>
    <w:rsid w:val="00F6779B"/>
    <w:rsid w:val="00F703D1"/>
    <w:rsid w:val="00F73757"/>
    <w:rsid w:val="00F76184"/>
    <w:rsid w:val="00F772F5"/>
    <w:rsid w:val="00F82EA1"/>
    <w:rsid w:val="00F84477"/>
    <w:rsid w:val="00F85272"/>
    <w:rsid w:val="00F907B1"/>
    <w:rsid w:val="00F90E82"/>
    <w:rsid w:val="00F92D0C"/>
    <w:rsid w:val="00F95E93"/>
    <w:rsid w:val="00FA36B3"/>
    <w:rsid w:val="00FA57A4"/>
    <w:rsid w:val="00FA7017"/>
    <w:rsid w:val="00FB02D2"/>
    <w:rsid w:val="00FB5981"/>
    <w:rsid w:val="00FB5A99"/>
    <w:rsid w:val="00FB7BC3"/>
    <w:rsid w:val="00FC2556"/>
    <w:rsid w:val="00FD06EE"/>
    <w:rsid w:val="00FD09E3"/>
    <w:rsid w:val="00FD2570"/>
    <w:rsid w:val="00FD2754"/>
    <w:rsid w:val="00FE237D"/>
    <w:rsid w:val="00FF01F4"/>
    <w:rsid w:val="00FF1224"/>
    <w:rsid w:val="00FF16E4"/>
    <w:rsid w:val="00FF1D2C"/>
    <w:rsid w:val="010963D4"/>
    <w:rsid w:val="01635C49"/>
    <w:rsid w:val="031A0660"/>
    <w:rsid w:val="0A575703"/>
    <w:rsid w:val="14665D24"/>
    <w:rsid w:val="161A0B74"/>
    <w:rsid w:val="1DB25736"/>
    <w:rsid w:val="23627FFE"/>
    <w:rsid w:val="25016C26"/>
    <w:rsid w:val="25A55539"/>
    <w:rsid w:val="2A2658E2"/>
    <w:rsid w:val="2B3E5E03"/>
    <w:rsid w:val="2FA8724D"/>
    <w:rsid w:val="33CA2E03"/>
    <w:rsid w:val="34F24CCF"/>
    <w:rsid w:val="3E7569E0"/>
    <w:rsid w:val="3F676329"/>
    <w:rsid w:val="457D0613"/>
    <w:rsid w:val="46F51E8F"/>
    <w:rsid w:val="49C64593"/>
    <w:rsid w:val="4A207245"/>
    <w:rsid w:val="4B9E7938"/>
    <w:rsid w:val="4D3015D8"/>
    <w:rsid w:val="4E630603"/>
    <w:rsid w:val="55A777ED"/>
    <w:rsid w:val="568110AA"/>
    <w:rsid w:val="569D0AAA"/>
    <w:rsid w:val="5BEA2363"/>
    <w:rsid w:val="60285208"/>
    <w:rsid w:val="6037369D"/>
    <w:rsid w:val="646929D4"/>
    <w:rsid w:val="6635067F"/>
    <w:rsid w:val="69323556"/>
    <w:rsid w:val="6F902A4A"/>
    <w:rsid w:val="70076150"/>
    <w:rsid w:val="765E32DA"/>
    <w:rsid w:val="77AB74E8"/>
    <w:rsid w:val="7F1135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39"/>
    <w:qFormat/>
    <w:uiPriority w:val="0"/>
    <w:pPr>
      <w:keepNext/>
      <w:numPr>
        <w:ilvl w:val="0"/>
        <w:numId w:val="1"/>
      </w:numPr>
      <w:spacing w:line="300" w:lineRule="auto"/>
      <w:jc w:val="both"/>
      <w:outlineLvl w:val="0"/>
    </w:pPr>
    <w:rPr>
      <w:rFonts w:ascii="Arial" w:hAnsi="Arial" w:eastAsia="仿宋_GB2312"/>
      <w:b/>
      <w:sz w:val="28"/>
    </w:rPr>
  </w:style>
  <w:style w:type="paragraph" w:styleId="3">
    <w:name w:val="heading 2"/>
    <w:basedOn w:val="1"/>
    <w:next w:val="1"/>
    <w:link w:val="40"/>
    <w:qFormat/>
    <w:uiPriority w:val="0"/>
    <w:pPr>
      <w:keepNext/>
      <w:numPr>
        <w:ilvl w:val="0"/>
        <w:numId w:val="2"/>
      </w:numPr>
      <w:spacing w:line="300" w:lineRule="auto"/>
      <w:outlineLvl w:val="1"/>
    </w:pPr>
    <w:rPr>
      <w:rFonts w:ascii="Arial" w:hAnsi="Arial" w:eastAsia="仿宋_GB2312"/>
      <w:b/>
      <w:bCs/>
      <w:sz w:val="28"/>
    </w:rPr>
  </w:style>
  <w:style w:type="paragraph" w:styleId="4">
    <w:name w:val="heading 3"/>
    <w:basedOn w:val="1"/>
    <w:next w:val="1"/>
    <w:link w:val="41"/>
    <w:qFormat/>
    <w:uiPriority w:val="0"/>
    <w:pPr>
      <w:keepNext/>
      <w:numPr>
        <w:ilvl w:val="1"/>
        <w:numId w:val="3"/>
      </w:numPr>
      <w:tabs>
        <w:tab w:val="left" w:pos="0"/>
        <w:tab w:val="left" w:pos="1200"/>
        <w:tab w:val="clear" w:pos="1740"/>
      </w:tabs>
      <w:spacing w:line="440" w:lineRule="atLeast"/>
      <w:ind w:left="1320" w:hanging="600"/>
      <w:jc w:val="both"/>
      <w:outlineLvl w:val="2"/>
    </w:pPr>
    <w:rPr>
      <w:rFonts w:ascii="仿宋_GB2312" w:hAnsi="Arial" w:eastAsia="仿宋_GB2312"/>
      <w:sz w:val="28"/>
    </w:rPr>
  </w:style>
  <w:style w:type="paragraph" w:styleId="5">
    <w:name w:val="heading 4"/>
    <w:basedOn w:val="1"/>
    <w:next w:val="1"/>
    <w:link w:val="42"/>
    <w:qFormat/>
    <w:uiPriority w:val="0"/>
    <w:pPr>
      <w:keepNext/>
      <w:numPr>
        <w:ilvl w:val="0"/>
        <w:numId w:val="4"/>
      </w:numPr>
      <w:tabs>
        <w:tab w:val="clear" w:pos="1605"/>
      </w:tabs>
      <w:spacing w:line="440" w:lineRule="atLeast"/>
      <w:ind w:right="-22"/>
      <w:outlineLvl w:val="3"/>
    </w:pPr>
    <w:rPr>
      <w:rFonts w:ascii="仿宋_GB2312" w:eastAsia="仿宋_GB2312"/>
      <w:sz w:val="28"/>
    </w:rPr>
  </w:style>
  <w:style w:type="character" w:default="1" w:styleId="34">
    <w:name w:val="Default Paragraph Font"/>
    <w:semiHidden/>
    <w:unhideWhenUsed/>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adjustRightInd/>
      <w:spacing w:line="240" w:lineRule="auto"/>
      <w:ind w:left="2520" w:leftChars="1200"/>
      <w:jc w:val="both"/>
      <w:textAlignment w:val="auto"/>
    </w:pPr>
    <w:rPr>
      <w:rFonts w:ascii="Calibri" w:hAnsi="Calibri"/>
      <w:kern w:val="2"/>
      <w:sz w:val="21"/>
      <w:szCs w:val="22"/>
    </w:rPr>
  </w:style>
  <w:style w:type="paragraph" w:styleId="7">
    <w:name w:val="Document Map"/>
    <w:basedOn w:val="1"/>
    <w:link w:val="43"/>
    <w:semiHidden/>
    <w:qFormat/>
    <w:uiPriority w:val="0"/>
    <w:pPr>
      <w:shd w:val="clear" w:color="auto" w:fill="000080"/>
    </w:pPr>
  </w:style>
  <w:style w:type="paragraph" w:styleId="8">
    <w:name w:val="annotation text"/>
    <w:basedOn w:val="1"/>
    <w:link w:val="44"/>
    <w:unhideWhenUsed/>
    <w:qFormat/>
    <w:uiPriority w:val="99"/>
  </w:style>
  <w:style w:type="paragraph" w:styleId="9">
    <w:name w:val="Body Text 3"/>
    <w:basedOn w:val="1"/>
    <w:link w:val="45"/>
    <w:qFormat/>
    <w:uiPriority w:val="0"/>
    <w:pPr>
      <w:spacing w:line="288" w:lineRule="auto"/>
      <w:jc w:val="both"/>
    </w:pPr>
    <w:rPr>
      <w:rFonts w:ascii="楷体_GB2312" w:hAnsi="Arial" w:eastAsia="楷体_GB2312"/>
      <w:sz w:val="32"/>
    </w:rPr>
  </w:style>
  <w:style w:type="paragraph" w:styleId="10">
    <w:name w:val="Body Text"/>
    <w:basedOn w:val="1"/>
    <w:link w:val="46"/>
    <w:qFormat/>
    <w:uiPriority w:val="0"/>
    <w:pPr>
      <w:adjustRightInd/>
      <w:spacing w:line="240" w:lineRule="auto"/>
      <w:jc w:val="both"/>
      <w:textAlignment w:val="auto"/>
    </w:pPr>
    <w:rPr>
      <w:rFonts w:ascii="宋体"/>
      <w:sz w:val="30"/>
    </w:rPr>
  </w:style>
  <w:style w:type="paragraph" w:styleId="11">
    <w:name w:val="Body Text Indent"/>
    <w:basedOn w:val="1"/>
    <w:link w:val="47"/>
    <w:qFormat/>
    <w:uiPriority w:val="0"/>
    <w:pPr>
      <w:spacing w:line="400" w:lineRule="atLeast"/>
      <w:ind w:firstLine="570"/>
    </w:pPr>
    <w:rPr>
      <w:rFonts w:ascii="仿宋_GB2312" w:eastAsia="仿宋_GB2312"/>
      <w:sz w:val="28"/>
    </w:rPr>
  </w:style>
  <w:style w:type="paragraph" w:styleId="12">
    <w:name w:val="toc 5"/>
    <w:basedOn w:val="1"/>
    <w:next w:val="1"/>
    <w:unhideWhenUsed/>
    <w:qFormat/>
    <w:uiPriority w:val="39"/>
    <w:pPr>
      <w:adjustRightInd/>
      <w:spacing w:line="240" w:lineRule="auto"/>
      <w:ind w:left="1680" w:leftChars="800"/>
      <w:jc w:val="both"/>
      <w:textAlignment w:val="auto"/>
    </w:pPr>
    <w:rPr>
      <w:rFonts w:ascii="Calibri" w:hAnsi="Calibri"/>
      <w:kern w:val="2"/>
      <w:sz w:val="21"/>
      <w:szCs w:val="22"/>
    </w:rPr>
  </w:style>
  <w:style w:type="paragraph" w:styleId="13">
    <w:name w:val="toc 3"/>
    <w:basedOn w:val="1"/>
    <w:next w:val="1"/>
    <w:unhideWhenUsed/>
    <w:qFormat/>
    <w:uiPriority w:val="39"/>
    <w:pPr>
      <w:adjustRightInd/>
      <w:spacing w:line="240" w:lineRule="auto"/>
      <w:ind w:left="840" w:leftChars="400"/>
      <w:jc w:val="both"/>
      <w:textAlignment w:val="auto"/>
    </w:pPr>
    <w:rPr>
      <w:rFonts w:ascii="Calibri" w:hAnsi="Calibri"/>
      <w:kern w:val="2"/>
      <w:sz w:val="21"/>
      <w:szCs w:val="22"/>
    </w:rPr>
  </w:style>
  <w:style w:type="paragraph" w:styleId="14">
    <w:name w:val="Plain Text"/>
    <w:basedOn w:val="1"/>
    <w:link w:val="48"/>
    <w:qFormat/>
    <w:uiPriority w:val="0"/>
    <w:pPr>
      <w:adjustRightInd/>
      <w:spacing w:line="240" w:lineRule="auto"/>
      <w:jc w:val="both"/>
      <w:textAlignment w:val="auto"/>
    </w:pPr>
    <w:rPr>
      <w:rFonts w:ascii="宋体" w:hAnsi="Courier New"/>
      <w:sz w:val="20"/>
    </w:rPr>
  </w:style>
  <w:style w:type="paragraph" w:styleId="15">
    <w:name w:val="toc 8"/>
    <w:basedOn w:val="1"/>
    <w:next w:val="1"/>
    <w:unhideWhenUsed/>
    <w:qFormat/>
    <w:uiPriority w:val="39"/>
    <w:pPr>
      <w:adjustRightInd/>
      <w:spacing w:line="240" w:lineRule="auto"/>
      <w:ind w:left="2940" w:leftChars="1400"/>
      <w:jc w:val="both"/>
      <w:textAlignment w:val="auto"/>
    </w:pPr>
    <w:rPr>
      <w:rFonts w:ascii="Calibri" w:hAnsi="Calibri"/>
      <w:kern w:val="2"/>
      <w:sz w:val="21"/>
      <w:szCs w:val="22"/>
    </w:rPr>
  </w:style>
  <w:style w:type="paragraph" w:styleId="16">
    <w:name w:val="Date"/>
    <w:basedOn w:val="1"/>
    <w:next w:val="1"/>
    <w:link w:val="49"/>
    <w:qFormat/>
    <w:uiPriority w:val="0"/>
    <w:pPr>
      <w:jc w:val="both"/>
    </w:pPr>
    <w:rPr>
      <w:rFonts w:ascii="楷体_GB2312" w:eastAsia="楷体_GB2312"/>
      <w:b/>
      <w:sz w:val="28"/>
    </w:rPr>
  </w:style>
  <w:style w:type="paragraph" w:styleId="17">
    <w:name w:val="Body Text Indent 2"/>
    <w:basedOn w:val="1"/>
    <w:link w:val="50"/>
    <w:qFormat/>
    <w:uiPriority w:val="0"/>
    <w:pPr>
      <w:spacing w:line="360" w:lineRule="exact"/>
      <w:ind w:firstLine="560" w:firstLineChars="200"/>
      <w:jc w:val="both"/>
      <w:outlineLvl w:val="0"/>
    </w:pPr>
    <w:rPr>
      <w:rFonts w:ascii="仿宋_GB2312" w:eastAsia="仿宋_GB2312"/>
      <w:sz w:val="28"/>
    </w:rPr>
  </w:style>
  <w:style w:type="paragraph" w:styleId="18">
    <w:name w:val="Balloon Text"/>
    <w:basedOn w:val="1"/>
    <w:link w:val="51"/>
    <w:semiHidden/>
    <w:qFormat/>
    <w:uiPriority w:val="0"/>
    <w:rPr>
      <w:sz w:val="18"/>
      <w:szCs w:val="18"/>
    </w:rPr>
  </w:style>
  <w:style w:type="paragraph" w:styleId="19">
    <w:name w:val="footer"/>
    <w:basedOn w:val="1"/>
    <w:link w:val="52"/>
    <w:qFormat/>
    <w:uiPriority w:val="99"/>
    <w:pPr>
      <w:tabs>
        <w:tab w:val="center" w:pos="4153"/>
        <w:tab w:val="right" w:pos="8306"/>
      </w:tabs>
      <w:spacing w:line="240" w:lineRule="atLeast"/>
    </w:pPr>
    <w:rPr>
      <w:sz w:val="18"/>
    </w:rPr>
  </w:style>
  <w:style w:type="paragraph" w:styleId="20">
    <w:name w:val="header"/>
    <w:basedOn w:val="1"/>
    <w:link w:val="53"/>
    <w:qFormat/>
    <w:uiPriority w:val="99"/>
    <w:pPr>
      <w:pBdr>
        <w:bottom w:val="single" w:color="auto" w:sz="6" w:space="1"/>
      </w:pBdr>
      <w:tabs>
        <w:tab w:val="center" w:pos="4153"/>
        <w:tab w:val="right" w:pos="8306"/>
      </w:tabs>
      <w:spacing w:line="240" w:lineRule="atLeast"/>
      <w:jc w:val="center"/>
    </w:pPr>
    <w:rPr>
      <w:sz w:val="18"/>
    </w:rPr>
  </w:style>
  <w:style w:type="paragraph" w:styleId="21">
    <w:name w:val="toc 1"/>
    <w:basedOn w:val="1"/>
    <w:next w:val="1"/>
    <w:unhideWhenUsed/>
    <w:qFormat/>
    <w:uiPriority w:val="39"/>
    <w:pPr>
      <w:tabs>
        <w:tab w:val="left" w:pos="840"/>
        <w:tab w:val="right" w:leader="dot" w:pos="8654"/>
      </w:tabs>
      <w:spacing w:line="360" w:lineRule="auto"/>
      <w:jc w:val="center"/>
    </w:pPr>
    <w:rPr>
      <w:rFonts w:ascii="仿宋_GB2312" w:hAnsi="Arial" w:eastAsia="仿宋_GB2312"/>
      <w:sz w:val="28"/>
      <w:szCs w:val="28"/>
    </w:rPr>
  </w:style>
  <w:style w:type="paragraph" w:styleId="22">
    <w:name w:val="toc 4"/>
    <w:basedOn w:val="1"/>
    <w:next w:val="1"/>
    <w:unhideWhenUsed/>
    <w:qFormat/>
    <w:uiPriority w:val="39"/>
    <w:pPr>
      <w:adjustRightInd/>
      <w:spacing w:line="240" w:lineRule="auto"/>
      <w:ind w:left="1260" w:leftChars="600"/>
      <w:jc w:val="both"/>
      <w:textAlignment w:val="auto"/>
    </w:pPr>
    <w:rPr>
      <w:rFonts w:ascii="Calibri" w:hAnsi="Calibri"/>
      <w:kern w:val="2"/>
      <w:sz w:val="21"/>
      <w:szCs w:val="22"/>
    </w:rPr>
  </w:style>
  <w:style w:type="paragraph" w:styleId="23">
    <w:name w:val="toc 6"/>
    <w:basedOn w:val="1"/>
    <w:next w:val="1"/>
    <w:unhideWhenUsed/>
    <w:qFormat/>
    <w:uiPriority w:val="39"/>
    <w:pPr>
      <w:adjustRightInd/>
      <w:spacing w:line="240" w:lineRule="auto"/>
      <w:ind w:left="2100" w:leftChars="1000"/>
      <w:jc w:val="both"/>
      <w:textAlignment w:val="auto"/>
    </w:pPr>
    <w:rPr>
      <w:rFonts w:ascii="Calibri" w:hAnsi="Calibri"/>
      <w:kern w:val="2"/>
      <w:sz w:val="21"/>
      <w:szCs w:val="22"/>
    </w:rPr>
  </w:style>
  <w:style w:type="paragraph" w:styleId="24">
    <w:name w:val="Body Text Indent 3"/>
    <w:basedOn w:val="1"/>
    <w:link w:val="54"/>
    <w:qFormat/>
    <w:uiPriority w:val="0"/>
    <w:pPr>
      <w:spacing w:line="440" w:lineRule="atLeast"/>
      <w:ind w:firstLine="600"/>
      <w:jc w:val="both"/>
    </w:pPr>
    <w:rPr>
      <w:rFonts w:ascii="Arial" w:hAnsi="Arial" w:eastAsia="仿宋_GB2312"/>
      <w:sz w:val="28"/>
    </w:rPr>
  </w:style>
  <w:style w:type="paragraph" w:styleId="25">
    <w:name w:val="toc 2"/>
    <w:basedOn w:val="1"/>
    <w:next w:val="1"/>
    <w:unhideWhenUsed/>
    <w:qFormat/>
    <w:uiPriority w:val="39"/>
    <w:pPr>
      <w:tabs>
        <w:tab w:val="right" w:leader="dot" w:pos="8931"/>
      </w:tabs>
      <w:spacing w:line="360" w:lineRule="auto"/>
      <w:ind w:left="480" w:leftChars="200"/>
    </w:pPr>
  </w:style>
  <w:style w:type="paragraph" w:styleId="26">
    <w:name w:val="toc 9"/>
    <w:basedOn w:val="1"/>
    <w:next w:val="1"/>
    <w:unhideWhenUsed/>
    <w:qFormat/>
    <w:uiPriority w:val="39"/>
    <w:pPr>
      <w:adjustRightInd/>
      <w:spacing w:line="240" w:lineRule="auto"/>
      <w:ind w:left="3360" w:leftChars="1600"/>
      <w:jc w:val="both"/>
      <w:textAlignment w:val="auto"/>
    </w:pPr>
    <w:rPr>
      <w:rFonts w:ascii="Calibri" w:hAnsi="Calibri"/>
      <w:kern w:val="2"/>
      <w:sz w:val="21"/>
      <w:szCs w:val="22"/>
    </w:rPr>
  </w:style>
  <w:style w:type="paragraph" w:styleId="27">
    <w:name w:val="Body Text 2"/>
    <w:basedOn w:val="1"/>
    <w:link w:val="55"/>
    <w:qFormat/>
    <w:uiPriority w:val="0"/>
    <w:pPr>
      <w:autoSpaceDE w:val="0"/>
      <w:autoSpaceDN w:val="0"/>
      <w:spacing w:line="440" w:lineRule="exact"/>
      <w:jc w:val="both"/>
    </w:pPr>
    <w:rPr>
      <w:rFonts w:ascii="仿宋_GB2312" w:hAnsi="Arial" w:eastAsia="仿宋_GB2312"/>
      <w:sz w:val="28"/>
    </w:rPr>
  </w:style>
  <w:style w:type="paragraph" w:styleId="28">
    <w:name w:val="HTML Preformatted"/>
    <w:basedOn w:val="1"/>
    <w:link w:val="5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29">
    <w:name w:val="Normal (Web)"/>
    <w:basedOn w:val="1"/>
    <w:qFormat/>
    <w:uiPriority w:val="99"/>
    <w:pPr>
      <w:widowControl/>
      <w:adjustRightInd/>
      <w:spacing w:line="360" w:lineRule="auto"/>
      <w:textAlignment w:val="auto"/>
    </w:pPr>
    <w:rPr>
      <w:rFonts w:ascii="宋体" w:hAnsi="宋体"/>
      <w:sz w:val="18"/>
      <w:szCs w:val="18"/>
    </w:rPr>
  </w:style>
  <w:style w:type="paragraph" w:styleId="30">
    <w:name w:val="annotation subject"/>
    <w:basedOn w:val="8"/>
    <w:next w:val="8"/>
    <w:link w:val="57"/>
    <w:unhideWhenUsed/>
    <w:uiPriority w:val="99"/>
    <w:rPr>
      <w:b/>
      <w:bCs/>
    </w:rPr>
  </w:style>
  <w:style w:type="paragraph" w:styleId="31">
    <w:name w:val="Body Text First Indent"/>
    <w:basedOn w:val="10"/>
    <w:link w:val="58"/>
    <w:qFormat/>
    <w:uiPriority w:val="0"/>
    <w:pPr>
      <w:spacing w:after="120"/>
      <w:ind w:firstLine="420"/>
    </w:pPr>
    <w:rPr>
      <w:rFonts w:ascii="Times New Roman"/>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qFormat/>
    <w:uiPriority w:val="0"/>
    <w:rPr>
      <w:b/>
      <w:bCs/>
    </w:rPr>
  </w:style>
  <w:style w:type="character" w:styleId="36">
    <w:name w:val="page number"/>
    <w:qFormat/>
    <w:uiPriority w:val="0"/>
  </w:style>
  <w:style w:type="character" w:styleId="37">
    <w:name w:val="Hyperlink"/>
    <w:unhideWhenUsed/>
    <w:qFormat/>
    <w:uiPriority w:val="99"/>
    <w:rPr>
      <w:color w:val="0000FF"/>
      <w:u w:val="single"/>
    </w:rPr>
  </w:style>
  <w:style w:type="character" w:styleId="38">
    <w:name w:val="annotation reference"/>
    <w:unhideWhenUsed/>
    <w:qFormat/>
    <w:uiPriority w:val="99"/>
    <w:rPr>
      <w:sz w:val="21"/>
      <w:szCs w:val="21"/>
    </w:rPr>
  </w:style>
  <w:style w:type="character" w:customStyle="1" w:styleId="39">
    <w:name w:val="标题 1 Char"/>
    <w:link w:val="2"/>
    <w:qFormat/>
    <w:uiPriority w:val="0"/>
    <w:rPr>
      <w:rFonts w:ascii="Arial" w:hAnsi="Arial" w:eastAsia="仿宋_GB2312" w:cs="Arial"/>
      <w:b/>
      <w:kern w:val="0"/>
      <w:sz w:val="28"/>
      <w:szCs w:val="20"/>
    </w:rPr>
  </w:style>
  <w:style w:type="character" w:customStyle="1" w:styleId="40">
    <w:name w:val="标题 2 Char"/>
    <w:link w:val="3"/>
    <w:qFormat/>
    <w:uiPriority w:val="0"/>
    <w:rPr>
      <w:rFonts w:ascii="Arial" w:hAnsi="Arial" w:eastAsia="仿宋_GB2312" w:cs="Arial"/>
      <w:b/>
      <w:bCs/>
      <w:kern w:val="0"/>
      <w:sz w:val="28"/>
      <w:szCs w:val="20"/>
    </w:rPr>
  </w:style>
  <w:style w:type="character" w:customStyle="1" w:styleId="41">
    <w:name w:val="标题 3 Char"/>
    <w:link w:val="4"/>
    <w:uiPriority w:val="0"/>
    <w:rPr>
      <w:rFonts w:ascii="仿宋_GB2312" w:hAnsi="Arial" w:eastAsia="仿宋_GB2312" w:cs="Arial"/>
      <w:kern w:val="0"/>
      <w:sz w:val="28"/>
      <w:szCs w:val="20"/>
    </w:rPr>
  </w:style>
  <w:style w:type="character" w:customStyle="1" w:styleId="42">
    <w:name w:val="标题 4 Char"/>
    <w:link w:val="5"/>
    <w:uiPriority w:val="0"/>
    <w:rPr>
      <w:rFonts w:ascii="仿宋_GB2312" w:hAnsi="Times New Roman" w:eastAsia="仿宋_GB2312" w:cs="Times New Roman"/>
      <w:kern w:val="0"/>
      <w:sz w:val="28"/>
      <w:szCs w:val="20"/>
    </w:rPr>
  </w:style>
  <w:style w:type="character" w:customStyle="1" w:styleId="43">
    <w:name w:val="文档结构图 Char"/>
    <w:link w:val="7"/>
    <w:semiHidden/>
    <w:qFormat/>
    <w:uiPriority w:val="0"/>
    <w:rPr>
      <w:rFonts w:ascii="Times New Roman" w:hAnsi="Times New Roman" w:eastAsia="宋体" w:cs="Times New Roman"/>
      <w:kern w:val="0"/>
      <w:sz w:val="24"/>
      <w:szCs w:val="20"/>
      <w:shd w:val="clear" w:color="auto" w:fill="000080"/>
    </w:rPr>
  </w:style>
  <w:style w:type="character" w:customStyle="1" w:styleId="44">
    <w:name w:val="批注文字 Char"/>
    <w:link w:val="8"/>
    <w:semiHidden/>
    <w:uiPriority w:val="99"/>
    <w:rPr>
      <w:rFonts w:ascii="Times New Roman" w:hAnsi="Times New Roman"/>
      <w:sz w:val="24"/>
    </w:rPr>
  </w:style>
  <w:style w:type="character" w:customStyle="1" w:styleId="45">
    <w:name w:val="正文文本 3 Char"/>
    <w:link w:val="9"/>
    <w:uiPriority w:val="0"/>
    <w:rPr>
      <w:rFonts w:ascii="楷体_GB2312" w:hAnsi="Arial" w:eastAsia="楷体_GB2312" w:cs="Times New Roman"/>
      <w:kern w:val="0"/>
      <w:sz w:val="32"/>
      <w:szCs w:val="20"/>
    </w:rPr>
  </w:style>
  <w:style w:type="character" w:customStyle="1" w:styleId="46">
    <w:name w:val="正文文本 Char"/>
    <w:link w:val="10"/>
    <w:qFormat/>
    <w:uiPriority w:val="0"/>
    <w:rPr>
      <w:rFonts w:ascii="宋体" w:hAnsi="Times New Roman" w:eastAsia="宋体" w:cs="Times New Roman"/>
      <w:sz w:val="30"/>
      <w:szCs w:val="20"/>
    </w:rPr>
  </w:style>
  <w:style w:type="character" w:customStyle="1" w:styleId="47">
    <w:name w:val="正文文本缩进 Char"/>
    <w:link w:val="11"/>
    <w:qFormat/>
    <w:uiPriority w:val="0"/>
    <w:rPr>
      <w:rFonts w:ascii="仿宋_GB2312" w:eastAsia="仿宋_GB2312" w:cs="Times New Roman"/>
      <w:kern w:val="0"/>
      <w:sz w:val="28"/>
      <w:szCs w:val="20"/>
    </w:rPr>
  </w:style>
  <w:style w:type="character" w:customStyle="1" w:styleId="48">
    <w:name w:val="纯文本 Char"/>
    <w:link w:val="14"/>
    <w:qFormat/>
    <w:uiPriority w:val="0"/>
    <w:rPr>
      <w:rFonts w:ascii="宋体" w:hAnsi="Courier New" w:eastAsia="宋体" w:cs="Times New Roman"/>
      <w:szCs w:val="20"/>
    </w:rPr>
  </w:style>
  <w:style w:type="character" w:customStyle="1" w:styleId="49">
    <w:name w:val="日期 Char"/>
    <w:link w:val="16"/>
    <w:qFormat/>
    <w:uiPriority w:val="0"/>
    <w:rPr>
      <w:rFonts w:ascii="楷体_GB2312" w:hAnsi="Times New Roman" w:eastAsia="楷体_GB2312" w:cs="Times New Roman"/>
      <w:b/>
      <w:kern w:val="0"/>
      <w:sz w:val="28"/>
      <w:szCs w:val="20"/>
    </w:rPr>
  </w:style>
  <w:style w:type="character" w:customStyle="1" w:styleId="50">
    <w:name w:val="正文文本缩进 2 Char"/>
    <w:link w:val="17"/>
    <w:qFormat/>
    <w:uiPriority w:val="0"/>
    <w:rPr>
      <w:rFonts w:ascii="仿宋_GB2312" w:hAnsi="Times New Roman" w:eastAsia="仿宋_GB2312" w:cs="Times New Roman"/>
      <w:kern w:val="0"/>
      <w:sz w:val="28"/>
      <w:szCs w:val="20"/>
    </w:rPr>
  </w:style>
  <w:style w:type="character" w:customStyle="1" w:styleId="51">
    <w:name w:val="批注框文本 Char"/>
    <w:link w:val="18"/>
    <w:semiHidden/>
    <w:uiPriority w:val="0"/>
    <w:rPr>
      <w:rFonts w:ascii="Times New Roman" w:hAnsi="Times New Roman" w:eastAsia="宋体" w:cs="Times New Roman"/>
      <w:kern w:val="0"/>
      <w:sz w:val="18"/>
      <w:szCs w:val="18"/>
    </w:rPr>
  </w:style>
  <w:style w:type="character" w:customStyle="1" w:styleId="52">
    <w:name w:val="页脚 Char"/>
    <w:link w:val="19"/>
    <w:qFormat/>
    <w:uiPriority w:val="99"/>
    <w:rPr>
      <w:rFonts w:ascii="Times New Roman" w:hAnsi="Times New Roman" w:eastAsia="宋体" w:cs="Times New Roman"/>
      <w:kern w:val="0"/>
      <w:sz w:val="18"/>
      <w:szCs w:val="20"/>
    </w:rPr>
  </w:style>
  <w:style w:type="character" w:customStyle="1" w:styleId="53">
    <w:name w:val="页眉 Char"/>
    <w:link w:val="20"/>
    <w:qFormat/>
    <w:uiPriority w:val="99"/>
    <w:rPr>
      <w:rFonts w:ascii="Times New Roman" w:hAnsi="Times New Roman" w:eastAsia="宋体" w:cs="Times New Roman"/>
      <w:kern w:val="0"/>
      <w:sz w:val="18"/>
      <w:szCs w:val="20"/>
    </w:rPr>
  </w:style>
  <w:style w:type="character" w:customStyle="1" w:styleId="54">
    <w:name w:val="正文文本缩进 3 Char"/>
    <w:link w:val="24"/>
    <w:qFormat/>
    <w:uiPriority w:val="0"/>
    <w:rPr>
      <w:rFonts w:ascii="Arial" w:hAnsi="Arial" w:eastAsia="仿宋_GB2312" w:cs="Arial"/>
      <w:kern w:val="0"/>
      <w:sz w:val="28"/>
      <w:szCs w:val="20"/>
    </w:rPr>
  </w:style>
  <w:style w:type="character" w:customStyle="1" w:styleId="55">
    <w:name w:val="正文文本 2 Char"/>
    <w:link w:val="27"/>
    <w:qFormat/>
    <w:uiPriority w:val="0"/>
    <w:rPr>
      <w:rFonts w:ascii="仿宋_GB2312" w:hAnsi="Arial" w:eastAsia="仿宋_GB2312" w:cs="Times New Roman"/>
      <w:kern w:val="0"/>
      <w:sz w:val="28"/>
      <w:szCs w:val="20"/>
    </w:rPr>
  </w:style>
  <w:style w:type="character" w:customStyle="1" w:styleId="56">
    <w:name w:val="HTML 预设格式 Char"/>
    <w:link w:val="28"/>
    <w:qFormat/>
    <w:uiPriority w:val="0"/>
    <w:rPr>
      <w:rFonts w:ascii="宋体" w:hAnsi="宋体" w:eastAsia="宋体" w:cs="Times New Roman"/>
      <w:kern w:val="0"/>
      <w:sz w:val="24"/>
      <w:szCs w:val="24"/>
    </w:rPr>
  </w:style>
  <w:style w:type="character" w:customStyle="1" w:styleId="57">
    <w:name w:val="批注主题 Char"/>
    <w:link w:val="30"/>
    <w:semiHidden/>
    <w:qFormat/>
    <w:uiPriority w:val="99"/>
    <w:rPr>
      <w:rFonts w:ascii="Times New Roman" w:hAnsi="Times New Roman"/>
      <w:b/>
      <w:bCs/>
      <w:sz w:val="24"/>
    </w:rPr>
  </w:style>
  <w:style w:type="character" w:customStyle="1" w:styleId="58">
    <w:name w:val="正文首行缩进 Char"/>
    <w:link w:val="31"/>
    <w:qFormat/>
    <w:uiPriority w:val="0"/>
    <w:rPr>
      <w:rFonts w:ascii="Times New Roman" w:hAnsi="Times New Roman" w:eastAsia="宋体" w:cs="Times New Roman"/>
      <w:sz w:val="30"/>
      <w:szCs w:val="20"/>
    </w:rPr>
  </w:style>
  <w:style w:type="paragraph" w:customStyle="1" w:styleId="59">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60">
    <w:name w:val="text1"/>
    <w:qFormat/>
    <w:uiPriority w:val="0"/>
    <w:rPr>
      <w:spacing w:val="10"/>
      <w:sz w:val="28"/>
      <w:szCs w:val="28"/>
    </w:rPr>
  </w:style>
  <w:style w:type="paragraph" w:customStyle="1" w:styleId="61">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62">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63">
    <w:name w:val="font6"/>
    <w:basedOn w:val="1"/>
    <w:qFormat/>
    <w:uiPriority w:val="0"/>
    <w:pPr>
      <w:widowControl/>
      <w:adjustRightInd/>
      <w:spacing w:before="100" w:beforeAutospacing="1" w:after="100" w:afterAutospacing="1" w:line="240" w:lineRule="auto"/>
      <w:textAlignment w:val="auto"/>
    </w:pPr>
    <w:rPr>
      <w:rFonts w:hint="eastAsia" w:ascii="宋体" w:hAnsi="宋体"/>
      <w:b/>
      <w:bCs/>
      <w:sz w:val="32"/>
      <w:szCs w:val="32"/>
    </w:rPr>
  </w:style>
  <w:style w:type="paragraph" w:customStyle="1" w:styleId="64">
    <w:name w:val="font7"/>
    <w:basedOn w:val="1"/>
    <w:qFormat/>
    <w:uiPriority w:val="0"/>
    <w:pPr>
      <w:widowControl/>
      <w:adjustRightInd/>
      <w:spacing w:before="100" w:beforeAutospacing="1" w:after="100" w:afterAutospacing="1" w:line="240" w:lineRule="auto"/>
      <w:textAlignment w:val="auto"/>
    </w:pPr>
    <w:rPr>
      <w:szCs w:val="24"/>
    </w:rPr>
  </w:style>
  <w:style w:type="paragraph" w:customStyle="1" w:styleId="65">
    <w:name w:val="font8"/>
    <w:basedOn w:val="1"/>
    <w:qFormat/>
    <w:uiPriority w:val="0"/>
    <w:pPr>
      <w:widowControl/>
      <w:adjustRightInd/>
      <w:spacing w:before="100" w:beforeAutospacing="1" w:after="100" w:afterAutospacing="1" w:line="240" w:lineRule="auto"/>
      <w:textAlignment w:val="auto"/>
    </w:pPr>
    <w:rPr>
      <w:rFonts w:hint="eastAsia" w:ascii="宋体" w:hAnsi="宋体"/>
      <w:b/>
      <w:bCs/>
      <w:sz w:val="36"/>
      <w:szCs w:val="36"/>
    </w:rPr>
  </w:style>
  <w:style w:type="paragraph" w:customStyle="1" w:styleId="66">
    <w:name w:val="font9"/>
    <w:basedOn w:val="1"/>
    <w:qFormat/>
    <w:uiPriority w:val="0"/>
    <w:pPr>
      <w:widowControl/>
      <w:adjustRightInd/>
      <w:spacing w:before="100" w:beforeAutospacing="1" w:after="100" w:afterAutospacing="1" w:line="240" w:lineRule="auto"/>
      <w:textAlignment w:val="auto"/>
    </w:pPr>
    <w:rPr>
      <w:b/>
      <w:bCs/>
      <w:sz w:val="36"/>
      <w:szCs w:val="36"/>
    </w:rPr>
  </w:style>
  <w:style w:type="paragraph" w:customStyle="1" w:styleId="6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68">
    <w:name w:val="xl2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Cs w:val="24"/>
    </w:rPr>
  </w:style>
  <w:style w:type="paragraph" w:customStyle="1" w:styleId="6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 w:val="20"/>
    </w:rPr>
  </w:style>
  <w:style w:type="paragraph" w:customStyle="1" w:styleId="7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7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7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right"/>
      <w:textAlignment w:val="auto"/>
    </w:pPr>
    <w:rPr>
      <w:rFonts w:ascii="Arial Narrow" w:hAnsi="Arial Narrow"/>
      <w:sz w:val="20"/>
    </w:rPr>
  </w:style>
  <w:style w:type="paragraph" w:customStyle="1" w:styleId="73">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74">
    <w:name w:val="xl31"/>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75">
    <w:name w:val="xl32"/>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76">
    <w:name w:val="nr1"/>
    <w:qFormat/>
    <w:uiPriority w:val="0"/>
    <w:rPr>
      <w:rFonts w:hint="eastAsia" w:ascii="楷体_GB2312" w:eastAsia="楷体_GB2312"/>
      <w:color w:val="000000"/>
      <w:sz w:val="24"/>
      <w:szCs w:val="24"/>
    </w:rPr>
  </w:style>
  <w:style w:type="paragraph" w:customStyle="1" w:styleId="77">
    <w:name w:val="样式2"/>
    <w:basedOn w:val="1"/>
    <w:qFormat/>
    <w:uiPriority w:val="0"/>
    <w:pPr>
      <w:autoSpaceDE w:val="0"/>
      <w:autoSpaceDN w:val="0"/>
      <w:spacing w:line="240" w:lineRule="auto"/>
      <w:jc w:val="center"/>
    </w:pPr>
    <w:rPr>
      <w:rFonts w:ascii="长城粗隶书" w:eastAsia="长城粗隶书"/>
      <w:b/>
      <w:spacing w:val="20"/>
      <w:sz w:val="52"/>
    </w:rPr>
  </w:style>
  <w:style w:type="paragraph" w:customStyle="1" w:styleId="78">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79">
    <w:name w:val="Char"/>
    <w:basedOn w:val="1"/>
    <w:qFormat/>
    <w:uiPriority w:val="0"/>
    <w:pPr>
      <w:adjustRightInd/>
      <w:spacing w:line="240" w:lineRule="auto"/>
      <w:jc w:val="both"/>
      <w:textAlignment w:val="auto"/>
    </w:pPr>
    <w:rPr>
      <w:rFonts w:ascii="宋体" w:hAnsi="宋体" w:cs="Courier New"/>
      <w:kern w:val="2"/>
      <w:sz w:val="32"/>
      <w:szCs w:val="32"/>
    </w:rPr>
  </w:style>
  <w:style w:type="character" w:customStyle="1" w:styleId="80">
    <w:name w:val="t12h291"/>
    <w:qFormat/>
    <w:uiPriority w:val="0"/>
    <w:rPr>
      <w:color w:val="000000"/>
      <w:sz w:val="24"/>
      <w:szCs w:val="24"/>
    </w:rPr>
  </w:style>
  <w:style w:type="paragraph" w:customStyle="1" w:styleId="81">
    <w:name w:val="Default"/>
    <w:qFormat/>
    <w:uiPriority w:val="0"/>
    <w:pPr>
      <w:widowControl w:val="0"/>
      <w:autoSpaceDE w:val="0"/>
      <w:autoSpaceDN w:val="0"/>
      <w:adjustRightInd w:val="0"/>
    </w:pPr>
    <w:rPr>
      <w:rFonts w:ascii="华文细黑碙.." w:hAnsi="Times New Roman" w:eastAsia="华文细黑碙.." w:cs="华文细黑碙.."/>
      <w:color w:val="000000"/>
      <w:sz w:val="24"/>
      <w:szCs w:val="24"/>
      <w:lang w:val="en-US" w:eastAsia="zh-CN" w:bidi="ar-SA"/>
    </w:rPr>
  </w:style>
  <w:style w:type="character" w:customStyle="1" w:styleId="82">
    <w:name w:val="A4"/>
    <w:qFormat/>
    <w:uiPriority w:val="0"/>
    <w:rPr>
      <w:rFonts w:cs="华文细黑碙.."/>
      <w:color w:val="000000"/>
      <w:sz w:val="16"/>
      <w:szCs w:val="16"/>
    </w:rPr>
  </w:style>
  <w:style w:type="character" w:customStyle="1" w:styleId="83">
    <w:name w:val="A3"/>
    <w:qFormat/>
    <w:uiPriority w:val="0"/>
    <w:rPr>
      <w:rFonts w:cs="黑体萄"/>
      <w:color w:val="000000"/>
      <w:sz w:val="18"/>
      <w:szCs w:val="18"/>
    </w:rPr>
  </w:style>
  <w:style w:type="paragraph" w:customStyle="1" w:styleId="84">
    <w:name w:val="修订1"/>
    <w:semiHidden/>
    <w:qFormat/>
    <w:uiPriority w:val="99"/>
    <w:rPr>
      <w:rFonts w:ascii="Times New Roman" w:hAnsi="Times New Roman" w:eastAsia="宋体" w:cs="Times New Roman"/>
      <w:sz w:val="24"/>
      <w:lang w:val="en-US" w:eastAsia="zh-CN" w:bidi="ar-SA"/>
    </w:rPr>
  </w:style>
  <w:style w:type="paragraph" w:customStyle="1" w:styleId="85">
    <w:name w:val="iw_poi_title"/>
    <w:basedOn w:val="1"/>
    <w:qFormat/>
    <w:uiPriority w:val="0"/>
    <w:pPr>
      <w:widowControl/>
      <w:adjustRightInd/>
      <w:spacing w:line="240" w:lineRule="auto"/>
      <w:textAlignment w:val="auto"/>
    </w:pPr>
    <w:rPr>
      <w:rFonts w:ascii="宋体" w:hAnsi="宋体" w:cs="宋体"/>
      <w:b/>
      <w:bCs/>
      <w:color w:val="4D4D4D"/>
      <w:sz w:val="21"/>
      <w:szCs w:val="21"/>
    </w:rPr>
  </w:style>
  <w:style w:type="paragraph" w:customStyle="1" w:styleId="86">
    <w:name w:val="Char Char Char Char"/>
    <w:basedOn w:val="1"/>
    <w:qFormat/>
    <w:uiPriority w:val="0"/>
    <w:pPr>
      <w:adjustRightInd/>
      <w:spacing w:line="240" w:lineRule="auto"/>
      <w:jc w:val="both"/>
      <w:textAlignment w:val="auto"/>
    </w:pPr>
    <w:rPr>
      <w:rFonts w:ascii="宋体" w:hAnsi="宋体" w:cs="Courier New"/>
      <w:kern w:val="2"/>
      <w:sz w:val="32"/>
      <w:szCs w:val="32"/>
    </w:rPr>
  </w:style>
  <w:style w:type="paragraph" w:styleId="87">
    <w:name w:val="List Paragraph"/>
    <w:basedOn w:val="1"/>
    <w:qFormat/>
    <w:uiPriority w:val="34"/>
    <w:pPr>
      <w:ind w:firstLine="420" w:firstLineChars="200"/>
    </w:pPr>
  </w:style>
  <w:style w:type="paragraph" w:customStyle="1" w:styleId="88">
    <w:name w:val="正文1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2.xml"/><Relationship Id="rId7" Type="http://schemas.openxmlformats.org/officeDocument/2006/relationships/header" Target="header1.xml"/><Relationship Id="rId63" Type="http://schemas.microsoft.com/office/2011/relationships/people" Target="people.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endnotes" Target="endnotes.xml"/><Relationship Id="rId59" Type="http://schemas.openxmlformats.org/officeDocument/2006/relationships/customXml" Target="../customXml/item1.xml"/><Relationship Id="rId58" Type="http://schemas.openxmlformats.org/officeDocument/2006/relationships/chart" Target="charts/chart8.xml"/><Relationship Id="rId57" Type="http://schemas.openxmlformats.org/officeDocument/2006/relationships/chart" Target="charts/chart7.xml"/><Relationship Id="rId56" Type="http://schemas.openxmlformats.org/officeDocument/2006/relationships/chart" Target="charts/chart6.xml"/><Relationship Id="rId55" Type="http://schemas.openxmlformats.org/officeDocument/2006/relationships/chart" Target="charts/chart5.xml"/><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footnotes" Target="footnotes.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chart" Target="charts/chart4.xml"/><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chart" Target="charts/chart3.xml"/><Relationship Id="rId40" Type="http://schemas.openxmlformats.org/officeDocument/2006/relationships/chart" Target="charts/chart2.xml"/><Relationship Id="rId4" Type="http://schemas.microsoft.com/office/2011/relationships/commentsExtended" Target="commentsExtended.xml"/><Relationship Id="rId39" Type="http://schemas.openxmlformats.org/officeDocument/2006/relationships/chart" Target="charts/chart1.xml"/><Relationship Id="rId38" Type="http://schemas.openxmlformats.org/officeDocument/2006/relationships/theme" Target="theme/theme1.xml"/><Relationship Id="rId37" Type="http://schemas.openxmlformats.org/officeDocument/2006/relationships/footer" Target="footer14.xml"/><Relationship Id="rId36" Type="http://schemas.openxmlformats.org/officeDocument/2006/relationships/header" Target="header17.xml"/><Relationship Id="rId35" Type="http://schemas.openxmlformats.org/officeDocument/2006/relationships/footer" Target="footer13.xml"/><Relationship Id="rId34" Type="http://schemas.openxmlformats.org/officeDocument/2006/relationships/header" Target="header16.xml"/><Relationship Id="rId33" Type="http://schemas.openxmlformats.org/officeDocument/2006/relationships/footer" Target="footer12.xml"/><Relationship Id="rId32" Type="http://schemas.openxmlformats.org/officeDocument/2006/relationships/header" Target="header15.xml"/><Relationship Id="rId31" Type="http://schemas.openxmlformats.org/officeDocument/2006/relationships/header" Target="header14.xml"/><Relationship Id="rId30" Type="http://schemas.openxmlformats.org/officeDocument/2006/relationships/footer" Target="footer11.xml"/><Relationship Id="rId3" Type="http://schemas.openxmlformats.org/officeDocument/2006/relationships/comments" Target="comments.xml"/><Relationship Id="rId29" Type="http://schemas.openxmlformats.org/officeDocument/2006/relationships/header" Target="header13.xml"/><Relationship Id="rId28" Type="http://schemas.openxmlformats.org/officeDocument/2006/relationships/footer" Target="footer10.xml"/><Relationship Id="rId27" Type="http://schemas.openxmlformats.org/officeDocument/2006/relationships/header" Target="header12.xml"/><Relationship Id="rId26" Type="http://schemas.openxmlformats.org/officeDocument/2006/relationships/header" Target="header11.xml"/><Relationship Id="rId25" Type="http://schemas.openxmlformats.org/officeDocument/2006/relationships/footer" Target="footer9.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footer" Target="footer4.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D:\&#23457;&#26680;&#32452;\2025&#24180;\&#24066;&#22330;&#20998;&#26512;\2025&#24180;2&#23395;&#24230;\&#20303;&#23429;\&#20303;&#23429;&#22270;&#34920;2025H1.xlsx"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D:\&#23457;&#26680;&#32452;\2025&#24180;\&#24066;&#22330;&#20998;&#26512;\2025&#24180;2&#23395;&#24230;\&#20303;&#23429;\&#20303;&#23429;&#22270;&#34920;2025H1.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7.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oleObject" Target="&#24037;&#20316;&#31807;1" TargetMode="External"/></Relationships>
</file>

<file path=word/charts/_rels/chart7.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D:\&#23457;&#26680;&#32452;\2025&#24180;\&#24066;&#22330;&#20998;&#26512;\2025&#24180;2&#23395;&#24230;\&#20303;&#23429;\&#20303;&#23429;&#22270;&#34920;2025H1.xlsx" TargetMode="External"/></Relationships>
</file>

<file path=word/charts/_rels/chart8.xml.rels><?xml version="1.0" encoding="UTF-8" standalone="yes"?>
<Relationships xmlns="http://schemas.openxmlformats.org/package/2006/relationships"><Relationship Id="rId2" Type="http://schemas.openxmlformats.org/officeDocument/2006/relationships/themeOverride" Target="../theme/themeOverride8.xml"/><Relationship Id="rId1" Type="http://schemas.openxmlformats.org/officeDocument/2006/relationships/oleObject" Target="file:///D:\&#23457;&#26680;&#32452;\2025&#24180;\&#24066;&#22330;&#20998;&#26512;\2025&#24180;2&#23395;&#24230;\&#20303;&#23429;\&#20303;&#23429;&#22270;&#34920;2025H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245738880"/>
        <c:axId val="245748864"/>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245750400"/>
        <c:axId val="247918976"/>
      </c:lineChart>
      <c:catAx>
        <c:axId val="24573888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45748864"/>
        <c:crosses val="autoZero"/>
        <c:auto val="1"/>
        <c:lblAlgn val="ctr"/>
        <c:lblOffset val="100"/>
        <c:noMultiLvlLbl val="0"/>
      </c:catAx>
      <c:valAx>
        <c:axId val="245748864"/>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45738880"/>
        <c:crosses val="autoZero"/>
        <c:crossBetween val="between"/>
        <c:majorUnit val="500"/>
      </c:valAx>
      <c:catAx>
        <c:axId val="245750400"/>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47918976"/>
        <c:crosses val="autoZero"/>
        <c:auto val="1"/>
        <c:lblAlgn val="ctr"/>
        <c:lblOffset val="100"/>
        <c:noMultiLvlLbl val="0"/>
      </c:catAx>
      <c:valAx>
        <c:axId val="247918976"/>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45750400"/>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bd7388f4-5550-459b-a82a-8d656c7e15c2}"/>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invertIfNegative val="0"/>
          <c:dLbls>
            <c:dLbl>
              <c:idx val="0"/>
              <c:delete val="1"/>
            </c:dLbl>
            <c:dLbl>
              <c:idx val="1"/>
              <c:layout>
                <c:manualLayout>
                  <c:x val="0.068241469816273"/>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8241469816273"/>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46981420629508"/>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249343832021"/>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62992125984252"/>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338582677165354"/>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971128608923884"/>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83989501312336"/>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11351.2600000001</c:v>
                </c:pt>
                <c:pt idx="1">
                  <c:v>61704</c:v>
                </c:pt>
                <c:pt idx="2">
                  <c:v>49281.38</c:v>
                </c:pt>
                <c:pt idx="3">
                  <c:v>313643.87</c:v>
                </c:pt>
                <c:pt idx="4">
                  <c:v>3107.98</c:v>
                </c:pt>
                <c:pt idx="5">
                  <c:v>14460.44</c:v>
                </c:pt>
                <c:pt idx="6">
                  <c:v>967628.62</c:v>
                </c:pt>
                <c:pt idx="7">
                  <c:v>126274.55</c:v>
                </c:pt>
                <c:pt idx="8">
                  <c:v>93547.9</c:v>
                </c:pt>
              </c:numCache>
            </c:numRef>
          </c:val>
        </c:ser>
        <c:dLbls>
          <c:showLegendKey val="0"/>
          <c:showVal val="0"/>
          <c:showCatName val="0"/>
          <c:showSerName val="0"/>
          <c:showPercent val="0"/>
          <c:showBubbleSize val="0"/>
        </c:dLbls>
        <c:gapWidth val="130"/>
        <c:overlap val="100"/>
        <c:serLines/>
        <c:axId val="280180224"/>
        <c:axId val="280181760"/>
      </c:barChart>
      <c:catAx>
        <c:axId val="280180224"/>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华文细黑" panose="02010600040101010101" pitchFamily="2" charset="-122"/>
                <a:ea typeface="华文细黑" panose="02010600040101010101" pitchFamily="2" charset="-122"/>
                <a:cs typeface="+mn-cs"/>
              </a:defRPr>
            </a:pPr>
          </a:p>
        </c:txPr>
        <c:crossAx val="280181760"/>
        <c:crosses val="autoZero"/>
        <c:auto val="1"/>
        <c:lblAlgn val="ctr"/>
        <c:lblOffset val="100"/>
        <c:noMultiLvlLbl val="0"/>
      </c:catAx>
      <c:valAx>
        <c:axId val="280181760"/>
        <c:scaling>
          <c:orientation val="minMax"/>
          <c:max val="1200000"/>
        </c:scaling>
        <c:delete val="0"/>
        <c:axPos val="b"/>
        <c:majorGridlines/>
        <c:numFmt formatCode="0_ "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80180224"/>
        <c:crosses val="autoZero"/>
        <c:crossBetween val="between"/>
        <c:minorUnit val="60000"/>
      </c:valAx>
    </c:plotArea>
    <c:plotVisOnly val="1"/>
    <c:dispBlanksAs val="gap"/>
    <c:showDLblsOverMax val="0"/>
    <c:extLst>
      <c:ext uri="{0b15fc19-7d7d-44ad-8c2d-2c3a37ce22c3}">
        <chartProps xmlns="https://web.wps.cn/et/2018/main" chartId="{74caa265-b40e-4c18-a0cd-719bb2859e03}"/>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北京市土地供求走势</a:t>
            </a:r>
            <a:endParaRPr lang="zh-CN" altLang="en-US" sz="1200"/>
          </a:p>
        </c:rich>
      </c:tx>
      <c:layout>
        <c:manualLayout>
          <c:xMode val="edge"/>
          <c:yMode val="edge"/>
          <c:x val="0.352597971167599"/>
          <c:y val="0.0138888888888889"/>
        </c:manualLayout>
      </c:layout>
      <c:overlay val="1"/>
    </c:title>
    <c:autoTitleDeleted val="0"/>
    <c:plotArea>
      <c:layout>
        <c:manualLayout>
          <c:layoutTarget val="inner"/>
          <c:xMode val="edge"/>
          <c:yMode val="edge"/>
          <c:x val="0.0808475990335805"/>
          <c:y val="0.130104257801108"/>
          <c:w val="0.89219162185587"/>
          <c:h val="0.642420895304754"/>
        </c:manualLayout>
      </c:layout>
      <c:barChart>
        <c:barDir val="col"/>
        <c:grouping val="clustered"/>
        <c:varyColors val="0"/>
        <c:ser>
          <c:idx val="0"/>
          <c:order val="0"/>
          <c:tx>
            <c:strRef>
              <c:f>Sheet1!$B$2</c:f>
              <c:strCache>
                <c:ptCount val="1"/>
                <c:pt idx="0">
                  <c:v>推出规划建面（万㎡）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0.0122548995957043"/>
                  <c:y val="-0.0049382735251379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Sheet1!$A$3:$A$8</c:f>
              <c:strCache>
                <c:ptCount val="6"/>
                <c:pt idx="0">
                  <c:v>2020</c:v>
                </c:pt>
                <c:pt idx="1">
                  <c:v>2021</c:v>
                </c:pt>
                <c:pt idx="2">
                  <c:v>2022</c:v>
                </c:pt>
                <c:pt idx="3">
                  <c:v>2023</c:v>
                </c:pt>
                <c:pt idx="4">
                  <c:v>2024</c:v>
                </c:pt>
                <c:pt idx="5">
                  <c:v>2025H1</c:v>
                </c:pt>
              </c:strCache>
            </c:strRef>
          </c:cat>
          <c:val>
            <c:numRef>
              <c:f>Sheet1!$B$3:$B$8</c:f>
              <c:numCache>
                <c:formatCode>0_ </c:formatCode>
                <c:ptCount val="6"/>
                <c:pt idx="0">
                  <c:v>620.38</c:v>
                </c:pt>
                <c:pt idx="1">
                  <c:v>959.72</c:v>
                </c:pt>
                <c:pt idx="2">
                  <c:v>576.72</c:v>
                </c:pt>
                <c:pt idx="3">
                  <c:v>621.01</c:v>
                </c:pt>
                <c:pt idx="4">
                  <c:v>492</c:v>
                </c:pt>
                <c:pt idx="5">
                  <c:v>169.7</c:v>
                </c:pt>
              </c:numCache>
            </c:numRef>
          </c:val>
        </c:ser>
        <c:ser>
          <c:idx val="1"/>
          <c:order val="1"/>
          <c:tx>
            <c:strRef>
              <c:f>Sheet1!$C$2</c:f>
              <c:strCache>
                <c:ptCount val="1"/>
                <c:pt idx="0">
                  <c:v>成交规划建面（万㎡）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0.00245107641441323"/>
                  <c:y val="-0.00493827352513804"/>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830270412561677"/>
                      <c:h val="0.0750866433699401"/>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Sheet1!$A$3:$A$8</c:f>
              <c:strCache>
                <c:ptCount val="6"/>
                <c:pt idx="0">
                  <c:v>2020</c:v>
                </c:pt>
                <c:pt idx="1">
                  <c:v>2021</c:v>
                </c:pt>
                <c:pt idx="2">
                  <c:v>2022</c:v>
                </c:pt>
                <c:pt idx="3">
                  <c:v>2023</c:v>
                </c:pt>
                <c:pt idx="4">
                  <c:v>2024</c:v>
                </c:pt>
                <c:pt idx="5">
                  <c:v>2025H1</c:v>
                </c:pt>
              </c:strCache>
            </c:strRef>
          </c:cat>
          <c:val>
            <c:numRef>
              <c:f>Sheet1!$C$3:$C$8</c:f>
              <c:numCache>
                <c:formatCode>0_ </c:formatCode>
                <c:ptCount val="6"/>
                <c:pt idx="0">
                  <c:v>624.28</c:v>
                </c:pt>
                <c:pt idx="1">
                  <c:v>688.57</c:v>
                </c:pt>
                <c:pt idx="2">
                  <c:v>484.71</c:v>
                </c:pt>
                <c:pt idx="3">
                  <c:v>582.25</c:v>
                </c:pt>
                <c:pt idx="4">
                  <c:v>470.38</c:v>
                </c:pt>
                <c:pt idx="5">
                  <c:v>234.42</c:v>
                </c:pt>
              </c:numCache>
            </c:numRef>
          </c:val>
        </c:ser>
        <c:dLbls>
          <c:showLegendKey val="0"/>
          <c:showVal val="0"/>
          <c:showCatName val="0"/>
          <c:showSerName val="0"/>
          <c:showPercent val="0"/>
          <c:showBubbleSize val="0"/>
        </c:dLbls>
        <c:gapWidth val="150"/>
        <c:axId val="193646976"/>
        <c:axId val="193648512"/>
      </c:barChart>
      <c:catAx>
        <c:axId val="19364697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3648512"/>
        <c:crosses val="autoZero"/>
        <c:auto val="1"/>
        <c:lblAlgn val="ctr"/>
        <c:lblOffset val="100"/>
        <c:noMultiLvlLbl val="0"/>
      </c:catAx>
      <c:valAx>
        <c:axId val="193648512"/>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364697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8f21ef1-0c83-4fea-a951-17ad4763b69e}"/>
      </c:ext>
    </c:extLst>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99700726057"/>
          <c:y val="0.0652894429862934"/>
          <c:w val="0.767886985746147"/>
          <c:h val="0.721124599008457"/>
        </c:manualLayout>
      </c:layout>
      <c:barChart>
        <c:barDir val="col"/>
        <c:grouping val="clustered"/>
        <c:varyColors val="0"/>
        <c:ser>
          <c:idx val="0"/>
          <c:order val="0"/>
          <c:tx>
            <c:strRef>
              <c:f>楼面价jj!$B$1</c:f>
              <c:strCache>
                <c:ptCount val="1"/>
                <c:pt idx="0">
                  <c:v>成交楼面均价（元/平方米）</c:v>
                </c:pt>
              </c:strCache>
            </c:strRef>
          </c:tx>
          <c:spPr>
            <a:solidFill>
              <a:srgbClr val="CC0000"/>
            </a:solidFill>
          </c:spPr>
          <c:invertIfNegative val="0"/>
          <c:dLbls>
            <c:dLbl>
              <c:idx val="2"/>
              <c:layout>
                <c:manualLayout>
                  <c:x val="-6.9641476944951e-17"/>
                  <c:y val="-0.09494320959404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11294852751086"/>
                  <c:y val="-0.1018518518518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379866989723109"/>
                  <c:y val="0.0082559312690471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2314814814814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3302372507618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222593210907067"/>
                  <c:y val="-0.04629629629629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楼面价jj!$B$7:$B$14</c:f>
              <c:numCache>
                <c:formatCode>General</c:formatCode>
                <c:ptCount val="8"/>
                <c:pt idx="0">
                  <c:v>27153</c:v>
                </c:pt>
                <c:pt idx="1">
                  <c:v>25916</c:v>
                </c:pt>
                <c:pt idx="2">
                  <c:v>28513</c:v>
                </c:pt>
                <c:pt idx="3">
                  <c:v>34086</c:v>
                </c:pt>
                <c:pt idx="4">
                  <c:v>25771</c:v>
                </c:pt>
                <c:pt idx="5">
                  <c:v>43860</c:v>
                </c:pt>
                <c:pt idx="6">
                  <c:v>47266</c:v>
                </c:pt>
                <c:pt idx="7">
                  <c:v>38274</c:v>
                </c:pt>
              </c:numCache>
            </c:numRef>
          </c:val>
        </c:ser>
        <c:dLbls>
          <c:showLegendKey val="0"/>
          <c:showVal val="0"/>
          <c:showCatName val="0"/>
          <c:showSerName val="0"/>
          <c:showPercent val="0"/>
          <c:showBubbleSize val="0"/>
        </c:dLbls>
        <c:gapWidth val="150"/>
        <c:axId val="312812672"/>
        <c:axId val="312814208"/>
      </c:barChart>
      <c:lineChart>
        <c:grouping val="standard"/>
        <c:varyColors val="0"/>
        <c:ser>
          <c:idx val="1"/>
          <c:order val="1"/>
          <c:tx>
            <c:strRef>
              <c:f>楼面价jj!$C$1</c:f>
              <c:strCache>
                <c:ptCount val="1"/>
                <c:pt idx="0">
                  <c:v>平均溢价率（%）</c:v>
                </c:pt>
              </c:strCache>
            </c:strRef>
          </c:tx>
          <c:spPr>
            <a:ln w="19050" cap="rnd" cmpd="sng" algn="ctr">
              <a:solidFill>
                <a:schemeClr val="accent5">
                  <a:lumMod val="75000"/>
                </a:schemeClr>
              </a:solidFill>
              <a:prstDash val="solid"/>
              <a:round/>
            </a:ln>
          </c:spPr>
          <c:marker>
            <c:spPr>
              <a:solidFill>
                <a:schemeClr val="accent5">
                  <a:lumMod val="75000"/>
                </a:schemeClr>
              </a:solidFill>
              <a:ln w="6350" cap="flat" cmpd="sng" algn="ctr">
                <a:solidFill>
                  <a:schemeClr val="accent5">
                    <a:lumMod val="75000"/>
                  </a:schemeClr>
                </a:solidFill>
                <a:prstDash val="solid"/>
                <a:round/>
              </a:ln>
            </c:spPr>
          </c:marker>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r>
                      <a:rPr lang="en-US" altLang="en-US">
                        <a:solidFill>
                          <a:schemeClr val="bg1"/>
                        </a:solidFill>
                        <a:latin typeface="Arial" panose="020B0604020202020204" pitchFamily="2" charset="0"/>
                        <a:cs typeface="Arial" panose="020B0604020202020204" pitchFamily="2" charset="0"/>
                      </a:rPr>
                      <a:t>5.35%</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r>
                      <a:rPr lang="en-US" altLang="en-US">
                        <a:solidFill>
                          <a:schemeClr val="bg1"/>
                        </a:solidFill>
                        <a:latin typeface="Arial" panose="020B0604020202020204" pitchFamily="2" charset="0"/>
                        <a:cs typeface="Arial" panose="020B0604020202020204" pitchFamily="2" charset="0"/>
                      </a:rPr>
                      <a:t>6.06%</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00379866989723109"/>
                  <c:y val="0.07430338142142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379866989723102"/>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5">
                  <a:lumMod val="75000"/>
                </a:schemeClr>
              </a:solid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楼面价jj!$C$7:$C$14</c:f>
              <c:numCache>
                <c:formatCode>0.00%</c:formatCode>
                <c:ptCount val="8"/>
                <c:pt idx="0">
                  <c:v>0.0801</c:v>
                </c:pt>
                <c:pt idx="1">
                  <c:v>0.0522</c:v>
                </c:pt>
                <c:pt idx="2">
                  <c:v>0.0713</c:v>
                </c:pt>
                <c:pt idx="3">
                  <c:v>0.0034</c:v>
                </c:pt>
                <c:pt idx="4">
                  <c:v>0.0133</c:v>
                </c:pt>
                <c:pt idx="5">
                  <c:v>0.0294</c:v>
                </c:pt>
                <c:pt idx="6">
                  <c:v>0.1097</c:v>
                </c:pt>
                <c:pt idx="7">
                  <c:v>0.0259</c:v>
                </c:pt>
              </c:numCache>
            </c:numRef>
          </c:val>
          <c:smooth val="0"/>
        </c:ser>
        <c:dLbls>
          <c:showLegendKey val="0"/>
          <c:showVal val="0"/>
          <c:showCatName val="0"/>
          <c:showSerName val="0"/>
          <c:showPercent val="0"/>
          <c:showBubbleSize val="0"/>
        </c:dLbls>
        <c:marker val="1"/>
        <c:smooth val="0"/>
        <c:axId val="312820096"/>
        <c:axId val="312821632"/>
      </c:lineChart>
      <c:catAx>
        <c:axId val="31281267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312814208"/>
        <c:crosses val="autoZero"/>
        <c:auto val="1"/>
        <c:lblAlgn val="ctr"/>
        <c:lblOffset val="100"/>
        <c:noMultiLvlLbl val="0"/>
      </c:catAx>
      <c:valAx>
        <c:axId val="312814208"/>
        <c:scaling>
          <c:orientation val="minMax"/>
          <c:max val="50000"/>
        </c:scaling>
        <c:delete val="0"/>
        <c:axPos val="l"/>
        <c:majorGridlines/>
        <c:numFmt formatCode="#,##0.00_);[Red]\(#,##0.00\)" sourceLinked="0"/>
        <c:majorTickMark val="out"/>
        <c:minorTickMark val="out"/>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Arial Unicode MS" panose="020B0604020202020204" pitchFamily="2" charset="-122"/>
                <a:cs typeface="Arial" panose="020B0604020202020204" pitchFamily="2" charset="0"/>
              </a:defRPr>
            </a:pPr>
          </a:p>
        </c:txPr>
        <c:crossAx val="312812672"/>
        <c:crosses val="autoZero"/>
        <c:crossBetween val="between"/>
        <c:majorUnit val="10000"/>
      </c:valAx>
      <c:catAx>
        <c:axId val="31282009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12821632"/>
        <c:crosses val="autoZero"/>
        <c:auto val="1"/>
        <c:lblAlgn val="ctr"/>
        <c:lblOffset val="100"/>
        <c:noMultiLvlLbl val="0"/>
      </c:catAx>
      <c:valAx>
        <c:axId val="312821632"/>
        <c:scaling>
          <c:orientation val="minMax"/>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312820096"/>
        <c:crosses val="max"/>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70c3d92b-6f75-41f2-903d-ad608709f256}"/>
      </c:ext>
    </c:extLst>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12858112"/>
        <c:axId val="312859648"/>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12865536"/>
        <c:axId val="312867072"/>
      </c:lineChart>
      <c:catAx>
        <c:axId val="31285811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12859648"/>
        <c:crosses val="autoZero"/>
        <c:auto val="1"/>
        <c:lblAlgn val="ctr"/>
        <c:lblOffset val="100"/>
        <c:noMultiLvlLbl val="0"/>
      </c:catAx>
      <c:valAx>
        <c:axId val="312859648"/>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12858112"/>
        <c:crosses val="autoZero"/>
        <c:crossBetween val="between"/>
        <c:majorUnit val="500"/>
      </c:valAx>
      <c:catAx>
        <c:axId val="31286553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12867072"/>
        <c:crosses val="autoZero"/>
        <c:auto val="1"/>
        <c:lblAlgn val="ctr"/>
        <c:lblOffset val="100"/>
        <c:noMultiLvlLbl val="0"/>
      </c:catAx>
      <c:valAx>
        <c:axId val="312867072"/>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1286553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e3ef2dc2-15a5-4ee3-b0ef-d3c6aeae2191}"/>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invertIfNegative val="0"/>
          <c:dLbls>
            <c:dLbl>
              <c:idx val="0"/>
              <c:delete val="1"/>
            </c:dLbl>
            <c:dLbl>
              <c:idx val="1"/>
              <c:layout>
                <c:manualLayout>
                  <c:x val="0.068241469816273"/>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8241469816273"/>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46981420629508"/>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249343832021"/>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62992125984252"/>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338582677165354"/>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971128608923884"/>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83989501312336"/>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11351.2600000001</c:v>
                </c:pt>
                <c:pt idx="1">
                  <c:v>61704</c:v>
                </c:pt>
                <c:pt idx="2">
                  <c:v>49281.38</c:v>
                </c:pt>
                <c:pt idx="3">
                  <c:v>313643.87</c:v>
                </c:pt>
                <c:pt idx="4">
                  <c:v>3107.98</c:v>
                </c:pt>
                <c:pt idx="5">
                  <c:v>14460.44</c:v>
                </c:pt>
                <c:pt idx="6">
                  <c:v>967628.62</c:v>
                </c:pt>
                <c:pt idx="7">
                  <c:v>126274.55</c:v>
                </c:pt>
                <c:pt idx="8">
                  <c:v>93547.9</c:v>
                </c:pt>
              </c:numCache>
            </c:numRef>
          </c:val>
        </c:ser>
        <c:dLbls>
          <c:showLegendKey val="0"/>
          <c:showVal val="0"/>
          <c:showCatName val="0"/>
          <c:showSerName val="0"/>
          <c:showPercent val="0"/>
          <c:showBubbleSize val="0"/>
        </c:dLbls>
        <c:gapWidth val="130"/>
        <c:overlap val="100"/>
        <c:serLines/>
        <c:axId val="313015680"/>
        <c:axId val="313033856"/>
      </c:barChart>
      <c:catAx>
        <c:axId val="313015680"/>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华文细黑" panose="02010600040101010101" pitchFamily="2" charset="-122"/>
                <a:ea typeface="华文细黑" panose="02010600040101010101" pitchFamily="2" charset="-122"/>
                <a:cs typeface="+mn-cs"/>
              </a:defRPr>
            </a:pPr>
          </a:p>
        </c:txPr>
        <c:crossAx val="313033856"/>
        <c:crosses val="autoZero"/>
        <c:auto val="1"/>
        <c:lblAlgn val="ctr"/>
        <c:lblOffset val="100"/>
        <c:noMultiLvlLbl val="0"/>
      </c:catAx>
      <c:valAx>
        <c:axId val="313033856"/>
        <c:scaling>
          <c:orientation val="minMax"/>
          <c:max val="1200000"/>
        </c:scaling>
        <c:delete val="0"/>
        <c:axPos val="b"/>
        <c:majorGridlines/>
        <c:numFmt formatCode="0_ "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13015680"/>
        <c:crosses val="autoZero"/>
        <c:crossBetween val="between"/>
        <c:minorUnit val="60000"/>
      </c:valAx>
    </c:plotArea>
    <c:plotVisOnly val="1"/>
    <c:dispBlanksAs val="gap"/>
    <c:showDLblsOverMax val="0"/>
    <c:extLst>
      <c:ext uri="{0b15fc19-7d7d-44ad-8c2d-2c3a37ce22c3}">
        <chartProps xmlns="https://web.wps.cn/et/2018/main" chartId="{de16623f-ab83-43b5-a819-9b63b2d9d464}"/>
      </c:ext>
    </c:extLst>
  </c:chart>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北京市土地供求走势</a:t>
            </a:r>
            <a:endParaRPr lang="zh-CN" altLang="en-US" sz="1200"/>
          </a:p>
        </c:rich>
      </c:tx>
      <c:layout>
        <c:manualLayout>
          <c:xMode val="edge"/>
          <c:yMode val="edge"/>
          <c:x val="0.352597971167599"/>
          <c:y val="0.0138888888888889"/>
        </c:manualLayout>
      </c:layout>
      <c:overlay val="1"/>
    </c:title>
    <c:autoTitleDeleted val="0"/>
    <c:plotArea>
      <c:layout>
        <c:manualLayout>
          <c:layoutTarget val="inner"/>
          <c:xMode val="edge"/>
          <c:yMode val="edge"/>
          <c:x val="0.0808475990335805"/>
          <c:y val="0.130104257801108"/>
          <c:w val="0.89219162185587"/>
          <c:h val="0.642420895304754"/>
        </c:manualLayout>
      </c:layout>
      <c:barChart>
        <c:barDir val="col"/>
        <c:grouping val="clustered"/>
        <c:varyColors val="0"/>
        <c:ser>
          <c:idx val="0"/>
          <c:order val="0"/>
          <c:tx>
            <c:strRef>
              <c:f>Sheet1!$B$2</c:f>
              <c:strCache>
                <c:ptCount val="1"/>
                <c:pt idx="0">
                  <c:v>推出规划建面（万㎡）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0.0122548995957043"/>
                  <c:y val="-0.0049382735251379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Sheet1!$A$3:$A$8</c:f>
              <c:strCache>
                <c:ptCount val="6"/>
                <c:pt idx="0">
                  <c:v>2020</c:v>
                </c:pt>
                <c:pt idx="1">
                  <c:v>2021</c:v>
                </c:pt>
                <c:pt idx="2">
                  <c:v>2022</c:v>
                </c:pt>
                <c:pt idx="3">
                  <c:v>2023</c:v>
                </c:pt>
                <c:pt idx="4">
                  <c:v>2024</c:v>
                </c:pt>
                <c:pt idx="5">
                  <c:v>2025H1</c:v>
                </c:pt>
              </c:strCache>
            </c:strRef>
          </c:cat>
          <c:val>
            <c:numRef>
              <c:f>Sheet1!$B$3:$B$8</c:f>
              <c:numCache>
                <c:formatCode>0_ </c:formatCode>
                <c:ptCount val="6"/>
                <c:pt idx="0">
                  <c:v>620.38</c:v>
                </c:pt>
                <c:pt idx="1">
                  <c:v>959.72</c:v>
                </c:pt>
                <c:pt idx="2">
                  <c:v>576.72</c:v>
                </c:pt>
                <c:pt idx="3">
                  <c:v>621.01</c:v>
                </c:pt>
                <c:pt idx="4">
                  <c:v>492</c:v>
                </c:pt>
                <c:pt idx="5">
                  <c:v>169.7</c:v>
                </c:pt>
              </c:numCache>
            </c:numRef>
          </c:val>
        </c:ser>
        <c:ser>
          <c:idx val="1"/>
          <c:order val="1"/>
          <c:tx>
            <c:strRef>
              <c:f>Sheet1!$C$2</c:f>
              <c:strCache>
                <c:ptCount val="1"/>
                <c:pt idx="0">
                  <c:v>成交规划建面（万㎡）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0.00245107641441323"/>
                  <c:y val="-0.00493827352513804"/>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830270412561677"/>
                      <c:h val="0.0750866433699401"/>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Sheet1!$A$3:$A$8</c:f>
              <c:strCache>
                <c:ptCount val="6"/>
                <c:pt idx="0">
                  <c:v>2020</c:v>
                </c:pt>
                <c:pt idx="1">
                  <c:v>2021</c:v>
                </c:pt>
                <c:pt idx="2">
                  <c:v>2022</c:v>
                </c:pt>
                <c:pt idx="3">
                  <c:v>2023</c:v>
                </c:pt>
                <c:pt idx="4">
                  <c:v>2024</c:v>
                </c:pt>
                <c:pt idx="5">
                  <c:v>2025H1</c:v>
                </c:pt>
              </c:strCache>
            </c:strRef>
          </c:cat>
          <c:val>
            <c:numRef>
              <c:f>Sheet1!$C$3:$C$8</c:f>
              <c:numCache>
                <c:formatCode>0_ </c:formatCode>
                <c:ptCount val="6"/>
                <c:pt idx="0">
                  <c:v>624.28</c:v>
                </c:pt>
                <c:pt idx="1">
                  <c:v>688.57</c:v>
                </c:pt>
                <c:pt idx="2">
                  <c:v>484.71</c:v>
                </c:pt>
                <c:pt idx="3">
                  <c:v>582.25</c:v>
                </c:pt>
                <c:pt idx="4">
                  <c:v>470.38</c:v>
                </c:pt>
                <c:pt idx="5">
                  <c:v>234.42</c:v>
                </c:pt>
              </c:numCache>
            </c:numRef>
          </c:val>
        </c:ser>
        <c:dLbls>
          <c:showLegendKey val="0"/>
          <c:showVal val="0"/>
          <c:showCatName val="0"/>
          <c:showSerName val="0"/>
          <c:showPercent val="0"/>
          <c:showBubbleSize val="0"/>
        </c:dLbls>
        <c:gapWidth val="150"/>
        <c:axId val="321128704"/>
        <c:axId val="321146880"/>
      </c:barChart>
      <c:catAx>
        <c:axId val="32112870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21146880"/>
        <c:crosses val="autoZero"/>
        <c:auto val="1"/>
        <c:lblAlgn val="ctr"/>
        <c:lblOffset val="100"/>
        <c:noMultiLvlLbl val="0"/>
      </c:catAx>
      <c:valAx>
        <c:axId val="321146880"/>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21128704"/>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a905f435-80b5-4a6b-9815-a66f8bf92a8d}"/>
      </c:ext>
    </c:extLst>
  </c:chart>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99700726057"/>
          <c:y val="0.0652894429862934"/>
          <c:w val="0.767886985746147"/>
          <c:h val="0.721124599008457"/>
        </c:manualLayout>
      </c:layout>
      <c:barChart>
        <c:barDir val="col"/>
        <c:grouping val="clustered"/>
        <c:varyColors val="0"/>
        <c:ser>
          <c:idx val="0"/>
          <c:order val="0"/>
          <c:tx>
            <c:strRef>
              <c:f>楼面价jj!$B$1</c:f>
              <c:strCache>
                <c:ptCount val="1"/>
                <c:pt idx="0">
                  <c:v>成交楼面均价（元/平方米）</c:v>
                </c:pt>
              </c:strCache>
            </c:strRef>
          </c:tx>
          <c:spPr>
            <a:solidFill>
              <a:srgbClr val="CC0000"/>
            </a:solidFill>
          </c:spPr>
          <c:invertIfNegative val="0"/>
          <c:dLbls>
            <c:dLbl>
              <c:idx val="2"/>
              <c:layout>
                <c:manualLayout>
                  <c:x val="-6.9641476944951e-17"/>
                  <c:y val="-0.09494320959404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11294852751086"/>
                  <c:y val="-0.1018518518518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379866989723109"/>
                  <c:y val="0.0082559312690471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2314814814814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3302372507618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222593210907067"/>
                  <c:y val="-0.04629629629629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楼面价jj!$B$7:$B$14</c:f>
              <c:numCache>
                <c:formatCode>General</c:formatCode>
                <c:ptCount val="8"/>
                <c:pt idx="0">
                  <c:v>27153</c:v>
                </c:pt>
                <c:pt idx="1">
                  <c:v>25916</c:v>
                </c:pt>
                <c:pt idx="2">
                  <c:v>28513</c:v>
                </c:pt>
                <c:pt idx="3">
                  <c:v>34086</c:v>
                </c:pt>
                <c:pt idx="4">
                  <c:v>25771</c:v>
                </c:pt>
                <c:pt idx="5">
                  <c:v>43860</c:v>
                </c:pt>
                <c:pt idx="6">
                  <c:v>47266</c:v>
                </c:pt>
                <c:pt idx="7">
                  <c:v>38274</c:v>
                </c:pt>
              </c:numCache>
            </c:numRef>
          </c:val>
        </c:ser>
        <c:dLbls>
          <c:showLegendKey val="0"/>
          <c:showVal val="0"/>
          <c:showCatName val="0"/>
          <c:showSerName val="0"/>
          <c:showPercent val="0"/>
          <c:showBubbleSize val="0"/>
        </c:dLbls>
        <c:gapWidth val="150"/>
        <c:axId val="325979136"/>
        <c:axId val="325993216"/>
      </c:barChart>
      <c:lineChart>
        <c:grouping val="standard"/>
        <c:varyColors val="0"/>
        <c:ser>
          <c:idx val="1"/>
          <c:order val="1"/>
          <c:tx>
            <c:strRef>
              <c:f>楼面价jj!$C$1</c:f>
              <c:strCache>
                <c:ptCount val="1"/>
                <c:pt idx="0">
                  <c:v>平均溢价率（%）</c:v>
                </c:pt>
              </c:strCache>
            </c:strRef>
          </c:tx>
          <c:spPr>
            <a:ln w="19050" cap="rnd" cmpd="sng" algn="ctr">
              <a:solidFill>
                <a:schemeClr val="accent5">
                  <a:lumMod val="75000"/>
                </a:schemeClr>
              </a:solidFill>
              <a:prstDash val="solid"/>
              <a:round/>
            </a:ln>
          </c:spPr>
          <c:marker>
            <c:spPr>
              <a:solidFill>
                <a:schemeClr val="accent5">
                  <a:lumMod val="75000"/>
                </a:schemeClr>
              </a:solidFill>
              <a:ln w="6350" cap="flat" cmpd="sng" algn="ctr">
                <a:solidFill>
                  <a:schemeClr val="accent5">
                    <a:lumMod val="75000"/>
                  </a:schemeClr>
                </a:solidFill>
                <a:prstDash val="solid"/>
                <a:round/>
              </a:ln>
            </c:spPr>
          </c:marker>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r>
                      <a:rPr lang="en-US" altLang="en-US">
                        <a:solidFill>
                          <a:schemeClr val="bg1"/>
                        </a:solidFill>
                        <a:latin typeface="Arial" panose="020B0604020202020204" pitchFamily="2" charset="0"/>
                        <a:cs typeface="Arial" panose="020B0604020202020204" pitchFamily="2" charset="0"/>
                      </a:rPr>
                      <a:t>5.35%</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r>
                      <a:rPr lang="en-US" altLang="en-US">
                        <a:solidFill>
                          <a:schemeClr val="bg1"/>
                        </a:solidFill>
                        <a:latin typeface="Arial" panose="020B0604020202020204" pitchFamily="2" charset="0"/>
                        <a:cs typeface="Arial" panose="020B0604020202020204" pitchFamily="2" charset="0"/>
                      </a:rPr>
                      <a:t>6.06%</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00379866989723109"/>
                  <c:y val="0.07430338142142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379866989723102"/>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5">
                  <a:lumMod val="75000"/>
                </a:schemeClr>
              </a:solid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楼面价jj!$C$7:$C$14</c:f>
              <c:numCache>
                <c:formatCode>0.00%</c:formatCode>
                <c:ptCount val="8"/>
                <c:pt idx="0">
                  <c:v>0.0801</c:v>
                </c:pt>
                <c:pt idx="1">
                  <c:v>0.0522</c:v>
                </c:pt>
                <c:pt idx="2">
                  <c:v>0.0713</c:v>
                </c:pt>
                <c:pt idx="3">
                  <c:v>0.0034</c:v>
                </c:pt>
                <c:pt idx="4">
                  <c:v>0.0133</c:v>
                </c:pt>
                <c:pt idx="5">
                  <c:v>0.0294</c:v>
                </c:pt>
                <c:pt idx="6">
                  <c:v>0.1097</c:v>
                </c:pt>
                <c:pt idx="7">
                  <c:v>0.0259</c:v>
                </c:pt>
              </c:numCache>
            </c:numRef>
          </c:val>
          <c:smooth val="0"/>
        </c:ser>
        <c:dLbls>
          <c:showLegendKey val="0"/>
          <c:showVal val="0"/>
          <c:showCatName val="0"/>
          <c:showSerName val="0"/>
          <c:showPercent val="0"/>
          <c:showBubbleSize val="0"/>
        </c:dLbls>
        <c:marker val="1"/>
        <c:smooth val="0"/>
        <c:axId val="325994752"/>
        <c:axId val="325996544"/>
      </c:lineChart>
      <c:catAx>
        <c:axId val="32597913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325993216"/>
        <c:crosses val="autoZero"/>
        <c:auto val="1"/>
        <c:lblAlgn val="ctr"/>
        <c:lblOffset val="100"/>
        <c:noMultiLvlLbl val="0"/>
      </c:catAx>
      <c:valAx>
        <c:axId val="325993216"/>
        <c:scaling>
          <c:orientation val="minMax"/>
          <c:max val="50000"/>
        </c:scaling>
        <c:delete val="0"/>
        <c:axPos val="l"/>
        <c:majorGridlines/>
        <c:numFmt formatCode="#,##0.00_);[Red]\(#,##0.00\)" sourceLinked="0"/>
        <c:majorTickMark val="out"/>
        <c:minorTickMark val="out"/>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Arial Unicode MS" panose="020B0604020202020204" pitchFamily="2" charset="-122"/>
                <a:cs typeface="Arial" panose="020B0604020202020204" pitchFamily="2" charset="0"/>
              </a:defRPr>
            </a:pPr>
          </a:p>
        </c:txPr>
        <c:crossAx val="325979136"/>
        <c:crosses val="autoZero"/>
        <c:crossBetween val="between"/>
        <c:majorUnit val="10000"/>
      </c:valAx>
      <c:catAx>
        <c:axId val="32599475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25996544"/>
        <c:crosses val="autoZero"/>
        <c:auto val="1"/>
        <c:lblAlgn val="ctr"/>
        <c:lblOffset val="100"/>
        <c:noMultiLvlLbl val="0"/>
      </c:catAx>
      <c:valAx>
        <c:axId val="325996544"/>
        <c:scaling>
          <c:orientation val="minMax"/>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325994752"/>
        <c:crosses val="max"/>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27d5e310-6919-4c27-a00d-91c4739f00e9}"/>
      </c:ext>
    </c:extLst>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06A879-8C39-4065-952A-32D2BEE3655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115</Pages>
  <Words>7387</Words>
  <Characters>7990</Characters>
  <Lines>505</Lines>
  <Paragraphs>142</Paragraphs>
  <TotalTime>96</TotalTime>
  <ScaleCrop>false</ScaleCrop>
  <LinksUpToDate>false</LinksUpToDate>
  <CharactersWithSpaces>8136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2025-10-17T07:14:00Z</dcterms:created>
  <dc:creator>Administrator</dc:creator>
  <cp:lastModifiedBy>诗霖</cp:lastModifiedBy>
  <cp:lastPrinted>2022-07-15T02:00:00Z</cp:lastPrinted>
  <dcterms:modified xsi:type="dcterms:W3CDTF">2025-10-24T04:07:30Z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46954D5708C94E65940C604FC89D6D77_13</vt:lpwstr>
  </property>
  <property fmtid="{D5CDD505-2E9C-101B-9397-08002B2CF9AE}" pid="4" name="KSOTemplateDocerSaveRecord">
    <vt:lpwstr>eyJoZGlkIjoiOTcwMTMwZTgwZjBhOWY5ZDIzMzA3YjZmYWI3ZGQ5NjUiLCJ1c2VySWQiOiIyMDkxMDc5NzUifQ==</vt:lpwstr>
  </property>
</Properties>
</file>